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77258F" w14:textId="4D402E81" w:rsidR="001A0D8A" w:rsidRPr="00EB0900" w:rsidRDefault="00502144" w:rsidP="005A0249">
      <w:pPr>
        <w:spacing w:before="240" w:after="240" w:line="240" w:lineRule="auto"/>
        <w:jc w:val="center"/>
        <w:rPr>
          <w:rFonts w:ascii="Times New Roman" w:hAnsi="Times New Roman" w:cs="Times New Roman"/>
          <w:b/>
          <w:bCs/>
          <w:sz w:val="36"/>
          <w:szCs w:val="36"/>
        </w:rPr>
      </w:pPr>
      <w:r w:rsidRPr="00EB0900">
        <w:rPr>
          <w:rFonts w:ascii="Times New Roman" w:hAnsi="Times New Roman" w:cs="Times New Roman"/>
          <w:b/>
          <w:bCs/>
          <w:sz w:val="36"/>
          <w:szCs w:val="36"/>
        </w:rPr>
        <w:t>Comparative Analysis of Macroeconomic Shock Transmission Before and After COVID-19 in Nigeria: Evidence from the VECM Framework</w:t>
      </w:r>
    </w:p>
    <w:p w14:paraId="5AE19721" w14:textId="0AC610EC" w:rsidR="00D1559F" w:rsidRPr="007B1C4E" w:rsidRDefault="00262D50" w:rsidP="005A0249">
      <w:pPr>
        <w:spacing w:before="240" w:after="240" w:line="240" w:lineRule="auto"/>
        <w:rPr>
          <w:rFonts w:ascii="Times New Roman" w:hAnsi="Times New Roman" w:cs="Times New Roman"/>
          <w:b/>
          <w:bCs/>
          <w:sz w:val="28"/>
          <w:szCs w:val="28"/>
        </w:rPr>
      </w:pPr>
      <w:bookmarkStart w:id="0" w:name="_GoBack"/>
      <w:bookmarkEnd w:id="0"/>
      <w:r w:rsidRPr="007B1C4E">
        <w:rPr>
          <w:rFonts w:ascii="Times New Roman" w:hAnsi="Times New Roman" w:cs="Times New Roman"/>
          <w:b/>
          <w:bCs/>
          <w:sz w:val="28"/>
          <w:szCs w:val="28"/>
        </w:rPr>
        <w:t>ABSTRACT</w:t>
      </w:r>
    </w:p>
    <w:p w14:paraId="07B6D712" w14:textId="269ADA1A" w:rsidR="0022569D" w:rsidRPr="009C2E9F" w:rsidRDefault="00FB29F7"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Macroeconomic shocks have remained a major challenge to economic stability in Nigeria due to persistent fluctuations in the exchange rate, inflation, output growth, interest rates, and monetary conditions. The outbreak of the COVID-19 pandemic further intensified these challenges by disrupting production, trade, financial markets, and policy transmission mechanisms. Despite several empirical studies on macroeconomic instability in Nigeria, limited attention has been given to comparing how macroeconomic shocks are transmitted across the pre- and post-COVID-19 periods. This study therefore</w:t>
      </w:r>
      <w:r w:rsidR="004371C7">
        <w:rPr>
          <w:rFonts w:ascii="Times New Roman" w:eastAsia="Times New Roman" w:hAnsi="Times New Roman" w:cs="Times New Roman"/>
          <w:sz w:val="24"/>
          <w:szCs w:val="24"/>
        </w:rPr>
        <w:t>,</w:t>
      </w:r>
      <w:r w:rsidRPr="009C2E9F">
        <w:rPr>
          <w:rFonts w:ascii="Times New Roman" w:eastAsia="Times New Roman" w:hAnsi="Times New Roman" w:cs="Times New Roman"/>
          <w:sz w:val="24"/>
          <w:szCs w:val="24"/>
        </w:rPr>
        <w:t xml:space="preserve"> examined the dynamic behavior of selected macroeconomic variables before and after the COVID-19 pandemic in Nigeria.</w:t>
      </w:r>
    </w:p>
    <w:p w14:paraId="0C658D62" w14:textId="18B2422F"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study specifically investigated the relationships among exchange rate (EXR), inflation (INF), economic growth (GDP), interest rate (INT), exports (EXP), and money supply (MS) using monthly time series data</w:t>
      </w:r>
      <w:r w:rsidR="001D73CE" w:rsidRPr="009C2E9F">
        <w:rPr>
          <w:rFonts w:ascii="Times New Roman" w:eastAsia="Times New Roman" w:hAnsi="Times New Roman" w:cs="Times New Roman"/>
          <w:sz w:val="24"/>
          <w:szCs w:val="24"/>
        </w:rPr>
        <w:t xml:space="preserve"> </w:t>
      </w:r>
      <w:r w:rsidR="00761BE8" w:rsidRPr="009C2E9F">
        <w:rPr>
          <w:rFonts w:ascii="Times New Roman" w:eastAsia="Times New Roman" w:hAnsi="Times New Roman" w:cs="Times New Roman"/>
          <w:sz w:val="24"/>
          <w:szCs w:val="24"/>
        </w:rPr>
        <w:t>ranging from</w:t>
      </w:r>
      <w:r w:rsidR="001D73CE" w:rsidRPr="009C2E9F">
        <w:rPr>
          <w:rFonts w:ascii="Times New Roman" w:eastAsia="Times New Roman" w:hAnsi="Times New Roman" w:cs="Times New Roman"/>
          <w:sz w:val="24"/>
          <w:szCs w:val="24"/>
        </w:rPr>
        <w:t xml:space="preserve"> 1980M01 to 202</w:t>
      </w:r>
      <w:r w:rsidR="00761BE8" w:rsidRPr="009C2E9F">
        <w:rPr>
          <w:rFonts w:ascii="Times New Roman" w:eastAsia="Times New Roman" w:hAnsi="Times New Roman" w:cs="Times New Roman"/>
          <w:sz w:val="24"/>
          <w:szCs w:val="24"/>
        </w:rPr>
        <w:t>5M06</w:t>
      </w:r>
      <w:r w:rsidRPr="009C2E9F">
        <w:rPr>
          <w:rFonts w:ascii="Times New Roman" w:eastAsia="Times New Roman" w:hAnsi="Times New Roman" w:cs="Times New Roman"/>
          <w:sz w:val="24"/>
          <w:szCs w:val="24"/>
        </w:rPr>
        <w:t>. The Vector Error Correction Model (VECM) framework was employed following stationarity tests using Augmented Dickey-Fuller (ADF) and KPSS tests, Johansen cointegration analysis, Granger causality tests, impulse response functions, and variance decomposition analysis. A structural break based on the COVID-19 period was introduced to compare the two regimes.</w:t>
      </w:r>
    </w:p>
    <w:p w14:paraId="2EED92CA" w14:textId="77777777"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findings revealed stronger long-run equilibrium relationships in the pre-COVID-19 period, with five cointegrating equations, while the post-COVID-19 period exhibited weaker integration and slower adjustment mechanisms. Exchange rate emerged as the major adjustment variable after the pandemic, whereas money supply remained a key determinant of macroeconomic performance across both periods.</w:t>
      </w:r>
    </w:p>
    <w:p w14:paraId="0D6065DC" w14:textId="2C644D54" w:rsidR="0022569D" w:rsidRPr="009C2E9F" w:rsidRDefault="0022569D"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study concluded that COVID-19 significantly altered macroeconomic shock transmission in Nigeria and recommends stronger exchange rate management, economic diversification, and improved policy coordination to enhance economic resilience.</w:t>
      </w:r>
    </w:p>
    <w:p w14:paraId="38622B52" w14:textId="0FCDECE6" w:rsidR="00232BCF" w:rsidRPr="009C2E9F" w:rsidRDefault="00232BCF"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b/>
          <w:bCs/>
          <w:sz w:val="24"/>
          <w:szCs w:val="24"/>
        </w:rPr>
        <w:t xml:space="preserve">Keywords: </w:t>
      </w:r>
      <w:r w:rsidR="001E1D71" w:rsidRPr="009C2E9F">
        <w:rPr>
          <w:rFonts w:ascii="Times New Roman" w:hAnsi="Times New Roman" w:cs="Times New Roman"/>
          <w:sz w:val="24"/>
          <w:szCs w:val="24"/>
        </w:rPr>
        <w:t>Macroeconomic shocks, Vector Error Correction Model (VECM)</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COVID-19 pandemic</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w:t>
      </w:r>
      <w:r w:rsidR="008969D9" w:rsidRPr="009C2E9F">
        <w:rPr>
          <w:rFonts w:ascii="Times New Roman" w:hAnsi="Times New Roman" w:cs="Times New Roman"/>
          <w:sz w:val="24"/>
          <w:szCs w:val="24"/>
        </w:rPr>
        <w:t>Structural Break</w:t>
      </w:r>
      <w:r w:rsidR="00990C2B" w:rsidRPr="009C2E9F">
        <w:rPr>
          <w:rFonts w:ascii="Times New Roman" w:hAnsi="Times New Roman" w:cs="Times New Roman"/>
          <w:sz w:val="24"/>
          <w:szCs w:val="24"/>
        </w:rPr>
        <w:t>,</w:t>
      </w:r>
      <w:r w:rsidR="001E1D71" w:rsidRPr="009C2E9F">
        <w:rPr>
          <w:rFonts w:ascii="Times New Roman" w:hAnsi="Times New Roman" w:cs="Times New Roman"/>
          <w:sz w:val="24"/>
          <w:szCs w:val="24"/>
        </w:rPr>
        <w:t xml:space="preserve"> </w:t>
      </w:r>
      <w:r w:rsidR="001F7990">
        <w:rPr>
          <w:rFonts w:ascii="Times New Roman" w:hAnsi="Times New Roman" w:cs="Times New Roman"/>
          <w:sz w:val="24"/>
          <w:szCs w:val="24"/>
        </w:rPr>
        <w:t>shock transmission</w:t>
      </w:r>
      <w:r w:rsidR="00990C2B" w:rsidRPr="009C2E9F">
        <w:rPr>
          <w:rFonts w:ascii="Times New Roman" w:hAnsi="Times New Roman" w:cs="Times New Roman"/>
          <w:sz w:val="24"/>
          <w:szCs w:val="24"/>
        </w:rPr>
        <w:t>.</w:t>
      </w:r>
    </w:p>
    <w:p w14:paraId="63E20B3A" w14:textId="6261D22F" w:rsidR="00DB736C" w:rsidRPr="007B1C4E" w:rsidRDefault="00262D50" w:rsidP="005A0249">
      <w:pPr>
        <w:spacing w:before="240" w:after="240" w:line="240" w:lineRule="auto"/>
        <w:jc w:val="both"/>
        <w:rPr>
          <w:rFonts w:ascii="Times New Roman" w:hAnsi="Times New Roman" w:cs="Times New Roman"/>
          <w:b/>
          <w:bCs/>
          <w:sz w:val="28"/>
          <w:szCs w:val="28"/>
        </w:rPr>
      </w:pPr>
      <w:r w:rsidRPr="007B1C4E">
        <w:rPr>
          <w:rFonts w:ascii="Times New Roman" w:hAnsi="Times New Roman" w:cs="Times New Roman"/>
          <w:b/>
          <w:bCs/>
          <w:sz w:val="28"/>
          <w:szCs w:val="28"/>
        </w:rPr>
        <w:t>INTRODUCTION</w:t>
      </w:r>
    </w:p>
    <w:p w14:paraId="21CF4005" w14:textId="0AFFFB75" w:rsidR="00941DB8" w:rsidRPr="009C2E9F" w:rsidRDefault="00941DB8"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Mordi (2014) observes that the macroeconomic environment in Nigeria, particularly the exchange rates, inflation rate, and economic growth</w:t>
      </w:r>
      <w:r w:rsidR="003B1822" w:rsidRPr="009C2E9F">
        <w:rPr>
          <w:rFonts w:ascii="Times New Roman" w:hAnsi="Times New Roman" w:cs="Times New Roman"/>
          <w:sz w:val="24"/>
          <w:szCs w:val="24"/>
        </w:rPr>
        <w:t>,</w:t>
      </w:r>
      <w:r w:rsidRPr="009C2E9F">
        <w:rPr>
          <w:rFonts w:ascii="Times New Roman" w:hAnsi="Times New Roman" w:cs="Times New Roman"/>
          <w:sz w:val="24"/>
          <w:szCs w:val="24"/>
        </w:rPr>
        <w:t xml:space="preserve"> </w:t>
      </w:r>
      <w:r w:rsidR="003B1822" w:rsidRPr="009C2E9F">
        <w:rPr>
          <w:rFonts w:ascii="Times New Roman" w:hAnsi="Times New Roman" w:cs="Times New Roman"/>
          <w:sz w:val="24"/>
          <w:szCs w:val="24"/>
        </w:rPr>
        <w:t>is an</w:t>
      </w:r>
      <w:r w:rsidRPr="009C2E9F">
        <w:rPr>
          <w:rFonts w:ascii="Times New Roman" w:hAnsi="Times New Roman" w:cs="Times New Roman"/>
          <w:sz w:val="24"/>
          <w:szCs w:val="24"/>
        </w:rPr>
        <w:t xml:space="preserve"> interrelated </w:t>
      </w:r>
      <w:r w:rsidR="003B1822" w:rsidRPr="009C2E9F">
        <w:rPr>
          <w:rFonts w:ascii="Times New Roman" w:hAnsi="Times New Roman" w:cs="Times New Roman"/>
          <w:sz w:val="24"/>
          <w:szCs w:val="24"/>
        </w:rPr>
        <w:t xml:space="preserve">set of </w:t>
      </w:r>
      <w:r w:rsidRPr="009C2E9F">
        <w:rPr>
          <w:rFonts w:ascii="Times New Roman" w:hAnsi="Times New Roman" w:cs="Times New Roman"/>
          <w:sz w:val="24"/>
          <w:szCs w:val="24"/>
        </w:rPr>
        <w:t xml:space="preserve">variables that have a significant effect on the stability and development of the economy. In developing economies such </w:t>
      </w:r>
      <w:r w:rsidR="00BB6FE4">
        <w:rPr>
          <w:rFonts w:ascii="Times New Roman" w:hAnsi="Times New Roman" w:cs="Times New Roman"/>
          <w:sz w:val="24"/>
          <w:szCs w:val="24"/>
        </w:rPr>
        <w:t xml:space="preserve">as </w:t>
      </w:r>
      <w:r w:rsidRPr="009C2E9F">
        <w:rPr>
          <w:rFonts w:ascii="Times New Roman" w:hAnsi="Times New Roman" w:cs="Times New Roman"/>
          <w:sz w:val="24"/>
          <w:szCs w:val="24"/>
        </w:rPr>
        <w:t xml:space="preserve">Nigeria, exchange rates are volatile, inflation rates are high, and growth is inconsistent, all of which continue to pose a challenge to policymakers and researchers. It is important to have an idyllic interaction of these macroeconomic variables to develop policies that facilitate sustainable growth and price stability. According to Berhe and Gebrehiwot (2020), the exchange rate is an important connexion between local and foreign markets and it affects the flows of trade, investment decisions, and capital flows. Predictability in the economy is facilitated by stable exchange rates, and foreign investment can be discouraged by volatility which can destroy trade balances as well as negatively affect the performance of the economy (Cletus-Okwuchukwu &amp; Onyeanu, 2023). </w:t>
      </w:r>
      <w:r w:rsidR="00BB6FE4">
        <w:rPr>
          <w:rFonts w:ascii="Times New Roman" w:hAnsi="Times New Roman" w:cs="Times New Roman"/>
          <w:sz w:val="24"/>
          <w:szCs w:val="24"/>
        </w:rPr>
        <w:t>Nigeria's</w:t>
      </w:r>
      <w:r w:rsidRPr="009C2E9F">
        <w:rPr>
          <w:rFonts w:ascii="Times New Roman" w:hAnsi="Times New Roman" w:cs="Times New Roman"/>
          <w:sz w:val="24"/>
          <w:szCs w:val="24"/>
        </w:rPr>
        <w:t xml:space="preserve"> inflation has effects on both its monetary situation at home and the external price pressure that is exported by fluctuation in the exchange rates (Mordi, 2014). The connexion between economic growth and inflation is quite complicated because moderate inflation can increase the growth rate</w:t>
      </w:r>
      <w:r w:rsidR="00BB6FE4">
        <w:rPr>
          <w:rFonts w:ascii="Times New Roman" w:hAnsi="Times New Roman" w:cs="Times New Roman"/>
          <w:sz w:val="24"/>
          <w:szCs w:val="24"/>
        </w:rPr>
        <w:t>,</w:t>
      </w:r>
      <w:r w:rsidRPr="009C2E9F">
        <w:rPr>
          <w:rFonts w:ascii="Times New Roman" w:hAnsi="Times New Roman" w:cs="Times New Roman"/>
          <w:sz w:val="24"/>
          <w:szCs w:val="24"/>
        </w:rPr>
        <w:t xml:space="preserve"> as this will promote investment, however the extreme variant of inflation will lead to the destabilization of the economy and slow the growth rates in the long term (Oyadeyi et al., 2025). Inflation affects the purchasing power, factors that motivate investment, and the cost of production (Osuji, Omodero, and Eze, 2022).</w:t>
      </w:r>
    </w:p>
    <w:p w14:paraId="036E0440" w14:textId="725DE7E5" w:rsidR="00941DB8" w:rsidRPr="009C2E9F" w:rsidRDefault="00941DB8"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 xml:space="preserve">Structural breaks occur when there is a shift in the underlying data-generating process of a time series. Such breaks may affect the mean, variance or other model parameters and can significantly alter the volatility dynamics of </w:t>
      </w:r>
      <w:r w:rsidR="00605A2B" w:rsidRPr="009C2E9F">
        <w:rPr>
          <w:rFonts w:ascii="Times New Roman" w:hAnsi="Times New Roman" w:cs="Times New Roman"/>
          <w:sz w:val="24"/>
          <w:szCs w:val="24"/>
        </w:rPr>
        <w:t>the economy</w:t>
      </w:r>
      <w:r w:rsidRPr="009C2E9F">
        <w:rPr>
          <w:rFonts w:ascii="Times New Roman" w:hAnsi="Times New Roman" w:cs="Times New Roman"/>
          <w:sz w:val="24"/>
          <w:szCs w:val="24"/>
        </w:rPr>
        <w:t xml:space="preserve">. In the context of </w:t>
      </w:r>
      <w:r w:rsidR="00605A2B" w:rsidRPr="009C2E9F">
        <w:rPr>
          <w:rFonts w:ascii="Times New Roman" w:hAnsi="Times New Roman" w:cs="Times New Roman"/>
          <w:sz w:val="24"/>
          <w:szCs w:val="24"/>
        </w:rPr>
        <w:t>macroeconomic variables</w:t>
      </w:r>
      <w:r w:rsidRPr="009C2E9F">
        <w:rPr>
          <w:rFonts w:ascii="Times New Roman" w:hAnsi="Times New Roman" w:cs="Times New Roman"/>
          <w:sz w:val="24"/>
          <w:szCs w:val="24"/>
        </w:rPr>
        <w:t xml:space="preserve">, structural breaks are particularly important because they often correspond to periods of major economic disturbances. For instance, the 2008 global financial crisis, the oil price collapse, the COVID-19 pandemic and changes in monetary policy generated substantial disruptions in </w:t>
      </w:r>
      <w:r w:rsidR="00605A2B" w:rsidRPr="009C2E9F">
        <w:rPr>
          <w:rFonts w:ascii="Times New Roman" w:hAnsi="Times New Roman" w:cs="Times New Roman"/>
          <w:sz w:val="24"/>
          <w:szCs w:val="24"/>
        </w:rPr>
        <w:t>economic</w:t>
      </w:r>
      <w:r w:rsidRPr="009C2E9F">
        <w:rPr>
          <w:rFonts w:ascii="Times New Roman" w:hAnsi="Times New Roman" w:cs="Times New Roman"/>
          <w:sz w:val="24"/>
          <w:szCs w:val="24"/>
        </w:rPr>
        <w:t xml:space="preserve"> markets worldwide. The importance of structural break analysis is even more pronounced in emerging economies such as Nigeria, where markets are often exposed to economic instability, exchange rate volatility, inflationary pressures, and policy uncertainty. The Nigerian </w:t>
      </w:r>
      <w:r w:rsidR="003F3B07" w:rsidRPr="009C2E9F">
        <w:rPr>
          <w:rFonts w:ascii="Times New Roman" w:hAnsi="Times New Roman" w:cs="Times New Roman"/>
          <w:sz w:val="24"/>
          <w:szCs w:val="24"/>
        </w:rPr>
        <w:t>economic</w:t>
      </w:r>
      <w:r w:rsidRPr="009C2E9F">
        <w:rPr>
          <w:rFonts w:ascii="Times New Roman" w:hAnsi="Times New Roman" w:cs="Times New Roman"/>
          <w:sz w:val="24"/>
          <w:szCs w:val="24"/>
        </w:rPr>
        <w:t xml:space="preserve"> market has experienced several episodes of economic and financial disruptions resulting from </w:t>
      </w:r>
      <w:r w:rsidR="00BB6FE4">
        <w:rPr>
          <w:rFonts w:ascii="Times New Roman" w:hAnsi="Times New Roman" w:cs="Times New Roman"/>
          <w:sz w:val="24"/>
          <w:szCs w:val="24"/>
        </w:rPr>
        <w:t xml:space="preserve">the </w:t>
      </w:r>
      <w:r w:rsidR="003F3B07" w:rsidRPr="009C2E9F">
        <w:rPr>
          <w:rFonts w:ascii="Times New Roman" w:hAnsi="Times New Roman" w:cs="Times New Roman"/>
          <w:sz w:val="24"/>
          <w:szCs w:val="24"/>
        </w:rPr>
        <w:t xml:space="preserve">COVID-19 shock, </w:t>
      </w:r>
      <w:r w:rsidRPr="009C2E9F">
        <w:rPr>
          <w:rFonts w:ascii="Times New Roman" w:hAnsi="Times New Roman" w:cs="Times New Roman"/>
          <w:sz w:val="24"/>
          <w:szCs w:val="24"/>
        </w:rPr>
        <w:t>oil price fluctuations, exchange rate reforms, banking sector crises, political instability, and global economic shocks.</w:t>
      </w:r>
      <w:r w:rsidR="00605A2B" w:rsidRPr="009C2E9F">
        <w:rPr>
          <w:rFonts w:ascii="Times New Roman" w:hAnsi="Times New Roman" w:cs="Times New Roman"/>
          <w:sz w:val="24"/>
          <w:szCs w:val="24"/>
        </w:rPr>
        <w:t xml:space="preserve"> </w:t>
      </w:r>
    </w:p>
    <w:p w14:paraId="7C82C52A" w14:textId="09B353E6" w:rsidR="00E42454" w:rsidRPr="009C2E9F" w:rsidRDefault="00605A2B" w:rsidP="005A0249">
      <w:pPr>
        <w:pStyle w:val="NormalWeb"/>
        <w:spacing w:before="240" w:beforeAutospacing="0" w:after="240" w:afterAutospacing="0"/>
        <w:jc w:val="both"/>
      </w:pPr>
      <w:r w:rsidRPr="009C2E9F">
        <w:t>The Vector Error Correction Model (VECM) is an advanced econometric technique widely used in macroeconomic analysis to examine both the short-run dynamics and long-run equilibrium relationships among economic variables. In many economies, macroeconomic variables such as exchange rate, inflation, interest rate, gross domestic product (GDP), money supply and</w:t>
      </w:r>
      <w:r w:rsidR="003F3B07" w:rsidRPr="009C2E9F">
        <w:t xml:space="preserve"> export</w:t>
      </w:r>
      <w:r w:rsidRPr="009C2E9F">
        <w:t xml:space="preserve"> are interconnected and often move together over time</w:t>
      </w:r>
      <w:r w:rsidR="003F3B07" w:rsidRPr="009C2E9F">
        <w:t xml:space="preserve"> (</w:t>
      </w:r>
      <w:r w:rsidR="003F3B07" w:rsidRPr="009C2E9F">
        <w:rPr>
          <w:rStyle w:val="whitespace-normal"/>
        </w:rPr>
        <w:t>Walter</w:t>
      </w:r>
      <w:r w:rsidR="003F3B07" w:rsidRPr="009C2E9F">
        <w:t>, 2015)</w:t>
      </w:r>
      <w:r w:rsidRPr="009C2E9F">
        <w:t>. Although these variables may fluctuate in the short run due to economic shocks, policy changes, or external disturbances, they may still maintain a stable long-run relationship. The VECM provides an appropriate framework for capturing these interactions</w:t>
      </w:r>
      <w:r w:rsidR="003F3B07" w:rsidRPr="009C2E9F">
        <w:t xml:space="preserve"> (</w:t>
      </w:r>
      <w:r w:rsidR="003F3B07" w:rsidRPr="009C2E9F">
        <w:rPr>
          <w:rStyle w:val="whitespace-normal"/>
        </w:rPr>
        <w:t>Walter</w:t>
      </w:r>
      <w:r w:rsidR="003F3B07" w:rsidRPr="009C2E9F">
        <w:t>, 2015)</w:t>
      </w:r>
      <w:r w:rsidRPr="009C2E9F">
        <w:t>.</w:t>
      </w:r>
      <w:r w:rsidR="00E42454" w:rsidRPr="009C2E9F">
        <w:t xml:space="preserve"> </w:t>
      </w:r>
      <w:r w:rsidRPr="009C2E9F">
        <w:t>The VECM is derived from the Vector Autoregressive (VAR) model when the variables are non-stationary but cointegrated</w:t>
      </w:r>
      <w:r w:rsidR="00E47D40" w:rsidRPr="009C2E9F">
        <w:t xml:space="preserve"> and</w:t>
      </w:r>
      <w:r w:rsidRPr="009C2E9F">
        <w:t xml:space="preserve"> </w:t>
      </w:r>
      <w:r w:rsidR="00E47D40" w:rsidRPr="009C2E9F">
        <w:t>c</w:t>
      </w:r>
      <w:r w:rsidRPr="009C2E9F">
        <w:t>ointegration implies that despite short-run fluctuations, the variables share a common long-run equilibrium path</w:t>
      </w:r>
      <w:r w:rsidR="00E47D40" w:rsidRPr="009C2E9F">
        <w:t xml:space="preserve"> (</w:t>
      </w:r>
      <w:r w:rsidR="00E47D40" w:rsidRPr="009C2E9F">
        <w:rPr>
          <w:rStyle w:val="whitespace-normal"/>
        </w:rPr>
        <w:t>Soren</w:t>
      </w:r>
      <w:r w:rsidR="00E47D40" w:rsidRPr="009C2E9F">
        <w:t>,1988)</w:t>
      </w:r>
      <w:r w:rsidRPr="009C2E9F">
        <w:t xml:space="preserve">. In macroeconomic studies, </w:t>
      </w:r>
      <w:r w:rsidR="002B4A36">
        <w:t>pre-</w:t>
      </w:r>
      <w:r w:rsidR="003F3B07" w:rsidRPr="009C2E9F">
        <w:t xml:space="preserve"> and post-COVID-19</w:t>
      </w:r>
      <w:r w:rsidR="0085797B" w:rsidRPr="009C2E9F">
        <w:t xml:space="preserve"> </w:t>
      </w:r>
      <w:r w:rsidR="002B4A36">
        <w:t>period</w:t>
      </w:r>
      <w:r w:rsidR="003F3B07" w:rsidRPr="009C2E9F">
        <w:t xml:space="preserve"> </w:t>
      </w:r>
      <w:r w:rsidRPr="009C2E9F">
        <w:t xml:space="preserve">shocks </w:t>
      </w:r>
      <w:r w:rsidR="003F3B07" w:rsidRPr="009C2E9F">
        <w:t xml:space="preserve">and </w:t>
      </w:r>
      <w:r w:rsidRPr="009C2E9F">
        <w:t>crise</w:t>
      </w:r>
      <w:r w:rsidR="003F3B07" w:rsidRPr="009C2E9F">
        <w:t>s</w:t>
      </w:r>
      <w:r w:rsidRPr="009C2E9F">
        <w:t xml:space="preserve"> can temporarily push variables away from equilibrium. The VECM incorporates an error correction mechanism that measures the speed at which the variables adjust back to their long-run equilibrium after a shock occurs.</w:t>
      </w:r>
      <w:r w:rsidR="003F3B07" w:rsidRPr="009C2E9F">
        <w:t xml:space="preserve"> In empirical macroeconomic research, the VECM is particularly useful for analyzing shock transmission mechanisms through Impulse Response Functions (IRFs) and Variance Decomposition Analysis. Impulse response analysis traces the effect of a one-time shock in one variable on the current and future values of other variables in the system </w:t>
      </w:r>
      <w:r w:rsidR="003F3B07" w:rsidRPr="009C2E9F">
        <w:rPr>
          <w:rStyle w:val="whitespace-normal"/>
        </w:rPr>
        <w:t>(Gujarati</w:t>
      </w:r>
      <w:r w:rsidR="003F3B07" w:rsidRPr="009C2E9F">
        <w:t xml:space="preserve"> &amp; </w:t>
      </w:r>
      <w:r w:rsidR="003F3B07" w:rsidRPr="009C2E9F">
        <w:rPr>
          <w:rStyle w:val="whitespace-normal"/>
        </w:rPr>
        <w:t>Porter</w:t>
      </w:r>
      <w:r w:rsidR="003F3B07" w:rsidRPr="009C2E9F">
        <w:t>, 2009).</w:t>
      </w:r>
      <w:r w:rsidR="00E42454" w:rsidRPr="009C2E9F">
        <w:t xml:space="preserve"> </w:t>
      </w:r>
    </w:p>
    <w:p w14:paraId="5B01C6D7" w14:textId="2677BF24" w:rsidR="00E47D40" w:rsidRPr="009C2E9F" w:rsidRDefault="00E47D40" w:rsidP="005A0249">
      <w:pPr>
        <w:pStyle w:val="NormalWeb"/>
        <w:spacing w:before="240" w:beforeAutospacing="0" w:after="240" w:afterAutospacing="0"/>
        <w:jc w:val="both"/>
      </w:pPr>
      <w:r w:rsidRPr="009C2E9F">
        <w:t xml:space="preserve">The relationship among major macroeconomic variables in </w:t>
      </w:r>
      <w:r w:rsidRPr="009C2E9F">
        <w:rPr>
          <w:rStyle w:val="whitespace-normal"/>
        </w:rPr>
        <w:t>Nigeria</w:t>
      </w:r>
      <w:r w:rsidRPr="009C2E9F">
        <w:t>, especially</w:t>
      </w:r>
      <w:r w:rsidR="00226F6C" w:rsidRPr="009C2E9F">
        <w:t xml:space="preserve"> the</w:t>
      </w:r>
      <w:r w:rsidRPr="009C2E9F">
        <w:t xml:space="preserve"> exchange rate, inflation, and economic growth, has continued to attract significant attention in econometric research </w:t>
      </w:r>
      <w:r w:rsidR="00226F6C" w:rsidRPr="009C2E9F">
        <w:t>due</w:t>
      </w:r>
      <w:r w:rsidRPr="009C2E9F">
        <w:t xml:space="preserve"> </w:t>
      </w:r>
      <w:r w:rsidR="00226F6C" w:rsidRPr="009C2E9F">
        <w:t>to</w:t>
      </w:r>
      <w:r w:rsidRPr="009C2E9F">
        <w:t xml:space="preserve"> their important role in economic stability and development. The theoretical explanation for exchange rate behavior can be linked to </w:t>
      </w:r>
      <w:r w:rsidRPr="009C2E9F">
        <w:rPr>
          <w:rStyle w:val="whitespace-normal"/>
        </w:rPr>
        <w:t>Gustav Cassel</w:t>
      </w:r>
      <w:r w:rsidRPr="009C2E9F">
        <w:t>’s (1918) Purchasing Power Parity (PPP) theory, which explains that exchange rates tend to adjust in order to equalize prices between countries when expressed in the same currency. This theory provides a useful basis for understanding exchange rate movements in an open economy like Nigeria.</w:t>
      </w:r>
      <w:r w:rsidR="00E42454" w:rsidRPr="009C2E9F">
        <w:t xml:space="preserve"> </w:t>
      </w:r>
      <w:r w:rsidRPr="009C2E9F">
        <w:t xml:space="preserve">The foundation for inflation modeling is rooted in </w:t>
      </w:r>
      <w:r w:rsidRPr="009C2E9F">
        <w:rPr>
          <w:rStyle w:val="whitespace-normal"/>
        </w:rPr>
        <w:t>Irving Fisher</w:t>
      </w:r>
      <w:r w:rsidRPr="009C2E9F">
        <w:t>’s Quantity Theory of Money, which highlights the close relationship between money supply, economic activity, and price levels. Fisher (1911) explained that inflation is largely influenced by monetary conditions and overall economic activities. This idea has become important in analyzing how inflation interacts with exchange rates, output growth, and other macroeconomic variables.</w:t>
      </w:r>
      <w:r w:rsidR="00E42454" w:rsidRPr="009C2E9F">
        <w:t xml:space="preserve"> </w:t>
      </w:r>
      <w:r w:rsidRPr="009C2E9F">
        <w:t xml:space="preserve">In addition, the </w:t>
      </w:r>
      <w:r w:rsidRPr="009C2E9F">
        <w:rPr>
          <w:rStyle w:val="whitespace-normal"/>
        </w:rPr>
        <w:t>New Keynesian Phillips Curve</w:t>
      </w:r>
      <w:r w:rsidRPr="009C2E9F">
        <w:t xml:space="preserve"> developed by</w:t>
      </w:r>
      <w:r w:rsidRPr="009C2E9F">
        <w:rPr>
          <w:rStyle w:val="whitespace-normal"/>
        </w:rPr>
        <w:t xml:space="preserve"> Clarida</w:t>
      </w:r>
      <w:r w:rsidRPr="009C2E9F">
        <w:t>,</w:t>
      </w:r>
      <w:r w:rsidRPr="009C2E9F">
        <w:rPr>
          <w:rStyle w:val="whitespace-normal"/>
        </w:rPr>
        <w:t xml:space="preserve"> Galí</w:t>
      </w:r>
      <w:r w:rsidRPr="009C2E9F">
        <w:t>, and</w:t>
      </w:r>
      <w:r w:rsidRPr="009C2E9F">
        <w:rPr>
          <w:rStyle w:val="whitespace-normal"/>
        </w:rPr>
        <w:t xml:space="preserve"> Gertler (1999)</w:t>
      </w:r>
      <w:r w:rsidRPr="009C2E9F">
        <w:t xml:space="preserve"> provides a modern explanation of inflation dynamics. The framework suggests that inflation is influenced by factors such as output gaps, expectations, and external shocks. This </w:t>
      </w:r>
      <w:r w:rsidR="002B4A36">
        <w:t>supports</w:t>
      </w:r>
      <w:r w:rsidR="00226F6C" w:rsidRPr="009C2E9F">
        <w:t xml:space="preserve"> treating</w:t>
      </w:r>
      <w:r w:rsidRPr="009C2E9F">
        <w:t xml:space="preserve"> inflation as an endogenous variable within macroeconomic systems, since </w:t>
      </w:r>
      <w:r w:rsidR="00226F6C" w:rsidRPr="009C2E9F">
        <w:t>it</w:t>
      </w:r>
      <w:r w:rsidRPr="009C2E9F">
        <w:t xml:space="preserve"> does not operate independently but responds to both domestic and external economic conditions.</w:t>
      </w:r>
      <w:r w:rsidR="00E42454" w:rsidRPr="009C2E9F">
        <w:t xml:space="preserve"> </w:t>
      </w:r>
      <w:r w:rsidRPr="009C2E9F">
        <w:t xml:space="preserve">Furthermore, Mankiw (2021) says </w:t>
      </w:r>
      <w:r w:rsidR="00226F6C" w:rsidRPr="009C2E9F">
        <w:t>K</w:t>
      </w:r>
      <w:r w:rsidRPr="009C2E9F">
        <w:rPr>
          <w:rStyle w:val="whitespace-normal"/>
        </w:rPr>
        <w:t xml:space="preserve">eynesian </w:t>
      </w:r>
      <w:r w:rsidR="00226F6C" w:rsidRPr="009C2E9F">
        <w:rPr>
          <w:rStyle w:val="whitespace-normal"/>
        </w:rPr>
        <w:t>e</w:t>
      </w:r>
      <w:r w:rsidRPr="009C2E9F">
        <w:rPr>
          <w:rStyle w:val="whitespace-normal"/>
        </w:rPr>
        <w:t>conomics</w:t>
      </w:r>
      <w:r w:rsidRPr="009C2E9F">
        <w:t xml:space="preserve"> offers a broad framework for understanding short-run economic fluctuations by emphasizing aggregate demand as a major determinant of economic performance. Key concepts such as effective demand, the multiplier effect, and liquidity preference remain highly relevant in explaining fiscal policy and macroeconomic management in modern economies.</w:t>
      </w:r>
    </w:p>
    <w:p w14:paraId="46AD7887" w14:textId="78938611"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Recent empirical studies on macroeconomic shocks and economic performance in Nigeria have increasingly adopted multivariate econometric frameworks such as the Vector Error Correction Model (VECM), Structural Vector Autoregressive (SVAR), and Structural Vector Error Correction (SVEC) models to capture dynamic relationships among macroeconomic variables.</w:t>
      </w:r>
    </w:p>
    <w:p w14:paraId="43F3E620" w14:textId="68F1AED9"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 xml:space="preserve">Arulogun </w:t>
      </w:r>
      <w:r w:rsidRPr="009C2E9F">
        <w:rPr>
          <w:rFonts w:ascii="Times New Roman" w:hAnsi="Times New Roman" w:cs="Times New Roman"/>
          <w:i/>
          <w:iCs/>
          <w:sz w:val="24"/>
          <w:szCs w:val="24"/>
        </w:rPr>
        <w:t xml:space="preserve">et al., </w:t>
      </w:r>
      <w:r w:rsidRPr="009C2E9F">
        <w:rPr>
          <w:rFonts w:ascii="Times New Roman" w:hAnsi="Times New Roman" w:cs="Times New Roman"/>
          <w:sz w:val="24"/>
          <w:szCs w:val="24"/>
        </w:rPr>
        <w:t xml:space="preserve">(2024) examined the effects of fiscal policy variables and oil price shocks on sectoral output growth in Nigeria using the VECM framework. Their findings revealed that oil price shocks and fiscal disturbances significantly influence sectoral output in both the short run and long run. The study further established that macroeconomic shocks are transmitted gradually across sectors, thereby affecting output adjustment and overall economic stability. Similarly, Olawale </w:t>
      </w:r>
      <w:r w:rsidRPr="009C2E9F">
        <w:rPr>
          <w:rFonts w:ascii="Times New Roman" w:hAnsi="Times New Roman" w:cs="Times New Roman"/>
          <w:i/>
          <w:iCs/>
          <w:sz w:val="24"/>
          <w:szCs w:val="24"/>
        </w:rPr>
        <w:t xml:space="preserve">et al., </w:t>
      </w:r>
      <w:r w:rsidRPr="009C2E9F">
        <w:rPr>
          <w:rFonts w:ascii="Times New Roman" w:hAnsi="Times New Roman" w:cs="Times New Roman"/>
          <w:sz w:val="24"/>
          <w:szCs w:val="24"/>
        </w:rPr>
        <w:t>(2026) employed a VECM-based approach to analyze macroeconomic interactions in Nigeria between 2001 and 2023 and confirmed the existence of cointegration among major macroeconomic variables. Their results showed that exchange rate and inflation shocks significantly affect economic growth dynamics in both the short and long run, while the impulse response analysis indicated gradual convergence to equilibrium after disturbances.</w:t>
      </w:r>
    </w:p>
    <w:p w14:paraId="7ED03050" w14:textId="6603DD64"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In a related study, Ifeacho </w:t>
      </w:r>
      <w:r w:rsidRPr="009C2E9F">
        <w:rPr>
          <w:rFonts w:ascii="Times New Roman" w:hAnsi="Times New Roman" w:cs="Times New Roman"/>
          <w:i/>
          <w:iCs/>
          <w:sz w:val="24"/>
          <w:szCs w:val="24"/>
        </w:rPr>
        <w:t>et al.</w:t>
      </w:r>
      <w:r w:rsidRPr="009C2E9F">
        <w:rPr>
          <w:rFonts w:ascii="Times New Roman" w:hAnsi="Times New Roman" w:cs="Times New Roman"/>
          <w:sz w:val="24"/>
          <w:szCs w:val="24"/>
        </w:rPr>
        <w:t xml:space="preserve">, (2025) utilized a Structural Vector Error Correction (SVEC) model to investigate inflation and economic growth dynamics in Nigeria. The study found a significant long-run negative relationship between inflation and economic growth, while the error correction mechanism confirmed the existence of equilibrium adjustment following macroeconomic shocks. This finding aligns with the conclusion of </w:t>
      </w:r>
      <w:r w:rsidRPr="009C2E9F">
        <w:rPr>
          <w:rFonts w:ascii="Times New Roman" w:hAnsi="Times New Roman" w:cs="Times New Roman"/>
          <w:i/>
          <w:iCs/>
          <w:sz w:val="24"/>
          <w:szCs w:val="24"/>
        </w:rPr>
        <w:t>Oyadeyi et al.,</w:t>
      </w:r>
      <w:r w:rsidRPr="009C2E9F">
        <w:rPr>
          <w:rFonts w:ascii="Times New Roman" w:hAnsi="Times New Roman" w:cs="Times New Roman"/>
          <w:sz w:val="24"/>
          <w:szCs w:val="24"/>
        </w:rPr>
        <w:t xml:space="preserve"> (2025) investigated the threshold effects of inflation, interest rate, and exchange rate on economic growth in Nigeria. Their results revealed that inflation and exchange rate volatility become harmful to economic growth once certain threshold levels are exceeded, emphasizing the importance of maintaining macroeconomic stability.</w:t>
      </w:r>
    </w:p>
    <w:p w14:paraId="13DA7356" w14:textId="4DB54130"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Using a Structural Vector Autoregressive (SVAR) model, Umar &amp; Umar (2024) analyzed inflation dynamics in Nigeria and reported strong exchange rate pass-through effects on inflation. Their impulse response analysis showed that exchange rate and money supply shocks generate persistent inflationary pressures before equilibrium is restored. Likewise, Olanrele &amp; Angahar (2025) examined the macroeconomic effects of interest rate shocks using a rolling impulse response framework within SVAR model. Their findings indicated that interest rate shocks significantly affect GDP growth, inflation, and exchange rate movements over time. The study further observed that macroeconomic responses vary across periods, reflecting structural instability in the Nigerian economy.</w:t>
      </w:r>
    </w:p>
    <w:p w14:paraId="3E8770E6" w14:textId="1DF829EC"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Beyond conventional macroeconomic relationships, Adebanjo </w:t>
      </w:r>
      <w:r w:rsidRPr="009C2E9F">
        <w:rPr>
          <w:rFonts w:ascii="Times New Roman" w:hAnsi="Times New Roman" w:cs="Times New Roman"/>
          <w:i/>
          <w:iCs/>
          <w:sz w:val="24"/>
          <w:szCs w:val="24"/>
        </w:rPr>
        <w:t>et al.,</w:t>
      </w:r>
      <w:r w:rsidRPr="009C2E9F">
        <w:rPr>
          <w:rFonts w:ascii="Times New Roman" w:hAnsi="Times New Roman" w:cs="Times New Roman"/>
          <w:sz w:val="24"/>
          <w:szCs w:val="24"/>
        </w:rPr>
        <w:t xml:space="preserve"> (2026) extended the VECM framework by incorporating environmental variables into macroeconomic analysis through the EKC-STIRPAT model. The study found that technological innovation, economic growth, and carbon emissions exhibit both short-run and long-run interactions, while the VECM adjustment mechanism confirmed gradual equilibrium restoration after shocks. This demonstrates the growing application of multivariate error correction frameworks in examining broader economic and environmental interactions.</w:t>
      </w:r>
    </w:p>
    <w:p w14:paraId="6D030C68" w14:textId="77777777"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Comparatively, these studies share several similarities. First, most studies confirmed the presence of cointegration among macroeconomic variables, suggesting that long-run equilibrium relationships exist despite short-run fluctuations. Second, the studies consistently found that exchange rate shocks, inflationary disturbances, oil price volatility, and monetary policy shocks significantly influence economic growth and macroeconomic stability. Third, impulse response and variance decomposition analyses commonly revealed that macroeconomic disturbances have persistent effects before equilibrium adjustment occurs.</w:t>
      </w:r>
    </w:p>
    <w:p w14:paraId="7B02042C" w14:textId="7FB80D3E" w:rsidR="00E42454" w:rsidRPr="009C2E9F" w:rsidRDefault="00E4245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However, differences also exist across the studies. While Arulogun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(2024) focused primarily on sectoral output responses to fiscal and oil price shocks, Umar </w:t>
      </w:r>
      <w:r w:rsidR="00246F82" w:rsidRPr="009C2E9F">
        <w:rPr>
          <w:rFonts w:ascii="Times New Roman" w:hAnsi="Times New Roman" w:cs="Times New Roman"/>
          <w:sz w:val="24"/>
          <w:szCs w:val="24"/>
        </w:rPr>
        <w:t>&amp;</w:t>
      </w:r>
      <w:r w:rsidRPr="009C2E9F">
        <w:rPr>
          <w:rFonts w:ascii="Times New Roman" w:hAnsi="Times New Roman" w:cs="Times New Roman"/>
          <w:sz w:val="24"/>
          <w:szCs w:val="24"/>
        </w:rPr>
        <w:t xml:space="preserve"> Umar (2024) concentrated on inflation dynamics and exchange rate pass-through effects. Similarly, Olanrele </w:t>
      </w:r>
      <w:r w:rsidR="00246F82" w:rsidRPr="009C2E9F">
        <w:rPr>
          <w:rFonts w:ascii="Times New Roman" w:hAnsi="Times New Roman" w:cs="Times New Roman"/>
          <w:sz w:val="24"/>
          <w:szCs w:val="24"/>
        </w:rPr>
        <w:t>&amp;</w:t>
      </w:r>
      <w:r w:rsidRPr="009C2E9F">
        <w:rPr>
          <w:rFonts w:ascii="Times New Roman" w:hAnsi="Times New Roman" w:cs="Times New Roman"/>
          <w:sz w:val="24"/>
          <w:szCs w:val="24"/>
        </w:rPr>
        <w:t xml:space="preserve"> Angahar (2025) emphasized interest rate shocks, whereas Ifeacho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(2025) focused on the inflation-growth relationship using the SVEC framework. Adebanjo </w:t>
      </w:r>
      <w:r w:rsidRPr="009C2E9F">
        <w:rPr>
          <w:rFonts w:ascii="Times New Roman" w:hAnsi="Times New Roman" w:cs="Times New Roman"/>
          <w:i/>
          <w:iCs/>
          <w:sz w:val="24"/>
          <w:szCs w:val="24"/>
        </w:rPr>
        <w:t>et al.</w:t>
      </w:r>
      <w:r w:rsidR="00246F82" w:rsidRPr="009C2E9F">
        <w:rPr>
          <w:rFonts w:ascii="Times New Roman" w:hAnsi="Times New Roman" w:cs="Times New Roman"/>
          <w:i/>
          <w:iCs/>
          <w:sz w:val="24"/>
          <w:szCs w:val="24"/>
        </w:rPr>
        <w:t>,</w:t>
      </w:r>
      <w:r w:rsidRPr="009C2E9F">
        <w:rPr>
          <w:rFonts w:ascii="Times New Roman" w:hAnsi="Times New Roman" w:cs="Times New Roman"/>
          <w:sz w:val="24"/>
          <w:szCs w:val="24"/>
        </w:rPr>
        <w:t xml:space="preserve"> (2026), on the other hand, broadened the scope by integrating environmental sustainability variables into macroeconomic analysis.</w:t>
      </w:r>
      <w:r w:rsidR="00246F82" w:rsidRPr="009C2E9F">
        <w:rPr>
          <w:rFonts w:ascii="Times New Roman" w:hAnsi="Times New Roman" w:cs="Times New Roman"/>
          <w:sz w:val="24"/>
          <w:szCs w:val="24"/>
        </w:rPr>
        <w:t xml:space="preserve"> </w:t>
      </w:r>
      <w:r w:rsidRPr="009C2E9F">
        <w:rPr>
          <w:rFonts w:ascii="Times New Roman" w:hAnsi="Times New Roman" w:cs="Times New Roman"/>
          <w:sz w:val="24"/>
          <w:szCs w:val="24"/>
        </w:rPr>
        <w:t>Furthermore, recent reports from World Bank and International Monetary Fund also support the empirical evidence that exchange rate depreciation, inflationary pressures, and monetary tightening remain major macroeconomic challenges affecting Nigeria’s growth performance and economic sustainability.</w:t>
      </w:r>
    </w:p>
    <w:p w14:paraId="194C64A4" w14:textId="77777777" w:rsidR="00262D50" w:rsidRDefault="00246F82"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A lot of studies have looked at these variables, but most of them use yearly or quarterly data. In this study, monthly data were used and pre and post COVID-19 </w:t>
      </w:r>
      <w:r w:rsidR="00B52EC8" w:rsidRPr="009C2E9F">
        <w:rPr>
          <w:rFonts w:ascii="Times New Roman" w:hAnsi="Times New Roman" w:cs="Times New Roman"/>
          <w:sz w:val="24"/>
          <w:szCs w:val="24"/>
        </w:rPr>
        <w:t xml:space="preserve">periods </w:t>
      </w:r>
      <w:r w:rsidRPr="009C2E9F">
        <w:rPr>
          <w:rFonts w:ascii="Times New Roman" w:hAnsi="Times New Roman" w:cs="Times New Roman"/>
          <w:sz w:val="24"/>
          <w:szCs w:val="24"/>
        </w:rPr>
        <w:t>shock was included to capture the performance of these macroeconomic pre COVID 19 and post-COVID-19</w:t>
      </w:r>
      <w:r w:rsidR="00B52EC8" w:rsidRPr="009C2E9F">
        <w:rPr>
          <w:rFonts w:ascii="Times New Roman" w:hAnsi="Times New Roman" w:cs="Times New Roman"/>
          <w:sz w:val="24"/>
          <w:szCs w:val="24"/>
        </w:rPr>
        <w:t xml:space="preserve"> periods</w:t>
      </w:r>
      <w:r w:rsidRPr="009C2E9F">
        <w:rPr>
          <w:rFonts w:ascii="Times New Roman" w:hAnsi="Times New Roman" w:cs="Times New Roman"/>
          <w:sz w:val="24"/>
          <w:szCs w:val="24"/>
        </w:rPr>
        <w:t>, which makes it possible to capture short-</w:t>
      </w:r>
      <w:r w:rsidRPr="009C2E9F">
        <w:rPr>
          <w:rFonts w:ascii="Times New Roman" w:hAnsi="Times New Roman" w:cs="Times New Roman"/>
          <w:sz w:val="24"/>
          <w:szCs w:val="24"/>
        </w:rPr>
        <w:lastRenderedPageBreak/>
        <w:t xml:space="preserve">term movements and shocks in the economy. This approach gives a clearer and more detailed picture of how the economy is actually performing </w:t>
      </w:r>
      <w:r w:rsidR="003968F6">
        <w:rPr>
          <w:rFonts w:ascii="Times New Roman" w:hAnsi="Times New Roman" w:cs="Times New Roman"/>
          <w:sz w:val="24"/>
          <w:szCs w:val="24"/>
        </w:rPr>
        <w:t>in the pre-COVID-19</w:t>
      </w:r>
      <w:r w:rsidRPr="009C2E9F">
        <w:rPr>
          <w:rFonts w:ascii="Times New Roman" w:hAnsi="Times New Roman" w:cs="Times New Roman"/>
          <w:sz w:val="24"/>
          <w:szCs w:val="24"/>
        </w:rPr>
        <w:t xml:space="preserve"> and post COVID-19</w:t>
      </w:r>
      <w:r w:rsidR="00B52EC8" w:rsidRPr="009C2E9F">
        <w:rPr>
          <w:rFonts w:ascii="Times New Roman" w:hAnsi="Times New Roman" w:cs="Times New Roman"/>
          <w:sz w:val="24"/>
          <w:szCs w:val="24"/>
        </w:rPr>
        <w:t xml:space="preserve"> periods</w:t>
      </w:r>
    </w:p>
    <w:p w14:paraId="6F67A3DA" w14:textId="4FEB84A4" w:rsidR="00E42454" w:rsidRPr="00262D50" w:rsidRDefault="004C0E74" w:rsidP="005A0249">
      <w:pPr>
        <w:spacing w:before="240" w:after="240" w:line="240" w:lineRule="auto"/>
        <w:jc w:val="both"/>
        <w:rPr>
          <w:rFonts w:ascii="Times New Roman" w:hAnsi="Times New Roman" w:cs="Times New Roman"/>
          <w:sz w:val="24"/>
          <w:szCs w:val="24"/>
        </w:rPr>
      </w:pPr>
      <w:r w:rsidRPr="003968F6">
        <w:rPr>
          <w:rFonts w:ascii="Times New Roman" w:hAnsi="Times New Roman" w:cs="Times New Roman"/>
          <w:b/>
          <w:bCs/>
          <w:sz w:val="28"/>
          <w:szCs w:val="28"/>
        </w:rPr>
        <w:t>METHOD</w:t>
      </w:r>
      <w:r w:rsidR="00262D50">
        <w:rPr>
          <w:rFonts w:ascii="Times New Roman" w:hAnsi="Times New Roman" w:cs="Times New Roman"/>
          <w:b/>
          <w:bCs/>
          <w:sz w:val="28"/>
          <w:szCs w:val="28"/>
        </w:rPr>
        <w:t>OLOGY</w:t>
      </w:r>
    </w:p>
    <w:p w14:paraId="4CC2430C" w14:textId="05FB960F" w:rsidR="00244CF4" w:rsidRPr="009C2E9F" w:rsidRDefault="00244CF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Monthly data on Nigeria exchange rate, inflation rate, economic growth, interest rate, export rate and money supply from January 1980 to June 2025</w:t>
      </w:r>
      <w:r w:rsidR="009853A2" w:rsidRPr="009C2E9F">
        <w:rPr>
          <w:rFonts w:ascii="Times New Roman" w:hAnsi="Times New Roman" w:cs="Times New Roman"/>
          <w:sz w:val="24"/>
          <w:szCs w:val="24"/>
        </w:rPr>
        <w:t xml:space="preserve"> was used for this study and</w:t>
      </w:r>
      <w:r w:rsidRPr="009C2E9F">
        <w:rPr>
          <w:rFonts w:ascii="Times New Roman" w:hAnsi="Times New Roman" w:cs="Times New Roman"/>
          <w:sz w:val="24"/>
          <w:szCs w:val="24"/>
        </w:rPr>
        <w:t xml:space="preserve"> obtained from the National Bureau of Statistics (NBS), Central Bank of Nigeria (CBN) and World Development Indicator (WDI).</w:t>
      </w:r>
    </w:p>
    <w:p w14:paraId="793FFD96" w14:textId="73ED8941" w:rsidR="004C0E74" w:rsidRPr="009C2E9F" w:rsidRDefault="00244CF4"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w:t>
      </w:r>
      <w:r w:rsidR="00A00E56" w:rsidRPr="009C2E9F">
        <w:rPr>
          <w:rFonts w:ascii="Times New Roman" w:hAnsi="Times New Roman" w:cs="Times New Roman"/>
          <w:sz w:val="24"/>
          <w:szCs w:val="24"/>
        </w:rPr>
        <w:t xml:space="preserve"> stationarity </w:t>
      </w:r>
      <w:r w:rsidR="00DA2313" w:rsidRPr="009C2E9F">
        <w:rPr>
          <w:rFonts w:ascii="Times New Roman" w:hAnsi="Times New Roman" w:cs="Times New Roman"/>
          <w:sz w:val="24"/>
          <w:szCs w:val="24"/>
        </w:rPr>
        <w:t>properties for all variables</w:t>
      </w:r>
      <w:r w:rsidR="00A00E56" w:rsidRPr="009C2E9F">
        <w:rPr>
          <w:rFonts w:ascii="Times New Roman" w:hAnsi="Times New Roman" w:cs="Times New Roman"/>
          <w:sz w:val="24"/>
          <w:szCs w:val="24"/>
        </w:rPr>
        <w:t xml:space="preserve"> w</w:t>
      </w:r>
      <w:r w:rsidR="001B50FA" w:rsidRPr="009C2E9F">
        <w:rPr>
          <w:rFonts w:ascii="Times New Roman" w:hAnsi="Times New Roman" w:cs="Times New Roman"/>
          <w:sz w:val="24"/>
          <w:szCs w:val="24"/>
        </w:rPr>
        <w:t>ere</w:t>
      </w:r>
      <w:r w:rsidR="00A00E56" w:rsidRPr="009C2E9F">
        <w:rPr>
          <w:rFonts w:ascii="Times New Roman" w:hAnsi="Times New Roman" w:cs="Times New Roman"/>
          <w:sz w:val="24"/>
          <w:szCs w:val="24"/>
        </w:rPr>
        <w:t xml:space="preserve"> determine</w:t>
      </w:r>
      <w:r w:rsidR="00B226E8" w:rsidRPr="009C2E9F">
        <w:rPr>
          <w:rFonts w:ascii="Times New Roman" w:hAnsi="Times New Roman" w:cs="Times New Roman"/>
          <w:sz w:val="24"/>
          <w:szCs w:val="24"/>
        </w:rPr>
        <w:t xml:space="preserve"> using</w:t>
      </w:r>
      <w:r w:rsidRPr="009C2E9F">
        <w:rPr>
          <w:rFonts w:ascii="Times New Roman" w:hAnsi="Times New Roman" w:cs="Times New Roman"/>
          <w:sz w:val="24"/>
          <w:szCs w:val="24"/>
        </w:rPr>
        <w:t xml:space="preserve"> Augmented Dickey-Fuller (ADF)</w:t>
      </w:r>
      <w:r w:rsidR="00B226E8" w:rsidRPr="009C2E9F">
        <w:rPr>
          <w:rFonts w:ascii="Times New Roman" w:hAnsi="Times New Roman" w:cs="Times New Roman"/>
          <w:sz w:val="24"/>
          <w:szCs w:val="24"/>
        </w:rPr>
        <w:t xml:space="preserve"> and</w:t>
      </w:r>
      <w:r w:rsidR="007C1725" w:rsidRPr="009C2E9F">
        <w:rPr>
          <w:rFonts w:ascii="Times New Roman" w:eastAsiaTheme="minorEastAsia" w:hAnsi="Times New Roman" w:cs="Times New Roman"/>
          <w:sz w:val="24"/>
          <w:szCs w:val="24"/>
        </w:rPr>
        <w:t xml:space="preserve"> </w:t>
      </w:r>
      <w:r w:rsidR="007C1725" w:rsidRPr="009C2E9F">
        <w:rPr>
          <w:rFonts w:ascii="Times New Roman" w:hAnsi="Times New Roman" w:cs="Times New Roman"/>
          <w:sz w:val="24"/>
          <w:szCs w:val="24"/>
        </w:rPr>
        <w:t>Kwiatkowski Phillips Schmidt Shin (KPSS)</w:t>
      </w:r>
      <w:r w:rsidRPr="009C2E9F">
        <w:rPr>
          <w:rFonts w:ascii="Times New Roman" w:hAnsi="Times New Roman" w:cs="Times New Roman"/>
          <w:sz w:val="24"/>
          <w:szCs w:val="24"/>
        </w:rPr>
        <w:t xml:space="preserve"> test.</w:t>
      </w:r>
      <w:r w:rsidR="00A61CB4" w:rsidRPr="009C2E9F">
        <w:rPr>
          <w:rFonts w:ascii="Times New Roman" w:hAnsi="Times New Roman" w:cs="Times New Roman"/>
          <w:sz w:val="24"/>
          <w:szCs w:val="24"/>
        </w:rPr>
        <w:t xml:space="preserve"> Where </w:t>
      </w:r>
      <w:r w:rsidR="00970E30" w:rsidRPr="009C2E9F">
        <w:rPr>
          <w:rFonts w:ascii="Times New Roman" w:hAnsi="Times New Roman" w:cs="Times New Roman"/>
          <w:sz w:val="24"/>
          <w:szCs w:val="24"/>
        </w:rPr>
        <w:t xml:space="preserve">ADF test </w:t>
      </w:r>
      <w:r w:rsidRPr="009C2E9F">
        <w:rPr>
          <w:rFonts w:ascii="Times New Roman" w:hAnsi="Times New Roman" w:cs="Times New Roman"/>
          <w:sz w:val="24"/>
          <w:szCs w:val="24"/>
        </w:rPr>
        <w:t>was proposed by Dickey and Fuller (1981) and the test assumed that the error terms are statistically independent and have a constant variance. ADF test assumed that the variables are non-stationary.</w:t>
      </w:r>
    </w:p>
    <w:p w14:paraId="70642D2A" w14:textId="77777777" w:rsidR="00AE4EAF" w:rsidRPr="009C2E9F" w:rsidRDefault="00AE4EAF" w:rsidP="005A0249">
      <w:pPr>
        <w:pStyle w:val="Default"/>
        <w:spacing w:before="240" w:after="240"/>
        <w:jc w:val="both"/>
        <w:rPr>
          <w:rFonts w:ascii="Times New Roman" w:hAnsi="Times New Roman" w:cs="Times New Roman"/>
        </w:rPr>
      </w:pPr>
      <w:r w:rsidRPr="009C2E9F">
        <w:rPr>
          <w:rFonts w:ascii="Times New Roman" w:hAnsi="Times New Roman" w:cs="Times New Roman"/>
        </w:rPr>
        <w:t>The ADF model is specified as</w:t>
      </w:r>
    </w:p>
    <w:p w14:paraId="4E259F24" w14:textId="77777777" w:rsidR="00AE4EAF" w:rsidRPr="009C2E9F" w:rsidRDefault="00AE4EAF" w:rsidP="005A0249">
      <w:pPr>
        <w:autoSpaceDE w:val="0"/>
        <w:autoSpaceDN w:val="0"/>
        <w:adjustRightInd w:val="0"/>
        <w:spacing w:before="240" w:after="240" w:line="240" w:lineRule="auto"/>
        <w:jc w:val="both"/>
        <w:rPr>
          <w:rFonts w:ascii="Times New Roman" w:hAnsi="Times New Roman" w:cs="Times New Roman"/>
          <w:color w:val="000000"/>
          <w:sz w:val="24"/>
          <w:szCs w:val="24"/>
        </w:rPr>
      </w:pPr>
      <m:oMath>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m:t>
            </m:r>
          </m:sub>
        </m:sSub>
        <m:r>
          <w:rPr>
            <w:rFonts w:ascii="Cambria Math" w:hAnsi="Cambria Math" w:cs="Times New Roman"/>
            <w:color w:val="000000"/>
            <w:sz w:val="24"/>
            <w:szCs w:val="24"/>
          </w:rPr>
          <m:t>=α+</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t</m:t>
            </m:r>
          </m:sub>
        </m:sSub>
        <m:r>
          <w:rPr>
            <w:rFonts w:ascii="Cambria Math" w:hAnsi="Cambria Math" w:cs="Times New Roman"/>
            <w:color w:val="000000"/>
            <w:sz w:val="24"/>
            <w:szCs w:val="24"/>
          </w:rPr>
          <m:t>+γ</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t-1</m:t>
            </m:r>
          </m:sub>
        </m:sSub>
        <m:r>
          <w:rPr>
            <w:rFonts w:ascii="Cambria Math" w:hAnsi="Cambria Math" w:cs="Times New Roman"/>
            <w:color w:val="000000"/>
            <w:sz w:val="24"/>
            <w:szCs w:val="24"/>
          </w:rPr>
          <m:t>+</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p-1</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δ</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y</m:t>
                </m:r>
              </m:e>
              <m:sub>
                <m:r>
                  <w:rPr>
                    <w:rFonts w:ascii="Cambria Math" w:hAnsi="Cambria Math" w:cs="Times New Roman"/>
                    <w:color w:val="000000"/>
                    <w:sz w:val="24"/>
                    <w:szCs w:val="24"/>
                  </w:rPr>
                  <m:t>t-i</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u</m:t>
                </m:r>
              </m:e>
              <m:sub>
                <m:r>
                  <w:rPr>
                    <w:rFonts w:ascii="Cambria Math" w:hAnsi="Cambria Math" w:cs="Times New Roman"/>
                    <w:color w:val="000000"/>
                    <w:sz w:val="24"/>
                    <w:szCs w:val="24"/>
                  </w:rPr>
                  <m:t>t</m:t>
                </m:r>
              </m:sub>
            </m:sSub>
          </m:e>
        </m:nary>
      </m:oMath>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r>
      <w:r w:rsidRPr="009C2E9F">
        <w:rPr>
          <w:rFonts w:ascii="Times New Roman" w:eastAsiaTheme="minorEastAsia" w:hAnsi="Times New Roman" w:cs="Times New Roman"/>
          <w:color w:val="000000"/>
          <w:sz w:val="24"/>
          <w:szCs w:val="24"/>
        </w:rPr>
        <w:tab/>
        <w:t>(1)</w:t>
      </w:r>
    </w:p>
    <w:p w14:paraId="6DF14CCA" w14:textId="32412642" w:rsidR="00E1061B" w:rsidRPr="009C2E9F" w:rsidRDefault="00E1061B" w:rsidP="005A0249">
      <w:pPr>
        <w:pStyle w:val="Default"/>
        <w:spacing w:before="240" w:after="240"/>
        <w:jc w:val="both"/>
        <w:rPr>
          <w:rFonts w:ascii="Times New Roman" w:eastAsiaTheme="minorEastAsia" w:hAnsi="Times New Roman" w:cs="Times New Roman"/>
        </w:rPr>
      </w:pPr>
      <w:r w:rsidRPr="009C2E9F">
        <w:rPr>
          <w:rFonts w:ascii="Times New Roman" w:hAnsi="Times New Roman" w:cs="Times New Roman"/>
          <w:color w:val="auto"/>
        </w:rPr>
        <w:t xml:space="preserve">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sidRPr="009C2E9F">
        <w:rPr>
          <w:rFonts w:ascii="Times New Roman" w:eastAsiaTheme="minorEastAsia" w:hAnsi="Times New Roman" w:cs="Times New Roman"/>
        </w:rPr>
        <w:t xml:space="preserve"> is the first difference of the</w:t>
      </w:r>
      <w:r w:rsidR="0038473D" w:rsidRPr="009C2E9F">
        <w:rPr>
          <w:rFonts w:ascii="Times New Roman" w:eastAsiaTheme="minorEastAsia" w:hAnsi="Times New Roman" w:cs="Times New Roman"/>
        </w:rPr>
        <w:t xml:space="preserve"> series</w:t>
      </w:r>
      <w:r w:rsidRPr="009C2E9F">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oMath>
      <w:r w:rsidRPr="009C2E9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t-1</m:t>
            </m:r>
          </m:sub>
        </m:sSub>
      </m:oMath>
      <w:r w:rsidRPr="009C2E9F">
        <w:rPr>
          <w:rFonts w:ascii="Times New Roman" w:eastAsiaTheme="minorEastAsia" w:hAnsi="Times New Roman" w:cs="Times New Roman"/>
        </w:rPr>
        <w:t xml:space="preserve"> is the lagged value of the series, </w:t>
      </w:r>
      <m:oMath>
        <m:r>
          <w:rPr>
            <w:rFonts w:ascii="Cambria Math" w:eastAsiaTheme="minorEastAsia" w:hAnsi="Cambria Math" w:cs="Times New Roman"/>
          </w:rPr>
          <m:t>α,β,γ,</m:t>
        </m:r>
        <m:sSub>
          <m:sSubPr>
            <m:ctrlPr>
              <w:rPr>
                <w:rFonts w:ascii="Cambria Math" w:eastAsiaTheme="minorEastAsia" w:hAnsi="Cambria Math" w:cs="Times New Roman"/>
                <w:i/>
              </w:rPr>
            </m:ctrlPr>
          </m:sSubPr>
          <m:e>
            <m:r>
              <w:rPr>
                <w:rFonts w:ascii="Cambria Math" w:eastAsiaTheme="minorEastAsia" w:hAnsi="Cambria Math" w:cs="Times New Roman"/>
              </w:rPr>
              <m:t>δ</m:t>
            </m:r>
          </m:e>
          <m:sub>
            <m:r>
              <w:rPr>
                <w:rFonts w:ascii="Cambria Math" w:eastAsiaTheme="minorEastAsia" w:hAnsi="Cambria Math" w:cs="Times New Roman"/>
              </w:rPr>
              <m:t>i</m:t>
            </m:r>
          </m:sub>
        </m:sSub>
      </m:oMath>
      <w:r w:rsidRPr="009C2E9F">
        <w:rPr>
          <w:rFonts w:ascii="Times New Roman" w:eastAsiaTheme="minorEastAsia" w:hAnsi="Times New Roman" w:cs="Times New Roman"/>
        </w:rPr>
        <w:t xml:space="preserve"> are the coefficients, t is the trend component, p is the lag order</w:t>
      </w:r>
      <w:r w:rsidR="0038473D" w:rsidRPr="009C2E9F">
        <w:rPr>
          <w:rFonts w:ascii="Times New Roman" w:eastAsiaTheme="minorEastAsia" w:hAnsi="Times New Roman" w:cs="Times New Roman"/>
        </w:rPr>
        <w:t xml:space="preserve"> and</w:t>
      </w:r>
      <w:r w:rsidRPr="009C2E9F">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t</m:t>
            </m:r>
          </m:sub>
        </m:sSub>
      </m:oMath>
      <w:r w:rsidRPr="009C2E9F">
        <w:rPr>
          <w:rFonts w:ascii="Times New Roman" w:eastAsiaTheme="minorEastAsia" w:hAnsi="Times New Roman" w:cs="Times New Roman"/>
        </w:rPr>
        <w:t xml:space="preserve"> is the error term. </w:t>
      </w:r>
    </w:p>
    <w:p w14:paraId="484DBF5E" w14:textId="1EDFBAD0" w:rsidR="00692F3A" w:rsidRPr="009C2E9F" w:rsidRDefault="00B253F7" w:rsidP="005A0249">
      <w:pPr>
        <w:pStyle w:val="Default"/>
        <w:spacing w:before="240" w:after="240"/>
        <w:jc w:val="both"/>
        <w:rPr>
          <w:rFonts w:ascii="Times New Roman" w:hAnsi="Times New Roman" w:cs="Times New Roman"/>
          <w:color w:val="auto"/>
        </w:rPr>
      </w:pPr>
      <w:r w:rsidRPr="009C2E9F">
        <w:rPr>
          <w:rFonts w:ascii="Times New Roman" w:eastAsiaTheme="minorEastAsia" w:hAnsi="Times New Roman" w:cs="Times New Roman"/>
        </w:rPr>
        <w:t xml:space="preserve">Where </w:t>
      </w:r>
      <w:r w:rsidR="00692F3A" w:rsidRPr="009C2E9F">
        <w:rPr>
          <w:rFonts w:ascii="Times New Roman" w:hAnsi="Times New Roman" w:cs="Times New Roman"/>
          <w:color w:val="auto"/>
        </w:rPr>
        <w:t xml:space="preserve">KPSS test is used for assessing a time series stationarity around a trend or mean. It tests the null hypothesis that there is a series with a trend and level stationary (Kwiakowski </w:t>
      </w:r>
      <w:r w:rsidR="00692F3A" w:rsidRPr="009C2E9F">
        <w:rPr>
          <w:rFonts w:ascii="Times New Roman" w:hAnsi="Times New Roman" w:cs="Times New Roman"/>
          <w:i/>
          <w:color w:val="auto"/>
        </w:rPr>
        <w:t xml:space="preserve">et al., </w:t>
      </w:r>
      <w:r w:rsidR="00692F3A" w:rsidRPr="009C2E9F">
        <w:rPr>
          <w:rFonts w:ascii="Times New Roman" w:hAnsi="Times New Roman" w:cs="Times New Roman"/>
          <w:color w:val="auto"/>
        </w:rPr>
        <w:t>1992).</w:t>
      </w:r>
    </w:p>
    <w:p w14:paraId="69B34965" w14:textId="77777777" w:rsidR="00692F3A" w:rsidRPr="009C2E9F" w:rsidRDefault="008D4883" w:rsidP="005A0249">
      <w:pPr>
        <w:pStyle w:val="Default"/>
        <w:spacing w:before="240" w:after="240"/>
        <w:jc w:val="both"/>
        <w:rPr>
          <w:rFonts w:ascii="Times New Roman" w:eastAsiaTheme="minorEastAsia" w:hAnsi="Times New Roman" w:cs="Times New Roman"/>
          <w:color w:val="auto"/>
        </w:rPr>
      </w:pPr>
      <m:oMath>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m:rPr>
                <m:sty m:val="p"/>
              </m:rPr>
              <w:rPr>
                <w:rFonts w:ascii="Cambria Math" w:hAnsi="Cambria Math" w:cs="Times New Roman"/>
                <w:color w:val="auto"/>
              </w:rPr>
              <m:t>r</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β</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r>
      <w:r w:rsidR="00692F3A" w:rsidRPr="009C2E9F">
        <w:rPr>
          <w:rFonts w:ascii="Times New Roman" w:eastAsiaTheme="minorEastAsia" w:hAnsi="Times New Roman" w:cs="Times New Roman"/>
          <w:color w:val="auto"/>
        </w:rPr>
        <w:tab/>
        <w:t>(2)</w:t>
      </w:r>
    </w:p>
    <w:p w14:paraId="1E139623" w14:textId="4C26B858" w:rsidR="00692F3A" w:rsidRPr="009C2E9F" w:rsidRDefault="00692F3A" w:rsidP="005A0249">
      <w:pPr>
        <w:pStyle w:val="Default"/>
        <w:spacing w:before="240" w:after="240"/>
        <w:jc w:val="both"/>
        <w:rPr>
          <w:rFonts w:ascii="Times New Roman" w:eastAsiaTheme="minorEastAsia" w:hAnsi="Times New Roman" w:cs="Times New Roman"/>
          <w:color w:val="auto"/>
        </w:rPr>
      </w:pPr>
      <w:r w:rsidRPr="009C2E9F">
        <w:rPr>
          <w:rFonts w:ascii="Times New Roman" w:eastAsiaTheme="minorEastAsia" w:hAnsi="Times New Roman" w:cs="Times New Roman"/>
          <w:color w:val="auto"/>
        </w:rPr>
        <w:t xml:space="preserve">Where </w:t>
      </w:r>
      <m:oMath>
        <m:sSub>
          <m:sSubPr>
            <m:ctrlPr>
              <w:rPr>
                <w:rFonts w:ascii="Cambria Math" w:hAnsi="Cambria Math" w:cs="Times New Roman"/>
                <w:i/>
                <w:color w:val="auto"/>
              </w:rPr>
            </m:ctrlPr>
          </m:sSubPr>
          <m:e>
            <m:r>
              <w:rPr>
                <w:rFonts w:ascii="Cambria Math" w:hAnsi="Cambria Math" w:cs="Times New Roman"/>
                <w:color w:val="auto"/>
              </w:rPr>
              <m:t>x</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numeric vector, </w:t>
      </w:r>
      <m:oMath>
        <m:sSub>
          <m:sSubPr>
            <m:ctrlPr>
              <w:rPr>
                <w:rFonts w:ascii="Cambria Math" w:hAnsi="Cambria Math" w:cs="Times New Roman"/>
                <w:i/>
                <w:color w:val="auto"/>
              </w:rPr>
            </m:ctrlPr>
          </m:sSubPr>
          <m:e>
            <m:r>
              <m:rPr>
                <m:sty m:val="p"/>
              </m:rPr>
              <w:rPr>
                <w:rFonts w:ascii="Cambria Math" w:hAnsi="Cambria Math" w:cs="Times New Roman"/>
                <w:color w:val="auto"/>
              </w:rPr>
              <m:t>r</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random walk, </w:t>
      </w:r>
      <m:oMath>
        <m:sSub>
          <m:sSubPr>
            <m:ctrlPr>
              <w:rPr>
                <w:rFonts w:ascii="Cambria Math" w:hAnsi="Cambria Math" w:cs="Times New Roman"/>
                <w:i/>
                <w:color w:val="auto"/>
              </w:rPr>
            </m:ctrlPr>
          </m:sSubPr>
          <m:e>
            <m:r>
              <w:rPr>
                <w:rFonts w:ascii="Cambria Math" w:hAnsi="Cambria Math" w:cs="Times New Roman"/>
                <w:color w:val="auto"/>
              </w:rPr>
              <m:t>β</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trend coefficient, </w:t>
      </w:r>
      <m:oMath>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Pr="009C2E9F">
        <w:rPr>
          <w:rFonts w:ascii="Times New Roman" w:eastAsiaTheme="minorEastAsia" w:hAnsi="Times New Roman" w:cs="Times New Roman"/>
          <w:color w:val="auto"/>
        </w:rPr>
        <w:t xml:space="preserve"> is the error-term. Using both ADF and KPSS gives a more robust assessment for the stationarity </w:t>
      </w:r>
      <w:r w:rsidR="00F743F4" w:rsidRPr="009C2E9F">
        <w:rPr>
          <w:rFonts w:ascii="Times New Roman" w:eastAsiaTheme="minorEastAsia" w:hAnsi="Times New Roman" w:cs="Times New Roman"/>
          <w:color w:val="auto"/>
        </w:rPr>
        <w:t>on</w:t>
      </w:r>
      <w:r w:rsidR="00EA7518" w:rsidRPr="009C2E9F">
        <w:rPr>
          <w:rFonts w:ascii="Times New Roman" w:eastAsiaTheme="minorEastAsia" w:hAnsi="Times New Roman" w:cs="Times New Roman"/>
          <w:color w:val="auto"/>
        </w:rPr>
        <w:t xml:space="preserve"> pre and post-COVID 19</w:t>
      </w:r>
      <w:r w:rsidR="00AA3AB3" w:rsidRPr="009C2E9F">
        <w:rPr>
          <w:rFonts w:ascii="Times New Roman" w:eastAsiaTheme="minorEastAsia" w:hAnsi="Times New Roman" w:cs="Times New Roman"/>
          <w:color w:val="auto"/>
        </w:rPr>
        <w:t xml:space="preserve"> periods</w:t>
      </w:r>
      <w:r w:rsidRPr="009C2E9F">
        <w:rPr>
          <w:rFonts w:ascii="Times New Roman" w:eastAsiaTheme="minorEastAsia" w:hAnsi="Times New Roman" w:cs="Times New Roman"/>
          <w:color w:val="auto"/>
        </w:rPr>
        <w:t>.</w:t>
      </w:r>
    </w:p>
    <w:p w14:paraId="77E7D270" w14:textId="783EE5D3"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hAnsi="Times New Roman" w:cs="Times New Roman"/>
          <w:bCs/>
          <w:color w:val="auto"/>
        </w:rPr>
        <w:t xml:space="preserve">Johansen Cointegration test </w:t>
      </w:r>
      <w:r w:rsidR="000F58CA" w:rsidRPr="009C2E9F">
        <w:rPr>
          <w:rFonts w:ascii="Times New Roman" w:hAnsi="Times New Roman" w:cs="Times New Roman"/>
          <w:bCs/>
          <w:color w:val="auto"/>
        </w:rPr>
        <w:t>i</w:t>
      </w:r>
      <w:r w:rsidR="00B25488" w:rsidRPr="009C2E9F">
        <w:rPr>
          <w:rFonts w:ascii="Times New Roman" w:hAnsi="Times New Roman" w:cs="Times New Roman"/>
          <w:bCs/>
          <w:color w:val="auto"/>
        </w:rPr>
        <w:t>s</w:t>
      </w:r>
      <w:r w:rsidRPr="009C2E9F">
        <w:rPr>
          <w:rFonts w:ascii="Times New Roman" w:hAnsi="Times New Roman" w:cs="Times New Roman"/>
          <w:bCs/>
          <w:color w:val="auto"/>
        </w:rPr>
        <w:t xml:space="preserve"> used</w:t>
      </w:r>
      <w:r w:rsidRPr="009C2E9F">
        <w:rPr>
          <w:rFonts w:ascii="Times New Roman" w:hAnsi="Times New Roman" w:cs="Times New Roman"/>
          <w:b/>
          <w:bCs/>
          <w:color w:val="auto"/>
        </w:rPr>
        <w:t xml:space="preserve"> </w:t>
      </w:r>
      <w:r w:rsidRPr="009C2E9F">
        <w:rPr>
          <w:rFonts w:ascii="Times New Roman" w:hAnsi="Times New Roman" w:cs="Times New Roman"/>
          <w:color w:val="auto"/>
        </w:rPr>
        <w:t>to examine long-run equilibrium relationships among the variables and determine the number of cointegrating vectors in the model</w:t>
      </w:r>
      <w:r w:rsidR="00593CB2" w:rsidRPr="009C2E9F">
        <w:rPr>
          <w:rFonts w:ascii="Times New Roman" w:hAnsi="Times New Roman" w:cs="Times New Roman"/>
          <w:color w:val="auto"/>
        </w:rPr>
        <w:t xml:space="preserve"> for the pre and post-COVID 19</w:t>
      </w:r>
      <w:r w:rsidR="00AA3AB3" w:rsidRPr="009C2E9F">
        <w:rPr>
          <w:rFonts w:ascii="Times New Roman" w:hAnsi="Times New Roman" w:cs="Times New Roman"/>
          <w:color w:val="auto"/>
        </w:rPr>
        <w:t xml:space="preserve"> periods</w:t>
      </w:r>
      <w:r w:rsidRPr="009C2E9F">
        <w:rPr>
          <w:rFonts w:ascii="Times New Roman" w:hAnsi="Times New Roman" w:cs="Times New Roman"/>
          <w:color w:val="auto"/>
        </w:rPr>
        <w:t>.</w:t>
      </w:r>
      <w:r w:rsidRPr="009C2E9F">
        <w:rPr>
          <w:rFonts w:ascii="Times New Roman" w:hAnsi="Times New Roman" w:cs="Times New Roman"/>
        </w:rPr>
        <w:t xml:space="preserve"> </w:t>
      </w:r>
      <w:r w:rsidRPr="009C2E9F">
        <w:rPr>
          <w:rFonts w:ascii="Times New Roman" w:eastAsiaTheme="minorEastAsia" w:hAnsi="Times New Roman" w:cs="Times New Roman"/>
        </w:rPr>
        <w:t>Johansen Cointegration test involves a VECM estimate, which is</w:t>
      </w:r>
    </w:p>
    <w:p w14:paraId="13810568" w14:textId="77777777" w:rsidR="00AE400C" w:rsidRPr="009C2E9F" w:rsidRDefault="00AE400C" w:rsidP="005A0249">
      <w:pPr>
        <w:pStyle w:val="Default"/>
        <w:spacing w:before="240" w:after="240"/>
        <w:jc w:val="both"/>
        <w:rPr>
          <w:rFonts w:ascii="Times New Roman" w:eastAsiaTheme="minorEastAsia" w:hAnsi="Times New Roman" w:cs="Times New Roman"/>
        </w:rPr>
      </w:pPr>
      <m:oMath>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m:rPr>
                <m:sty m:val="p"/>
              </m:rPr>
              <w:rPr>
                <w:rFonts w:ascii="Cambria Math" w:eastAsiaTheme="minorEastAsia" w:hAnsi="Cambria Math" w:cs="Times New Roman"/>
              </w:rPr>
              <m:t>Π</m:t>
            </m:r>
          </m:e>
          <m:sub>
            <m:r>
              <w:rPr>
                <w:rFonts w:ascii="Cambria Math" w:eastAsiaTheme="minorEastAsia" w:hAnsi="Cambria Math" w:cs="Times New Roman"/>
              </w:rPr>
              <m:t>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t-1</m:t>
            </m:r>
          </m:sub>
        </m:sSub>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Π</m:t>
            </m:r>
          </m:e>
          <m:sub>
            <m:r>
              <w:rPr>
                <w:rFonts w:ascii="Cambria Math" w:eastAsiaTheme="minorEastAsia" w:hAnsi="Cambria Math" w:cs="Times New Roman"/>
              </w:rPr>
              <m:t>p-1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y</m:t>
            </m:r>
          </m:e>
          <m:sub>
            <m:r>
              <w:rPr>
                <w:rFonts w:ascii="Cambria Math" w:eastAsiaTheme="minorEastAsia" w:hAnsi="Cambria Math" w:cs="Times New Roman"/>
              </w:rPr>
              <m:t>t-p+1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t</m:t>
            </m:r>
          </m:sub>
        </m:sSub>
      </m:oMath>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t>(3)</w:t>
      </w:r>
    </w:p>
    <w:p w14:paraId="57B91DDA" w14:textId="77777777"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Then, Johansen decomposes Π:</w:t>
      </w:r>
    </w:p>
    <w:p w14:paraId="73BB2170" w14:textId="77777777" w:rsidR="00AE400C" w:rsidRPr="009C2E9F" w:rsidRDefault="00AE400C" w:rsidP="005A0249">
      <w:pPr>
        <w:pStyle w:val="Default"/>
        <w:spacing w:before="240" w:after="240"/>
        <w:jc w:val="both"/>
        <w:rPr>
          <w:rFonts w:ascii="Times New Roman" w:eastAsiaTheme="minorEastAsia" w:hAnsi="Times New Roman" w:cs="Times New Roman"/>
        </w:rPr>
      </w:pPr>
      <m:oMath>
        <m:r>
          <m:rPr>
            <m:sty m:val="p"/>
          </m:rPr>
          <w:rPr>
            <w:rFonts w:ascii="Cambria Math" w:eastAsiaTheme="minorEastAsia" w:hAnsi="Cambria Math" w:cs="Times New Roman"/>
          </w:rPr>
          <m:t>Π</m:t>
        </m:r>
        <m:r>
          <w:rPr>
            <w:rFonts w:ascii="Cambria Math" w:eastAsiaTheme="minorEastAsia" w:hAnsi="Cambria Math" w:cs="Times New Roman"/>
          </w:rPr>
          <m:t>=αβ'</m:t>
        </m:r>
      </m:oMath>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r>
      <w:r w:rsidRPr="009C2E9F">
        <w:rPr>
          <w:rFonts w:ascii="Times New Roman" w:eastAsiaTheme="minorEastAsia" w:hAnsi="Times New Roman" w:cs="Times New Roman"/>
        </w:rPr>
        <w:tab/>
        <w:t>(4)</w:t>
      </w:r>
    </w:p>
    <w:p w14:paraId="1F539161" w14:textId="53046F6E" w:rsidR="00AE400C" w:rsidRPr="009C2E9F" w:rsidRDefault="00F17E08"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W</w:t>
      </w:r>
      <w:r w:rsidR="00AE400C" w:rsidRPr="009C2E9F">
        <w:rPr>
          <w:rFonts w:ascii="Times New Roman" w:eastAsiaTheme="minorEastAsia" w:hAnsi="Times New Roman" w:cs="Times New Roman"/>
        </w:rPr>
        <w:t>here</w:t>
      </w:r>
      <w:r w:rsidRPr="009C2E9F">
        <w:rPr>
          <w:rFonts w:ascii="Times New Roman" w:eastAsiaTheme="minorEastAsia" w:hAnsi="Times New Roman" w:cs="Times New Roman"/>
        </w:rPr>
        <w:t xml:space="preserve"> </w:t>
      </w:r>
      <w:r w:rsidR="00AE400C" w:rsidRPr="009C2E9F">
        <w:rPr>
          <w:rFonts w:ascii="Times New Roman" w:eastAsiaTheme="minorEastAsia" w:hAnsi="Times New Roman" w:cs="Times New Roman"/>
        </w:rPr>
        <w:t>α (n×r) is the adjustment coefficients, β (n×r) is the cointegrating relationships, r is the number of cointegrating relationships</w:t>
      </w:r>
      <w:r w:rsidR="00DB3E23" w:rsidRPr="009C2E9F">
        <w:rPr>
          <w:rFonts w:ascii="Times New Roman" w:eastAsiaTheme="minorEastAsia" w:hAnsi="Times New Roman" w:cs="Times New Roman"/>
        </w:rPr>
        <w:t xml:space="preserve">. </w:t>
      </w:r>
      <w:r w:rsidR="00557547" w:rsidRPr="009C2E9F">
        <w:rPr>
          <w:rFonts w:ascii="Times New Roman" w:hAnsi="Times New Roman" w:cs="Times New Roman"/>
        </w:rPr>
        <w:t>T</w:t>
      </w:r>
      <w:r w:rsidR="00DB3E23" w:rsidRPr="009C2E9F">
        <w:rPr>
          <w:rFonts w:ascii="Times New Roman" w:hAnsi="Times New Roman" w:cs="Times New Roman"/>
        </w:rPr>
        <w:t>he trace test and maximum eigenvalue test</w:t>
      </w:r>
      <w:r w:rsidR="00557547" w:rsidRPr="009C2E9F">
        <w:rPr>
          <w:rFonts w:ascii="Times New Roman" w:hAnsi="Times New Roman" w:cs="Times New Roman"/>
        </w:rPr>
        <w:t xml:space="preserve"> are the two likelihood ratio tests that</w:t>
      </w:r>
      <w:r w:rsidR="00DB3E23" w:rsidRPr="009C2E9F">
        <w:rPr>
          <w:rFonts w:ascii="Times New Roman" w:hAnsi="Times New Roman" w:cs="Times New Roman"/>
        </w:rPr>
        <w:t xml:space="preserve"> </w:t>
      </w:r>
      <w:r w:rsidR="00AE400C" w:rsidRPr="009C2E9F">
        <w:rPr>
          <w:rFonts w:ascii="Times New Roman" w:hAnsi="Times New Roman" w:cs="Times New Roman"/>
        </w:rPr>
        <w:t>Johansen propos</w:t>
      </w:r>
      <w:r w:rsidR="00557547" w:rsidRPr="009C2E9F">
        <w:rPr>
          <w:rFonts w:ascii="Times New Roman" w:hAnsi="Times New Roman" w:cs="Times New Roman"/>
        </w:rPr>
        <w:t>ed</w:t>
      </w:r>
      <w:r w:rsidR="00464A2C" w:rsidRPr="009C2E9F">
        <w:rPr>
          <w:rFonts w:ascii="Times New Roman" w:hAnsi="Times New Roman" w:cs="Times New Roman"/>
        </w:rPr>
        <w:t xml:space="preserve"> to test</w:t>
      </w:r>
      <w:r w:rsidR="00AE400C" w:rsidRPr="009C2E9F">
        <w:rPr>
          <w:rFonts w:ascii="Times New Roman" w:hAnsi="Times New Roman" w:cs="Times New Roman"/>
        </w:rPr>
        <w:t xml:space="preserve"> the significance of the canonical correlations and thereby the reduced rank of the Π matrix: (Sanusi, 2010). </w:t>
      </w:r>
    </w:p>
    <w:p w14:paraId="63FCFA32" w14:textId="77777777"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t>The trace test:</w:t>
      </w:r>
    </w:p>
    <w:p w14:paraId="7B1746B3" w14:textId="77777777" w:rsidR="00AE400C" w:rsidRPr="009C2E9F" w:rsidRDefault="008D4883"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J</m:t>
            </m:r>
          </m:e>
          <m:sub>
            <m:r>
              <m:rPr>
                <m:sty m:val="p"/>
              </m:rPr>
              <w:rPr>
                <w:rFonts w:ascii="Cambria Math" w:hAnsi="Cambria Math" w:cs="Times New Roman"/>
              </w:rPr>
              <m:t>trace</m:t>
            </m:r>
          </m:sub>
        </m:sSub>
        <m:r>
          <m:rPr>
            <m:sty m:val="p"/>
          </m:rPr>
          <w:rPr>
            <w:rFonts w:ascii="Cambria Math" w:hAnsi="Cambria Math" w:cs="Times New Roman"/>
          </w:rPr>
          <m:t>=-T</m:t>
        </m:r>
        <m:nary>
          <m:naryPr>
            <m:chr m:val="∑"/>
            <m:limLoc m:val="undOvr"/>
            <m:ctrlPr>
              <w:rPr>
                <w:rFonts w:ascii="Cambria Math" w:hAnsi="Cambria Math" w:cs="Times New Roman"/>
              </w:rPr>
            </m:ctrlPr>
          </m:naryPr>
          <m:sub>
            <m:r>
              <m:rPr>
                <m:sty m:val="p"/>
              </m:rPr>
              <w:rPr>
                <w:rFonts w:ascii="Cambria Math" w:hAnsi="Cambria Math" w:cs="Times New Roman"/>
              </w:rPr>
              <m:t>i=r+1</m:t>
            </m:r>
          </m:sub>
          <m:sup>
            <m:r>
              <m:rPr>
                <m:sty m:val="p"/>
              </m:rPr>
              <w:rPr>
                <w:rFonts w:ascii="Cambria Math" w:hAnsi="Cambria Math" w:cs="Times New Roman"/>
              </w:rPr>
              <m:t>n</m:t>
            </m:r>
          </m:sup>
          <m:e>
            <m:r>
              <m:rPr>
                <m:sty m:val="p"/>
              </m:rPr>
              <w:rPr>
                <w:rFonts w:ascii="Cambria Math" w:hAnsi="Cambria Math" w:cs="Times New Roman"/>
              </w:rPr>
              <m:t>ln⁡(1-</m:t>
            </m:r>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r>
              <m:rPr>
                <m:sty m:val="p"/>
              </m:rPr>
              <w:rPr>
                <w:rFonts w:ascii="Cambria Math" w:hAnsi="Cambria Math" w:cs="Times New Roman"/>
              </w:rPr>
              <m:t>)</m:t>
            </m:r>
          </m:e>
        </m:nary>
      </m:oMath>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t>(5)</w:t>
      </w:r>
    </w:p>
    <w:p w14:paraId="47002881" w14:textId="2D3FDBDC"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t>The trace test tests the null hypothesis of r cointegrating vectors against the alternative hypothesis of n cointegrating vectors</w:t>
      </w:r>
      <w:r w:rsidR="000C0C7E" w:rsidRPr="009C2E9F">
        <w:rPr>
          <w:rFonts w:ascii="Times New Roman" w:hAnsi="Times New Roman" w:cs="Times New Roman"/>
        </w:rPr>
        <w:t xml:space="preserve"> and the </w:t>
      </w:r>
      <w:r w:rsidRPr="009C2E9F">
        <w:rPr>
          <w:rFonts w:ascii="Times New Roman" w:hAnsi="Times New Roman" w:cs="Times New Roman"/>
        </w:rPr>
        <w:t xml:space="preserve"> </w:t>
      </w:r>
    </w:p>
    <w:p w14:paraId="6C1EB0DB" w14:textId="77777777"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The maximum eigenvalue test:</w:t>
      </w:r>
    </w:p>
    <w:p w14:paraId="7073B326" w14:textId="77777777" w:rsidR="00AE400C" w:rsidRPr="009C2E9F" w:rsidRDefault="008D4883"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J</m:t>
            </m:r>
          </m:e>
          <m:sub>
            <m:r>
              <m:rPr>
                <m:sty m:val="p"/>
              </m:rPr>
              <w:rPr>
                <w:rFonts w:ascii="Cambria Math" w:hAnsi="Cambria Math" w:cs="Times New Roman"/>
              </w:rPr>
              <m:t>max</m:t>
            </m:r>
          </m:sub>
        </m:sSub>
        <m:r>
          <m:rPr>
            <m:sty m:val="p"/>
          </m:rPr>
          <w:rPr>
            <w:rFonts w:ascii="Cambria Math" w:hAnsi="Cambria Math" w:cs="Times New Roman"/>
          </w:rPr>
          <m:t>=-T ln⁡(1-</m:t>
        </m:r>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r>
          <m:rPr>
            <m:sty m:val="p"/>
          </m:rPr>
          <w:rPr>
            <w:rFonts w:ascii="Cambria Math" w:hAnsi="Cambria Math" w:cs="Times New Roman"/>
          </w:rPr>
          <m:t>)</m:t>
        </m:r>
      </m:oMath>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r>
      <w:r w:rsidR="00AE400C" w:rsidRPr="009C2E9F">
        <w:rPr>
          <w:rFonts w:ascii="Times New Roman" w:eastAsiaTheme="minorEastAsia" w:hAnsi="Times New Roman" w:cs="Times New Roman"/>
        </w:rPr>
        <w:tab/>
        <w:t>(6)</w:t>
      </w:r>
    </w:p>
    <w:p w14:paraId="21ACA0BB" w14:textId="19CC507E" w:rsidR="00AE400C" w:rsidRPr="009C2E9F" w:rsidRDefault="00AE400C"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 xml:space="preserve">Where T is the sample size and </w:t>
      </w:r>
      <m:oMath>
        <m:acc>
          <m:accPr>
            <m:ctrlPr>
              <w:rPr>
                <w:rFonts w:ascii="Cambria Math" w:hAnsi="Cambria Math" w:cs="Times New Roman"/>
              </w:rPr>
            </m:ctrlPr>
          </m:accPr>
          <m:e>
            <m:sSub>
              <m:sSubPr>
                <m:ctrlPr>
                  <w:rPr>
                    <w:rFonts w:ascii="Cambria Math" w:hAnsi="Cambria Math" w:cs="Times New Roman"/>
                  </w:rPr>
                </m:ctrlPr>
              </m:sSubPr>
              <m:e>
                <m:r>
                  <m:rPr>
                    <m:sty m:val="p"/>
                  </m:rPr>
                  <w:rPr>
                    <w:rFonts w:ascii="Cambria Math" w:hAnsi="Cambria Math" w:cs="Times New Roman"/>
                  </w:rPr>
                  <m:t>λ</m:t>
                </m:r>
              </m:e>
              <m:sub>
                <m:r>
                  <w:rPr>
                    <w:rFonts w:ascii="Cambria Math" w:hAnsi="Cambria Math" w:cs="Times New Roman"/>
                  </w:rPr>
                  <m:t>i</m:t>
                </m:r>
              </m:sub>
            </m:sSub>
          </m:e>
        </m:acc>
      </m:oMath>
      <w:r w:rsidRPr="009C2E9F">
        <w:rPr>
          <w:rFonts w:ascii="Times New Roman" w:eastAsiaTheme="minorEastAsia" w:hAnsi="Times New Roman" w:cs="Times New Roman"/>
        </w:rPr>
        <w:t xml:space="preserve"> is the ith largest canonical correlation</w:t>
      </w:r>
      <w:r w:rsidR="003620EB" w:rsidRPr="009C2E9F">
        <w:rPr>
          <w:rFonts w:ascii="Times New Roman" w:eastAsiaTheme="minorEastAsia" w:hAnsi="Times New Roman" w:cs="Times New Roman"/>
        </w:rPr>
        <w:t>s</w:t>
      </w:r>
      <w:r w:rsidRPr="009C2E9F">
        <w:rPr>
          <w:rFonts w:ascii="Times New Roman" w:eastAsiaTheme="minorEastAsia" w:hAnsi="Times New Roman" w:cs="Times New Roman"/>
        </w:rPr>
        <w:t>.</w:t>
      </w:r>
    </w:p>
    <w:p w14:paraId="769EFD5F" w14:textId="77777777" w:rsidR="00AE400C" w:rsidRPr="009C2E9F" w:rsidRDefault="00AE400C" w:rsidP="005A0249">
      <w:pPr>
        <w:pStyle w:val="Default"/>
        <w:spacing w:before="240" w:after="240"/>
        <w:jc w:val="both"/>
        <w:rPr>
          <w:rFonts w:ascii="Times New Roman" w:hAnsi="Times New Roman" w:cs="Times New Roman"/>
        </w:rPr>
      </w:pPr>
      <w:r w:rsidRPr="009C2E9F">
        <w:rPr>
          <w:rFonts w:ascii="Times New Roman" w:hAnsi="Times New Roman" w:cs="Times New Roman"/>
        </w:rPr>
        <w:lastRenderedPageBreak/>
        <w:t>The maximum eigenvalue test tests the null hypothesis of r cointegrating vectors against the alternative hypothesis of r +1 cointegrating vectors.</w:t>
      </w:r>
    </w:p>
    <w:p w14:paraId="777B2135" w14:textId="373BD381" w:rsidR="00834818" w:rsidRPr="009C2E9F" w:rsidRDefault="00834818" w:rsidP="005A0249">
      <w:pPr>
        <w:pStyle w:val="Default"/>
        <w:spacing w:before="240" w:after="240"/>
        <w:jc w:val="both"/>
        <w:rPr>
          <w:rFonts w:ascii="Times New Roman" w:hAnsi="Times New Roman" w:cs="Times New Roman"/>
          <w:color w:val="auto"/>
        </w:rPr>
      </w:pPr>
      <w:r w:rsidRPr="009C2E9F">
        <w:rPr>
          <w:rFonts w:ascii="Times New Roman" w:hAnsi="Times New Roman" w:cs="Times New Roman"/>
          <w:color w:val="auto"/>
        </w:rPr>
        <w:t>The VEC model is used to model the short-run dynamics and long-run equilibrium relationship in a co-integrated system of equations</w:t>
      </w:r>
      <w:r w:rsidR="00A5233B" w:rsidRPr="009C2E9F">
        <w:rPr>
          <w:rFonts w:ascii="Times New Roman" w:hAnsi="Times New Roman" w:cs="Times New Roman"/>
          <w:color w:val="auto"/>
        </w:rPr>
        <w:t xml:space="preserve"> for the both pre and post-COVID 19</w:t>
      </w:r>
      <w:r w:rsidR="00AA3AB3" w:rsidRPr="009C2E9F">
        <w:rPr>
          <w:rFonts w:ascii="Times New Roman" w:hAnsi="Times New Roman" w:cs="Times New Roman"/>
          <w:color w:val="auto"/>
        </w:rPr>
        <w:t xml:space="preserve"> periods</w:t>
      </w:r>
      <w:r w:rsidRPr="009C2E9F">
        <w:rPr>
          <w:rFonts w:ascii="Times New Roman" w:hAnsi="Times New Roman" w:cs="Times New Roman"/>
          <w:color w:val="auto"/>
        </w:rPr>
        <w:t>. A VECM will be estimated when there’s cointegration among the exchange rate, inflation and economic growth</w:t>
      </w:r>
      <w:r w:rsidR="00B93916" w:rsidRPr="009C2E9F">
        <w:rPr>
          <w:rFonts w:ascii="Times New Roman" w:hAnsi="Times New Roman" w:cs="Times New Roman"/>
          <w:color w:val="auto"/>
        </w:rPr>
        <w:t xml:space="preserve"> in the two periods</w:t>
      </w:r>
      <w:r w:rsidRPr="009C2E9F">
        <w:rPr>
          <w:rFonts w:ascii="Times New Roman" w:hAnsi="Times New Roman" w:cs="Times New Roman"/>
          <w:color w:val="auto"/>
        </w:rPr>
        <w:t>.</w:t>
      </w:r>
    </w:p>
    <w:p w14:paraId="49B5E564" w14:textId="77777777" w:rsidR="00834818" w:rsidRPr="009C2E9F" w:rsidRDefault="00834818" w:rsidP="005A0249">
      <w:pPr>
        <w:pStyle w:val="Default"/>
        <w:spacing w:before="240" w:after="240"/>
        <w:jc w:val="both"/>
        <w:rPr>
          <w:rFonts w:ascii="Times New Roman" w:hAnsi="Times New Roman" w:cs="Times New Roman"/>
          <w:color w:val="auto"/>
        </w:rPr>
      </w:pPr>
      <w:r w:rsidRPr="009C2E9F">
        <w:rPr>
          <w:rFonts w:ascii="Times New Roman" w:hAnsi="Times New Roman" w:cs="Times New Roman"/>
          <w:color w:val="auto"/>
        </w:rPr>
        <w:t>The equation for the VEC model is:</w:t>
      </w:r>
    </w:p>
    <w:p w14:paraId="622DFFF9" w14:textId="77777777" w:rsidR="00834818" w:rsidRPr="009C2E9F" w:rsidRDefault="00834818" w:rsidP="005A0249">
      <w:pPr>
        <w:pStyle w:val="Default"/>
        <w:spacing w:before="240" w:after="240"/>
        <w:jc w:val="both"/>
        <w:rPr>
          <w:rFonts w:ascii="Times New Roman" w:eastAsiaTheme="minorEastAsia" w:hAnsi="Times New Roman" w:cs="Times New Roman"/>
          <w:color w:val="auto"/>
        </w:rPr>
      </w:pPr>
      <w:r w:rsidRPr="009C2E9F">
        <w:rPr>
          <w:rFonts w:ascii="Times New Roman" w:hAnsi="Times New Roman" w:cs="Times New Roman"/>
          <w:color w:val="auto"/>
        </w:rPr>
        <w:t xml:space="preserve"> </w:t>
      </w:r>
      <m:oMath>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0</m:t>
            </m:r>
          </m:sub>
        </m:sSub>
        <m:r>
          <w:rPr>
            <w:rFonts w:ascii="Cambria Math" w:hAnsi="Cambria Math" w:cs="Times New Roman"/>
            <w:color w:val="auto"/>
          </w:rPr>
          <m:t>+π</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t-1</m:t>
            </m:r>
          </m:sub>
        </m:sSub>
        <m:r>
          <w:rPr>
            <w:rFonts w:ascii="Cambria Math" w:hAnsi="Cambria Math" w:cs="Times New Roman"/>
            <w:color w:val="auto"/>
          </w:rPr>
          <m:t>+</m:t>
        </m:r>
        <m:nary>
          <m:naryPr>
            <m:chr m:val="∑"/>
            <m:limLoc m:val="undOvr"/>
            <m:ctrlPr>
              <w:rPr>
                <w:rFonts w:ascii="Cambria Math" w:hAnsi="Cambria Math" w:cs="Times New Roman"/>
                <w:i/>
                <w:color w:val="auto"/>
              </w:rPr>
            </m:ctrlPr>
          </m:naryPr>
          <m:sub>
            <m:r>
              <w:rPr>
                <w:rFonts w:ascii="Cambria Math" w:hAnsi="Cambria Math" w:cs="Times New Roman"/>
                <w:color w:val="auto"/>
              </w:rPr>
              <m:t>i=1</m:t>
            </m:r>
          </m:sub>
          <m:sup>
            <m:r>
              <w:rPr>
                <w:rFonts w:ascii="Cambria Math" w:hAnsi="Cambria Math" w:cs="Times New Roman"/>
                <w:color w:val="auto"/>
              </w:rPr>
              <m:t>p-1</m:t>
            </m:r>
          </m:sup>
          <m:e>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i</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t-i</m:t>
                </m:r>
              </m:sub>
            </m:sSub>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e>
        </m:nary>
      </m:oMath>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t>(7)</w:t>
      </w:r>
    </w:p>
    <w:p w14:paraId="667FE3F9" w14:textId="6642FD02" w:rsidR="00834818" w:rsidRPr="009C2E9F" w:rsidRDefault="007C4989" w:rsidP="005A0249">
      <w:pPr>
        <w:pStyle w:val="Default"/>
        <w:spacing w:before="240" w:after="240"/>
        <w:jc w:val="both"/>
        <w:rPr>
          <w:rFonts w:ascii="Times New Roman" w:eastAsiaTheme="minorEastAsia" w:hAnsi="Times New Roman" w:cs="Times New Roman"/>
          <w:color w:val="auto"/>
        </w:rPr>
      </w:pPr>
      <w:r w:rsidRPr="009C2E9F">
        <w:rPr>
          <w:rFonts w:ascii="Times New Roman" w:hAnsi="Times New Roman" w:cs="Times New Roman"/>
          <w:color w:val="auto"/>
        </w:rPr>
        <w:t>W</w:t>
      </w:r>
      <w:r w:rsidR="00834818" w:rsidRPr="009C2E9F">
        <w:rPr>
          <w:rFonts w:ascii="Times New Roman" w:hAnsi="Times New Roman" w:cs="Times New Roman"/>
          <w:color w:val="auto"/>
        </w:rPr>
        <w:t>here</w:t>
      </w:r>
      <w:r w:rsidRPr="009C2E9F">
        <w:rPr>
          <w:rFonts w:ascii="Times New Roman" w:hAnsi="Times New Roman" w:cs="Times New Roman"/>
          <w:color w:val="auto"/>
        </w:rPr>
        <w:t xml:space="preserve"> </w:t>
      </w:r>
      <m:oMath>
        <m:r>
          <w:rPr>
            <w:rFonts w:ascii="Cambria Math" w:hAnsi="Cambria Math" w:cs="Times New Roman"/>
            <w:color w:val="auto"/>
          </w:rPr>
          <m:t>∆</m:t>
        </m:r>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m:t>
            </m:r>
          </m:sub>
        </m:sSub>
      </m:oMath>
      <w:r w:rsidR="00834818" w:rsidRPr="009C2E9F">
        <w:rPr>
          <w:rFonts w:ascii="Times New Roman" w:eastAsiaTheme="minorEastAsia" w:hAnsi="Times New Roman" w:cs="Times New Roman"/>
          <w:color w:val="auto"/>
        </w:rPr>
        <w:t xml:space="preserve"> is the first difference of the vector variables</w:t>
      </w:r>
      <w:r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y</m:t>
            </m:r>
          </m:e>
          <m:sub>
            <m:r>
              <w:rPr>
                <w:rFonts w:ascii="Cambria Math" w:hAnsi="Cambria Math" w:cs="Times New Roman"/>
                <w:color w:val="auto"/>
              </w:rPr>
              <m:t>t-1</m:t>
            </m:r>
          </m:sub>
        </m:sSub>
      </m:oMath>
      <w:r w:rsidR="00DE1E63" w:rsidRPr="009C2E9F">
        <w:rPr>
          <w:rFonts w:ascii="Times New Roman" w:eastAsiaTheme="minorEastAsia" w:hAnsi="Times New Roman" w:cs="Times New Roman"/>
          <w:color w:val="auto"/>
        </w:rPr>
        <w:t>is the</w:t>
      </w:r>
      <w:r w:rsidR="00834818" w:rsidRPr="009C2E9F">
        <w:rPr>
          <w:rFonts w:ascii="Times New Roman" w:eastAsiaTheme="minorEastAsia" w:hAnsi="Times New Roman" w:cs="Times New Roman"/>
          <w:color w:val="auto"/>
        </w:rPr>
        <w:t xml:space="preserve"> lagged value of the vector variables</w:t>
      </w:r>
      <w:r w:rsidR="00DE1E63"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0</m:t>
            </m:r>
          </m:sub>
        </m:sSub>
        <m:r>
          <w:rPr>
            <w:rFonts w:ascii="Cambria Math" w:hAnsi="Cambria Math" w:cs="Times New Roman"/>
            <w:color w:val="auto"/>
          </w:rPr>
          <m:t xml:space="preserve"> </m:t>
        </m:r>
      </m:oMath>
      <w:r w:rsidR="00834818" w:rsidRPr="009C2E9F">
        <w:rPr>
          <w:rFonts w:ascii="Times New Roman" w:eastAsiaTheme="minorEastAsia" w:hAnsi="Times New Roman" w:cs="Times New Roman"/>
          <w:color w:val="auto"/>
        </w:rPr>
        <w:t>the vector of the intercept</w:t>
      </w:r>
      <w:r w:rsidR="00217D6E"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π</m:t>
            </m:r>
          </m:e>
          <m:sub>
            <m:r>
              <w:rPr>
                <w:rFonts w:ascii="Cambria Math" w:hAnsi="Cambria Math" w:cs="Times New Roman"/>
                <w:color w:val="auto"/>
              </w:rPr>
              <m:t>i</m:t>
            </m:r>
          </m:sub>
        </m:sSub>
      </m:oMath>
      <w:r w:rsidR="00834818" w:rsidRPr="009C2E9F">
        <w:rPr>
          <w:rFonts w:ascii="Times New Roman" w:eastAsiaTheme="minorEastAsia" w:hAnsi="Times New Roman" w:cs="Times New Roman"/>
          <w:color w:val="auto"/>
        </w:rPr>
        <w:t xml:space="preserve"> is the matrix of the coefficients, p is the lag order</w:t>
      </w:r>
      <w:r w:rsidR="00217D6E" w:rsidRPr="009C2E9F">
        <w:rPr>
          <w:rFonts w:ascii="Times New Roman" w:eastAsiaTheme="minorEastAsia" w:hAnsi="Times New Roman" w:cs="Times New Roman"/>
          <w:color w:val="auto"/>
        </w:rPr>
        <w:t>,</w:t>
      </w:r>
      <w:r w:rsidR="00834818" w:rsidRPr="009C2E9F">
        <w:rPr>
          <w:rFonts w:ascii="Times New Roman" w:eastAsiaTheme="minorEastAsia" w:hAnsi="Times New Roman" w:cs="Times New Roman"/>
          <w:color w:val="auto"/>
        </w:rPr>
        <w:t xml:space="preserve"> </w:t>
      </w:r>
      <m:oMath>
        <m:sSub>
          <m:sSubPr>
            <m:ctrlPr>
              <w:rPr>
                <w:rFonts w:ascii="Cambria Math" w:hAnsi="Cambria Math" w:cs="Times New Roman"/>
                <w:i/>
                <w:color w:val="auto"/>
              </w:rPr>
            </m:ctrlPr>
          </m:sSubPr>
          <m:e>
            <m:r>
              <w:rPr>
                <w:rFonts w:ascii="Cambria Math" w:hAnsi="Cambria Math" w:cs="Times New Roman"/>
                <w:color w:val="auto"/>
              </w:rPr>
              <m:t>u</m:t>
            </m:r>
          </m:e>
          <m:sub>
            <m:r>
              <w:rPr>
                <w:rFonts w:ascii="Cambria Math" w:hAnsi="Cambria Math" w:cs="Times New Roman"/>
                <w:color w:val="auto"/>
              </w:rPr>
              <m:t>t</m:t>
            </m:r>
          </m:sub>
        </m:sSub>
      </m:oMath>
      <w:r w:rsidR="00834818" w:rsidRPr="009C2E9F">
        <w:rPr>
          <w:rFonts w:ascii="Times New Roman" w:eastAsiaTheme="minorEastAsia" w:hAnsi="Times New Roman" w:cs="Times New Roman"/>
          <w:color w:val="auto"/>
        </w:rPr>
        <w:t xml:space="preserve"> is the error term.</w:t>
      </w:r>
    </w:p>
    <w:p w14:paraId="2AAF8A8C" w14:textId="77777777" w:rsidR="00525737" w:rsidRPr="009C2E9F" w:rsidRDefault="007100A9" w:rsidP="005A0249">
      <w:pPr>
        <w:pStyle w:val="Default"/>
        <w:spacing w:before="240" w:after="240"/>
        <w:jc w:val="both"/>
        <w:rPr>
          <w:rFonts w:ascii="Times New Roman" w:hAnsi="Times New Roman" w:cs="Times New Roman"/>
        </w:rPr>
      </w:pPr>
      <w:r w:rsidRPr="009C2E9F">
        <w:rPr>
          <w:rFonts w:ascii="Times New Roman" w:hAnsi="Times New Roman" w:cs="Times New Roman"/>
          <w:bCs/>
          <w:color w:val="auto"/>
        </w:rPr>
        <w:t xml:space="preserve">The Granger Causality tests </w:t>
      </w:r>
      <w:r w:rsidR="004330C0" w:rsidRPr="009C2E9F">
        <w:rPr>
          <w:rFonts w:ascii="Times New Roman" w:hAnsi="Times New Roman" w:cs="Times New Roman"/>
          <w:bCs/>
          <w:color w:val="auto"/>
        </w:rPr>
        <w:t>is</w:t>
      </w:r>
      <w:r w:rsidRPr="009C2E9F">
        <w:rPr>
          <w:rFonts w:ascii="Times New Roman" w:hAnsi="Times New Roman" w:cs="Times New Roman"/>
          <w:bCs/>
          <w:color w:val="auto"/>
        </w:rPr>
        <w:t xml:space="preserve"> used </w:t>
      </w:r>
      <w:r w:rsidR="00C67676" w:rsidRPr="009C2E9F">
        <w:rPr>
          <w:rFonts w:ascii="Times New Roman" w:hAnsi="Times New Roman" w:cs="Times New Roman"/>
          <w:bCs/>
          <w:color w:val="auto"/>
        </w:rPr>
        <w:t>for</w:t>
      </w:r>
      <w:r w:rsidRPr="009C2E9F">
        <w:rPr>
          <w:rFonts w:ascii="Times New Roman" w:hAnsi="Times New Roman" w:cs="Times New Roman"/>
          <w:color w:val="auto"/>
        </w:rPr>
        <w:t xml:space="preserve"> nature and directional causality </w:t>
      </w:r>
      <w:r w:rsidR="00C67676" w:rsidRPr="009C2E9F">
        <w:rPr>
          <w:rFonts w:ascii="Times New Roman" w:hAnsi="Times New Roman" w:cs="Times New Roman"/>
          <w:color w:val="auto"/>
        </w:rPr>
        <w:t xml:space="preserve">checking </w:t>
      </w:r>
      <w:r w:rsidRPr="009C2E9F">
        <w:rPr>
          <w:rFonts w:ascii="Times New Roman" w:hAnsi="Times New Roman" w:cs="Times New Roman"/>
          <w:color w:val="auto"/>
        </w:rPr>
        <w:t>between variables</w:t>
      </w:r>
      <w:r w:rsidR="00664964" w:rsidRPr="009C2E9F">
        <w:rPr>
          <w:rFonts w:ascii="Times New Roman" w:hAnsi="Times New Roman" w:cs="Times New Roman"/>
          <w:color w:val="auto"/>
        </w:rPr>
        <w:t xml:space="preserve"> for the two periods</w:t>
      </w:r>
      <w:r w:rsidRPr="009C2E9F">
        <w:rPr>
          <w:rFonts w:ascii="Times New Roman" w:hAnsi="Times New Roman" w:cs="Times New Roman"/>
          <w:color w:val="auto"/>
        </w:rPr>
        <w:t>.</w:t>
      </w:r>
      <w:r w:rsidRPr="009C2E9F">
        <w:rPr>
          <w:rFonts w:ascii="Times New Roman" w:hAnsi="Times New Roman" w:cs="Times New Roman"/>
        </w:rPr>
        <w:t xml:space="preserve"> It also shows how variables Granger-cause each other in a model. </w:t>
      </w:r>
    </w:p>
    <w:p w14:paraId="3F269257" w14:textId="48FCEF09" w:rsidR="007100A9" w:rsidRPr="009C2E9F" w:rsidRDefault="007100A9" w:rsidP="005A0249">
      <w:pPr>
        <w:pStyle w:val="Default"/>
        <w:spacing w:before="240" w:after="240"/>
        <w:jc w:val="both"/>
        <w:rPr>
          <w:rFonts w:ascii="Times New Roman" w:hAnsi="Times New Roman" w:cs="Times New Roman"/>
          <w:b/>
          <w:bCs/>
          <w:color w:val="auto"/>
        </w:rPr>
      </w:pPr>
      <w:r w:rsidRPr="009C2E9F">
        <w:rPr>
          <w:rFonts w:ascii="Times New Roman" w:hAnsi="Times New Roman" w:cs="Times New Roman"/>
        </w:rPr>
        <w:t>Impulse Response analysis is used in time series analysis for measuring the reaction of one standard deviation of a variable in a system to a shock in another variable.  It is crucial in understanding the dynamic effect between variables</w:t>
      </w:r>
      <w:r w:rsidR="008F21AA" w:rsidRPr="009C2E9F">
        <w:rPr>
          <w:rFonts w:ascii="Times New Roman" w:hAnsi="Times New Roman" w:cs="Times New Roman"/>
        </w:rPr>
        <w:t xml:space="preserve"> </w:t>
      </w:r>
      <w:r w:rsidR="00BF22C0" w:rsidRPr="009C2E9F">
        <w:rPr>
          <w:rFonts w:ascii="Times New Roman" w:hAnsi="Times New Roman" w:cs="Times New Roman"/>
        </w:rPr>
        <w:t xml:space="preserve">especially </w:t>
      </w:r>
      <w:r w:rsidR="00DD47F8" w:rsidRPr="009C2E9F">
        <w:rPr>
          <w:rFonts w:ascii="Times New Roman" w:hAnsi="Times New Roman" w:cs="Times New Roman"/>
        </w:rPr>
        <w:t>for the two periods</w:t>
      </w:r>
      <w:r w:rsidRPr="009C2E9F">
        <w:rPr>
          <w:rFonts w:ascii="Times New Roman" w:hAnsi="Times New Roman" w:cs="Times New Roman"/>
        </w:rPr>
        <w:t>.</w:t>
      </w:r>
      <w:r w:rsidR="00B524AA" w:rsidRPr="009C2E9F">
        <w:rPr>
          <w:rFonts w:ascii="Times New Roman" w:hAnsi="Times New Roman" w:cs="Times New Roman"/>
        </w:rPr>
        <w:t xml:space="preserve"> Impulse response function traces the dynamic response of variables to shocks</w:t>
      </w:r>
      <w:r w:rsidR="00515DB3" w:rsidRPr="009C2E9F">
        <w:rPr>
          <w:rFonts w:ascii="Times New Roman" w:hAnsi="Times New Roman" w:cs="Times New Roman"/>
        </w:rPr>
        <w:t>.</w:t>
      </w:r>
    </w:p>
    <w:p w14:paraId="45C8E67A" w14:textId="77777777" w:rsidR="007100A9" w:rsidRPr="009C2E9F" w:rsidRDefault="008D4883" w:rsidP="005A0249">
      <w:pPr>
        <w:pStyle w:val="Default"/>
        <w:spacing w:before="240" w:after="240"/>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j</m:t>
            </m:r>
            <m:r>
              <w:rPr>
                <w:rFonts w:ascii="Cambria Math" w:hAnsi="Cambria Math" w:cs="Times New Roman"/>
              </w:rPr>
              <m:t>=0</m:t>
            </m:r>
          </m:sub>
          <m:sup>
            <m:r>
              <w:rPr>
                <w:rFonts w:ascii="Cambria Math" w:hAnsi="Cambria Math" w:cs="Times New Roman"/>
              </w:rPr>
              <m:t>∞</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t</m:t>
                </m:r>
                <m:r>
                  <w:rPr>
                    <w:rFonts w:ascii="Cambria Math" w:hAnsi="Cambria Math" w:cs="Times New Roman"/>
                  </w:rPr>
                  <m:t>-</m:t>
                </m:r>
                <m:r>
                  <w:rPr>
                    <w:rFonts w:ascii="Cambria Math" w:hAnsi="Cambria Math" w:cs="Times New Roman"/>
                  </w:rPr>
                  <m:t>j</m:t>
                </m:r>
              </m:sub>
            </m:sSub>
          </m:e>
        </m:nary>
      </m:oMath>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r>
      <w:r w:rsidR="007100A9" w:rsidRPr="009C2E9F">
        <w:rPr>
          <w:rFonts w:ascii="Times New Roman" w:eastAsiaTheme="minorEastAsia" w:hAnsi="Times New Roman" w:cs="Times New Roman"/>
        </w:rPr>
        <w:tab/>
        <w:t>(8)</w:t>
      </w:r>
    </w:p>
    <w:p w14:paraId="473EAC1D" w14:textId="6FA94A6B" w:rsidR="007100A9" w:rsidRPr="009C2E9F" w:rsidRDefault="007100A9"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j</m:t>
            </m:r>
          </m:sub>
        </m:sSub>
      </m:oMath>
      <w:r w:rsidRPr="009C2E9F">
        <w:rPr>
          <w:rFonts w:ascii="Times New Roman" w:eastAsiaTheme="minorEastAsia" w:hAnsi="Times New Roman" w:cs="Times New Roman"/>
        </w:rPr>
        <w:t xml:space="preserve"> is the response variable at time t, </w:t>
      </w:r>
      <m:oMath>
        <m:sSub>
          <m:sSubPr>
            <m:ctrlPr>
              <w:rPr>
                <w:rFonts w:ascii="Cambria Math" w:eastAsiaTheme="minorEastAsia" w:hAnsi="Cambria Math" w:cs="Times New Roman"/>
                <w:i/>
              </w:rPr>
            </m:ctrlPr>
          </m:sSubPr>
          <m:e>
            <m:r>
              <w:rPr>
                <w:rFonts w:ascii="Cambria Math" w:eastAsiaTheme="minorEastAsia" w:hAnsi="Cambria Math" w:cs="Times New Roman"/>
              </w:rPr>
              <m:t>ε</m:t>
            </m:r>
          </m:e>
          <m:sub>
            <m:r>
              <w:rPr>
                <w:rFonts w:ascii="Cambria Math" w:eastAsiaTheme="minorEastAsia" w:hAnsi="Cambria Math" w:cs="Times New Roman"/>
              </w:rPr>
              <m:t>t</m:t>
            </m:r>
          </m:sub>
        </m:sSub>
      </m:oMath>
      <w:r w:rsidRPr="009C2E9F">
        <w:rPr>
          <w:rFonts w:ascii="Times New Roman" w:eastAsiaTheme="minorEastAsia" w:hAnsi="Times New Roman" w:cs="Times New Roman"/>
        </w:rPr>
        <w:t xml:space="preserve">is the shock to the system at time t,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oMath>
      <w:r w:rsidRPr="009C2E9F">
        <w:rPr>
          <w:rFonts w:ascii="Times New Roman" w:eastAsiaTheme="minorEastAsia" w:hAnsi="Times New Roman" w:cs="Times New Roman"/>
        </w:rPr>
        <w:t>is the impulse response coefficient for the j</w:t>
      </w:r>
      <w:r w:rsidRPr="009C2E9F">
        <w:rPr>
          <w:rFonts w:ascii="Times New Roman" w:eastAsiaTheme="minorEastAsia" w:hAnsi="Times New Roman" w:cs="Times New Roman"/>
          <w:vertAlign w:val="subscript"/>
        </w:rPr>
        <w:t>th</w:t>
      </w:r>
      <w:r w:rsidRPr="009C2E9F">
        <w:rPr>
          <w:rFonts w:ascii="Times New Roman" w:eastAsiaTheme="minorEastAsia" w:hAnsi="Times New Roman" w:cs="Times New Roman"/>
        </w:rPr>
        <w:t xml:space="preserve"> period</w:t>
      </w:r>
      <w:r w:rsidR="002B5CD7" w:rsidRPr="009C2E9F">
        <w:rPr>
          <w:rFonts w:ascii="Times New Roman" w:eastAsiaTheme="minorEastAsia" w:hAnsi="Times New Roman" w:cs="Times New Roman"/>
        </w:rPr>
        <w:t>.</w:t>
      </w:r>
    </w:p>
    <w:p w14:paraId="702DDC56" w14:textId="6FF090F4" w:rsidR="0047389F" w:rsidRPr="009C2E9F" w:rsidRDefault="00930A21" w:rsidP="005A0249">
      <w:pPr>
        <w:pStyle w:val="Default"/>
        <w:spacing w:before="240" w:after="240"/>
        <w:jc w:val="both"/>
        <w:rPr>
          <w:rFonts w:ascii="Times New Roman" w:hAnsi="Times New Roman" w:cs="Times New Roman"/>
          <w:b/>
          <w:bCs/>
          <w:color w:val="auto"/>
        </w:rPr>
      </w:pPr>
      <w:r w:rsidRPr="009C2E9F">
        <w:rPr>
          <w:rFonts w:ascii="Times New Roman" w:hAnsi="Times New Roman" w:cs="Times New Roman"/>
        </w:rPr>
        <w:t xml:space="preserve">Variance Decomposition is a VECM framework used it is used to determine the proportion of the forecast error variance of each variable that can be attributed to its own innovations and to shocks from other variables in the system. </w:t>
      </w:r>
      <w:r w:rsidR="0047389F" w:rsidRPr="009C2E9F">
        <w:rPr>
          <w:rFonts w:ascii="Times New Roman" w:hAnsi="Times New Roman" w:cs="Times New Roman"/>
        </w:rPr>
        <w:t>Variance decomposition provides information about the importance of shock in the explanation of fluctuations in the variables over time.</w:t>
      </w:r>
    </w:p>
    <w:p w14:paraId="3DBAB23B" w14:textId="54BF3C76" w:rsidR="00BB75D4" w:rsidRPr="009C2E9F" w:rsidRDefault="00BB75D4" w:rsidP="005A0249">
      <w:pPr>
        <w:pStyle w:val="Default"/>
        <w:spacing w:before="240" w:after="240"/>
        <w:jc w:val="both"/>
        <w:rPr>
          <w:rFonts w:ascii="Times New Roman" w:hAnsi="Times New Roman" w:cs="Times New Roman"/>
          <w:color w:val="auto"/>
          <w:shd w:val="clear" w:color="auto" w:fill="FFFFFF"/>
        </w:rPr>
      </w:pPr>
      <w:r w:rsidRPr="009C2E9F">
        <w:rPr>
          <w:rFonts w:ascii="Times New Roman" w:hAnsi="Times New Roman" w:cs="Times New Roman"/>
          <w:color w:val="auto"/>
          <w:shd w:val="clear" w:color="auto" w:fill="FFFFFF"/>
        </w:rPr>
        <w:t>The Akaike Information Criterion (AIC) is a statistical measure used for model selection that assesses a model's predictive accuracy</w:t>
      </w:r>
      <w:r w:rsidR="00E45CAF" w:rsidRPr="009C2E9F">
        <w:rPr>
          <w:rFonts w:ascii="Times New Roman" w:hAnsi="Times New Roman" w:cs="Times New Roman"/>
          <w:color w:val="auto"/>
          <w:shd w:val="clear" w:color="auto" w:fill="FFFFFF"/>
        </w:rPr>
        <w:t xml:space="preserve"> and goodness of fit </w:t>
      </w:r>
      <w:r w:rsidR="003D11A4" w:rsidRPr="009C2E9F">
        <w:rPr>
          <w:rFonts w:ascii="Times New Roman" w:hAnsi="Times New Roman" w:cs="Times New Roman"/>
          <w:color w:val="auto"/>
          <w:shd w:val="clear" w:color="auto" w:fill="FFFFFF"/>
        </w:rPr>
        <w:t xml:space="preserve">balancing functions </w:t>
      </w:r>
      <w:r w:rsidRPr="009C2E9F">
        <w:rPr>
          <w:rFonts w:ascii="Times New Roman" w:hAnsi="Times New Roman" w:cs="Times New Roman"/>
          <w:color w:val="auto"/>
          <w:shd w:val="clear" w:color="auto" w:fill="FFFFFF"/>
        </w:rPr>
        <w:t>against the complexity of the model, which is represented by the number of parameters. The model with the smallest AIC value is considered the best fit, as it indicates a good balance between explaining the data and not being overfit</w:t>
      </w:r>
      <w:r w:rsidR="00F0247A" w:rsidRPr="009C2E9F">
        <w:rPr>
          <w:rFonts w:ascii="Times New Roman" w:hAnsi="Times New Roman" w:cs="Times New Roman"/>
          <w:color w:val="auto"/>
          <w:shd w:val="clear" w:color="auto" w:fill="FFFFFF"/>
        </w:rPr>
        <w:t xml:space="preserve"> for the two periods</w:t>
      </w:r>
      <w:r w:rsidRPr="009C2E9F">
        <w:rPr>
          <w:rFonts w:ascii="Times New Roman" w:hAnsi="Times New Roman" w:cs="Times New Roman"/>
          <w:color w:val="auto"/>
          <w:shd w:val="clear" w:color="auto" w:fill="FFFFFF"/>
        </w:rPr>
        <w:t>.</w:t>
      </w:r>
    </w:p>
    <w:p w14:paraId="3E54549B" w14:textId="77777777" w:rsidR="00BB75D4" w:rsidRPr="009C2E9F" w:rsidRDefault="00BB75D4" w:rsidP="005A0249">
      <w:pPr>
        <w:pStyle w:val="Default"/>
        <w:spacing w:before="240" w:after="240"/>
        <w:jc w:val="both"/>
        <w:rPr>
          <w:rFonts w:ascii="Times New Roman" w:eastAsiaTheme="minorEastAsia" w:hAnsi="Times New Roman" w:cs="Times New Roman"/>
          <w:bCs/>
          <w:color w:val="auto"/>
        </w:rPr>
      </w:pPr>
      <w:r w:rsidRPr="009C2E9F">
        <w:rPr>
          <w:rFonts w:ascii="Times New Roman" w:hAnsi="Times New Roman" w:cs="Times New Roman"/>
          <w:bCs/>
          <w:color w:val="auto"/>
        </w:rPr>
        <w:t>The basic formula is</w:t>
      </w:r>
    </w:p>
    <w:p w14:paraId="443E899D" w14:textId="77777777" w:rsidR="00BB75D4" w:rsidRPr="009C2E9F" w:rsidRDefault="00BB75D4" w:rsidP="005A0249">
      <w:pPr>
        <w:pStyle w:val="Default"/>
        <w:spacing w:before="240" w:after="240"/>
        <w:jc w:val="both"/>
        <w:rPr>
          <w:rFonts w:ascii="Times New Roman" w:eastAsiaTheme="minorEastAsia" w:hAnsi="Times New Roman" w:cs="Times New Roman"/>
          <w:bCs/>
          <w:color w:val="auto"/>
        </w:rPr>
      </w:pPr>
      <m:oMath>
        <m:r>
          <w:rPr>
            <w:rFonts w:ascii="Cambria Math" w:hAnsi="Cambria Math" w:cs="Times New Roman"/>
            <w:color w:val="auto"/>
          </w:rPr>
          <m:t xml:space="preserve"> AIC=2k-2</m:t>
        </m:r>
        <m:r>
          <m:rPr>
            <m:sty m:val="p"/>
          </m:rPr>
          <w:rPr>
            <w:rFonts w:ascii="Cambria Math" w:hAnsi="Cambria Math" w:cs="Times New Roman"/>
            <w:color w:val="auto"/>
          </w:rPr>
          <m:t>ln⁡</m:t>
        </m:r>
        <m:r>
          <w:rPr>
            <w:rFonts w:ascii="Cambria Math" w:hAnsi="Cambria Math" w:cs="Times New Roman"/>
            <w:color w:val="auto"/>
          </w:rPr>
          <m:t>(</m:t>
        </m:r>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r>
          <w:rPr>
            <w:rFonts w:ascii="Cambria Math" w:hAnsi="Cambria Math" w:cs="Times New Roman"/>
            <w:color w:val="auto"/>
          </w:rPr>
          <m:t>)</m:t>
        </m:r>
      </m:oMath>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r>
      <w:r w:rsidRPr="009C2E9F">
        <w:rPr>
          <w:rFonts w:ascii="Times New Roman" w:eastAsiaTheme="minorEastAsia" w:hAnsi="Times New Roman" w:cs="Times New Roman"/>
          <w:color w:val="auto"/>
        </w:rPr>
        <w:tab/>
        <w:t>(9)</w:t>
      </w:r>
    </w:p>
    <w:p w14:paraId="524BD1EC" w14:textId="1850C8AB" w:rsidR="00BB75D4" w:rsidRPr="009C2E9F" w:rsidRDefault="00732F60" w:rsidP="005A0249">
      <w:pPr>
        <w:pStyle w:val="Default"/>
        <w:spacing w:before="240" w:after="240"/>
        <w:jc w:val="both"/>
        <w:rPr>
          <w:rFonts w:ascii="Times New Roman" w:eastAsiaTheme="minorEastAsia" w:hAnsi="Times New Roman" w:cs="Times New Roman"/>
          <w:bCs/>
          <w:color w:val="auto"/>
        </w:rPr>
      </w:pPr>
      <w:r w:rsidRPr="009C2E9F">
        <w:rPr>
          <w:rFonts w:ascii="Times New Roman" w:eastAsiaTheme="minorEastAsia" w:hAnsi="Times New Roman" w:cs="Times New Roman"/>
          <w:bCs/>
          <w:color w:val="auto"/>
        </w:rPr>
        <w:t>W</w:t>
      </w:r>
      <w:r w:rsidR="00BB75D4" w:rsidRPr="009C2E9F">
        <w:rPr>
          <w:rFonts w:ascii="Times New Roman" w:eastAsiaTheme="minorEastAsia" w:hAnsi="Times New Roman" w:cs="Times New Roman"/>
          <w:bCs/>
          <w:color w:val="auto"/>
        </w:rPr>
        <w:t>here</w:t>
      </w:r>
      <w:r w:rsidRPr="009C2E9F">
        <w:rPr>
          <w:rFonts w:ascii="Times New Roman" w:eastAsiaTheme="minorEastAsia" w:hAnsi="Times New Roman" w:cs="Times New Roman"/>
          <w:bCs/>
          <w:color w:val="auto"/>
        </w:rPr>
        <w:t xml:space="preserve"> </w:t>
      </w:r>
      <w:r w:rsidR="00BB75D4" w:rsidRPr="009C2E9F">
        <w:rPr>
          <w:rFonts w:ascii="Times New Roman" w:eastAsiaTheme="minorEastAsia" w:hAnsi="Times New Roman" w:cs="Times New Roman"/>
          <w:bCs/>
          <w:color w:val="auto"/>
        </w:rPr>
        <w:t xml:space="preserve">k is the number of parameters, </w:t>
      </w:r>
      <m:oMath>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oMath>
      <w:r w:rsidR="00BB75D4" w:rsidRPr="009C2E9F">
        <w:rPr>
          <w:rFonts w:ascii="Times New Roman" w:hAnsi="Times New Roman" w:cs="Times New Roman"/>
          <w:bCs/>
          <w:color w:val="auto"/>
        </w:rPr>
        <w:t xml:space="preserve"> is the maximum value of the likelihood function </w:t>
      </w:r>
    </w:p>
    <w:p w14:paraId="41C11D01" w14:textId="4F3F4B64" w:rsidR="00BB75D4" w:rsidRPr="009C2E9F" w:rsidRDefault="00BB75D4" w:rsidP="005A0249">
      <w:pPr>
        <w:pStyle w:val="Default"/>
        <w:spacing w:before="240" w:after="240"/>
        <w:jc w:val="both"/>
        <w:rPr>
          <w:rStyle w:val="uv3um"/>
          <w:rFonts w:ascii="Times New Roman" w:hAnsi="Times New Roman" w:cs="Times New Roman"/>
          <w:color w:val="auto"/>
          <w:shd w:val="clear" w:color="auto" w:fill="FFFFFF"/>
        </w:rPr>
      </w:pPr>
      <w:r w:rsidRPr="009C2E9F">
        <w:rPr>
          <w:rFonts w:ascii="Times New Roman" w:hAnsi="Times New Roman" w:cs="Times New Roman"/>
          <w:color w:val="auto"/>
          <w:shd w:val="clear" w:color="auto" w:fill="FFFFFF"/>
        </w:rPr>
        <w:t>The Bayesian Information Criterion (BIC) is a statistical technique used in model selection that balances a model's goodness-of-fit with its complexity. To choose the best model, one selects the model with the lowest BIC value, which is calculated by penalizing models with more parameters, especially in the context of a larger number of observations</w:t>
      </w:r>
      <w:r w:rsidR="00E55C87" w:rsidRPr="009C2E9F">
        <w:rPr>
          <w:rFonts w:ascii="Times New Roman" w:hAnsi="Times New Roman" w:cs="Times New Roman"/>
          <w:color w:val="auto"/>
          <w:shd w:val="clear" w:color="auto" w:fill="FFFFFF"/>
        </w:rPr>
        <w:t xml:space="preserve"> for the two periods</w:t>
      </w:r>
      <w:r w:rsidRPr="009C2E9F">
        <w:rPr>
          <w:rFonts w:ascii="Times New Roman" w:hAnsi="Times New Roman" w:cs="Times New Roman"/>
          <w:color w:val="auto"/>
          <w:shd w:val="clear" w:color="auto" w:fill="FFFFFF"/>
        </w:rPr>
        <w:t>. </w:t>
      </w:r>
    </w:p>
    <w:p w14:paraId="1C84D7AE" w14:textId="77777777" w:rsidR="00401AC4" w:rsidRDefault="00401AC4" w:rsidP="005A0249">
      <w:pPr>
        <w:pStyle w:val="Default"/>
        <w:spacing w:before="240" w:after="240"/>
        <w:jc w:val="both"/>
        <w:rPr>
          <w:rStyle w:val="uv3um"/>
          <w:rFonts w:ascii="Times New Roman" w:hAnsi="Times New Roman" w:cs="Times New Roman"/>
          <w:color w:val="auto"/>
          <w:shd w:val="clear" w:color="auto" w:fill="FFFFFF"/>
        </w:rPr>
      </w:pPr>
    </w:p>
    <w:p w14:paraId="28829A23" w14:textId="78DEF5B3" w:rsidR="00BB75D4" w:rsidRPr="009C2E9F" w:rsidRDefault="00BB75D4" w:rsidP="005A0249">
      <w:pPr>
        <w:pStyle w:val="Default"/>
        <w:spacing w:before="240" w:after="240"/>
        <w:jc w:val="both"/>
        <w:rPr>
          <w:rStyle w:val="uv3um"/>
          <w:rFonts w:ascii="Times New Roman" w:hAnsi="Times New Roman" w:cs="Times New Roman"/>
          <w:color w:val="auto"/>
          <w:shd w:val="clear" w:color="auto" w:fill="FFFFFF"/>
        </w:rPr>
      </w:pPr>
      <w:r w:rsidRPr="009C2E9F">
        <w:rPr>
          <w:rStyle w:val="uv3um"/>
          <w:rFonts w:ascii="Times New Roman" w:hAnsi="Times New Roman" w:cs="Times New Roman"/>
          <w:color w:val="auto"/>
          <w:shd w:val="clear" w:color="auto" w:fill="FFFFFF"/>
        </w:rPr>
        <w:t xml:space="preserve">The basic formula is </w:t>
      </w:r>
    </w:p>
    <w:p w14:paraId="35600456" w14:textId="77777777" w:rsidR="00BB75D4" w:rsidRPr="009C2E9F" w:rsidRDefault="00BB75D4" w:rsidP="005A0249">
      <w:pPr>
        <w:pStyle w:val="Default"/>
        <w:spacing w:before="240" w:after="240"/>
        <w:jc w:val="both"/>
        <w:rPr>
          <w:rStyle w:val="uv3um"/>
          <w:rFonts w:ascii="Times New Roman" w:eastAsiaTheme="minorEastAsia" w:hAnsi="Times New Roman" w:cs="Times New Roman"/>
          <w:color w:val="auto"/>
          <w:shd w:val="clear" w:color="auto" w:fill="FFFFFF"/>
        </w:rPr>
      </w:pPr>
      <m:oMath>
        <m:r>
          <w:rPr>
            <w:rStyle w:val="uv3um"/>
            <w:rFonts w:ascii="Cambria Math" w:hAnsi="Cambria Math" w:cs="Times New Roman"/>
            <w:color w:val="auto"/>
            <w:shd w:val="clear" w:color="auto" w:fill="FFFFFF"/>
          </w:rPr>
          <m:t>BIC=kln</m:t>
        </m:r>
        <m:d>
          <m:dPr>
            <m:ctrlPr>
              <w:rPr>
                <w:rStyle w:val="uv3um"/>
                <w:rFonts w:ascii="Cambria Math" w:hAnsi="Cambria Math" w:cs="Times New Roman"/>
                <w:i/>
                <w:color w:val="auto"/>
                <w:shd w:val="clear" w:color="auto" w:fill="FFFFFF"/>
              </w:rPr>
            </m:ctrlPr>
          </m:dPr>
          <m:e>
            <m:r>
              <w:rPr>
                <w:rStyle w:val="uv3um"/>
                <w:rFonts w:ascii="Cambria Math" w:hAnsi="Cambria Math" w:cs="Times New Roman"/>
                <w:color w:val="auto"/>
                <w:shd w:val="clear" w:color="auto" w:fill="FFFFFF"/>
              </w:rPr>
              <m:t>n</m:t>
            </m:r>
          </m:e>
        </m:d>
        <m:r>
          <w:rPr>
            <w:rStyle w:val="uv3um"/>
            <w:rFonts w:ascii="Cambria Math" w:hAnsi="Cambria Math" w:cs="Times New Roman"/>
            <w:color w:val="auto"/>
            <w:shd w:val="clear" w:color="auto" w:fill="FFFFFF"/>
          </w:rPr>
          <m:t>-2</m:t>
        </m:r>
        <m:func>
          <m:funcPr>
            <m:ctrlPr>
              <w:rPr>
                <w:rStyle w:val="uv3um"/>
                <w:rFonts w:ascii="Cambria Math" w:hAnsi="Cambria Math" w:cs="Times New Roman"/>
                <w:color w:val="auto"/>
                <w:shd w:val="clear" w:color="auto" w:fill="FFFFFF"/>
              </w:rPr>
            </m:ctrlPr>
          </m:funcPr>
          <m:fName>
            <m:r>
              <m:rPr>
                <m:sty m:val="p"/>
              </m:rPr>
              <w:rPr>
                <w:rStyle w:val="uv3um"/>
                <w:rFonts w:ascii="Cambria Math" w:hAnsi="Cambria Math" w:cs="Times New Roman"/>
                <w:color w:val="auto"/>
                <w:shd w:val="clear" w:color="auto" w:fill="FFFFFF"/>
              </w:rPr>
              <m:t>ln</m:t>
            </m:r>
          </m:fName>
          <m:e>
            <m:d>
              <m:dPr>
                <m:ctrlPr>
                  <w:rPr>
                    <w:rStyle w:val="uv3um"/>
                    <w:rFonts w:ascii="Cambria Math" w:hAnsi="Cambria Math" w:cs="Times New Roman"/>
                    <w:i/>
                    <w:color w:val="auto"/>
                    <w:shd w:val="clear" w:color="auto" w:fill="FFFFFF"/>
                  </w:rPr>
                </m:ctrlPr>
              </m:dPr>
              <m:e>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e>
            </m:d>
            <m:ctrlPr>
              <w:rPr>
                <w:rStyle w:val="uv3um"/>
                <w:rFonts w:ascii="Cambria Math" w:hAnsi="Cambria Math" w:cs="Times New Roman"/>
                <w:i/>
                <w:color w:val="auto"/>
                <w:shd w:val="clear" w:color="auto" w:fill="FFFFFF"/>
              </w:rPr>
            </m:ctrlPr>
          </m:e>
        </m:func>
      </m:oMath>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r>
      <w:r w:rsidRPr="009C2E9F">
        <w:rPr>
          <w:rStyle w:val="uv3um"/>
          <w:rFonts w:ascii="Times New Roman" w:eastAsiaTheme="minorEastAsia" w:hAnsi="Times New Roman" w:cs="Times New Roman"/>
          <w:color w:val="auto"/>
          <w:shd w:val="clear" w:color="auto" w:fill="FFFFFF"/>
        </w:rPr>
        <w:tab/>
        <w:t>(10)</w:t>
      </w:r>
    </w:p>
    <w:p w14:paraId="5A2844F1" w14:textId="3ED55015" w:rsidR="00824DA6" w:rsidRPr="009C2E9F" w:rsidRDefault="00692558" w:rsidP="005A0249">
      <w:pPr>
        <w:pStyle w:val="Default"/>
        <w:spacing w:before="240" w:after="240"/>
        <w:jc w:val="both"/>
        <w:rPr>
          <w:rFonts w:ascii="Times New Roman" w:eastAsiaTheme="minorEastAsia" w:hAnsi="Times New Roman" w:cs="Times New Roman"/>
          <w:bCs/>
          <w:color w:val="auto"/>
        </w:rPr>
      </w:pPr>
      <w:r w:rsidRPr="009C2E9F">
        <w:rPr>
          <w:rFonts w:ascii="Times New Roman" w:eastAsiaTheme="minorEastAsia" w:hAnsi="Times New Roman" w:cs="Times New Roman"/>
          <w:bCs/>
          <w:color w:val="auto"/>
        </w:rPr>
        <w:t>W</w:t>
      </w:r>
      <w:r w:rsidR="00BB75D4" w:rsidRPr="009C2E9F">
        <w:rPr>
          <w:rFonts w:ascii="Times New Roman" w:eastAsiaTheme="minorEastAsia" w:hAnsi="Times New Roman" w:cs="Times New Roman"/>
          <w:bCs/>
          <w:color w:val="auto"/>
        </w:rPr>
        <w:t>here</w:t>
      </w:r>
      <w:r w:rsidRPr="009C2E9F">
        <w:rPr>
          <w:rFonts w:ascii="Times New Roman" w:eastAsiaTheme="minorEastAsia" w:hAnsi="Times New Roman" w:cs="Times New Roman"/>
          <w:bCs/>
          <w:color w:val="auto"/>
        </w:rPr>
        <w:t xml:space="preserve"> </w:t>
      </w:r>
      <w:r w:rsidR="00BB75D4" w:rsidRPr="009C2E9F">
        <w:rPr>
          <w:rFonts w:ascii="Times New Roman" w:eastAsiaTheme="minorEastAsia" w:hAnsi="Times New Roman" w:cs="Times New Roman"/>
          <w:bCs/>
          <w:color w:val="auto"/>
        </w:rPr>
        <w:t>k is the number of parameters in the model, n is the number of observations</w:t>
      </w:r>
      <w:r w:rsidRPr="009C2E9F">
        <w:rPr>
          <w:rFonts w:ascii="Times New Roman" w:eastAsiaTheme="minorEastAsia" w:hAnsi="Times New Roman" w:cs="Times New Roman"/>
          <w:bCs/>
          <w:color w:val="auto"/>
        </w:rPr>
        <w:t xml:space="preserve">, </w:t>
      </w:r>
      <m:oMath>
        <m:acc>
          <m:accPr>
            <m:ctrlPr>
              <w:rPr>
                <w:rStyle w:val="uv3um"/>
                <w:rFonts w:ascii="Cambria Math" w:hAnsi="Cambria Math" w:cs="Times New Roman"/>
                <w:i/>
                <w:color w:val="auto"/>
                <w:shd w:val="clear" w:color="auto" w:fill="FFFFFF"/>
              </w:rPr>
            </m:ctrlPr>
          </m:accPr>
          <m:e>
            <m:r>
              <w:rPr>
                <w:rStyle w:val="uv3um"/>
                <w:rFonts w:ascii="Cambria Math" w:hAnsi="Cambria Math" w:cs="Times New Roman"/>
                <w:color w:val="auto"/>
                <w:shd w:val="clear" w:color="auto" w:fill="FFFFFF"/>
              </w:rPr>
              <m:t>L</m:t>
            </m:r>
          </m:e>
        </m:acc>
      </m:oMath>
      <w:r w:rsidR="00BB75D4" w:rsidRPr="009C2E9F">
        <w:rPr>
          <w:rStyle w:val="uv3um"/>
          <w:rFonts w:ascii="Times New Roman" w:eastAsiaTheme="minorEastAsia" w:hAnsi="Times New Roman" w:cs="Times New Roman"/>
          <w:color w:val="auto"/>
          <w:shd w:val="clear" w:color="auto" w:fill="FFFFFF"/>
        </w:rPr>
        <w:t xml:space="preserve"> is the maximum value of the likelihood function for the model.</w:t>
      </w:r>
    </w:p>
    <w:p w14:paraId="4C98EA06" w14:textId="4BD8E078" w:rsidR="002B5CD7" w:rsidRPr="003968F6" w:rsidRDefault="009F7456" w:rsidP="005A0249">
      <w:pPr>
        <w:pStyle w:val="Default"/>
        <w:spacing w:before="240" w:after="240"/>
        <w:jc w:val="both"/>
        <w:rPr>
          <w:rFonts w:ascii="Times New Roman" w:hAnsi="Times New Roman" w:cs="Times New Roman"/>
          <w:b/>
          <w:bCs/>
          <w:color w:val="auto"/>
          <w:sz w:val="28"/>
          <w:szCs w:val="28"/>
        </w:rPr>
      </w:pPr>
      <w:r w:rsidRPr="003968F6">
        <w:rPr>
          <w:rFonts w:ascii="Times New Roman" w:hAnsi="Times New Roman" w:cs="Times New Roman"/>
          <w:b/>
          <w:bCs/>
          <w:color w:val="auto"/>
          <w:sz w:val="28"/>
          <w:szCs w:val="28"/>
        </w:rPr>
        <w:lastRenderedPageBreak/>
        <w:t>RESULTS AND DISCUSSION</w:t>
      </w:r>
    </w:p>
    <w:p w14:paraId="0C6A9E86" w14:textId="15798DB2" w:rsidR="009F7456" w:rsidRPr="009C2E9F" w:rsidRDefault="00262D50" w:rsidP="005A0249">
      <w:pPr>
        <w:pStyle w:val="Default"/>
        <w:spacing w:before="240" w:after="240"/>
        <w:jc w:val="both"/>
        <w:rPr>
          <w:rFonts w:ascii="Times New Roman" w:eastAsiaTheme="minorEastAsia" w:hAnsi="Times New Roman" w:cs="Times New Roman"/>
          <w:b/>
          <w:bCs/>
        </w:rPr>
      </w:pPr>
      <w:r w:rsidRPr="009C2E9F">
        <w:rPr>
          <w:rFonts w:ascii="Times New Roman" w:eastAsiaTheme="minorEastAsia" w:hAnsi="Times New Roman" w:cs="Times New Roman"/>
          <w:b/>
          <w:bCs/>
        </w:rPr>
        <w:t>RESULTS AND DISCUSSION ON PRE-COVID 19 ANALYSIS</w:t>
      </w:r>
    </w:p>
    <w:p w14:paraId="3EB47DF4"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lang w:val="en-IN" w:eastAsia="en-IN"/>
        </w:rPr>
        <w:drawing>
          <wp:inline distT="0" distB="0" distL="0" distR="0" wp14:anchorId="629C86AF" wp14:editId="48270677">
            <wp:extent cx="5942858" cy="2031224"/>
            <wp:effectExtent l="0" t="0" r="127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1538" cy="2034191"/>
                    </a:xfrm>
                    <a:prstGeom prst="rect">
                      <a:avLst/>
                    </a:prstGeom>
                    <a:noFill/>
                    <a:ln>
                      <a:noFill/>
                    </a:ln>
                  </pic:spPr>
                </pic:pic>
              </a:graphicData>
            </a:graphic>
          </wp:inline>
        </w:drawing>
      </w:r>
    </w:p>
    <w:p w14:paraId="2D50BF66" w14:textId="1E791851"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Figure 1: Trend Analysis</w:t>
      </w:r>
      <w:r w:rsidR="00FA6CBD" w:rsidRPr="009C2E9F">
        <w:rPr>
          <w:rFonts w:ascii="Times New Roman" w:hAnsi="Times New Roman" w:cs="Times New Roman"/>
          <w:sz w:val="24"/>
          <w:szCs w:val="24"/>
        </w:rPr>
        <w:t xml:space="preserve"> of the Pre-COVID 19</w:t>
      </w:r>
    </w:p>
    <w:p w14:paraId="0DCB8A05" w14:textId="41E30005"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1: Descriptive Analysis</w:t>
      </w:r>
    </w:p>
    <w:tbl>
      <w:tblPr>
        <w:tblStyle w:val="LightShading1"/>
        <w:tblW w:w="0" w:type="auto"/>
        <w:tblLook w:val="04A0" w:firstRow="1" w:lastRow="0" w:firstColumn="1" w:lastColumn="0" w:noHBand="0" w:noVBand="1"/>
      </w:tblPr>
      <w:tblGrid>
        <w:gridCol w:w="1537"/>
        <w:gridCol w:w="1317"/>
        <w:gridCol w:w="1290"/>
        <w:gridCol w:w="1320"/>
        <w:gridCol w:w="1294"/>
        <w:gridCol w:w="1356"/>
        <w:gridCol w:w="1236"/>
      </w:tblGrid>
      <w:tr w:rsidR="005C7F63" w:rsidRPr="009C2E9F" w14:paraId="5E3667B1"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547A8CC0"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Statistics</w:t>
            </w:r>
          </w:p>
        </w:tc>
        <w:tc>
          <w:tcPr>
            <w:tcW w:w="1317" w:type="dxa"/>
            <w:shd w:val="clear" w:color="auto" w:fill="auto"/>
          </w:tcPr>
          <w:p w14:paraId="7C767EA8"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p>
        </w:tc>
        <w:tc>
          <w:tcPr>
            <w:tcW w:w="1290" w:type="dxa"/>
            <w:shd w:val="clear" w:color="auto" w:fill="auto"/>
          </w:tcPr>
          <w:p w14:paraId="68E5FC39"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p>
        </w:tc>
        <w:tc>
          <w:tcPr>
            <w:tcW w:w="1320" w:type="dxa"/>
            <w:shd w:val="clear" w:color="auto" w:fill="auto"/>
          </w:tcPr>
          <w:p w14:paraId="5A0A0706"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p>
        </w:tc>
        <w:tc>
          <w:tcPr>
            <w:tcW w:w="1294" w:type="dxa"/>
            <w:shd w:val="clear" w:color="auto" w:fill="auto"/>
          </w:tcPr>
          <w:p w14:paraId="4DBC55BC"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p>
        </w:tc>
        <w:tc>
          <w:tcPr>
            <w:tcW w:w="1356" w:type="dxa"/>
            <w:shd w:val="clear" w:color="auto" w:fill="auto"/>
          </w:tcPr>
          <w:p w14:paraId="4D31DDFF"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p>
        </w:tc>
        <w:tc>
          <w:tcPr>
            <w:tcW w:w="1236" w:type="dxa"/>
            <w:shd w:val="clear" w:color="auto" w:fill="auto"/>
          </w:tcPr>
          <w:p w14:paraId="0D1E4B2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p>
        </w:tc>
      </w:tr>
      <w:tr w:rsidR="005C7F63" w:rsidRPr="009C2E9F" w14:paraId="7B22F66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6834DE8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Mean</w:t>
            </w:r>
          </w:p>
        </w:tc>
        <w:tc>
          <w:tcPr>
            <w:tcW w:w="1317" w:type="dxa"/>
            <w:shd w:val="clear" w:color="auto" w:fill="auto"/>
          </w:tcPr>
          <w:p w14:paraId="4F4A744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13.413</w:t>
            </w:r>
          </w:p>
        </w:tc>
        <w:tc>
          <w:tcPr>
            <w:tcW w:w="1290" w:type="dxa"/>
            <w:shd w:val="clear" w:color="auto" w:fill="auto"/>
          </w:tcPr>
          <w:p w14:paraId="765AC1D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18.358</w:t>
            </w:r>
          </w:p>
        </w:tc>
        <w:tc>
          <w:tcPr>
            <w:tcW w:w="1320" w:type="dxa"/>
            <w:shd w:val="clear" w:color="auto" w:fill="auto"/>
          </w:tcPr>
          <w:p w14:paraId="12CA77D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417.321</w:t>
            </w:r>
          </w:p>
        </w:tc>
        <w:tc>
          <w:tcPr>
            <w:tcW w:w="1294" w:type="dxa"/>
            <w:shd w:val="clear" w:color="auto" w:fill="auto"/>
          </w:tcPr>
          <w:p w14:paraId="7C6387B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11.249</w:t>
            </w:r>
          </w:p>
        </w:tc>
        <w:tc>
          <w:tcPr>
            <w:tcW w:w="1356" w:type="dxa"/>
            <w:shd w:val="clear" w:color="auto" w:fill="auto"/>
          </w:tcPr>
          <w:p w14:paraId="115B05F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2.795</w:t>
            </w:r>
          </w:p>
        </w:tc>
        <w:tc>
          <w:tcPr>
            <w:tcW w:w="1236" w:type="dxa"/>
            <w:shd w:val="clear" w:color="auto" w:fill="auto"/>
          </w:tcPr>
          <w:p w14:paraId="6C00F0C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2689.269</w:t>
            </w:r>
          </w:p>
        </w:tc>
      </w:tr>
      <w:tr w:rsidR="005C7F63" w:rsidRPr="009C2E9F" w14:paraId="2612703B"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07530F0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Median</w:t>
            </w:r>
          </w:p>
        </w:tc>
        <w:tc>
          <w:tcPr>
            <w:tcW w:w="1317" w:type="dxa"/>
            <w:shd w:val="clear" w:color="auto" w:fill="auto"/>
          </w:tcPr>
          <w:p w14:paraId="1873678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6.039</w:t>
            </w:r>
          </w:p>
        </w:tc>
        <w:tc>
          <w:tcPr>
            <w:tcW w:w="1290" w:type="dxa"/>
            <w:shd w:val="clear" w:color="auto" w:fill="auto"/>
          </w:tcPr>
          <w:p w14:paraId="1E56F7B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18.109</w:t>
            </w:r>
          </w:p>
        </w:tc>
        <w:tc>
          <w:tcPr>
            <w:tcW w:w="1320" w:type="dxa"/>
            <w:shd w:val="clear" w:color="auto" w:fill="auto"/>
          </w:tcPr>
          <w:p w14:paraId="096ADDC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332.189</w:t>
            </w:r>
          </w:p>
        </w:tc>
        <w:tc>
          <w:tcPr>
            <w:tcW w:w="1294" w:type="dxa"/>
            <w:shd w:val="clear" w:color="auto" w:fill="auto"/>
          </w:tcPr>
          <w:p w14:paraId="63CA3BF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11.213</w:t>
            </w:r>
          </w:p>
        </w:tc>
        <w:tc>
          <w:tcPr>
            <w:tcW w:w="1356" w:type="dxa"/>
            <w:shd w:val="clear" w:color="auto" w:fill="auto"/>
          </w:tcPr>
          <w:p w14:paraId="606C0A9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1.339</w:t>
            </w:r>
          </w:p>
        </w:tc>
        <w:tc>
          <w:tcPr>
            <w:tcW w:w="1236" w:type="dxa"/>
            <w:shd w:val="clear" w:color="auto" w:fill="auto"/>
          </w:tcPr>
          <w:p w14:paraId="2BDF06B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879.995</w:t>
            </w:r>
          </w:p>
        </w:tc>
      </w:tr>
      <w:tr w:rsidR="005C7F63" w:rsidRPr="009C2E9F" w14:paraId="6BAE004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2C684CA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Maximum</w:t>
            </w:r>
          </w:p>
        </w:tc>
        <w:tc>
          <w:tcPr>
            <w:tcW w:w="1317" w:type="dxa"/>
            <w:shd w:val="clear" w:color="auto" w:fill="auto"/>
          </w:tcPr>
          <w:p w14:paraId="38520FA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83.877</w:t>
            </w:r>
          </w:p>
        </w:tc>
        <w:tc>
          <w:tcPr>
            <w:tcW w:w="1290" w:type="dxa"/>
            <w:shd w:val="clear" w:color="auto" w:fill="auto"/>
          </w:tcPr>
          <w:p w14:paraId="3F2FDAE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27.463</w:t>
            </w:r>
          </w:p>
        </w:tc>
        <w:tc>
          <w:tcPr>
            <w:tcW w:w="1320" w:type="dxa"/>
            <w:shd w:val="clear" w:color="auto" w:fill="auto"/>
          </w:tcPr>
          <w:p w14:paraId="29EDAA3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1111.388</w:t>
            </w:r>
          </w:p>
        </w:tc>
        <w:tc>
          <w:tcPr>
            <w:tcW w:w="1294" w:type="dxa"/>
            <w:shd w:val="clear" w:color="auto" w:fill="auto"/>
          </w:tcPr>
          <w:p w14:paraId="1DA7886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16.807</w:t>
            </w:r>
          </w:p>
        </w:tc>
        <w:tc>
          <w:tcPr>
            <w:tcW w:w="1356" w:type="dxa"/>
            <w:shd w:val="clear" w:color="auto" w:fill="auto"/>
          </w:tcPr>
          <w:p w14:paraId="3F278B8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22.554</w:t>
            </w:r>
          </w:p>
        </w:tc>
        <w:tc>
          <w:tcPr>
            <w:tcW w:w="1236" w:type="dxa"/>
            <w:shd w:val="clear" w:color="auto" w:fill="auto"/>
          </w:tcPr>
          <w:p w14:paraId="6B20FD9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18375.800</w:t>
            </w:r>
          </w:p>
        </w:tc>
      </w:tr>
      <w:tr w:rsidR="005C7F63" w:rsidRPr="009C2E9F" w14:paraId="55AA09C7"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0D4E2720"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Minimum</w:t>
            </w:r>
          </w:p>
        </w:tc>
        <w:tc>
          <w:tcPr>
            <w:tcW w:w="1317" w:type="dxa"/>
            <w:shd w:val="clear" w:color="auto" w:fill="auto"/>
          </w:tcPr>
          <w:p w14:paraId="0A3F9D1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0.309</w:t>
            </w:r>
          </w:p>
        </w:tc>
        <w:tc>
          <w:tcPr>
            <w:tcW w:w="1290" w:type="dxa"/>
            <w:shd w:val="clear" w:color="auto" w:fill="auto"/>
          </w:tcPr>
          <w:p w14:paraId="45794F9F"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11.547</w:t>
            </w:r>
          </w:p>
        </w:tc>
        <w:tc>
          <w:tcPr>
            <w:tcW w:w="1320" w:type="dxa"/>
            <w:shd w:val="clear" w:color="auto" w:fill="auto"/>
          </w:tcPr>
          <w:p w14:paraId="59F0545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99.348</w:t>
            </w:r>
          </w:p>
        </w:tc>
        <w:tc>
          <w:tcPr>
            <w:tcW w:w="1294" w:type="dxa"/>
            <w:shd w:val="clear" w:color="auto" w:fill="auto"/>
          </w:tcPr>
          <w:p w14:paraId="73DF5AD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5.709</w:t>
            </w:r>
          </w:p>
        </w:tc>
        <w:tc>
          <w:tcPr>
            <w:tcW w:w="1356" w:type="dxa"/>
            <w:shd w:val="clear" w:color="auto" w:fill="auto"/>
          </w:tcPr>
          <w:p w14:paraId="5AAC41B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0.023</w:t>
            </w:r>
          </w:p>
        </w:tc>
        <w:tc>
          <w:tcPr>
            <w:tcW w:w="1236" w:type="dxa"/>
            <w:shd w:val="clear" w:color="auto" w:fill="auto"/>
          </w:tcPr>
          <w:p w14:paraId="1D620D6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42.235</w:t>
            </w:r>
          </w:p>
        </w:tc>
      </w:tr>
      <w:tr w:rsidR="005C7F63" w:rsidRPr="009C2E9F" w14:paraId="733C6CB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74608C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Std. Dev.</w:t>
            </w:r>
          </w:p>
        </w:tc>
        <w:tc>
          <w:tcPr>
            <w:tcW w:w="1317" w:type="dxa"/>
            <w:shd w:val="clear" w:color="auto" w:fill="auto"/>
          </w:tcPr>
          <w:p w14:paraId="54CCCE2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16.960</w:t>
            </w:r>
          </w:p>
        </w:tc>
        <w:tc>
          <w:tcPr>
            <w:tcW w:w="1290" w:type="dxa"/>
            <w:shd w:val="clear" w:color="auto" w:fill="auto"/>
          </w:tcPr>
          <w:p w14:paraId="500DB02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2.845</w:t>
            </w:r>
          </w:p>
        </w:tc>
        <w:tc>
          <w:tcPr>
            <w:tcW w:w="1320" w:type="dxa"/>
            <w:shd w:val="clear" w:color="auto" w:fill="auto"/>
          </w:tcPr>
          <w:p w14:paraId="382C411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277.446</w:t>
            </w:r>
          </w:p>
        </w:tc>
        <w:tc>
          <w:tcPr>
            <w:tcW w:w="1294" w:type="dxa"/>
            <w:shd w:val="clear" w:color="auto" w:fill="auto"/>
          </w:tcPr>
          <w:p w14:paraId="14C985D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1.864</w:t>
            </w:r>
          </w:p>
        </w:tc>
        <w:tc>
          <w:tcPr>
            <w:tcW w:w="1356" w:type="dxa"/>
            <w:shd w:val="clear" w:color="auto" w:fill="auto"/>
          </w:tcPr>
          <w:p w14:paraId="1220605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3.573</w:t>
            </w:r>
          </w:p>
        </w:tc>
        <w:tc>
          <w:tcPr>
            <w:tcW w:w="1236" w:type="dxa"/>
            <w:shd w:val="clear" w:color="auto" w:fill="auto"/>
          </w:tcPr>
          <w:p w14:paraId="7F1C141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3713.371</w:t>
            </w:r>
          </w:p>
        </w:tc>
      </w:tr>
      <w:tr w:rsidR="005C7F63" w:rsidRPr="009C2E9F" w14:paraId="451CC7C9"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023436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Skewness</w:t>
            </w:r>
          </w:p>
        </w:tc>
        <w:tc>
          <w:tcPr>
            <w:tcW w:w="1317" w:type="dxa"/>
            <w:shd w:val="clear" w:color="auto" w:fill="auto"/>
          </w:tcPr>
          <w:p w14:paraId="13DCC22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1.803</w:t>
            </w:r>
          </w:p>
        </w:tc>
        <w:tc>
          <w:tcPr>
            <w:tcW w:w="1290" w:type="dxa"/>
            <w:shd w:val="clear" w:color="auto" w:fill="auto"/>
          </w:tcPr>
          <w:p w14:paraId="1711D5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0.361</w:t>
            </w:r>
          </w:p>
        </w:tc>
        <w:tc>
          <w:tcPr>
            <w:tcW w:w="1320" w:type="dxa"/>
            <w:shd w:val="clear" w:color="auto" w:fill="auto"/>
          </w:tcPr>
          <w:p w14:paraId="2226F6A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0.807</w:t>
            </w:r>
          </w:p>
        </w:tc>
        <w:tc>
          <w:tcPr>
            <w:tcW w:w="1294" w:type="dxa"/>
            <w:shd w:val="clear" w:color="auto" w:fill="auto"/>
          </w:tcPr>
          <w:p w14:paraId="4BD0BDC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0.123</w:t>
            </w:r>
          </w:p>
        </w:tc>
        <w:tc>
          <w:tcPr>
            <w:tcW w:w="1356" w:type="dxa"/>
            <w:shd w:val="clear" w:color="auto" w:fill="auto"/>
          </w:tcPr>
          <w:p w14:paraId="220D711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2.211</w:t>
            </w:r>
          </w:p>
        </w:tc>
        <w:tc>
          <w:tcPr>
            <w:tcW w:w="1236" w:type="dxa"/>
            <w:shd w:val="clear" w:color="auto" w:fill="auto"/>
          </w:tcPr>
          <w:p w14:paraId="78B7FAC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1.749</w:t>
            </w:r>
          </w:p>
        </w:tc>
      </w:tr>
      <w:tr w:rsidR="005C7F63" w:rsidRPr="009C2E9F" w14:paraId="1E49270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C29510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Kurtosis</w:t>
            </w:r>
          </w:p>
        </w:tc>
        <w:tc>
          <w:tcPr>
            <w:tcW w:w="1317" w:type="dxa"/>
            <w:shd w:val="clear" w:color="auto" w:fill="auto"/>
          </w:tcPr>
          <w:p w14:paraId="581709D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5.815</w:t>
            </w:r>
          </w:p>
        </w:tc>
        <w:tc>
          <w:tcPr>
            <w:tcW w:w="1290" w:type="dxa"/>
            <w:shd w:val="clear" w:color="auto" w:fill="auto"/>
          </w:tcPr>
          <w:p w14:paraId="06E10D8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2.833</w:t>
            </w:r>
          </w:p>
        </w:tc>
        <w:tc>
          <w:tcPr>
            <w:tcW w:w="1320" w:type="dxa"/>
            <w:shd w:val="clear" w:color="auto" w:fill="auto"/>
          </w:tcPr>
          <w:p w14:paraId="02D0525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2.519</w:t>
            </w:r>
          </w:p>
        </w:tc>
        <w:tc>
          <w:tcPr>
            <w:tcW w:w="1294" w:type="dxa"/>
            <w:shd w:val="clear" w:color="auto" w:fill="auto"/>
          </w:tcPr>
          <w:p w14:paraId="0CF31E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3.118</w:t>
            </w:r>
          </w:p>
        </w:tc>
        <w:tc>
          <w:tcPr>
            <w:tcW w:w="1356" w:type="dxa"/>
            <w:shd w:val="clear" w:color="auto" w:fill="auto"/>
          </w:tcPr>
          <w:p w14:paraId="65D3F79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8.629</w:t>
            </w:r>
          </w:p>
        </w:tc>
        <w:tc>
          <w:tcPr>
            <w:tcW w:w="1236" w:type="dxa"/>
            <w:shd w:val="clear" w:color="auto" w:fill="auto"/>
          </w:tcPr>
          <w:p w14:paraId="0FCF49A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5.314</w:t>
            </w:r>
          </w:p>
        </w:tc>
      </w:tr>
      <w:tr w:rsidR="005C7F63" w:rsidRPr="009C2E9F" w14:paraId="48135497"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776AA9C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Jarque-Bera</w:t>
            </w:r>
          </w:p>
        </w:tc>
        <w:tc>
          <w:tcPr>
            <w:tcW w:w="1317" w:type="dxa"/>
            <w:shd w:val="clear" w:color="auto" w:fill="auto"/>
          </w:tcPr>
          <w:p w14:paraId="51FF412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420.219</w:t>
            </w:r>
          </w:p>
        </w:tc>
        <w:tc>
          <w:tcPr>
            <w:tcW w:w="1290" w:type="dxa"/>
            <w:shd w:val="clear" w:color="auto" w:fill="auto"/>
          </w:tcPr>
          <w:p w14:paraId="48727E1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11.011</w:t>
            </w:r>
          </w:p>
        </w:tc>
        <w:tc>
          <w:tcPr>
            <w:tcW w:w="1320" w:type="dxa"/>
            <w:shd w:val="clear" w:color="auto" w:fill="auto"/>
          </w:tcPr>
          <w:p w14:paraId="6B5CB9F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56.993</w:t>
            </w:r>
          </w:p>
        </w:tc>
        <w:tc>
          <w:tcPr>
            <w:tcW w:w="1294" w:type="dxa"/>
            <w:shd w:val="clear" w:color="auto" w:fill="auto"/>
          </w:tcPr>
          <w:p w14:paraId="5F56D84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1.497</w:t>
            </w:r>
          </w:p>
        </w:tc>
        <w:tc>
          <w:tcPr>
            <w:tcW w:w="1356" w:type="dxa"/>
            <w:shd w:val="clear" w:color="auto" w:fill="auto"/>
          </w:tcPr>
          <w:p w14:paraId="21B3E16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1029.268</w:t>
            </w:r>
          </w:p>
        </w:tc>
        <w:tc>
          <w:tcPr>
            <w:tcW w:w="1236" w:type="dxa"/>
            <w:shd w:val="clear" w:color="auto" w:fill="auto"/>
          </w:tcPr>
          <w:p w14:paraId="0CDAFC7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353.319</w:t>
            </w:r>
          </w:p>
        </w:tc>
      </w:tr>
      <w:tr w:rsidR="005C7F63" w:rsidRPr="009C2E9F" w14:paraId="52F040D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28A10105"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P-value</w:t>
            </w:r>
          </w:p>
        </w:tc>
        <w:tc>
          <w:tcPr>
            <w:tcW w:w="1317" w:type="dxa"/>
            <w:shd w:val="clear" w:color="auto" w:fill="auto"/>
          </w:tcPr>
          <w:p w14:paraId="43B0E05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90" w:type="dxa"/>
            <w:shd w:val="clear" w:color="auto" w:fill="auto"/>
          </w:tcPr>
          <w:p w14:paraId="739AC33D"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0.004</w:t>
            </w:r>
          </w:p>
        </w:tc>
        <w:tc>
          <w:tcPr>
            <w:tcW w:w="1320" w:type="dxa"/>
            <w:shd w:val="clear" w:color="auto" w:fill="auto"/>
          </w:tcPr>
          <w:p w14:paraId="1340FB5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94" w:type="dxa"/>
            <w:shd w:val="clear" w:color="auto" w:fill="auto"/>
          </w:tcPr>
          <w:p w14:paraId="3EF7F08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0.473</w:t>
            </w:r>
          </w:p>
        </w:tc>
        <w:tc>
          <w:tcPr>
            <w:tcW w:w="1356" w:type="dxa"/>
            <w:shd w:val="clear" w:color="auto" w:fill="auto"/>
          </w:tcPr>
          <w:p w14:paraId="48D371C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c>
          <w:tcPr>
            <w:tcW w:w="1236" w:type="dxa"/>
            <w:shd w:val="clear" w:color="auto" w:fill="auto"/>
          </w:tcPr>
          <w:p w14:paraId="72C0364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tc>
      </w:tr>
      <w:tr w:rsidR="005C7F63" w:rsidRPr="009C2E9F" w14:paraId="73025435" w14:textId="77777777" w:rsidTr="006C5B90">
        <w:tc>
          <w:tcPr>
            <w:cnfStyle w:val="001000000000" w:firstRow="0" w:lastRow="0" w:firstColumn="1" w:lastColumn="0" w:oddVBand="0" w:evenVBand="0" w:oddHBand="0" w:evenHBand="0" w:firstRowFirstColumn="0" w:firstRowLastColumn="0" w:lastRowFirstColumn="0" w:lastRowLastColumn="0"/>
            <w:tcW w:w="1537" w:type="dxa"/>
            <w:shd w:val="clear" w:color="auto" w:fill="auto"/>
          </w:tcPr>
          <w:p w14:paraId="65F3CD78"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Observations</w:t>
            </w:r>
          </w:p>
        </w:tc>
        <w:tc>
          <w:tcPr>
            <w:tcW w:w="1317" w:type="dxa"/>
            <w:shd w:val="clear" w:color="auto" w:fill="auto"/>
          </w:tcPr>
          <w:p w14:paraId="551E673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90" w:type="dxa"/>
            <w:shd w:val="clear" w:color="auto" w:fill="auto"/>
          </w:tcPr>
          <w:p w14:paraId="0A6B3F3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320" w:type="dxa"/>
            <w:shd w:val="clear" w:color="auto" w:fill="auto"/>
          </w:tcPr>
          <w:p w14:paraId="4F63FED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94" w:type="dxa"/>
            <w:shd w:val="clear" w:color="auto" w:fill="auto"/>
          </w:tcPr>
          <w:p w14:paraId="4A342EE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356" w:type="dxa"/>
            <w:shd w:val="clear" w:color="auto" w:fill="auto"/>
          </w:tcPr>
          <w:p w14:paraId="4EF7777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c>
          <w:tcPr>
            <w:tcW w:w="1236" w:type="dxa"/>
            <w:shd w:val="clear" w:color="auto" w:fill="auto"/>
          </w:tcPr>
          <w:p w14:paraId="06AE97C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482</w:t>
            </w:r>
          </w:p>
        </w:tc>
      </w:tr>
    </w:tbl>
    <w:p w14:paraId="3DFBDF64" w14:textId="5E93F03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Figure 1 shows the individual graphical illustration of the variables used in this study and help to indicate the general trend and provides details about the patterns of variabilities and volatilities in the variables during the given period. The graphical illustration indicates that the variables have an upward trend.</w:t>
      </w:r>
    </w:p>
    <w:p w14:paraId="02B5CA1C" w14:textId="1B3E4FF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Based on the results in Table 1, the exchange rate has a mean of 13.41 and a median of 6.039, it indicates the existence of extreme values at the sample period which is common in the history of the exchange rate with hits of sharp depreciation. A high volatility is also further indicated by the fact that the highest value (83.88) was compared with a minimum (0.31). This is strengthened by the existence of a standard deviation (16.96), which implies broad variations about the mean. This value of positive skewness (1.80) and kurtosis (5.82) is leptokurtic which has very tall and narrowed peak and has fat tails to the right. Jarque-Bra value is also statistically significant (p-value = 0.000), meaning that exchange rate series is not normally distributed.</w:t>
      </w:r>
    </w:p>
    <w:p w14:paraId="1317524A"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There is a mean (18.36) and a median (18.11), which means that it appears to be fairly symmetric in its Centre. The inflation variable has a moderate variability, as the standard deviation of inflation is 2.85, as compared to other variables. The skew (0.36) shows that there is slight skewness to the right whereas the kurtosis (2.8) is almost near the normal distribution standard of 3. Nonetheless, the Jarque-Bra test is statistically significant (p-value = 0.00), meaning that inflation is not follows normality, and to a minor extent compared to both the exchange rate and money supply.</w:t>
      </w:r>
    </w:p>
    <w:p w14:paraId="00BCAA9E"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GDP displays a mean (417.32) and a median (332.19), and the result of this is that there is an increasing trend in the output of the Nigeria economy through the years. The difference between the minimum (99.35) and maximum (1111.39) values is quite wide, which means that there has been an increase in the economy over the long term, and the economy has changed structurally. An existing dispersion is verified by the standard deviation (277.45). GDP is skewed in the positive (0.81), and the kurtosis (2.83) is also nearer to the normative of normality (3) of the distribution. The Jarque-Bra statistic is significant (p-value = 0.000), which means that the GDP data is not normally distributed.</w:t>
      </w:r>
    </w:p>
    <w:p w14:paraId="60EA2FAF"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interest rate has a mean (11.25) and a median (11.21) indicating that there is stability on the central value. The standard deviation (1.86) is fairly low and suggests that the variation is not high as in the case of exchange rate and GDP. The skewness (0.123) and kurtosis (3.12) values show that the distribution is somewhat symmetric and leptokurtosis is moderate. However, Jarque-Bera test at the level of 5 percent (p=0.47) indicating that interest rates data is normally distributed.</w:t>
      </w:r>
    </w:p>
    <w:p w14:paraId="133446F0"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mean of export is 2.80 and median is 1.34, which demonstrates that some extreme export values were produced at some point. The highest value (22.55) compared to the lowest value (0.02) is an indication of high volatility in the performance of exports. A heavy skew of the data (2.21) and a large kurtosis (8.63) are an indicator of a heavy skewed and leptokurtic distribution. The Jarque-Bera (p-value = 0.000) shows that the export rate is not normally distributed.</w:t>
      </w:r>
    </w:p>
    <w:p w14:paraId="57921584"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Money supply has the largest mean (2689.27) and also a very high standard deviation (3713.37) meaning that the monetary growth is also very high during the study period and has a median (880.0) and the maximum (18375.80) are also the indicators of high growth and volatility. Its skewness is positive (1.75) with a high kurtosis (5.31) and Jarque-Bera test violates the assumption of normality (p-value = 0.000).</w:t>
      </w:r>
    </w:p>
    <w:p w14:paraId="1A5048DD"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Generally, it is possible to conclude that the variables have a different extent of non-normality expect the inflation rate that was normal and they all showed a volatility and skewness, which is typical of macroeconomic time-series data.</w:t>
      </w:r>
    </w:p>
    <w:p w14:paraId="2FFF4432" w14:textId="77777777" w:rsidR="00357C4A" w:rsidRDefault="00357C4A" w:rsidP="005A0249">
      <w:pPr>
        <w:spacing w:before="240" w:after="240" w:line="240" w:lineRule="auto"/>
        <w:jc w:val="both"/>
        <w:rPr>
          <w:rFonts w:ascii="Times New Roman" w:hAnsi="Times New Roman" w:cs="Times New Roman"/>
          <w:sz w:val="24"/>
          <w:szCs w:val="24"/>
        </w:rPr>
      </w:pPr>
    </w:p>
    <w:p w14:paraId="72D1FDDE" w14:textId="77777777" w:rsidR="000C0DEA" w:rsidRPr="009C2E9F" w:rsidRDefault="000C0DEA" w:rsidP="005A0249">
      <w:pPr>
        <w:spacing w:before="240" w:after="240" w:line="240" w:lineRule="auto"/>
        <w:jc w:val="both"/>
        <w:rPr>
          <w:rFonts w:ascii="Times New Roman" w:hAnsi="Times New Roman" w:cs="Times New Roman"/>
          <w:sz w:val="24"/>
          <w:szCs w:val="24"/>
        </w:rPr>
      </w:pPr>
    </w:p>
    <w:p w14:paraId="15080CF2" w14:textId="38F08E93"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2: Unit Root Test</w:t>
      </w:r>
    </w:p>
    <w:tbl>
      <w:tblPr>
        <w:tblStyle w:val="LightShading1"/>
        <w:tblW w:w="10472" w:type="dxa"/>
        <w:tblLook w:val="04A0" w:firstRow="1" w:lastRow="0" w:firstColumn="1" w:lastColumn="0" w:noHBand="0" w:noVBand="1"/>
      </w:tblPr>
      <w:tblGrid>
        <w:gridCol w:w="1136"/>
        <w:gridCol w:w="990"/>
        <w:gridCol w:w="936"/>
        <w:gridCol w:w="756"/>
        <w:gridCol w:w="990"/>
        <w:gridCol w:w="936"/>
        <w:gridCol w:w="990"/>
        <w:gridCol w:w="936"/>
        <w:gridCol w:w="876"/>
        <w:gridCol w:w="990"/>
        <w:gridCol w:w="936"/>
      </w:tblGrid>
      <w:tr w:rsidR="005C7F63" w:rsidRPr="009C2E9F" w14:paraId="467EA864" w14:textId="77777777" w:rsidTr="006C5B9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744" w:type="dxa"/>
            <w:gridSpan w:val="6"/>
            <w:shd w:val="clear" w:color="auto" w:fill="auto"/>
          </w:tcPr>
          <w:p w14:paraId="70E55E6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Level</w:t>
            </w:r>
          </w:p>
        </w:tc>
        <w:tc>
          <w:tcPr>
            <w:tcW w:w="4728" w:type="dxa"/>
            <w:gridSpan w:val="5"/>
            <w:shd w:val="clear" w:color="auto" w:fill="auto"/>
          </w:tcPr>
          <w:p w14:paraId="2A6381F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At First Difference</w:t>
            </w:r>
          </w:p>
        </w:tc>
      </w:tr>
      <w:tr w:rsidR="005C7F63" w:rsidRPr="009C2E9F" w14:paraId="73B72CB8" w14:textId="77777777" w:rsidTr="006C5B9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040EEA3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Variables</w:t>
            </w:r>
          </w:p>
        </w:tc>
        <w:tc>
          <w:tcPr>
            <w:tcW w:w="990" w:type="dxa"/>
            <w:shd w:val="clear" w:color="auto" w:fill="auto"/>
          </w:tcPr>
          <w:p w14:paraId="4B3CB47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 xml:space="preserve">ADF </w:t>
            </w:r>
            <w:r w:rsidRPr="009C2E9F">
              <w:rPr>
                <w:rStyle w:val="Strong"/>
                <w:rFonts w:eastAsiaTheme="majorEastAsia"/>
                <w:sz w:val="24"/>
                <w:szCs w:val="24"/>
              </w:rPr>
              <w:lastRenderedPageBreak/>
              <w:t>Statistic</w:t>
            </w:r>
          </w:p>
        </w:tc>
        <w:tc>
          <w:tcPr>
            <w:tcW w:w="936" w:type="dxa"/>
            <w:shd w:val="clear" w:color="auto" w:fill="auto"/>
          </w:tcPr>
          <w:p w14:paraId="72E4540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lastRenderedPageBreak/>
              <w:t xml:space="preserve">5% Critical </w:t>
            </w:r>
            <w:r w:rsidRPr="009C2E9F">
              <w:rPr>
                <w:rStyle w:val="Strong"/>
                <w:rFonts w:eastAsiaTheme="majorEastAsia"/>
                <w:sz w:val="24"/>
                <w:szCs w:val="24"/>
              </w:rPr>
              <w:lastRenderedPageBreak/>
              <w:t>Value</w:t>
            </w:r>
          </w:p>
        </w:tc>
        <w:tc>
          <w:tcPr>
            <w:tcW w:w="756" w:type="dxa"/>
            <w:shd w:val="clear" w:color="auto" w:fill="auto"/>
          </w:tcPr>
          <w:p w14:paraId="3C789B1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lastRenderedPageBreak/>
              <w:t>Prob.</w:t>
            </w:r>
          </w:p>
        </w:tc>
        <w:tc>
          <w:tcPr>
            <w:tcW w:w="990" w:type="dxa"/>
            <w:shd w:val="clear" w:color="auto" w:fill="auto"/>
          </w:tcPr>
          <w:p w14:paraId="79E26F4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 xml:space="preserve">KPSS </w:t>
            </w:r>
            <w:r w:rsidRPr="009C2E9F">
              <w:rPr>
                <w:rStyle w:val="Strong"/>
                <w:rFonts w:eastAsiaTheme="majorEastAsia"/>
                <w:sz w:val="24"/>
                <w:szCs w:val="24"/>
              </w:rPr>
              <w:lastRenderedPageBreak/>
              <w:t>Statistic</w:t>
            </w:r>
          </w:p>
        </w:tc>
        <w:tc>
          <w:tcPr>
            <w:tcW w:w="936" w:type="dxa"/>
            <w:shd w:val="clear" w:color="auto" w:fill="auto"/>
          </w:tcPr>
          <w:p w14:paraId="7ED42A9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lastRenderedPageBreak/>
              <w:t xml:space="preserve">5% Critical </w:t>
            </w:r>
            <w:r w:rsidRPr="009C2E9F">
              <w:rPr>
                <w:rStyle w:val="Strong"/>
                <w:rFonts w:eastAsiaTheme="majorEastAsia"/>
                <w:sz w:val="24"/>
                <w:szCs w:val="24"/>
              </w:rPr>
              <w:lastRenderedPageBreak/>
              <w:t>Value</w:t>
            </w:r>
          </w:p>
        </w:tc>
        <w:tc>
          <w:tcPr>
            <w:tcW w:w="990" w:type="dxa"/>
            <w:shd w:val="clear" w:color="auto" w:fill="auto"/>
          </w:tcPr>
          <w:p w14:paraId="2C73ED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lastRenderedPageBreak/>
              <w:t xml:space="preserve">ADF </w:t>
            </w:r>
            <w:r w:rsidRPr="009C2E9F">
              <w:rPr>
                <w:rStyle w:val="Strong"/>
                <w:rFonts w:eastAsiaTheme="majorEastAsia"/>
                <w:sz w:val="24"/>
                <w:szCs w:val="24"/>
              </w:rPr>
              <w:lastRenderedPageBreak/>
              <w:t>Statistic</w:t>
            </w:r>
          </w:p>
        </w:tc>
        <w:tc>
          <w:tcPr>
            <w:tcW w:w="936" w:type="dxa"/>
            <w:shd w:val="clear" w:color="auto" w:fill="auto"/>
          </w:tcPr>
          <w:p w14:paraId="765FBCD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lastRenderedPageBreak/>
              <w:t xml:space="preserve">5% Critical </w:t>
            </w:r>
            <w:r w:rsidRPr="009C2E9F">
              <w:rPr>
                <w:rStyle w:val="Strong"/>
                <w:rFonts w:eastAsiaTheme="majorEastAsia"/>
                <w:sz w:val="24"/>
                <w:szCs w:val="24"/>
              </w:rPr>
              <w:lastRenderedPageBreak/>
              <w:t>Value</w:t>
            </w:r>
          </w:p>
        </w:tc>
        <w:tc>
          <w:tcPr>
            <w:tcW w:w="876" w:type="dxa"/>
            <w:shd w:val="clear" w:color="auto" w:fill="auto"/>
          </w:tcPr>
          <w:p w14:paraId="51DC022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lastRenderedPageBreak/>
              <w:t>Prob.</w:t>
            </w:r>
          </w:p>
        </w:tc>
        <w:tc>
          <w:tcPr>
            <w:tcW w:w="990" w:type="dxa"/>
            <w:shd w:val="clear" w:color="auto" w:fill="auto"/>
          </w:tcPr>
          <w:p w14:paraId="004B9D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 xml:space="preserve">KPSS </w:t>
            </w:r>
            <w:r w:rsidRPr="009C2E9F">
              <w:rPr>
                <w:rStyle w:val="Strong"/>
                <w:rFonts w:eastAsiaTheme="majorEastAsia"/>
                <w:sz w:val="24"/>
                <w:szCs w:val="24"/>
              </w:rPr>
              <w:lastRenderedPageBreak/>
              <w:t>Statistic</w:t>
            </w:r>
          </w:p>
        </w:tc>
        <w:tc>
          <w:tcPr>
            <w:tcW w:w="936" w:type="dxa"/>
            <w:shd w:val="clear" w:color="auto" w:fill="auto"/>
          </w:tcPr>
          <w:p w14:paraId="6FD905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lastRenderedPageBreak/>
              <w:t xml:space="preserve">5% Critical </w:t>
            </w:r>
            <w:r w:rsidRPr="009C2E9F">
              <w:rPr>
                <w:rStyle w:val="Strong"/>
                <w:rFonts w:eastAsiaTheme="majorEastAsia"/>
                <w:sz w:val="24"/>
                <w:szCs w:val="24"/>
              </w:rPr>
              <w:lastRenderedPageBreak/>
              <w:t>Value</w:t>
            </w:r>
          </w:p>
        </w:tc>
      </w:tr>
      <w:tr w:rsidR="005C7F63" w:rsidRPr="009C2E9F" w14:paraId="61425EE0"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553B7B1D"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lastRenderedPageBreak/>
              <w:t>EXR</w:t>
            </w:r>
          </w:p>
        </w:tc>
        <w:tc>
          <w:tcPr>
            <w:tcW w:w="990" w:type="dxa"/>
            <w:shd w:val="clear" w:color="auto" w:fill="auto"/>
          </w:tcPr>
          <w:p w14:paraId="65EEF38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rStyle w:val="Strong"/>
                <w:sz w:val="24"/>
                <w:szCs w:val="24"/>
              </w:rPr>
              <w:t>2.317</w:t>
            </w:r>
          </w:p>
        </w:tc>
        <w:tc>
          <w:tcPr>
            <w:tcW w:w="936" w:type="dxa"/>
            <w:shd w:val="clear" w:color="auto" w:fill="auto"/>
          </w:tcPr>
          <w:p w14:paraId="1B00924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b w:val="0"/>
                <w:bCs w:val="0"/>
                <w:color w:val="000000"/>
                <w:sz w:val="24"/>
                <w:szCs w:val="24"/>
              </w:rPr>
              <w:t>-2.867</w:t>
            </w:r>
          </w:p>
        </w:tc>
        <w:tc>
          <w:tcPr>
            <w:tcW w:w="756" w:type="dxa"/>
            <w:shd w:val="clear" w:color="auto" w:fill="auto"/>
          </w:tcPr>
          <w:p w14:paraId="7FF77A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542E738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2.195</w:t>
            </w:r>
          </w:p>
        </w:tc>
        <w:tc>
          <w:tcPr>
            <w:tcW w:w="936" w:type="dxa"/>
            <w:shd w:val="clear" w:color="auto" w:fill="auto"/>
          </w:tcPr>
          <w:p w14:paraId="1513858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28F619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-15.899</w:t>
            </w:r>
          </w:p>
        </w:tc>
        <w:tc>
          <w:tcPr>
            <w:tcW w:w="936" w:type="dxa"/>
            <w:shd w:val="clear" w:color="auto" w:fill="auto"/>
          </w:tcPr>
          <w:p w14:paraId="044F83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797F621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6E26B9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0.184</w:t>
            </w:r>
          </w:p>
        </w:tc>
        <w:tc>
          <w:tcPr>
            <w:tcW w:w="936" w:type="dxa"/>
            <w:shd w:val="clear" w:color="auto" w:fill="auto"/>
          </w:tcPr>
          <w:p w14:paraId="5747317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19D60FD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A3EA8BE"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990" w:type="dxa"/>
            <w:shd w:val="clear" w:color="auto" w:fill="auto"/>
          </w:tcPr>
          <w:p w14:paraId="60DC540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-2.354</w:t>
            </w:r>
          </w:p>
        </w:tc>
        <w:tc>
          <w:tcPr>
            <w:tcW w:w="936" w:type="dxa"/>
            <w:shd w:val="clear" w:color="auto" w:fill="auto"/>
          </w:tcPr>
          <w:p w14:paraId="7F910DB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7AC869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0.156</w:t>
            </w:r>
          </w:p>
        </w:tc>
        <w:tc>
          <w:tcPr>
            <w:tcW w:w="990" w:type="dxa"/>
            <w:shd w:val="clear" w:color="auto" w:fill="auto"/>
          </w:tcPr>
          <w:p w14:paraId="757E279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2.856</w:t>
            </w:r>
          </w:p>
        </w:tc>
        <w:tc>
          <w:tcPr>
            <w:tcW w:w="936" w:type="dxa"/>
            <w:shd w:val="clear" w:color="auto" w:fill="auto"/>
          </w:tcPr>
          <w:p w14:paraId="03C2995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5B824AD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-14.790</w:t>
            </w:r>
          </w:p>
        </w:tc>
        <w:tc>
          <w:tcPr>
            <w:tcW w:w="936" w:type="dxa"/>
            <w:shd w:val="clear" w:color="auto" w:fill="auto"/>
          </w:tcPr>
          <w:p w14:paraId="307E13F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6FCFC5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10D35F3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0.269</w:t>
            </w:r>
          </w:p>
        </w:tc>
        <w:tc>
          <w:tcPr>
            <w:tcW w:w="936" w:type="dxa"/>
            <w:shd w:val="clear" w:color="auto" w:fill="auto"/>
          </w:tcPr>
          <w:p w14:paraId="17F7D5E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6C3F2EF3"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42A1D18"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990" w:type="dxa"/>
            <w:shd w:val="clear" w:color="auto" w:fill="auto"/>
          </w:tcPr>
          <w:p w14:paraId="1EAAFCD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8.739</w:t>
            </w:r>
          </w:p>
        </w:tc>
        <w:tc>
          <w:tcPr>
            <w:tcW w:w="936" w:type="dxa"/>
            <w:shd w:val="clear" w:color="auto" w:fill="auto"/>
          </w:tcPr>
          <w:p w14:paraId="20B24C6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732AAB4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46FA30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2.587</w:t>
            </w:r>
          </w:p>
        </w:tc>
        <w:tc>
          <w:tcPr>
            <w:tcW w:w="936" w:type="dxa"/>
            <w:shd w:val="clear" w:color="auto" w:fill="auto"/>
          </w:tcPr>
          <w:p w14:paraId="073084C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B632DA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-17.124</w:t>
            </w:r>
          </w:p>
        </w:tc>
        <w:tc>
          <w:tcPr>
            <w:tcW w:w="936" w:type="dxa"/>
            <w:shd w:val="clear" w:color="auto" w:fill="auto"/>
          </w:tcPr>
          <w:p w14:paraId="56DBF5B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4F6EBD1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66599B2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0.152</w:t>
            </w:r>
          </w:p>
        </w:tc>
        <w:tc>
          <w:tcPr>
            <w:tcW w:w="936" w:type="dxa"/>
            <w:shd w:val="clear" w:color="auto" w:fill="auto"/>
          </w:tcPr>
          <w:p w14:paraId="16A2526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571DB8B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4EF906B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INT</w:t>
            </w:r>
          </w:p>
        </w:tc>
        <w:tc>
          <w:tcPr>
            <w:tcW w:w="990" w:type="dxa"/>
            <w:shd w:val="clear" w:color="auto" w:fill="auto"/>
          </w:tcPr>
          <w:p w14:paraId="42830CE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-0.029</w:t>
            </w:r>
          </w:p>
        </w:tc>
        <w:tc>
          <w:tcPr>
            <w:tcW w:w="936" w:type="dxa"/>
            <w:shd w:val="clear" w:color="auto" w:fill="auto"/>
          </w:tcPr>
          <w:p w14:paraId="389371E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0B869A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0.673</w:t>
            </w:r>
          </w:p>
        </w:tc>
        <w:tc>
          <w:tcPr>
            <w:tcW w:w="990" w:type="dxa"/>
            <w:shd w:val="clear" w:color="auto" w:fill="auto"/>
          </w:tcPr>
          <w:p w14:paraId="45D4396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2.842</w:t>
            </w:r>
          </w:p>
        </w:tc>
        <w:tc>
          <w:tcPr>
            <w:tcW w:w="936" w:type="dxa"/>
            <w:shd w:val="clear" w:color="auto" w:fill="auto"/>
          </w:tcPr>
          <w:p w14:paraId="79AA4A6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4F6320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-14.735</w:t>
            </w:r>
          </w:p>
        </w:tc>
        <w:tc>
          <w:tcPr>
            <w:tcW w:w="936" w:type="dxa"/>
            <w:shd w:val="clear" w:color="auto" w:fill="auto"/>
          </w:tcPr>
          <w:p w14:paraId="43EA2F4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A239BF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13242EC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0.076</w:t>
            </w:r>
          </w:p>
        </w:tc>
        <w:tc>
          <w:tcPr>
            <w:tcW w:w="936" w:type="dxa"/>
            <w:shd w:val="clear" w:color="auto" w:fill="auto"/>
          </w:tcPr>
          <w:p w14:paraId="6E23310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5F67FDEF" w14:textId="77777777" w:rsidTr="006C5B90">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2A44C543"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EXP</w:t>
            </w:r>
          </w:p>
        </w:tc>
        <w:tc>
          <w:tcPr>
            <w:tcW w:w="990" w:type="dxa"/>
            <w:shd w:val="clear" w:color="auto" w:fill="auto"/>
          </w:tcPr>
          <w:p w14:paraId="2B50615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-1.706</w:t>
            </w:r>
          </w:p>
        </w:tc>
        <w:tc>
          <w:tcPr>
            <w:tcW w:w="936" w:type="dxa"/>
            <w:shd w:val="clear" w:color="auto" w:fill="auto"/>
          </w:tcPr>
          <w:p w14:paraId="45B279A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6AF1E6F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0.428</w:t>
            </w:r>
          </w:p>
        </w:tc>
        <w:tc>
          <w:tcPr>
            <w:tcW w:w="990" w:type="dxa"/>
            <w:shd w:val="clear" w:color="auto" w:fill="auto"/>
          </w:tcPr>
          <w:p w14:paraId="5D366FC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1.895</w:t>
            </w:r>
          </w:p>
        </w:tc>
        <w:tc>
          <w:tcPr>
            <w:tcW w:w="936" w:type="dxa"/>
            <w:shd w:val="clear" w:color="auto" w:fill="auto"/>
          </w:tcPr>
          <w:p w14:paraId="0C6A8A8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E51D64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-12.041</w:t>
            </w:r>
          </w:p>
        </w:tc>
        <w:tc>
          <w:tcPr>
            <w:tcW w:w="936" w:type="dxa"/>
            <w:shd w:val="clear" w:color="auto" w:fill="auto"/>
          </w:tcPr>
          <w:p w14:paraId="54955AB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0C54B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BFB1D2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0.079</w:t>
            </w:r>
          </w:p>
        </w:tc>
        <w:tc>
          <w:tcPr>
            <w:tcW w:w="936" w:type="dxa"/>
            <w:shd w:val="clear" w:color="auto" w:fill="auto"/>
          </w:tcPr>
          <w:p w14:paraId="5B9ADEF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5C7F63" w:rsidRPr="009C2E9F" w14:paraId="463EC64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6" w:type="dxa"/>
            <w:shd w:val="clear" w:color="auto" w:fill="auto"/>
          </w:tcPr>
          <w:p w14:paraId="3385A05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MS</w:t>
            </w:r>
          </w:p>
        </w:tc>
        <w:tc>
          <w:tcPr>
            <w:tcW w:w="990" w:type="dxa"/>
            <w:shd w:val="clear" w:color="auto" w:fill="auto"/>
          </w:tcPr>
          <w:p w14:paraId="28647C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9.610</w:t>
            </w:r>
          </w:p>
        </w:tc>
        <w:tc>
          <w:tcPr>
            <w:tcW w:w="936" w:type="dxa"/>
            <w:shd w:val="clear" w:color="auto" w:fill="auto"/>
          </w:tcPr>
          <w:p w14:paraId="320BE6E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756" w:type="dxa"/>
            <w:shd w:val="clear" w:color="auto" w:fill="auto"/>
          </w:tcPr>
          <w:p w14:paraId="0DA4E03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1.000</w:t>
            </w:r>
          </w:p>
        </w:tc>
        <w:tc>
          <w:tcPr>
            <w:tcW w:w="990" w:type="dxa"/>
            <w:shd w:val="clear" w:color="auto" w:fill="auto"/>
          </w:tcPr>
          <w:p w14:paraId="09396F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2.066</w:t>
            </w:r>
          </w:p>
        </w:tc>
        <w:tc>
          <w:tcPr>
            <w:tcW w:w="936" w:type="dxa"/>
            <w:shd w:val="clear" w:color="auto" w:fill="auto"/>
          </w:tcPr>
          <w:p w14:paraId="7B84AC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2BDD6DF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-4.814</w:t>
            </w:r>
          </w:p>
        </w:tc>
        <w:tc>
          <w:tcPr>
            <w:tcW w:w="936" w:type="dxa"/>
            <w:shd w:val="clear" w:color="auto" w:fill="auto"/>
          </w:tcPr>
          <w:p w14:paraId="68CFE88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-2.867</w:t>
            </w:r>
          </w:p>
        </w:tc>
        <w:tc>
          <w:tcPr>
            <w:tcW w:w="876" w:type="dxa"/>
            <w:shd w:val="clear" w:color="auto" w:fill="auto"/>
          </w:tcPr>
          <w:p w14:paraId="0B1785E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20792ED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0.168</w:t>
            </w:r>
          </w:p>
        </w:tc>
        <w:tc>
          <w:tcPr>
            <w:tcW w:w="936" w:type="dxa"/>
            <w:shd w:val="clear" w:color="auto" w:fill="auto"/>
          </w:tcPr>
          <w:p w14:paraId="64059C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bl>
    <w:p w14:paraId="28B017A8" w14:textId="60C9BAA1" w:rsidR="005C7F63" w:rsidRPr="009C2E9F" w:rsidRDefault="005C7F63"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The ADF result in Table 2 shows that all variables are non-stationary at the level. This is evidenced by their probability values greater than the level of significance at 5%. Implying that the null hypothesis cannot be rejected. At first difference, all variables became stationary, as their probability values are statistically significant at 5%. level of significance, indicating that the p-value is less than the level of significance, implying that the null hypothesis can be rejected.</w:t>
      </w:r>
    </w:p>
    <w:p w14:paraId="06883F42" w14:textId="29C62841"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The KPSS results in Table 2 reveal that the KPSS statistics for all variables exceed the 5% critical value of 0.463. This indicates that the null hypothesis of stationarity is rejected, confirming that the variables are non-stationary at the level. At first difference, the KPSS statistics for all variables are less than the 5% critical value, implying that the null hypothesis of stationarity cannot be rejected.</w:t>
      </w:r>
    </w:p>
    <w:p w14:paraId="33EF756F" w14:textId="77777777"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rStyle w:val="Strong"/>
          <w:rFonts w:eastAsiaTheme="majorEastAsia"/>
          <w:sz w:val="24"/>
          <w:szCs w:val="24"/>
        </w:rPr>
        <w:t>The results from both ADF and KPSS tests are consistent and complementary. While the ADF test confirms non-stationarity at the level and stationarity at first difference, the KPSS test corroborates this finding by rejecting stationarity at the level and accepting stationarity at first difference. Therefore, it is concluded that all variables are integrated of order one I(1).</w:t>
      </w:r>
    </w:p>
    <w:p w14:paraId="0478EE7B" w14:textId="3B9E450A"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3: Lag Order Selection output</w:t>
      </w:r>
    </w:p>
    <w:tbl>
      <w:tblPr>
        <w:tblStyle w:val="LightShading1"/>
        <w:tblW w:w="0" w:type="auto"/>
        <w:tblLook w:val="04A0" w:firstRow="1" w:lastRow="0" w:firstColumn="1" w:lastColumn="0" w:noHBand="0" w:noVBand="1"/>
      </w:tblPr>
      <w:tblGrid>
        <w:gridCol w:w="2337"/>
        <w:gridCol w:w="2337"/>
        <w:gridCol w:w="2338"/>
        <w:gridCol w:w="2338"/>
      </w:tblGrid>
      <w:tr w:rsidR="005C7F63" w:rsidRPr="009C2E9F" w14:paraId="2989F33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E619F47"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Lag</w:t>
            </w:r>
          </w:p>
        </w:tc>
        <w:tc>
          <w:tcPr>
            <w:tcW w:w="2337" w:type="dxa"/>
            <w:shd w:val="clear" w:color="auto" w:fill="auto"/>
          </w:tcPr>
          <w:p w14:paraId="72284247"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LogL</w:t>
            </w:r>
          </w:p>
        </w:tc>
        <w:tc>
          <w:tcPr>
            <w:tcW w:w="2338" w:type="dxa"/>
            <w:shd w:val="clear" w:color="auto" w:fill="auto"/>
          </w:tcPr>
          <w:p w14:paraId="0D8395AE"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AIC</w:t>
            </w:r>
          </w:p>
        </w:tc>
        <w:tc>
          <w:tcPr>
            <w:tcW w:w="2338" w:type="dxa"/>
            <w:shd w:val="clear" w:color="auto" w:fill="auto"/>
          </w:tcPr>
          <w:p w14:paraId="0C11FFA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SC</w:t>
            </w:r>
          </w:p>
        </w:tc>
      </w:tr>
      <w:tr w:rsidR="005C7F63" w:rsidRPr="009C2E9F" w14:paraId="5E31D9D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C44C313"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0</w:t>
            </w:r>
          </w:p>
        </w:tc>
        <w:tc>
          <w:tcPr>
            <w:tcW w:w="2337" w:type="dxa"/>
            <w:shd w:val="clear" w:color="auto" w:fill="auto"/>
          </w:tcPr>
          <w:p w14:paraId="64FC82E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-11818.10</w:t>
            </w:r>
          </w:p>
        </w:tc>
        <w:tc>
          <w:tcPr>
            <w:tcW w:w="2338" w:type="dxa"/>
            <w:shd w:val="clear" w:color="auto" w:fill="auto"/>
          </w:tcPr>
          <w:p w14:paraId="46377B7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50.315</w:t>
            </w:r>
          </w:p>
        </w:tc>
        <w:tc>
          <w:tcPr>
            <w:tcW w:w="2338" w:type="dxa"/>
            <w:shd w:val="clear" w:color="auto" w:fill="auto"/>
          </w:tcPr>
          <w:p w14:paraId="5988550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50.336</w:t>
            </w:r>
          </w:p>
        </w:tc>
      </w:tr>
      <w:tr w:rsidR="005C7F63" w:rsidRPr="009C2E9F" w14:paraId="4123C521"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97FA63D"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w:t>
            </w:r>
          </w:p>
        </w:tc>
        <w:tc>
          <w:tcPr>
            <w:tcW w:w="2337" w:type="dxa"/>
            <w:shd w:val="clear" w:color="auto" w:fill="auto"/>
          </w:tcPr>
          <w:p w14:paraId="7119396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-10039.97</w:t>
            </w:r>
          </w:p>
        </w:tc>
        <w:tc>
          <w:tcPr>
            <w:tcW w:w="2338" w:type="dxa"/>
            <w:shd w:val="clear" w:color="auto" w:fill="auto"/>
          </w:tcPr>
          <w:p w14:paraId="6FBC8DB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42.902</w:t>
            </w:r>
          </w:p>
        </w:tc>
        <w:tc>
          <w:tcPr>
            <w:tcW w:w="2338" w:type="dxa"/>
            <w:shd w:val="clear" w:color="auto" w:fill="auto"/>
          </w:tcPr>
          <w:p w14:paraId="2F96A42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43.048</w:t>
            </w:r>
          </w:p>
        </w:tc>
      </w:tr>
      <w:tr w:rsidR="005C7F63" w:rsidRPr="009C2E9F" w14:paraId="77A4B5C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44E6AD8"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2</w:t>
            </w:r>
          </w:p>
        </w:tc>
        <w:tc>
          <w:tcPr>
            <w:tcW w:w="2337" w:type="dxa"/>
            <w:shd w:val="clear" w:color="auto" w:fill="auto"/>
          </w:tcPr>
          <w:p w14:paraId="1F658A8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-9864.032</w:t>
            </w:r>
          </w:p>
        </w:tc>
        <w:tc>
          <w:tcPr>
            <w:tcW w:w="2338" w:type="dxa"/>
            <w:shd w:val="clear" w:color="auto" w:fill="auto"/>
          </w:tcPr>
          <w:p w14:paraId="157F4CE2"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42.307</w:t>
            </w:r>
          </w:p>
        </w:tc>
        <w:tc>
          <w:tcPr>
            <w:tcW w:w="2338" w:type="dxa"/>
            <w:shd w:val="clear" w:color="auto" w:fill="auto"/>
          </w:tcPr>
          <w:p w14:paraId="4FB541A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42.996*</w:t>
            </w:r>
          </w:p>
        </w:tc>
      </w:tr>
      <w:tr w:rsidR="005C7F63" w:rsidRPr="009C2E9F" w14:paraId="2476354C"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DE74C7"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3</w:t>
            </w:r>
          </w:p>
        </w:tc>
        <w:tc>
          <w:tcPr>
            <w:tcW w:w="2337" w:type="dxa"/>
            <w:shd w:val="clear" w:color="auto" w:fill="auto"/>
          </w:tcPr>
          <w:p w14:paraId="6532B5E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-9760.305</w:t>
            </w:r>
          </w:p>
        </w:tc>
        <w:tc>
          <w:tcPr>
            <w:tcW w:w="2338" w:type="dxa"/>
            <w:shd w:val="clear" w:color="auto" w:fill="auto"/>
          </w:tcPr>
          <w:p w14:paraId="6579674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42.018</w:t>
            </w:r>
          </w:p>
        </w:tc>
        <w:tc>
          <w:tcPr>
            <w:tcW w:w="2338" w:type="dxa"/>
            <w:shd w:val="clear" w:color="auto" w:fill="auto"/>
          </w:tcPr>
          <w:p w14:paraId="7D7C4BD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43.026</w:t>
            </w:r>
          </w:p>
        </w:tc>
      </w:tr>
      <w:tr w:rsidR="005C7F63" w:rsidRPr="009C2E9F" w14:paraId="2AB0BB2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65E77574"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4</w:t>
            </w:r>
          </w:p>
        </w:tc>
        <w:tc>
          <w:tcPr>
            <w:tcW w:w="2337" w:type="dxa"/>
            <w:shd w:val="clear" w:color="auto" w:fill="auto"/>
          </w:tcPr>
          <w:p w14:paraId="7B91E2F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-9698.507</w:t>
            </w:r>
          </w:p>
        </w:tc>
        <w:tc>
          <w:tcPr>
            <w:tcW w:w="2338" w:type="dxa"/>
            <w:shd w:val="clear" w:color="auto" w:fill="auto"/>
          </w:tcPr>
          <w:p w14:paraId="26BD194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41.909</w:t>
            </w:r>
          </w:p>
        </w:tc>
        <w:tc>
          <w:tcPr>
            <w:tcW w:w="2338" w:type="dxa"/>
            <w:shd w:val="clear" w:color="auto" w:fill="auto"/>
          </w:tcPr>
          <w:p w14:paraId="3F7FF39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43.234</w:t>
            </w:r>
          </w:p>
        </w:tc>
      </w:tr>
      <w:tr w:rsidR="005C7F63" w:rsidRPr="009C2E9F" w14:paraId="6F7941EE"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9098696"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5</w:t>
            </w:r>
          </w:p>
        </w:tc>
        <w:tc>
          <w:tcPr>
            <w:tcW w:w="2337" w:type="dxa"/>
            <w:shd w:val="clear" w:color="auto" w:fill="auto"/>
          </w:tcPr>
          <w:p w14:paraId="5D7D0F2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-9605.288</w:t>
            </w:r>
          </w:p>
        </w:tc>
        <w:tc>
          <w:tcPr>
            <w:tcW w:w="2338" w:type="dxa"/>
            <w:shd w:val="clear" w:color="auto" w:fill="auto"/>
          </w:tcPr>
          <w:p w14:paraId="21BAD27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41.665</w:t>
            </w:r>
          </w:p>
        </w:tc>
        <w:tc>
          <w:tcPr>
            <w:tcW w:w="2338" w:type="dxa"/>
            <w:shd w:val="clear" w:color="auto" w:fill="auto"/>
          </w:tcPr>
          <w:p w14:paraId="1727DDE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43.308</w:t>
            </w:r>
          </w:p>
        </w:tc>
      </w:tr>
      <w:tr w:rsidR="005C7F63" w:rsidRPr="009C2E9F" w14:paraId="1AD413B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9E34531"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6</w:t>
            </w:r>
          </w:p>
        </w:tc>
        <w:tc>
          <w:tcPr>
            <w:tcW w:w="2337" w:type="dxa"/>
            <w:shd w:val="clear" w:color="auto" w:fill="auto"/>
          </w:tcPr>
          <w:p w14:paraId="3EE23AD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-9531.911</w:t>
            </w:r>
          </w:p>
        </w:tc>
        <w:tc>
          <w:tcPr>
            <w:tcW w:w="2338" w:type="dxa"/>
            <w:shd w:val="clear" w:color="auto" w:fill="auto"/>
          </w:tcPr>
          <w:p w14:paraId="07F86CB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41.506</w:t>
            </w:r>
          </w:p>
        </w:tc>
        <w:tc>
          <w:tcPr>
            <w:tcW w:w="2338" w:type="dxa"/>
            <w:shd w:val="clear" w:color="auto" w:fill="auto"/>
          </w:tcPr>
          <w:p w14:paraId="606EEF02"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43.468</w:t>
            </w:r>
          </w:p>
        </w:tc>
      </w:tr>
      <w:tr w:rsidR="005C7F63" w:rsidRPr="009C2E9F" w14:paraId="03D7B298"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5053436"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7</w:t>
            </w:r>
          </w:p>
        </w:tc>
        <w:tc>
          <w:tcPr>
            <w:tcW w:w="2337" w:type="dxa"/>
            <w:shd w:val="clear" w:color="auto" w:fill="auto"/>
          </w:tcPr>
          <w:p w14:paraId="43B0E89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-9495.538</w:t>
            </w:r>
          </w:p>
        </w:tc>
        <w:tc>
          <w:tcPr>
            <w:tcW w:w="2338" w:type="dxa"/>
            <w:shd w:val="clear" w:color="auto" w:fill="auto"/>
          </w:tcPr>
          <w:p w14:paraId="74D6BA3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41.504</w:t>
            </w:r>
          </w:p>
        </w:tc>
        <w:tc>
          <w:tcPr>
            <w:tcW w:w="2338" w:type="dxa"/>
            <w:shd w:val="clear" w:color="auto" w:fill="auto"/>
          </w:tcPr>
          <w:p w14:paraId="6CB200D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43.784</w:t>
            </w:r>
          </w:p>
        </w:tc>
      </w:tr>
      <w:tr w:rsidR="005C7F63" w:rsidRPr="009C2E9F" w14:paraId="603278D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EB2D64"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8</w:t>
            </w:r>
          </w:p>
        </w:tc>
        <w:tc>
          <w:tcPr>
            <w:tcW w:w="2337" w:type="dxa"/>
            <w:shd w:val="clear" w:color="auto" w:fill="auto"/>
          </w:tcPr>
          <w:p w14:paraId="4D3903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-9432.729</w:t>
            </w:r>
          </w:p>
        </w:tc>
        <w:tc>
          <w:tcPr>
            <w:tcW w:w="2338" w:type="dxa"/>
            <w:shd w:val="clear" w:color="auto" w:fill="auto"/>
          </w:tcPr>
          <w:p w14:paraId="1F41C1F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41.390</w:t>
            </w:r>
          </w:p>
        </w:tc>
        <w:tc>
          <w:tcPr>
            <w:tcW w:w="2338" w:type="dxa"/>
            <w:shd w:val="clear" w:color="auto" w:fill="auto"/>
          </w:tcPr>
          <w:p w14:paraId="38BA5A9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43.988</w:t>
            </w:r>
          </w:p>
        </w:tc>
      </w:tr>
      <w:tr w:rsidR="005C7F63" w:rsidRPr="009C2E9F" w14:paraId="2D7796BD"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B51F6F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9</w:t>
            </w:r>
          </w:p>
        </w:tc>
        <w:tc>
          <w:tcPr>
            <w:tcW w:w="2337" w:type="dxa"/>
            <w:shd w:val="clear" w:color="auto" w:fill="auto"/>
          </w:tcPr>
          <w:p w14:paraId="627B4F8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-9391.201</w:t>
            </w:r>
          </w:p>
        </w:tc>
        <w:tc>
          <w:tcPr>
            <w:tcW w:w="2338" w:type="dxa"/>
            <w:shd w:val="clear" w:color="auto" w:fill="auto"/>
          </w:tcPr>
          <w:p w14:paraId="2FA7791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41.367</w:t>
            </w:r>
          </w:p>
        </w:tc>
        <w:tc>
          <w:tcPr>
            <w:tcW w:w="2338" w:type="dxa"/>
            <w:shd w:val="clear" w:color="auto" w:fill="auto"/>
          </w:tcPr>
          <w:p w14:paraId="46DD28E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44.283</w:t>
            </w:r>
          </w:p>
        </w:tc>
      </w:tr>
      <w:tr w:rsidR="005C7F63" w:rsidRPr="009C2E9F" w14:paraId="4D20B3F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FDEA28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10</w:t>
            </w:r>
          </w:p>
        </w:tc>
        <w:tc>
          <w:tcPr>
            <w:tcW w:w="2337" w:type="dxa"/>
            <w:shd w:val="clear" w:color="auto" w:fill="auto"/>
          </w:tcPr>
          <w:p w14:paraId="7B0F0FE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-9348.842</w:t>
            </w:r>
          </w:p>
        </w:tc>
        <w:tc>
          <w:tcPr>
            <w:tcW w:w="2338" w:type="dxa"/>
            <w:shd w:val="clear" w:color="auto" w:fill="auto"/>
          </w:tcPr>
          <w:p w14:paraId="0BE112F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41.339</w:t>
            </w:r>
          </w:p>
        </w:tc>
        <w:tc>
          <w:tcPr>
            <w:tcW w:w="2338" w:type="dxa"/>
            <w:shd w:val="clear" w:color="auto" w:fill="auto"/>
          </w:tcPr>
          <w:p w14:paraId="54A15AA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44.574</w:t>
            </w:r>
          </w:p>
        </w:tc>
      </w:tr>
      <w:tr w:rsidR="005C7F63" w:rsidRPr="009C2E9F" w14:paraId="08A5AAF1"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AA4834F"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11</w:t>
            </w:r>
          </w:p>
        </w:tc>
        <w:tc>
          <w:tcPr>
            <w:tcW w:w="2337" w:type="dxa"/>
            <w:shd w:val="clear" w:color="auto" w:fill="auto"/>
          </w:tcPr>
          <w:p w14:paraId="144E6E9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-9288.960</w:t>
            </w:r>
          </w:p>
        </w:tc>
        <w:tc>
          <w:tcPr>
            <w:tcW w:w="2338" w:type="dxa"/>
            <w:shd w:val="clear" w:color="auto" w:fill="auto"/>
          </w:tcPr>
          <w:p w14:paraId="1FF4E76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41.238</w:t>
            </w:r>
          </w:p>
        </w:tc>
        <w:tc>
          <w:tcPr>
            <w:tcW w:w="2338" w:type="dxa"/>
            <w:shd w:val="clear" w:color="auto" w:fill="auto"/>
          </w:tcPr>
          <w:p w14:paraId="115F1B4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44.790</w:t>
            </w:r>
          </w:p>
        </w:tc>
      </w:tr>
      <w:tr w:rsidR="005C7F63" w:rsidRPr="009C2E9F" w14:paraId="69ABDEE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69B8B9C"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12</w:t>
            </w:r>
          </w:p>
        </w:tc>
        <w:tc>
          <w:tcPr>
            <w:tcW w:w="2337" w:type="dxa"/>
            <w:shd w:val="clear" w:color="auto" w:fill="auto"/>
          </w:tcPr>
          <w:p w14:paraId="2847B20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-9214.496</w:t>
            </w:r>
          </w:p>
        </w:tc>
        <w:tc>
          <w:tcPr>
            <w:tcW w:w="2338" w:type="dxa"/>
            <w:shd w:val="clear" w:color="auto" w:fill="auto"/>
          </w:tcPr>
          <w:p w14:paraId="6185353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41.074*</w:t>
            </w:r>
          </w:p>
        </w:tc>
        <w:tc>
          <w:tcPr>
            <w:tcW w:w="2338" w:type="dxa"/>
            <w:shd w:val="clear" w:color="auto" w:fill="auto"/>
          </w:tcPr>
          <w:p w14:paraId="4E568EA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44.944</w:t>
            </w:r>
          </w:p>
        </w:tc>
      </w:tr>
    </w:tbl>
    <w:p w14:paraId="6616C4A3" w14:textId="32A10290" w:rsidR="005C7F63" w:rsidRPr="009C2E9F" w:rsidRDefault="005C7F63"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Table 3 reveals that the lag length selection relies on the outcomes of the various information criteria, of which the Akaike information criterion suggests lag 12 while the Schwarz information criterion suggests lag 2. SIC suggested a minimum lag of 2, which is likely better to avoid overfitting and maintain simplicity.</w:t>
      </w:r>
    </w:p>
    <w:p w14:paraId="12828699" w14:textId="0AC31E6F"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Table 4:</w:t>
      </w:r>
      <w:r w:rsidRPr="009C2E9F">
        <w:rPr>
          <w:sz w:val="24"/>
          <w:szCs w:val="24"/>
        </w:rPr>
        <w:t xml:space="preserve"> </w:t>
      </w:r>
      <w:r w:rsidRPr="009C2E9F">
        <w:rPr>
          <w:rStyle w:val="Strong"/>
          <w:rFonts w:eastAsiaTheme="majorEastAsia"/>
          <w:sz w:val="24"/>
          <w:szCs w:val="24"/>
        </w:rPr>
        <w:t>Unrestricted Cointegration Rank Test (Trace and Max-Eigen)</w:t>
      </w:r>
      <w:r w:rsidRPr="009C2E9F">
        <w:rPr>
          <w:sz w:val="24"/>
          <w:szCs w:val="24"/>
        </w:rPr>
        <w:t xml:space="preserve"> </w:t>
      </w:r>
    </w:p>
    <w:tbl>
      <w:tblPr>
        <w:tblStyle w:val="LightShading1"/>
        <w:tblW w:w="10429" w:type="dxa"/>
        <w:tblInd w:w="90" w:type="dxa"/>
        <w:tblLook w:val="04A0" w:firstRow="1" w:lastRow="0" w:firstColumn="1" w:lastColumn="0" w:noHBand="0" w:noVBand="1"/>
      </w:tblPr>
      <w:tblGrid>
        <w:gridCol w:w="1537"/>
        <w:gridCol w:w="1349"/>
        <w:gridCol w:w="1113"/>
        <w:gridCol w:w="1111"/>
        <w:gridCol w:w="873"/>
        <w:gridCol w:w="1349"/>
        <w:gridCol w:w="1113"/>
        <w:gridCol w:w="1111"/>
        <w:gridCol w:w="873"/>
      </w:tblGrid>
      <w:tr w:rsidR="00EF7672" w:rsidRPr="009C2E9F" w14:paraId="6A7AE4F9"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472514F"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p>
        </w:tc>
        <w:tc>
          <w:tcPr>
            <w:tcW w:w="4458" w:type="dxa"/>
            <w:gridSpan w:val="4"/>
            <w:shd w:val="clear" w:color="auto" w:fill="auto"/>
          </w:tcPr>
          <w:p w14:paraId="20A6003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(Trace)</w:t>
            </w:r>
          </w:p>
        </w:tc>
        <w:tc>
          <w:tcPr>
            <w:tcW w:w="4458" w:type="dxa"/>
            <w:gridSpan w:val="4"/>
            <w:shd w:val="clear" w:color="auto" w:fill="auto"/>
          </w:tcPr>
          <w:p w14:paraId="1B641B6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(Max-Eigen)</w:t>
            </w:r>
          </w:p>
        </w:tc>
      </w:tr>
      <w:tr w:rsidR="00EF7672" w:rsidRPr="009C2E9F" w14:paraId="702F0DB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07AF2004"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Hypothesized No. of CE(s)</w:t>
            </w:r>
          </w:p>
        </w:tc>
        <w:tc>
          <w:tcPr>
            <w:tcW w:w="1350" w:type="dxa"/>
            <w:shd w:val="clear" w:color="auto" w:fill="auto"/>
          </w:tcPr>
          <w:p w14:paraId="646C011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1E72755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Trace Statistic</w:t>
            </w:r>
          </w:p>
        </w:tc>
        <w:tc>
          <w:tcPr>
            <w:tcW w:w="1116" w:type="dxa"/>
            <w:shd w:val="clear" w:color="auto" w:fill="auto"/>
          </w:tcPr>
          <w:p w14:paraId="280C8E55" w14:textId="3BF182D0"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w:t>
            </w:r>
            <w:r w:rsidR="00F26CE4" w:rsidRPr="009C2E9F">
              <w:rPr>
                <w:rStyle w:val="Strong"/>
                <w:rFonts w:eastAsiaTheme="majorEastAsia"/>
                <w:sz w:val="24"/>
                <w:szCs w:val="24"/>
              </w:rPr>
              <w:t>rit</w:t>
            </w:r>
            <w:r w:rsidR="00EF7672" w:rsidRPr="009C2E9F">
              <w:rPr>
                <w:rStyle w:val="Strong"/>
                <w:rFonts w:eastAsiaTheme="majorEastAsia"/>
                <w:sz w:val="24"/>
                <w:szCs w:val="24"/>
              </w:rPr>
              <w:t xml:space="preserve">. </w:t>
            </w:r>
            <w:r w:rsidRPr="009C2E9F">
              <w:rPr>
                <w:rStyle w:val="Strong"/>
                <w:rFonts w:eastAsiaTheme="majorEastAsia"/>
                <w:sz w:val="24"/>
                <w:szCs w:val="24"/>
              </w:rPr>
              <w:t>Value</w:t>
            </w:r>
          </w:p>
        </w:tc>
        <w:tc>
          <w:tcPr>
            <w:tcW w:w="876" w:type="dxa"/>
            <w:shd w:val="clear" w:color="auto" w:fill="auto"/>
          </w:tcPr>
          <w:p w14:paraId="04BD12C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c>
          <w:tcPr>
            <w:tcW w:w="1350" w:type="dxa"/>
            <w:shd w:val="clear" w:color="auto" w:fill="auto"/>
          </w:tcPr>
          <w:p w14:paraId="6486CD4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227D632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Max-Eigen Statistic</w:t>
            </w:r>
          </w:p>
        </w:tc>
        <w:tc>
          <w:tcPr>
            <w:tcW w:w="1116" w:type="dxa"/>
            <w:shd w:val="clear" w:color="auto" w:fill="auto"/>
          </w:tcPr>
          <w:p w14:paraId="3F527509" w14:textId="69E06164"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F26CE4"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5960C33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r>
      <w:tr w:rsidR="00EF7672" w:rsidRPr="009C2E9F" w14:paraId="146322E8"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582E30C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None*</w:t>
            </w:r>
          </w:p>
        </w:tc>
        <w:tc>
          <w:tcPr>
            <w:tcW w:w="1350" w:type="dxa"/>
            <w:shd w:val="clear" w:color="auto" w:fill="auto"/>
          </w:tcPr>
          <w:p w14:paraId="7F11E92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0.324</w:t>
            </w:r>
          </w:p>
        </w:tc>
        <w:tc>
          <w:tcPr>
            <w:tcW w:w="1116" w:type="dxa"/>
            <w:shd w:val="clear" w:color="auto" w:fill="auto"/>
          </w:tcPr>
          <w:p w14:paraId="6D2B6D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559.837</w:t>
            </w:r>
          </w:p>
        </w:tc>
        <w:tc>
          <w:tcPr>
            <w:tcW w:w="1116" w:type="dxa"/>
            <w:shd w:val="clear" w:color="auto" w:fill="auto"/>
          </w:tcPr>
          <w:p w14:paraId="3626781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95.754</w:t>
            </w:r>
          </w:p>
        </w:tc>
        <w:tc>
          <w:tcPr>
            <w:tcW w:w="876" w:type="dxa"/>
            <w:shd w:val="clear" w:color="auto" w:fill="auto"/>
          </w:tcPr>
          <w:p w14:paraId="7CD90E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2E02953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0.324</w:t>
            </w:r>
          </w:p>
        </w:tc>
        <w:tc>
          <w:tcPr>
            <w:tcW w:w="1116" w:type="dxa"/>
            <w:shd w:val="clear" w:color="auto" w:fill="auto"/>
          </w:tcPr>
          <w:p w14:paraId="34224A8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187.538</w:t>
            </w:r>
          </w:p>
        </w:tc>
        <w:tc>
          <w:tcPr>
            <w:tcW w:w="1116" w:type="dxa"/>
            <w:shd w:val="clear" w:color="auto" w:fill="auto"/>
          </w:tcPr>
          <w:p w14:paraId="2292BD3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40.078</w:t>
            </w:r>
          </w:p>
        </w:tc>
        <w:tc>
          <w:tcPr>
            <w:tcW w:w="876" w:type="dxa"/>
            <w:shd w:val="clear" w:color="auto" w:fill="auto"/>
          </w:tcPr>
          <w:p w14:paraId="7271D77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1F729FD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A3EE6BD"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1*</w:t>
            </w:r>
          </w:p>
        </w:tc>
        <w:tc>
          <w:tcPr>
            <w:tcW w:w="1350" w:type="dxa"/>
            <w:shd w:val="clear" w:color="auto" w:fill="auto"/>
          </w:tcPr>
          <w:p w14:paraId="1A26ACF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0.279</w:t>
            </w:r>
          </w:p>
        </w:tc>
        <w:tc>
          <w:tcPr>
            <w:tcW w:w="1116" w:type="dxa"/>
            <w:shd w:val="clear" w:color="auto" w:fill="auto"/>
          </w:tcPr>
          <w:p w14:paraId="58C5499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372.299</w:t>
            </w:r>
          </w:p>
        </w:tc>
        <w:tc>
          <w:tcPr>
            <w:tcW w:w="1116" w:type="dxa"/>
            <w:shd w:val="clear" w:color="auto" w:fill="auto"/>
          </w:tcPr>
          <w:p w14:paraId="23A49D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69.819</w:t>
            </w:r>
          </w:p>
        </w:tc>
        <w:tc>
          <w:tcPr>
            <w:tcW w:w="876" w:type="dxa"/>
            <w:shd w:val="clear" w:color="auto" w:fill="auto"/>
          </w:tcPr>
          <w:p w14:paraId="7D2E2B6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6F43CB6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0.279</w:t>
            </w:r>
          </w:p>
        </w:tc>
        <w:tc>
          <w:tcPr>
            <w:tcW w:w="1116" w:type="dxa"/>
            <w:shd w:val="clear" w:color="auto" w:fill="auto"/>
          </w:tcPr>
          <w:p w14:paraId="16DF4F9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157.081</w:t>
            </w:r>
          </w:p>
        </w:tc>
        <w:tc>
          <w:tcPr>
            <w:tcW w:w="1116" w:type="dxa"/>
            <w:shd w:val="clear" w:color="auto" w:fill="auto"/>
          </w:tcPr>
          <w:p w14:paraId="0FFD229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33.877</w:t>
            </w:r>
          </w:p>
        </w:tc>
        <w:tc>
          <w:tcPr>
            <w:tcW w:w="876" w:type="dxa"/>
            <w:shd w:val="clear" w:color="auto" w:fill="auto"/>
          </w:tcPr>
          <w:p w14:paraId="7D256A7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1882FD5"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0B69D22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2*</w:t>
            </w:r>
          </w:p>
        </w:tc>
        <w:tc>
          <w:tcPr>
            <w:tcW w:w="1350" w:type="dxa"/>
            <w:shd w:val="clear" w:color="auto" w:fill="auto"/>
          </w:tcPr>
          <w:p w14:paraId="75AF984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0.236</w:t>
            </w:r>
          </w:p>
        </w:tc>
        <w:tc>
          <w:tcPr>
            <w:tcW w:w="1116" w:type="dxa"/>
            <w:shd w:val="clear" w:color="auto" w:fill="auto"/>
          </w:tcPr>
          <w:p w14:paraId="6C71B68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215.218</w:t>
            </w:r>
          </w:p>
        </w:tc>
        <w:tc>
          <w:tcPr>
            <w:tcW w:w="1116" w:type="dxa"/>
            <w:shd w:val="clear" w:color="auto" w:fill="auto"/>
          </w:tcPr>
          <w:p w14:paraId="6174580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47.856</w:t>
            </w:r>
          </w:p>
        </w:tc>
        <w:tc>
          <w:tcPr>
            <w:tcW w:w="876" w:type="dxa"/>
            <w:shd w:val="clear" w:color="auto" w:fill="auto"/>
          </w:tcPr>
          <w:p w14:paraId="476299B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2CAF63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0.236</w:t>
            </w:r>
          </w:p>
        </w:tc>
        <w:tc>
          <w:tcPr>
            <w:tcW w:w="1116" w:type="dxa"/>
            <w:shd w:val="clear" w:color="auto" w:fill="auto"/>
          </w:tcPr>
          <w:p w14:paraId="5F9A987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129.108</w:t>
            </w:r>
          </w:p>
        </w:tc>
        <w:tc>
          <w:tcPr>
            <w:tcW w:w="1116" w:type="dxa"/>
            <w:shd w:val="clear" w:color="auto" w:fill="auto"/>
          </w:tcPr>
          <w:p w14:paraId="48D85E6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27.584</w:t>
            </w:r>
          </w:p>
        </w:tc>
        <w:tc>
          <w:tcPr>
            <w:tcW w:w="876" w:type="dxa"/>
            <w:shd w:val="clear" w:color="auto" w:fill="auto"/>
          </w:tcPr>
          <w:p w14:paraId="2FAB81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14BAB3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409FE1F5"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3*</w:t>
            </w:r>
          </w:p>
        </w:tc>
        <w:tc>
          <w:tcPr>
            <w:tcW w:w="1350" w:type="dxa"/>
            <w:shd w:val="clear" w:color="auto" w:fill="auto"/>
          </w:tcPr>
          <w:p w14:paraId="50AC5D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0.108</w:t>
            </w:r>
          </w:p>
        </w:tc>
        <w:tc>
          <w:tcPr>
            <w:tcW w:w="1116" w:type="dxa"/>
            <w:shd w:val="clear" w:color="auto" w:fill="auto"/>
          </w:tcPr>
          <w:p w14:paraId="7F806E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86.111</w:t>
            </w:r>
          </w:p>
        </w:tc>
        <w:tc>
          <w:tcPr>
            <w:tcW w:w="1116" w:type="dxa"/>
            <w:shd w:val="clear" w:color="auto" w:fill="auto"/>
          </w:tcPr>
          <w:p w14:paraId="7D20EF0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29.797</w:t>
            </w:r>
          </w:p>
        </w:tc>
        <w:tc>
          <w:tcPr>
            <w:tcW w:w="876" w:type="dxa"/>
            <w:shd w:val="clear" w:color="auto" w:fill="auto"/>
          </w:tcPr>
          <w:p w14:paraId="737FBA8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0623FA8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0.107</w:t>
            </w:r>
          </w:p>
        </w:tc>
        <w:tc>
          <w:tcPr>
            <w:tcW w:w="1116" w:type="dxa"/>
            <w:shd w:val="clear" w:color="auto" w:fill="auto"/>
          </w:tcPr>
          <w:p w14:paraId="2D4DED8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54.511</w:t>
            </w:r>
          </w:p>
        </w:tc>
        <w:tc>
          <w:tcPr>
            <w:tcW w:w="1116" w:type="dxa"/>
            <w:shd w:val="clear" w:color="auto" w:fill="auto"/>
          </w:tcPr>
          <w:p w14:paraId="219DEC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21.132</w:t>
            </w:r>
          </w:p>
        </w:tc>
        <w:tc>
          <w:tcPr>
            <w:tcW w:w="876" w:type="dxa"/>
            <w:shd w:val="clear" w:color="auto" w:fill="auto"/>
          </w:tcPr>
          <w:p w14:paraId="427A1A3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6DA032B8" w14:textId="77777777" w:rsidTr="006C5B90">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2EF3EF3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4*</w:t>
            </w:r>
          </w:p>
        </w:tc>
        <w:tc>
          <w:tcPr>
            <w:tcW w:w="1350" w:type="dxa"/>
            <w:shd w:val="clear" w:color="auto" w:fill="auto"/>
          </w:tcPr>
          <w:p w14:paraId="5F2BE39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0.062</w:t>
            </w:r>
          </w:p>
        </w:tc>
        <w:tc>
          <w:tcPr>
            <w:tcW w:w="1116" w:type="dxa"/>
            <w:shd w:val="clear" w:color="auto" w:fill="auto"/>
          </w:tcPr>
          <w:p w14:paraId="31C7324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31.599</w:t>
            </w:r>
          </w:p>
        </w:tc>
        <w:tc>
          <w:tcPr>
            <w:tcW w:w="1116" w:type="dxa"/>
            <w:shd w:val="clear" w:color="auto" w:fill="auto"/>
          </w:tcPr>
          <w:p w14:paraId="41E0DBD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15.495</w:t>
            </w:r>
          </w:p>
        </w:tc>
        <w:tc>
          <w:tcPr>
            <w:tcW w:w="876" w:type="dxa"/>
            <w:shd w:val="clear" w:color="auto" w:fill="auto"/>
          </w:tcPr>
          <w:p w14:paraId="6A5F496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648F12D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0.062</w:t>
            </w:r>
          </w:p>
        </w:tc>
        <w:tc>
          <w:tcPr>
            <w:tcW w:w="1116" w:type="dxa"/>
            <w:shd w:val="clear" w:color="auto" w:fill="auto"/>
          </w:tcPr>
          <w:p w14:paraId="5FD36F1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30.788</w:t>
            </w:r>
          </w:p>
        </w:tc>
        <w:tc>
          <w:tcPr>
            <w:tcW w:w="1116" w:type="dxa"/>
            <w:shd w:val="clear" w:color="auto" w:fill="auto"/>
          </w:tcPr>
          <w:p w14:paraId="4D59B82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14.265</w:t>
            </w:r>
          </w:p>
        </w:tc>
        <w:tc>
          <w:tcPr>
            <w:tcW w:w="876" w:type="dxa"/>
            <w:shd w:val="clear" w:color="auto" w:fill="auto"/>
          </w:tcPr>
          <w:p w14:paraId="05FA47C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EF7672" w:rsidRPr="009C2E9F" w14:paraId="78F8C4D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shd w:val="clear" w:color="auto" w:fill="auto"/>
          </w:tcPr>
          <w:p w14:paraId="35C6BB19"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5</w:t>
            </w:r>
          </w:p>
        </w:tc>
        <w:tc>
          <w:tcPr>
            <w:tcW w:w="1350" w:type="dxa"/>
            <w:shd w:val="clear" w:color="auto" w:fill="auto"/>
          </w:tcPr>
          <w:p w14:paraId="24048A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0.002</w:t>
            </w:r>
          </w:p>
        </w:tc>
        <w:tc>
          <w:tcPr>
            <w:tcW w:w="1116" w:type="dxa"/>
            <w:shd w:val="clear" w:color="auto" w:fill="auto"/>
          </w:tcPr>
          <w:p w14:paraId="5D40F60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0.811</w:t>
            </w:r>
          </w:p>
        </w:tc>
        <w:tc>
          <w:tcPr>
            <w:tcW w:w="1116" w:type="dxa"/>
            <w:shd w:val="clear" w:color="auto" w:fill="auto"/>
          </w:tcPr>
          <w:p w14:paraId="202A917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3.841</w:t>
            </w:r>
          </w:p>
        </w:tc>
        <w:tc>
          <w:tcPr>
            <w:tcW w:w="876" w:type="dxa"/>
            <w:shd w:val="clear" w:color="auto" w:fill="auto"/>
          </w:tcPr>
          <w:p w14:paraId="1C1AEA1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0.367</w:t>
            </w:r>
          </w:p>
        </w:tc>
        <w:tc>
          <w:tcPr>
            <w:tcW w:w="1350" w:type="dxa"/>
            <w:shd w:val="clear" w:color="auto" w:fill="auto"/>
          </w:tcPr>
          <w:p w14:paraId="4F93D4E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0.002</w:t>
            </w:r>
          </w:p>
        </w:tc>
        <w:tc>
          <w:tcPr>
            <w:tcW w:w="1116" w:type="dxa"/>
            <w:shd w:val="clear" w:color="auto" w:fill="auto"/>
          </w:tcPr>
          <w:p w14:paraId="755BFD4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0.811</w:t>
            </w:r>
          </w:p>
        </w:tc>
        <w:tc>
          <w:tcPr>
            <w:tcW w:w="1116" w:type="dxa"/>
            <w:shd w:val="clear" w:color="auto" w:fill="auto"/>
          </w:tcPr>
          <w:p w14:paraId="651193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3.841</w:t>
            </w:r>
          </w:p>
        </w:tc>
        <w:tc>
          <w:tcPr>
            <w:tcW w:w="876" w:type="dxa"/>
            <w:shd w:val="clear" w:color="auto" w:fill="auto"/>
          </w:tcPr>
          <w:p w14:paraId="6E561F3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0.368</w:t>
            </w:r>
          </w:p>
        </w:tc>
      </w:tr>
    </w:tbl>
    <w:p w14:paraId="0FC7F0DD" w14:textId="704D80E4"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lastRenderedPageBreak/>
        <w:t xml:space="preserve">The results in Table 4 </w:t>
      </w:r>
      <w:r w:rsidR="003B7C32">
        <w:rPr>
          <w:rStyle w:val="Strong"/>
          <w:rFonts w:eastAsiaTheme="majorEastAsia"/>
          <w:sz w:val="24"/>
          <w:szCs w:val="24"/>
        </w:rPr>
        <w:t>reveal</w:t>
      </w:r>
      <w:r w:rsidRPr="009C2E9F">
        <w:rPr>
          <w:rStyle w:val="Strong"/>
          <w:rFonts w:eastAsiaTheme="majorEastAsia"/>
          <w:sz w:val="24"/>
          <w:szCs w:val="24"/>
        </w:rPr>
        <w:t xml:space="preserve"> that the trace null hypotheses of no cointegration, at most one, at most two, at most three, and at most four cointegrating equations are also rejected as the p-value (0.000) is less than the significance level at 5%. However, the null hypothesis of at most five cointegrating equations cannot be rejected as the p-value (0.0909) is greater than the significance level at 5%.</w:t>
      </w:r>
    </w:p>
    <w:p w14:paraId="04701459" w14:textId="7E5C47A8"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 xml:space="preserve">The results in Table </w:t>
      </w:r>
      <w:r w:rsidR="003B7C32">
        <w:rPr>
          <w:rStyle w:val="Strong"/>
          <w:rFonts w:eastAsiaTheme="majorEastAsia"/>
          <w:sz w:val="24"/>
          <w:szCs w:val="24"/>
        </w:rPr>
        <w:t>4</w:t>
      </w:r>
      <w:r w:rsidRPr="009C2E9F">
        <w:rPr>
          <w:rStyle w:val="Strong"/>
          <w:rFonts w:eastAsiaTheme="majorEastAsia"/>
          <w:sz w:val="24"/>
          <w:szCs w:val="24"/>
        </w:rPr>
        <w:t xml:space="preserve"> reveal that the Max-eigenvalue null hypotheses of no cointegration, at most one, at most two, at most three, and at most four cointegrating equations are also rejected as the p-value (0.000) is less than the 0.05 significance level. However, the null hypothesis of at most five cointegrating equations cannot be rejected as the p-value (0.0909) is greater than the 0.05 significance level. The Maximum Eigenvalue test indicates 5 cointegrating equations at the 0.05 level.</w:t>
      </w:r>
    </w:p>
    <w:p w14:paraId="5AC94770" w14:textId="77777777" w:rsidR="005C7F63" w:rsidRPr="009C2E9F" w:rsidRDefault="005C7F63"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Both the trace and maximum eigenvalue tests consistently indicate the presence of five cointegrating equations. The estimation result indicates that a long-run relationship exists among the EXR, INF, GDP, INT, EXP, and MS. This means that all variables used in this study have a long-run equilibrium relationship.</w:t>
      </w:r>
    </w:p>
    <w:p w14:paraId="76C67ADC" w14:textId="7EFCAFE9"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5: Long-run Coefficient of the Cointegrating Vector</w:t>
      </w:r>
    </w:p>
    <w:tbl>
      <w:tblPr>
        <w:tblStyle w:val="LightShading1"/>
        <w:tblW w:w="0" w:type="auto"/>
        <w:tblLook w:val="04A0" w:firstRow="1" w:lastRow="0" w:firstColumn="1" w:lastColumn="0" w:noHBand="0" w:noVBand="1"/>
      </w:tblPr>
      <w:tblGrid>
        <w:gridCol w:w="1558"/>
        <w:gridCol w:w="1558"/>
        <w:gridCol w:w="1561"/>
        <w:gridCol w:w="1561"/>
        <w:gridCol w:w="1561"/>
        <w:gridCol w:w="1561"/>
      </w:tblGrid>
      <w:tr w:rsidR="005C7F63" w:rsidRPr="009C2E9F" w14:paraId="676A0EC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37644EB2" w14:textId="77777777" w:rsidR="005C7F63" w:rsidRPr="009C2E9F" w:rsidRDefault="005C7F63" w:rsidP="005A0249">
            <w:pPr>
              <w:pStyle w:val="Heading3"/>
              <w:spacing w:before="240" w:beforeAutospacing="0" w:after="240" w:afterAutospacing="0"/>
              <w:jc w:val="both"/>
              <w:outlineLvl w:val="2"/>
              <w:rPr>
                <w:rFonts w:eastAsiaTheme="majorEastAsia"/>
                <w:bCs/>
                <w:sz w:val="24"/>
                <w:szCs w:val="24"/>
              </w:rPr>
            </w:pPr>
            <w:r w:rsidRPr="009C2E9F">
              <w:rPr>
                <w:rFonts w:eastAsiaTheme="majorEastAsia"/>
                <w:bCs/>
                <w:sz w:val="24"/>
                <w:szCs w:val="24"/>
              </w:rPr>
              <w:t>Variables</w:t>
            </w:r>
          </w:p>
        </w:tc>
        <w:tc>
          <w:tcPr>
            <w:tcW w:w="1558" w:type="dxa"/>
            <w:shd w:val="clear" w:color="auto" w:fill="auto"/>
          </w:tcPr>
          <w:p w14:paraId="1E2BD76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CointEq1</w:t>
            </w:r>
          </w:p>
        </w:tc>
        <w:tc>
          <w:tcPr>
            <w:tcW w:w="1561" w:type="dxa"/>
            <w:shd w:val="clear" w:color="auto" w:fill="auto"/>
          </w:tcPr>
          <w:p w14:paraId="12F39B55"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CointEq2</w:t>
            </w:r>
          </w:p>
        </w:tc>
        <w:tc>
          <w:tcPr>
            <w:tcW w:w="1561" w:type="dxa"/>
            <w:shd w:val="clear" w:color="auto" w:fill="auto"/>
          </w:tcPr>
          <w:p w14:paraId="269ACA9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CointEq3</w:t>
            </w:r>
          </w:p>
        </w:tc>
        <w:tc>
          <w:tcPr>
            <w:tcW w:w="1561" w:type="dxa"/>
            <w:shd w:val="clear" w:color="auto" w:fill="auto"/>
          </w:tcPr>
          <w:p w14:paraId="1B5B0456"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CointEq4</w:t>
            </w:r>
          </w:p>
        </w:tc>
        <w:tc>
          <w:tcPr>
            <w:tcW w:w="1561" w:type="dxa"/>
            <w:shd w:val="clear" w:color="auto" w:fill="auto"/>
          </w:tcPr>
          <w:p w14:paraId="0DC205E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CointEq5</w:t>
            </w:r>
          </w:p>
        </w:tc>
      </w:tr>
      <w:tr w:rsidR="005C7F63" w:rsidRPr="009C2E9F" w14:paraId="4231770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6AC65656"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EXR (-1)</w:t>
            </w:r>
          </w:p>
        </w:tc>
        <w:tc>
          <w:tcPr>
            <w:tcW w:w="1558" w:type="dxa"/>
            <w:shd w:val="clear" w:color="auto" w:fill="auto"/>
          </w:tcPr>
          <w:p w14:paraId="55EB243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38D93F4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015E47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8E38A5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6C3E9B6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8DD5A9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1EE8EE5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90CE5E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EDDE99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257826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406959AB"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7EAF9BA2"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INF (-1)</w:t>
            </w:r>
          </w:p>
        </w:tc>
        <w:tc>
          <w:tcPr>
            <w:tcW w:w="1558" w:type="dxa"/>
            <w:shd w:val="clear" w:color="auto" w:fill="auto"/>
          </w:tcPr>
          <w:p w14:paraId="31F2851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FE9C61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0660187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2F96B5F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43CEA0F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900EE7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63C9AF9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B62E61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2C21C1D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26164BD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r>
      <w:tr w:rsidR="005C7F63" w:rsidRPr="009C2E9F" w14:paraId="33D1537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24A1BCA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GDP (-1)</w:t>
            </w:r>
          </w:p>
        </w:tc>
        <w:tc>
          <w:tcPr>
            <w:tcW w:w="1558" w:type="dxa"/>
            <w:shd w:val="clear" w:color="auto" w:fill="auto"/>
          </w:tcPr>
          <w:p w14:paraId="6BD0249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2B18BCB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6F0C05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B28D95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927DB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791B48C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26C417B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BCEB97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54AD2ED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2E9F10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39186AFB"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007CE577"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INT (-1)</w:t>
            </w:r>
          </w:p>
        </w:tc>
        <w:tc>
          <w:tcPr>
            <w:tcW w:w="1558" w:type="dxa"/>
            <w:shd w:val="clear" w:color="auto" w:fill="auto"/>
          </w:tcPr>
          <w:p w14:paraId="527BADC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DC71AF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0A6343D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1D2E403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126123F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33AC985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7F5DEA0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50E7B18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c>
          <w:tcPr>
            <w:tcW w:w="1561" w:type="dxa"/>
            <w:shd w:val="clear" w:color="auto" w:fill="auto"/>
          </w:tcPr>
          <w:p w14:paraId="6392A80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0C4473B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p>
        </w:tc>
      </w:tr>
      <w:tr w:rsidR="005C7F63" w:rsidRPr="009C2E9F" w14:paraId="01600A7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78CCF2CD"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EXPR (-1)</w:t>
            </w:r>
          </w:p>
        </w:tc>
        <w:tc>
          <w:tcPr>
            <w:tcW w:w="1558" w:type="dxa"/>
            <w:shd w:val="clear" w:color="auto" w:fill="auto"/>
          </w:tcPr>
          <w:p w14:paraId="698B979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tc>
        <w:tc>
          <w:tcPr>
            <w:tcW w:w="1561" w:type="dxa"/>
            <w:shd w:val="clear" w:color="auto" w:fill="auto"/>
          </w:tcPr>
          <w:p w14:paraId="2B432BB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4AF1A7C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33BD9CD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0C37868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4930C46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w:t>
            </w:r>
          </w:p>
          <w:p w14:paraId="6EEAA72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c>
          <w:tcPr>
            <w:tcW w:w="1561" w:type="dxa"/>
            <w:shd w:val="clear" w:color="auto" w:fill="auto"/>
          </w:tcPr>
          <w:p w14:paraId="3B1CB02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w:t>
            </w:r>
          </w:p>
          <w:p w14:paraId="569DDE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p>
        </w:tc>
      </w:tr>
      <w:tr w:rsidR="005C7F63" w:rsidRPr="009C2E9F" w14:paraId="3FDAFF9F" w14:textId="77777777" w:rsidTr="006C5B90">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5C7DFC40"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MS (-1)</w:t>
            </w:r>
          </w:p>
        </w:tc>
        <w:tc>
          <w:tcPr>
            <w:tcW w:w="1558" w:type="dxa"/>
            <w:shd w:val="clear" w:color="auto" w:fill="auto"/>
          </w:tcPr>
          <w:p w14:paraId="6843039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-0.0035</w:t>
            </w:r>
          </w:p>
          <w:p w14:paraId="6DEE4D3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(0.0002)</w:t>
            </w:r>
          </w:p>
          <w:p w14:paraId="6A1607A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[-14.3869]*</w:t>
            </w:r>
          </w:p>
        </w:tc>
        <w:tc>
          <w:tcPr>
            <w:tcW w:w="1561" w:type="dxa"/>
            <w:shd w:val="clear" w:color="auto" w:fill="auto"/>
          </w:tcPr>
          <w:p w14:paraId="6A2FB00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0.0002</w:t>
            </w:r>
          </w:p>
          <w:p w14:paraId="42812F7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(0.0002)</w:t>
            </w:r>
          </w:p>
          <w:p w14:paraId="7107058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[1.2073]</w:t>
            </w:r>
          </w:p>
        </w:tc>
        <w:tc>
          <w:tcPr>
            <w:tcW w:w="1561" w:type="dxa"/>
            <w:shd w:val="clear" w:color="auto" w:fill="auto"/>
          </w:tcPr>
          <w:p w14:paraId="356B09D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-0.0182</w:t>
            </w:r>
          </w:p>
          <w:p w14:paraId="66647CC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(0.0147)</w:t>
            </w:r>
          </w:p>
          <w:p w14:paraId="3812CC2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[-1.2409]</w:t>
            </w:r>
          </w:p>
        </w:tc>
        <w:tc>
          <w:tcPr>
            <w:tcW w:w="1561" w:type="dxa"/>
            <w:shd w:val="clear" w:color="auto" w:fill="auto"/>
          </w:tcPr>
          <w:p w14:paraId="442FF94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-4.20E-05</w:t>
            </w:r>
          </w:p>
          <w:p w14:paraId="7F7AAFD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(4.8E-05)</w:t>
            </w:r>
          </w:p>
          <w:p w14:paraId="20B9D5C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[-0.8809]</w:t>
            </w:r>
          </w:p>
        </w:tc>
        <w:tc>
          <w:tcPr>
            <w:tcW w:w="1561" w:type="dxa"/>
            <w:shd w:val="clear" w:color="auto" w:fill="auto"/>
          </w:tcPr>
          <w:p w14:paraId="144A1B9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0.0003</w:t>
            </w:r>
          </w:p>
          <w:p w14:paraId="7A1043F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(0.0003)</w:t>
            </w:r>
          </w:p>
          <w:p w14:paraId="5D0C671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[1.4177]</w:t>
            </w:r>
          </w:p>
        </w:tc>
      </w:tr>
      <w:tr w:rsidR="005C7F63" w:rsidRPr="009C2E9F" w14:paraId="2D84CD9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shd w:val="clear" w:color="auto" w:fill="auto"/>
          </w:tcPr>
          <w:p w14:paraId="4F8D47AF"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C</w:t>
            </w:r>
          </w:p>
        </w:tc>
        <w:tc>
          <w:tcPr>
            <w:tcW w:w="1558" w:type="dxa"/>
            <w:shd w:val="clear" w:color="auto" w:fill="auto"/>
          </w:tcPr>
          <w:p w14:paraId="7A03E50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-4.0197</w:t>
            </w:r>
          </w:p>
        </w:tc>
        <w:tc>
          <w:tcPr>
            <w:tcW w:w="1561" w:type="dxa"/>
            <w:shd w:val="clear" w:color="auto" w:fill="auto"/>
          </w:tcPr>
          <w:p w14:paraId="02754EC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-18.9994</w:t>
            </w:r>
          </w:p>
        </w:tc>
        <w:tc>
          <w:tcPr>
            <w:tcW w:w="1561" w:type="dxa"/>
            <w:shd w:val="clear" w:color="auto" w:fill="auto"/>
          </w:tcPr>
          <w:p w14:paraId="695CD6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-367.9656</w:t>
            </w:r>
          </w:p>
        </w:tc>
        <w:tc>
          <w:tcPr>
            <w:tcW w:w="1561" w:type="dxa"/>
            <w:shd w:val="clear" w:color="auto" w:fill="auto"/>
          </w:tcPr>
          <w:p w14:paraId="29A2B54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-11.1339</w:t>
            </w:r>
          </w:p>
        </w:tc>
        <w:tc>
          <w:tcPr>
            <w:tcW w:w="1561" w:type="dxa"/>
            <w:shd w:val="clear" w:color="auto" w:fill="auto"/>
          </w:tcPr>
          <w:p w14:paraId="62107C7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-3.7534</w:t>
            </w:r>
          </w:p>
        </w:tc>
      </w:tr>
    </w:tbl>
    <w:p w14:paraId="0F984766" w14:textId="696B70DA" w:rsidR="005C7F63" w:rsidRPr="009C2E9F" w:rsidRDefault="005C7F63" w:rsidP="005A0249">
      <w:pPr>
        <w:pStyle w:val="Heading3"/>
        <w:spacing w:before="240" w:beforeAutospacing="0" w:after="240" w:afterAutospacing="0"/>
        <w:jc w:val="both"/>
        <w:rPr>
          <w:b w:val="0"/>
          <w:bCs w:val="0"/>
          <w:sz w:val="24"/>
          <w:szCs w:val="24"/>
        </w:rPr>
      </w:pPr>
      <w:r w:rsidRPr="009C2E9F">
        <w:rPr>
          <w:b w:val="0"/>
          <w:bCs w:val="0"/>
          <w:sz w:val="24"/>
          <w:szCs w:val="24"/>
        </w:rPr>
        <w:lastRenderedPageBreak/>
        <w:t>Table 5 presents the estimated</w:t>
      </w:r>
      <w:r w:rsidRPr="009C2E9F">
        <w:rPr>
          <w:sz w:val="24"/>
          <w:szCs w:val="24"/>
        </w:rPr>
        <w:t xml:space="preserve"> </w:t>
      </w:r>
      <w:r w:rsidRPr="009C2E9F">
        <w:rPr>
          <w:rStyle w:val="Strong"/>
          <w:sz w:val="24"/>
          <w:szCs w:val="24"/>
        </w:rPr>
        <w:t>long-run coefficients of the cointegrating vectors,</w:t>
      </w:r>
      <w:r w:rsidRPr="009C2E9F">
        <w:rPr>
          <w:sz w:val="24"/>
          <w:szCs w:val="24"/>
        </w:rPr>
        <w:t xml:space="preserve"> </w:t>
      </w:r>
      <w:r w:rsidRPr="009C2E9F">
        <w:rPr>
          <w:b w:val="0"/>
          <w:bCs w:val="0"/>
          <w:sz w:val="24"/>
          <w:szCs w:val="24"/>
        </w:rPr>
        <w:t>each normalized on a different endogenous variable.</w:t>
      </w:r>
      <w:r w:rsidRPr="009C2E9F">
        <w:rPr>
          <w:sz w:val="24"/>
          <w:szCs w:val="24"/>
        </w:rPr>
        <w:t xml:space="preserve"> </w:t>
      </w:r>
      <w:r w:rsidRPr="009C2E9F">
        <w:rPr>
          <w:b w:val="0"/>
          <w:bCs w:val="0"/>
          <w:sz w:val="24"/>
          <w:szCs w:val="24"/>
        </w:rPr>
        <w:t>The existence of</w:t>
      </w:r>
      <w:r w:rsidRPr="009C2E9F">
        <w:rPr>
          <w:sz w:val="24"/>
          <w:szCs w:val="24"/>
        </w:rPr>
        <w:t xml:space="preserve"> </w:t>
      </w:r>
      <w:r w:rsidRPr="009C2E9F">
        <w:rPr>
          <w:rStyle w:val="Strong"/>
          <w:sz w:val="24"/>
          <w:szCs w:val="24"/>
        </w:rPr>
        <w:t>five cointegrating equations</w:t>
      </w:r>
      <w:r w:rsidRPr="009C2E9F">
        <w:rPr>
          <w:sz w:val="24"/>
          <w:szCs w:val="24"/>
        </w:rPr>
        <w:t xml:space="preserve"> </w:t>
      </w:r>
      <w:r w:rsidRPr="009C2E9F">
        <w:rPr>
          <w:b w:val="0"/>
          <w:bCs w:val="0"/>
          <w:sz w:val="24"/>
          <w:szCs w:val="24"/>
        </w:rPr>
        <w:t xml:space="preserve">confirms the existence of a stable long-run equilibrium relationship among the variables. </w:t>
      </w:r>
    </w:p>
    <w:p w14:paraId="5FF7D9E3" w14:textId="77777777" w:rsidR="005C7F63" w:rsidRPr="009C2E9F" w:rsidRDefault="005C7F63" w:rsidP="005A0249">
      <w:pPr>
        <w:pStyle w:val="Heading3"/>
        <w:spacing w:before="240" w:beforeAutospacing="0" w:after="240" w:afterAutospacing="0"/>
        <w:jc w:val="both"/>
        <w:rPr>
          <w:b w:val="0"/>
          <w:bCs w:val="0"/>
          <w:sz w:val="24"/>
          <w:szCs w:val="24"/>
        </w:rPr>
      </w:pPr>
      <w:r w:rsidRPr="009C2E9F">
        <w:rPr>
          <w:b w:val="0"/>
          <w:bCs w:val="0"/>
          <w:sz w:val="24"/>
          <w:szCs w:val="24"/>
        </w:rPr>
        <w:t xml:space="preserve">The long-run estimates indicate that money supply exerts </w:t>
      </w:r>
      <w:r w:rsidRPr="009C2E9F">
        <w:rPr>
          <w:rStyle w:val="Strong"/>
          <w:sz w:val="24"/>
          <w:szCs w:val="24"/>
        </w:rPr>
        <w:t>downward pressure on exchange, GDP, and export stability</w:t>
      </w:r>
      <w:r w:rsidRPr="009C2E9F">
        <w:rPr>
          <w:b w:val="0"/>
          <w:bCs w:val="0"/>
          <w:sz w:val="24"/>
          <w:szCs w:val="24"/>
        </w:rPr>
        <w:t xml:space="preserve"> but has a positive influence on the performance of inflation. This highlights the dominant role of </w:t>
      </w:r>
      <w:r w:rsidRPr="009C2E9F">
        <w:rPr>
          <w:rStyle w:val="Strong"/>
          <w:sz w:val="24"/>
          <w:szCs w:val="24"/>
        </w:rPr>
        <w:t>monetary conditions</w:t>
      </w:r>
      <w:r w:rsidRPr="009C2E9F">
        <w:rPr>
          <w:b w:val="0"/>
          <w:bCs w:val="0"/>
          <w:sz w:val="24"/>
          <w:szCs w:val="24"/>
        </w:rPr>
        <w:t xml:space="preserve"> in shaping Nigeria’s long-run macroeconomic dynamics. The normalization of the cointegrating vectors on </w:t>
      </w:r>
      <w:r w:rsidRPr="009C2E9F">
        <w:rPr>
          <w:rStyle w:val="Strong"/>
          <w:sz w:val="24"/>
          <w:szCs w:val="24"/>
        </w:rPr>
        <w:t>LEXR, INF, LGDP, INT, and LEXPR</w:t>
      </w:r>
      <w:r w:rsidRPr="009C2E9F">
        <w:rPr>
          <w:b w:val="0"/>
          <w:bCs w:val="0"/>
          <w:sz w:val="24"/>
          <w:szCs w:val="24"/>
        </w:rPr>
        <w:t>, respectively, the expansion in money supply influences exchange rate strongly in the long run, there is no strong evidence that MS drives inflation in the long run, it does not significantly explain economic growth in the long run and money supply does not significantly affect exports in the long run.</w:t>
      </w:r>
    </w:p>
    <w:p w14:paraId="426EBE65" w14:textId="670C61A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6: Speed of Adjustment</w:t>
      </w:r>
    </w:p>
    <w:tbl>
      <w:tblPr>
        <w:tblStyle w:val="LightShading1"/>
        <w:tblW w:w="0" w:type="auto"/>
        <w:tblLook w:val="04A0" w:firstRow="1" w:lastRow="0" w:firstColumn="1" w:lastColumn="0" w:noHBand="0" w:noVBand="1"/>
      </w:tblPr>
      <w:tblGrid>
        <w:gridCol w:w="1329"/>
        <w:gridCol w:w="1335"/>
        <w:gridCol w:w="1386"/>
        <w:gridCol w:w="1288"/>
        <w:gridCol w:w="1332"/>
        <w:gridCol w:w="1358"/>
        <w:gridCol w:w="1332"/>
      </w:tblGrid>
      <w:tr w:rsidR="005C7F63" w:rsidRPr="009C2E9F" w14:paraId="7E1282C2"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2D8AF5D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335" w:type="dxa"/>
            <w:shd w:val="clear" w:color="auto" w:fill="auto"/>
          </w:tcPr>
          <w:p w14:paraId="470722EF"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386" w:type="dxa"/>
            <w:shd w:val="clear" w:color="auto" w:fill="auto"/>
          </w:tcPr>
          <w:p w14:paraId="77D40A21"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288" w:type="dxa"/>
            <w:shd w:val="clear" w:color="auto" w:fill="auto"/>
          </w:tcPr>
          <w:p w14:paraId="1C9595FE"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332" w:type="dxa"/>
            <w:shd w:val="clear" w:color="auto" w:fill="auto"/>
          </w:tcPr>
          <w:p w14:paraId="31A7EA72"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58" w:type="dxa"/>
            <w:shd w:val="clear" w:color="auto" w:fill="auto"/>
          </w:tcPr>
          <w:p w14:paraId="11D9E19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w:t>
            </w:r>
          </w:p>
        </w:tc>
        <w:tc>
          <w:tcPr>
            <w:tcW w:w="1332" w:type="dxa"/>
            <w:shd w:val="clear" w:color="auto" w:fill="auto"/>
          </w:tcPr>
          <w:p w14:paraId="6EB0575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5C7F63" w:rsidRPr="009C2E9F" w14:paraId="206B3AA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272F3F7E"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ECM</w:t>
            </w:r>
          </w:p>
        </w:tc>
        <w:tc>
          <w:tcPr>
            <w:tcW w:w="1335" w:type="dxa"/>
            <w:shd w:val="clear" w:color="auto" w:fill="auto"/>
          </w:tcPr>
          <w:p w14:paraId="5AA397B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-0.997</w:t>
            </w:r>
          </w:p>
          <w:p w14:paraId="51004A9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(0.068)</w:t>
            </w:r>
          </w:p>
          <w:p w14:paraId="133AF13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[-14.688]*</w:t>
            </w:r>
          </w:p>
        </w:tc>
        <w:tc>
          <w:tcPr>
            <w:tcW w:w="1386" w:type="dxa"/>
            <w:shd w:val="clear" w:color="auto" w:fill="auto"/>
          </w:tcPr>
          <w:p w14:paraId="57442A0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-0.024</w:t>
            </w:r>
          </w:p>
          <w:p w14:paraId="6D0C91E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(0.022)</w:t>
            </w:r>
          </w:p>
          <w:p w14:paraId="16470CF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[-1.102]</w:t>
            </w:r>
          </w:p>
        </w:tc>
        <w:tc>
          <w:tcPr>
            <w:tcW w:w="1288" w:type="dxa"/>
            <w:shd w:val="clear" w:color="auto" w:fill="auto"/>
          </w:tcPr>
          <w:p w14:paraId="3EC9078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0.102</w:t>
            </w:r>
          </w:p>
          <w:p w14:paraId="41323E1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(0.137)</w:t>
            </w:r>
          </w:p>
          <w:p w14:paraId="3F853B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[0.744]</w:t>
            </w:r>
          </w:p>
        </w:tc>
        <w:tc>
          <w:tcPr>
            <w:tcW w:w="1332" w:type="dxa"/>
            <w:shd w:val="clear" w:color="auto" w:fill="auto"/>
          </w:tcPr>
          <w:p w14:paraId="754A240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0.069</w:t>
            </w:r>
          </w:p>
          <w:p w14:paraId="3854126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(0.019)</w:t>
            </w:r>
          </w:p>
          <w:p w14:paraId="0C52E3B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[0.833]</w:t>
            </w:r>
          </w:p>
        </w:tc>
        <w:tc>
          <w:tcPr>
            <w:tcW w:w="1358" w:type="dxa"/>
            <w:shd w:val="clear" w:color="auto" w:fill="auto"/>
          </w:tcPr>
          <w:p w14:paraId="62F7C03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0.069</w:t>
            </w:r>
          </w:p>
          <w:p w14:paraId="559525A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(0.026)</w:t>
            </w:r>
          </w:p>
          <w:p w14:paraId="55D1D87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[2.675]*</w:t>
            </w:r>
          </w:p>
        </w:tc>
        <w:tc>
          <w:tcPr>
            <w:tcW w:w="1332" w:type="dxa"/>
            <w:shd w:val="clear" w:color="auto" w:fill="auto"/>
          </w:tcPr>
          <w:p w14:paraId="6E6B6AC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-17.345</w:t>
            </w:r>
          </w:p>
          <w:p w14:paraId="29EB808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(6.457)</w:t>
            </w:r>
          </w:p>
          <w:p w14:paraId="4AAE6BD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[-2.686]*</w:t>
            </w:r>
          </w:p>
        </w:tc>
      </w:tr>
    </w:tbl>
    <w:p w14:paraId="6ED104E5" w14:textId="01ABBF16"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6 shows that the negative and statistically significant ECM coefficients for exchange, export rate, and money supply exhibit stable and relatively rapid adjustment to long-run disequilibria, while inflation, GDP positive but adjust more slowly to equilibrium. In contrast, the inflation, GDP, and interest does not display significant short-run adjustment, implying that their performance in Nigeria is more policy-driven and less responsive to short-term deviations from a long-run equilibrium.</w:t>
      </w:r>
    </w:p>
    <w:p w14:paraId="63B5C2FF" w14:textId="6A6E20B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7 Short-run dynamics</w:t>
      </w:r>
    </w:p>
    <w:tbl>
      <w:tblPr>
        <w:tblStyle w:val="LightShading1"/>
        <w:tblW w:w="0" w:type="auto"/>
        <w:tblLook w:val="04A0" w:firstRow="1" w:lastRow="0" w:firstColumn="1" w:lastColumn="0" w:noHBand="0" w:noVBand="1"/>
      </w:tblPr>
      <w:tblGrid>
        <w:gridCol w:w="2344"/>
        <w:gridCol w:w="2339"/>
        <w:gridCol w:w="2338"/>
        <w:gridCol w:w="2339"/>
      </w:tblGrid>
      <w:tr w:rsidR="005C7F63" w:rsidRPr="009C2E9F" w14:paraId="731859DE"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4F068993"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2339" w:type="dxa"/>
            <w:shd w:val="clear" w:color="auto" w:fill="auto"/>
          </w:tcPr>
          <w:p w14:paraId="48D8BD8B"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2338" w:type="dxa"/>
            <w:shd w:val="clear" w:color="auto" w:fill="auto"/>
          </w:tcPr>
          <w:p w14:paraId="3DEC61FA"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2339" w:type="dxa"/>
            <w:shd w:val="clear" w:color="auto" w:fill="auto"/>
          </w:tcPr>
          <w:p w14:paraId="30777D8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r>
      <w:tr w:rsidR="005C7F63" w:rsidRPr="009C2E9F" w14:paraId="3CC1D39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083C9D14"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D(EXR(-1))</w:t>
            </w:r>
          </w:p>
        </w:tc>
        <w:tc>
          <w:tcPr>
            <w:tcW w:w="2339" w:type="dxa"/>
            <w:shd w:val="clear" w:color="auto" w:fill="auto"/>
          </w:tcPr>
          <w:p w14:paraId="1862AC7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8" w:type="dxa"/>
            <w:shd w:val="clear" w:color="auto" w:fill="auto"/>
          </w:tcPr>
          <w:p w14:paraId="1C7ED41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0.0067</w:t>
            </w:r>
          </w:p>
          <w:p w14:paraId="489AD9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(0.0149)</w:t>
            </w:r>
          </w:p>
          <w:p w14:paraId="77916CF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[0.4444]</w:t>
            </w:r>
          </w:p>
        </w:tc>
        <w:tc>
          <w:tcPr>
            <w:tcW w:w="2339" w:type="dxa"/>
            <w:shd w:val="clear" w:color="auto" w:fill="auto"/>
          </w:tcPr>
          <w:p w14:paraId="210D67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-0.0860</w:t>
            </w:r>
          </w:p>
          <w:p w14:paraId="1A49FB1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(0.0954)</w:t>
            </w:r>
          </w:p>
          <w:p w14:paraId="23317E2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[-0.9016]</w:t>
            </w:r>
          </w:p>
        </w:tc>
      </w:tr>
      <w:tr w:rsidR="005C7F63" w:rsidRPr="009C2E9F" w14:paraId="06F59980" w14:textId="77777777" w:rsidTr="006C5B90">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72DE585C"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D(INF(-1))</w:t>
            </w:r>
          </w:p>
        </w:tc>
        <w:tc>
          <w:tcPr>
            <w:tcW w:w="2339" w:type="dxa"/>
            <w:shd w:val="clear" w:color="auto" w:fill="auto"/>
          </w:tcPr>
          <w:p w14:paraId="56F0B6D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-0.0256</w:t>
            </w:r>
          </w:p>
          <w:p w14:paraId="6BA2FB7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(0.1439)</w:t>
            </w:r>
          </w:p>
          <w:p w14:paraId="6697031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[-0.1778]</w:t>
            </w:r>
          </w:p>
        </w:tc>
        <w:tc>
          <w:tcPr>
            <w:tcW w:w="2338" w:type="dxa"/>
            <w:shd w:val="clear" w:color="auto" w:fill="auto"/>
          </w:tcPr>
          <w:p w14:paraId="4A5F509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9" w:type="dxa"/>
            <w:shd w:val="clear" w:color="auto" w:fill="auto"/>
          </w:tcPr>
          <w:p w14:paraId="45A2AD2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0.2275</w:t>
            </w:r>
          </w:p>
          <w:p w14:paraId="0CD8BEC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(0.2912)</w:t>
            </w:r>
          </w:p>
          <w:p w14:paraId="721ABDF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[0.7814]</w:t>
            </w:r>
          </w:p>
        </w:tc>
      </w:tr>
      <w:tr w:rsidR="005C7F63" w:rsidRPr="009C2E9F" w14:paraId="13F74F8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170E79FA"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D(GDP(-1))</w:t>
            </w:r>
          </w:p>
        </w:tc>
        <w:tc>
          <w:tcPr>
            <w:tcW w:w="2339" w:type="dxa"/>
            <w:shd w:val="clear" w:color="auto" w:fill="auto"/>
          </w:tcPr>
          <w:p w14:paraId="216A215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-0.0532</w:t>
            </w:r>
          </w:p>
          <w:p w14:paraId="7F8D14C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(0.0205)</w:t>
            </w:r>
          </w:p>
          <w:p w14:paraId="6263669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[-2.5993]*</w:t>
            </w:r>
          </w:p>
        </w:tc>
        <w:tc>
          <w:tcPr>
            <w:tcW w:w="2338" w:type="dxa"/>
            <w:shd w:val="clear" w:color="auto" w:fill="auto"/>
          </w:tcPr>
          <w:p w14:paraId="1A63AD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-0.0217</w:t>
            </w:r>
          </w:p>
          <w:p w14:paraId="7D0626B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(0.0065)</w:t>
            </w:r>
          </w:p>
          <w:p w14:paraId="7007CC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[-3.3318]*</w:t>
            </w:r>
          </w:p>
        </w:tc>
        <w:tc>
          <w:tcPr>
            <w:tcW w:w="2339" w:type="dxa"/>
            <w:shd w:val="clear" w:color="auto" w:fill="auto"/>
          </w:tcPr>
          <w:p w14:paraId="764A1AE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r>
    </w:tbl>
    <w:p w14:paraId="509D39A3" w14:textId="5DC3A84B"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Table 7 presents the short-run interactions among the exchange rate, inflation, and economic growth. The results show that lagged changes in the exchange rate do not statistically significantly affect inflation or GDP in the short run. Lagged inflation exhibits a negative but weak impact on exchange rate and a positive impact on GDP changes. Similarly, lagged GDP shows a negative and statistically significant effect.</w:t>
      </w:r>
    </w:p>
    <w:p w14:paraId="3AB8FB75" w14:textId="741FEFC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8: </w:t>
      </w:r>
      <w:r w:rsidRPr="009C2E9F">
        <w:rPr>
          <w:rFonts w:ascii="Times New Roman" w:eastAsiaTheme="majorEastAsia" w:hAnsi="Times New Roman" w:cs="Times New Roman"/>
          <w:sz w:val="24"/>
          <w:szCs w:val="24"/>
        </w:rPr>
        <w:t>Goodness of Fit</w:t>
      </w:r>
    </w:p>
    <w:tbl>
      <w:tblPr>
        <w:tblStyle w:val="LightShading1"/>
        <w:tblW w:w="0" w:type="auto"/>
        <w:tblLook w:val="04A0" w:firstRow="1" w:lastRow="0" w:firstColumn="1" w:lastColumn="0" w:noHBand="0" w:noVBand="1"/>
      </w:tblPr>
      <w:tblGrid>
        <w:gridCol w:w="1588"/>
        <w:gridCol w:w="1446"/>
        <w:gridCol w:w="1438"/>
        <w:gridCol w:w="1176"/>
        <w:gridCol w:w="1126"/>
        <w:gridCol w:w="1310"/>
        <w:gridCol w:w="1492"/>
      </w:tblGrid>
      <w:tr w:rsidR="005C7F63" w:rsidRPr="009C2E9F" w14:paraId="0103EAD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59377CA"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446" w:type="dxa"/>
            <w:shd w:val="clear" w:color="auto" w:fill="auto"/>
          </w:tcPr>
          <w:p w14:paraId="65677AB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438" w:type="dxa"/>
            <w:shd w:val="clear" w:color="auto" w:fill="auto"/>
          </w:tcPr>
          <w:p w14:paraId="4DDC964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176" w:type="dxa"/>
            <w:shd w:val="clear" w:color="auto" w:fill="auto"/>
          </w:tcPr>
          <w:p w14:paraId="227CFD2D"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126" w:type="dxa"/>
            <w:shd w:val="clear" w:color="auto" w:fill="auto"/>
          </w:tcPr>
          <w:p w14:paraId="30097EB7"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10" w:type="dxa"/>
            <w:shd w:val="clear" w:color="auto" w:fill="auto"/>
          </w:tcPr>
          <w:p w14:paraId="774F0460"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D(EXPR)</w:t>
            </w:r>
          </w:p>
        </w:tc>
        <w:tc>
          <w:tcPr>
            <w:tcW w:w="1492" w:type="dxa"/>
            <w:shd w:val="clear" w:color="auto" w:fill="auto"/>
          </w:tcPr>
          <w:p w14:paraId="2D67C52C"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5C7F63" w:rsidRPr="009C2E9F" w14:paraId="74CFDDA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0E5553B6"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R-square</w:t>
            </w:r>
          </w:p>
        </w:tc>
        <w:tc>
          <w:tcPr>
            <w:tcW w:w="1446" w:type="dxa"/>
            <w:shd w:val="clear" w:color="auto" w:fill="auto"/>
          </w:tcPr>
          <w:p w14:paraId="7A792E8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0.5382</w:t>
            </w:r>
          </w:p>
        </w:tc>
        <w:tc>
          <w:tcPr>
            <w:tcW w:w="1438" w:type="dxa"/>
            <w:shd w:val="clear" w:color="auto" w:fill="auto"/>
          </w:tcPr>
          <w:p w14:paraId="15FAEC5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0.4998</w:t>
            </w:r>
          </w:p>
        </w:tc>
        <w:tc>
          <w:tcPr>
            <w:tcW w:w="1176" w:type="dxa"/>
            <w:shd w:val="clear" w:color="auto" w:fill="auto"/>
          </w:tcPr>
          <w:p w14:paraId="5649881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0.2448</w:t>
            </w:r>
          </w:p>
        </w:tc>
        <w:tc>
          <w:tcPr>
            <w:tcW w:w="1126" w:type="dxa"/>
            <w:shd w:val="clear" w:color="auto" w:fill="auto"/>
          </w:tcPr>
          <w:p w14:paraId="5DF5D26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0.4881</w:t>
            </w:r>
          </w:p>
        </w:tc>
        <w:tc>
          <w:tcPr>
            <w:tcW w:w="1310" w:type="dxa"/>
            <w:shd w:val="clear" w:color="auto" w:fill="auto"/>
          </w:tcPr>
          <w:p w14:paraId="3A96D97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0.3281</w:t>
            </w:r>
          </w:p>
        </w:tc>
        <w:tc>
          <w:tcPr>
            <w:tcW w:w="1492" w:type="dxa"/>
            <w:shd w:val="clear" w:color="auto" w:fill="auto"/>
          </w:tcPr>
          <w:p w14:paraId="4822A9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0.3586</w:t>
            </w:r>
          </w:p>
        </w:tc>
      </w:tr>
      <w:tr w:rsidR="005C7F63" w:rsidRPr="009C2E9F" w14:paraId="296DA3F5" w14:textId="77777777" w:rsidTr="006C5B90">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576BEBB"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Adj. R-square</w:t>
            </w:r>
          </w:p>
        </w:tc>
        <w:tc>
          <w:tcPr>
            <w:tcW w:w="1446" w:type="dxa"/>
            <w:shd w:val="clear" w:color="auto" w:fill="auto"/>
          </w:tcPr>
          <w:p w14:paraId="17800A5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0.5274</w:t>
            </w:r>
          </w:p>
        </w:tc>
        <w:tc>
          <w:tcPr>
            <w:tcW w:w="1438" w:type="dxa"/>
            <w:shd w:val="clear" w:color="auto" w:fill="auto"/>
          </w:tcPr>
          <w:p w14:paraId="26196F7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0.4880</w:t>
            </w:r>
          </w:p>
        </w:tc>
        <w:tc>
          <w:tcPr>
            <w:tcW w:w="1176" w:type="dxa"/>
            <w:shd w:val="clear" w:color="auto" w:fill="auto"/>
          </w:tcPr>
          <w:p w14:paraId="38D6FD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0.2270</w:t>
            </w:r>
          </w:p>
        </w:tc>
        <w:tc>
          <w:tcPr>
            <w:tcW w:w="1126" w:type="dxa"/>
            <w:shd w:val="clear" w:color="auto" w:fill="auto"/>
          </w:tcPr>
          <w:p w14:paraId="2ADA4B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0.4761</w:t>
            </w:r>
          </w:p>
        </w:tc>
        <w:tc>
          <w:tcPr>
            <w:tcW w:w="1310" w:type="dxa"/>
            <w:shd w:val="clear" w:color="auto" w:fill="auto"/>
          </w:tcPr>
          <w:p w14:paraId="138C1B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0.3123</w:t>
            </w:r>
          </w:p>
        </w:tc>
        <w:tc>
          <w:tcPr>
            <w:tcW w:w="1492" w:type="dxa"/>
            <w:shd w:val="clear" w:color="auto" w:fill="auto"/>
          </w:tcPr>
          <w:p w14:paraId="01049FA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0.34345</w:t>
            </w:r>
          </w:p>
        </w:tc>
      </w:tr>
      <w:tr w:rsidR="005C7F63" w:rsidRPr="009C2E9F" w14:paraId="6681FF4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6E37C31F"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F-statistic</w:t>
            </w:r>
          </w:p>
        </w:tc>
        <w:tc>
          <w:tcPr>
            <w:tcW w:w="1446" w:type="dxa"/>
            <w:shd w:val="clear" w:color="auto" w:fill="auto"/>
          </w:tcPr>
          <w:p w14:paraId="6C456EC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49.5880*</w:t>
            </w:r>
          </w:p>
        </w:tc>
        <w:tc>
          <w:tcPr>
            <w:tcW w:w="1438" w:type="dxa"/>
            <w:shd w:val="clear" w:color="auto" w:fill="auto"/>
          </w:tcPr>
          <w:p w14:paraId="3EB81A9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42.5057*</w:t>
            </w:r>
          </w:p>
        </w:tc>
        <w:tc>
          <w:tcPr>
            <w:tcW w:w="1176" w:type="dxa"/>
            <w:shd w:val="clear" w:color="auto" w:fill="auto"/>
          </w:tcPr>
          <w:p w14:paraId="37E1F42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13.7909*</w:t>
            </w:r>
          </w:p>
        </w:tc>
        <w:tc>
          <w:tcPr>
            <w:tcW w:w="1126" w:type="dxa"/>
            <w:shd w:val="clear" w:color="auto" w:fill="auto"/>
          </w:tcPr>
          <w:p w14:paraId="725FF3A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40.5645*</w:t>
            </w:r>
          </w:p>
        </w:tc>
        <w:tc>
          <w:tcPr>
            <w:tcW w:w="1310" w:type="dxa"/>
            <w:shd w:val="clear" w:color="auto" w:fill="auto"/>
          </w:tcPr>
          <w:p w14:paraId="6612263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20.7757*</w:t>
            </w:r>
          </w:p>
        </w:tc>
        <w:tc>
          <w:tcPr>
            <w:tcW w:w="1492" w:type="dxa"/>
            <w:shd w:val="clear" w:color="auto" w:fill="auto"/>
          </w:tcPr>
          <w:p w14:paraId="6150741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23.7835*</w:t>
            </w:r>
          </w:p>
        </w:tc>
      </w:tr>
    </w:tbl>
    <w:p w14:paraId="25E034E7" w14:textId="62D373C0"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R² values in Table 8 indicate moderate explanatory power, which is acceptable for macroeconomic time-series models. The null hypothesis of the F-statistic states that all coefficients are equal to zero. All equations have statistically significant F-statistics because they are not equal to zero, so it is confirming that the VECM equations are jointly significant.</w:t>
      </w:r>
    </w:p>
    <w:p w14:paraId="255A5B02" w14:textId="287218E6" w:rsidR="005C7F63" w:rsidRPr="009C2E9F" w:rsidRDefault="005C7F63" w:rsidP="005A0249">
      <w:pPr>
        <w:pStyle w:val="Heading3"/>
        <w:spacing w:before="240" w:beforeAutospacing="0" w:after="240" w:afterAutospacing="0"/>
        <w:jc w:val="both"/>
        <w:rPr>
          <w:b w:val="0"/>
          <w:bCs w:val="0"/>
          <w:sz w:val="24"/>
          <w:szCs w:val="24"/>
        </w:rPr>
      </w:pPr>
      <w:r w:rsidRPr="009C2E9F">
        <w:rPr>
          <w:rFonts w:eastAsiaTheme="majorEastAsia"/>
          <w:b w:val="0"/>
          <w:sz w:val="24"/>
          <w:szCs w:val="24"/>
        </w:rPr>
        <w:t>Table 9:</w:t>
      </w:r>
      <w:r w:rsidRPr="009C2E9F">
        <w:rPr>
          <w:rFonts w:eastAsiaTheme="majorEastAsia"/>
          <w:bCs w:val="0"/>
          <w:sz w:val="24"/>
          <w:szCs w:val="24"/>
        </w:rPr>
        <w:t xml:space="preserve"> </w:t>
      </w:r>
      <w:r w:rsidRPr="009C2E9F">
        <w:rPr>
          <w:b w:val="0"/>
          <w:bCs w:val="0"/>
          <w:sz w:val="24"/>
          <w:szCs w:val="24"/>
        </w:rPr>
        <w:t>Residual Covariance and Stability</w:t>
      </w:r>
    </w:p>
    <w:tbl>
      <w:tblPr>
        <w:tblStyle w:val="LightShading1"/>
        <w:tblW w:w="0" w:type="auto"/>
        <w:tblLook w:val="04A0" w:firstRow="1" w:lastRow="0" w:firstColumn="1" w:lastColumn="0" w:noHBand="0" w:noVBand="1"/>
      </w:tblPr>
      <w:tblGrid>
        <w:gridCol w:w="4788"/>
        <w:gridCol w:w="4788"/>
      </w:tblGrid>
      <w:tr w:rsidR="005C7F63" w:rsidRPr="009C2E9F" w14:paraId="408B745D"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6623472"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Determinant residual covariance</w:t>
            </w:r>
          </w:p>
        </w:tc>
        <w:tc>
          <w:tcPr>
            <w:tcW w:w="4788" w:type="dxa"/>
            <w:shd w:val="clear" w:color="auto" w:fill="auto"/>
          </w:tcPr>
          <w:p w14:paraId="5082AF49" w14:textId="77777777" w:rsidR="005C7F63" w:rsidRPr="009C2E9F" w:rsidRDefault="005C7F63"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6.35E+10</w:t>
            </w:r>
          </w:p>
        </w:tc>
      </w:tr>
      <w:tr w:rsidR="005C7F63" w:rsidRPr="009C2E9F" w14:paraId="312E1CA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40FBDC64"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Log likelihood</w:t>
            </w:r>
          </w:p>
        </w:tc>
        <w:tc>
          <w:tcPr>
            <w:tcW w:w="4788" w:type="dxa"/>
            <w:shd w:val="clear" w:color="auto" w:fill="auto"/>
          </w:tcPr>
          <w:p w14:paraId="1942C2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-10056.34</w:t>
            </w:r>
          </w:p>
        </w:tc>
      </w:tr>
      <w:tr w:rsidR="005C7F63" w:rsidRPr="009C2E9F" w14:paraId="1FF855A7" w14:textId="77777777" w:rsidTr="006C5B9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510DD117"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AIC</w:t>
            </w:r>
          </w:p>
        </w:tc>
        <w:tc>
          <w:tcPr>
            <w:tcW w:w="4788" w:type="dxa"/>
            <w:shd w:val="clear" w:color="auto" w:fill="auto"/>
          </w:tcPr>
          <w:p w14:paraId="1A1B2F7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42.3264</w:t>
            </w:r>
          </w:p>
        </w:tc>
      </w:tr>
      <w:tr w:rsidR="005C7F63" w:rsidRPr="009C2E9F" w14:paraId="7623C08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14FA9959" w14:textId="77777777" w:rsidR="005C7F63" w:rsidRPr="009C2E9F" w:rsidRDefault="005C7F63"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SIC</w:t>
            </w:r>
          </w:p>
        </w:tc>
        <w:tc>
          <w:tcPr>
            <w:tcW w:w="4788" w:type="dxa"/>
            <w:shd w:val="clear" w:color="auto" w:fill="auto"/>
          </w:tcPr>
          <w:p w14:paraId="6CD9AF3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43.2133</w:t>
            </w:r>
          </w:p>
        </w:tc>
      </w:tr>
    </w:tbl>
    <w:p w14:paraId="656789FE" w14:textId="649CB083" w:rsidR="005C7F63" w:rsidRPr="009C2E9F" w:rsidRDefault="005C7F63"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Table 9 shows the low determinant of the residual covariance matrix, and reasonable information criteria values indicate that the VECM is</w:t>
      </w:r>
      <w:r w:rsidRPr="009C2E9F">
        <w:rPr>
          <w:sz w:val="24"/>
          <w:szCs w:val="24"/>
        </w:rPr>
        <w:t xml:space="preserve"> </w:t>
      </w:r>
      <w:r w:rsidRPr="009C2E9F">
        <w:rPr>
          <w:rStyle w:val="Strong"/>
          <w:sz w:val="24"/>
          <w:szCs w:val="24"/>
        </w:rPr>
        <w:t>well specified, stable, and dynamically consistent</w:t>
      </w:r>
      <w:r w:rsidRPr="009C2E9F">
        <w:rPr>
          <w:b w:val="0"/>
          <w:bCs w:val="0"/>
          <w:sz w:val="24"/>
          <w:szCs w:val="24"/>
        </w:rPr>
        <w:t>.</w:t>
      </w:r>
    </w:p>
    <w:p w14:paraId="07880397" w14:textId="77777777" w:rsidR="00B16F2E" w:rsidRDefault="00B16F2E" w:rsidP="005A0249">
      <w:pPr>
        <w:spacing w:before="240" w:after="240" w:line="240" w:lineRule="auto"/>
        <w:jc w:val="both"/>
        <w:rPr>
          <w:rFonts w:ascii="Times New Roman" w:hAnsi="Times New Roman" w:cs="Times New Roman"/>
          <w:sz w:val="24"/>
          <w:szCs w:val="24"/>
        </w:rPr>
      </w:pPr>
    </w:p>
    <w:p w14:paraId="462C1044" w14:textId="77777777" w:rsidR="00B16F2E" w:rsidRDefault="00B16F2E" w:rsidP="005A0249">
      <w:pPr>
        <w:spacing w:before="240" w:after="240" w:line="240" w:lineRule="auto"/>
        <w:jc w:val="both"/>
        <w:rPr>
          <w:rFonts w:ascii="Times New Roman" w:hAnsi="Times New Roman" w:cs="Times New Roman"/>
          <w:sz w:val="24"/>
          <w:szCs w:val="24"/>
        </w:rPr>
      </w:pPr>
    </w:p>
    <w:p w14:paraId="6FCC2800" w14:textId="77777777" w:rsidR="00B16F2E" w:rsidRDefault="00B16F2E" w:rsidP="005A0249">
      <w:pPr>
        <w:spacing w:before="240" w:after="240" w:line="240" w:lineRule="auto"/>
        <w:jc w:val="both"/>
        <w:rPr>
          <w:rFonts w:ascii="Times New Roman" w:hAnsi="Times New Roman" w:cs="Times New Roman"/>
          <w:sz w:val="24"/>
          <w:szCs w:val="24"/>
        </w:rPr>
      </w:pPr>
    </w:p>
    <w:p w14:paraId="5025C644" w14:textId="2378E3E9"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10: Granger-causality Test result</w:t>
      </w:r>
    </w:p>
    <w:tbl>
      <w:tblPr>
        <w:tblStyle w:val="LightShading1"/>
        <w:tblW w:w="0" w:type="auto"/>
        <w:tblLook w:val="04A0" w:firstRow="1" w:lastRow="0" w:firstColumn="1" w:lastColumn="0" w:noHBand="0" w:noVBand="1"/>
      </w:tblPr>
      <w:tblGrid>
        <w:gridCol w:w="1382"/>
        <w:gridCol w:w="1188"/>
        <w:gridCol w:w="581"/>
        <w:gridCol w:w="938"/>
        <w:gridCol w:w="996"/>
        <w:gridCol w:w="705"/>
        <w:gridCol w:w="876"/>
        <w:gridCol w:w="1110"/>
        <w:gridCol w:w="705"/>
        <w:gridCol w:w="876"/>
      </w:tblGrid>
      <w:tr w:rsidR="005C7F63" w:rsidRPr="009C2E9F" w14:paraId="02FD20F2"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433F53F"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Dependent Variables</w:t>
            </w:r>
          </w:p>
        </w:tc>
        <w:tc>
          <w:tcPr>
            <w:tcW w:w="2707" w:type="dxa"/>
            <w:gridSpan w:val="3"/>
            <w:shd w:val="clear" w:color="auto" w:fill="auto"/>
          </w:tcPr>
          <w:p w14:paraId="685443DB"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Exchange rate D(EXR)</w:t>
            </w:r>
          </w:p>
        </w:tc>
        <w:tc>
          <w:tcPr>
            <w:tcW w:w="2575" w:type="dxa"/>
            <w:gridSpan w:val="3"/>
            <w:shd w:val="clear" w:color="auto" w:fill="auto"/>
          </w:tcPr>
          <w:p w14:paraId="03BC1DD3"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Inflation rate D(INF)</w:t>
            </w:r>
          </w:p>
        </w:tc>
        <w:tc>
          <w:tcPr>
            <w:tcW w:w="2691" w:type="dxa"/>
            <w:gridSpan w:val="3"/>
            <w:shd w:val="clear" w:color="auto" w:fill="auto"/>
          </w:tcPr>
          <w:p w14:paraId="62D0E564" w14:textId="77777777" w:rsidR="005C7F63" w:rsidRPr="009C2E9F" w:rsidRDefault="005C7F63"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Economic growth D(GDP)</w:t>
            </w:r>
          </w:p>
        </w:tc>
      </w:tr>
      <w:tr w:rsidR="005C7F63" w:rsidRPr="009C2E9F" w14:paraId="7A54B7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43E5A1CE"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 xml:space="preserve">Variables </w:t>
            </w:r>
            <w:r w:rsidRPr="009C2E9F">
              <w:rPr>
                <w:rFonts w:ascii="Times New Roman" w:hAnsi="Times New Roman" w:cs="Times New Roman"/>
                <w:b w:val="0"/>
                <w:bCs w:val="0"/>
                <w:sz w:val="24"/>
                <w:szCs w:val="24"/>
              </w:rPr>
              <w:lastRenderedPageBreak/>
              <w:t>Excluded</w:t>
            </w:r>
          </w:p>
        </w:tc>
        <w:tc>
          <w:tcPr>
            <w:tcW w:w="1188" w:type="dxa"/>
            <w:shd w:val="clear" w:color="auto" w:fill="auto"/>
          </w:tcPr>
          <w:p w14:paraId="5B7D370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lastRenderedPageBreak/>
              <w:t xml:space="preserve">Chi-square </w:t>
            </w:r>
            <w:r w:rsidRPr="009C2E9F">
              <w:rPr>
                <w:rFonts w:ascii="Times New Roman" w:hAnsi="Times New Roman" w:cs="Times New Roman"/>
                <w:sz w:val="24"/>
                <w:szCs w:val="24"/>
              </w:rPr>
              <w:lastRenderedPageBreak/>
              <w:t>statistic</w:t>
            </w:r>
          </w:p>
        </w:tc>
        <w:tc>
          <w:tcPr>
            <w:tcW w:w="581" w:type="dxa"/>
            <w:shd w:val="clear" w:color="auto" w:fill="auto"/>
          </w:tcPr>
          <w:p w14:paraId="6DB4D43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lastRenderedPageBreak/>
              <w:t>df</w:t>
            </w:r>
          </w:p>
        </w:tc>
        <w:tc>
          <w:tcPr>
            <w:tcW w:w="938" w:type="dxa"/>
            <w:shd w:val="clear" w:color="auto" w:fill="auto"/>
          </w:tcPr>
          <w:p w14:paraId="4D3D55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Prob.</w:t>
            </w:r>
          </w:p>
        </w:tc>
        <w:tc>
          <w:tcPr>
            <w:tcW w:w="994" w:type="dxa"/>
            <w:shd w:val="clear" w:color="auto" w:fill="auto"/>
          </w:tcPr>
          <w:p w14:paraId="44F4103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 xml:space="preserve">Chi-square </w:t>
            </w:r>
            <w:r w:rsidRPr="009C2E9F">
              <w:rPr>
                <w:rFonts w:ascii="Times New Roman" w:hAnsi="Times New Roman" w:cs="Times New Roman"/>
                <w:sz w:val="24"/>
                <w:szCs w:val="24"/>
              </w:rPr>
              <w:lastRenderedPageBreak/>
              <w:t>statistic</w:t>
            </w:r>
          </w:p>
        </w:tc>
        <w:tc>
          <w:tcPr>
            <w:tcW w:w="705" w:type="dxa"/>
            <w:shd w:val="clear" w:color="auto" w:fill="auto"/>
          </w:tcPr>
          <w:p w14:paraId="621ECE9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lastRenderedPageBreak/>
              <w:t>df</w:t>
            </w:r>
          </w:p>
        </w:tc>
        <w:tc>
          <w:tcPr>
            <w:tcW w:w="876" w:type="dxa"/>
            <w:shd w:val="clear" w:color="auto" w:fill="auto"/>
          </w:tcPr>
          <w:p w14:paraId="52E7808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c>
          <w:tcPr>
            <w:tcW w:w="1110" w:type="dxa"/>
            <w:shd w:val="clear" w:color="auto" w:fill="auto"/>
          </w:tcPr>
          <w:p w14:paraId="163B359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 xml:space="preserve">Chi-square </w:t>
            </w:r>
            <w:r w:rsidRPr="009C2E9F">
              <w:rPr>
                <w:rFonts w:ascii="Times New Roman" w:hAnsi="Times New Roman" w:cs="Times New Roman"/>
                <w:sz w:val="24"/>
                <w:szCs w:val="24"/>
              </w:rPr>
              <w:lastRenderedPageBreak/>
              <w:t>statistic</w:t>
            </w:r>
          </w:p>
        </w:tc>
        <w:tc>
          <w:tcPr>
            <w:tcW w:w="705" w:type="dxa"/>
            <w:shd w:val="clear" w:color="auto" w:fill="auto"/>
          </w:tcPr>
          <w:p w14:paraId="78843E5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lastRenderedPageBreak/>
              <w:t>df</w:t>
            </w:r>
          </w:p>
        </w:tc>
        <w:tc>
          <w:tcPr>
            <w:tcW w:w="876" w:type="dxa"/>
            <w:shd w:val="clear" w:color="auto" w:fill="auto"/>
          </w:tcPr>
          <w:p w14:paraId="04598BC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r>
      <w:tr w:rsidR="005C7F63" w:rsidRPr="009C2E9F" w14:paraId="1C426AE0"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F01177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D(EXR)</w:t>
            </w:r>
          </w:p>
        </w:tc>
        <w:tc>
          <w:tcPr>
            <w:tcW w:w="1188" w:type="dxa"/>
            <w:shd w:val="clear" w:color="auto" w:fill="auto"/>
          </w:tcPr>
          <w:p w14:paraId="07ED307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581" w:type="dxa"/>
            <w:shd w:val="clear" w:color="auto" w:fill="auto"/>
          </w:tcPr>
          <w:p w14:paraId="31699DC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38" w:type="dxa"/>
            <w:shd w:val="clear" w:color="auto" w:fill="auto"/>
          </w:tcPr>
          <w:p w14:paraId="3BD68C8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94" w:type="dxa"/>
            <w:shd w:val="clear" w:color="auto" w:fill="auto"/>
          </w:tcPr>
          <w:p w14:paraId="30D9B11F"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0.1976</w:t>
            </w:r>
          </w:p>
        </w:tc>
        <w:tc>
          <w:tcPr>
            <w:tcW w:w="705" w:type="dxa"/>
            <w:shd w:val="clear" w:color="auto" w:fill="auto"/>
          </w:tcPr>
          <w:p w14:paraId="2A6CADD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655875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0.6567</w:t>
            </w:r>
          </w:p>
        </w:tc>
        <w:tc>
          <w:tcPr>
            <w:tcW w:w="1110" w:type="dxa"/>
            <w:shd w:val="clear" w:color="auto" w:fill="auto"/>
          </w:tcPr>
          <w:p w14:paraId="3A36E37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0.8128</w:t>
            </w:r>
          </w:p>
        </w:tc>
        <w:tc>
          <w:tcPr>
            <w:tcW w:w="705" w:type="dxa"/>
            <w:shd w:val="clear" w:color="auto" w:fill="auto"/>
          </w:tcPr>
          <w:p w14:paraId="66C0F63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3B184D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0.3672</w:t>
            </w:r>
          </w:p>
        </w:tc>
      </w:tr>
      <w:tr w:rsidR="005C7F63" w:rsidRPr="009C2E9F" w14:paraId="0B3203A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B0AD862"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D(INF)</w:t>
            </w:r>
          </w:p>
        </w:tc>
        <w:tc>
          <w:tcPr>
            <w:tcW w:w="1188" w:type="dxa"/>
            <w:shd w:val="clear" w:color="auto" w:fill="auto"/>
          </w:tcPr>
          <w:p w14:paraId="2A1C0C9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0.0316</w:t>
            </w:r>
          </w:p>
        </w:tc>
        <w:tc>
          <w:tcPr>
            <w:tcW w:w="581" w:type="dxa"/>
            <w:shd w:val="clear" w:color="auto" w:fill="auto"/>
          </w:tcPr>
          <w:p w14:paraId="111C6A7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0A2CBD4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0.8589</w:t>
            </w:r>
          </w:p>
        </w:tc>
        <w:tc>
          <w:tcPr>
            <w:tcW w:w="994" w:type="dxa"/>
            <w:shd w:val="clear" w:color="auto" w:fill="auto"/>
          </w:tcPr>
          <w:p w14:paraId="71673904"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20034CE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39AB37A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1110" w:type="dxa"/>
            <w:shd w:val="clear" w:color="auto" w:fill="auto"/>
          </w:tcPr>
          <w:p w14:paraId="7883D34B"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0.6106</w:t>
            </w:r>
          </w:p>
        </w:tc>
        <w:tc>
          <w:tcPr>
            <w:tcW w:w="705" w:type="dxa"/>
            <w:shd w:val="clear" w:color="auto" w:fill="auto"/>
          </w:tcPr>
          <w:p w14:paraId="744DD03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6839C47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0.4346</w:t>
            </w:r>
          </w:p>
        </w:tc>
      </w:tr>
      <w:tr w:rsidR="005C7F63" w:rsidRPr="009C2E9F" w14:paraId="1E377CB5"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8C23CDD"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D(GDP)</w:t>
            </w:r>
          </w:p>
        </w:tc>
        <w:tc>
          <w:tcPr>
            <w:tcW w:w="1188" w:type="dxa"/>
            <w:shd w:val="clear" w:color="auto" w:fill="auto"/>
          </w:tcPr>
          <w:p w14:paraId="6EA5AA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6.7562</w:t>
            </w:r>
          </w:p>
        </w:tc>
        <w:tc>
          <w:tcPr>
            <w:tcW w:w="581" w:type="dxa"/>
            <w:shd w:val="clear" w:color="auto" w:fill="auto"/>
          </w:tcPr>
          <w:p w14:paraId="64797E4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3EF383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0.0093</w:t>
            </w:r>
          </w:p>
        </w:tc>
        <w:tc>
          <w:tcPr>
            <w:tcW w:w="994" w:type="dxa"/>
            <w:shd w:val="clear" w:color="auto" w:fill="auto"/>
          </w:tcPr>
          <w:p w14:paraId="2B4BC96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11.1011</w:t>
            </w:r>
          </w:p>
        </w:tc>
        <w:tc>
          <w:tcPr>
            <w:tcW w:w="705" w:type="dxa"/>
            <w:shd w:val="clear" w:color="auto" w:fill="auto"/>
          </w:tcPr>
          <w:p w14:paraId="157A5C3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22FB39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0.0009</w:t>
            </w:r>
          </w:p>
        </w:tc>
        <w:tc>
          <w:tcPr>
            <w:tcW w:w="1110" w:type="dxa"/>
            <w:shd w:val="clear" w:color="auto" w:fill="auto"/>
          </w:tcPr>
          <w:p w14:paraId="4B09A85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4C8C989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48C73B37"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r>
      <w:tr w:rsidR="005C7F63" w:rsidRPr="009C2E9F" w14:paraId="754223D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1B7E96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D(INT)</w:t>
            </w:r>
          </w:p>
        </w:tc>
        <w:tc>
          <w:tcPr>
            <w:tcW w:w="1188" w:type="dxa"/>
            <w:shd w:val="clear" w:color="auto" w:fill="auto"/>
          </w:tcPr>
          <w:p w14:paraId="17829A8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0.1580</w:t>
            </w:r>
          </w:p>
        </w:tc>
        <w:tc>
          <w:tcPr>
            <w:tcW w:w="581" w:type="dxa"/>
            <w:shd w:val="clear" w:color="auto" w:fill="auto"/>
          </w:tcPr>
          <w:p w14:paraId="086EA2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17564B55"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0.6910</w:t>
            </w:r>
          </w:p>
        </w:tc>
        <w:tc>
          <w:tcPr>
            <w:tcW w:w="994" w:type="dxa"/>
            <w:shd w:val="clear" w:color="auto" w:fill="auto"/>
          </w:tcPr>
          <w:p w14:paraId="6494B50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0.2643</w:t>
            </w:r>
          </w:p>
        </w:tc>
        <w:tc>
          <w:tcPr>
            <w:tcW w:w="705" w:type="dxa"/>
            <w:shd w:val="clear" w:color="auto" w:fill="auto"/>
          </w:tcPr>
          <w:p w14:paraId="37F27DE7"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6CD4DA0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0.6072</w:t>
            </w:r>
          </w:p>
        </w:tc>
        <w:tc>
          <w:tcPr>
            <w:tcW w:w="1110" w:type="dxa"/>
            <w:shd w:val="clear" w:color="auto" w:fill="auto"/>
          </w:tcPr>
          <w:p w14:paraId="3CBC8FC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1.7120</w:t>
            </w:r>
          </w:p>
        </w:tc>
        <w:tc>
          <w:tcPr>
            <w:tcW w:w="705" w:type="dxa"/>
            <w:shd w:val="clear" w:color="auto" w:fill="auto"/>
          </w:tcPr>
          <w:p w14:paraId="28E50509"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74FEFD23"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0.1907</w:t>
            </w:r>
          </w:p>
        </w:tc>
      </w:tr>
      <w:tr w:rsidR="005C7F63" w:rsidRPr="009C2E9F" w14:paraId="13B5DABB"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0566FB1B"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D(EXPR)</w:t>
            </w:r>
          </w:p>
        </w:tc>
        <w:tc>
          <w:tcPr>
            <w:tcW w:w="1188" w:type="dxa"/>
            <w:shd w:val="clear" w:color="auto" w:fill="auto"/>
          </w:tcPr>
          <w:p w14:paraId="5ABBED3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0.7299</w:t>
            </w:r>
          </w:p>
        </w:tc>
        <w:tc>
          <w:tcPr>
            <w:tcW w:w="581" w:type="dxa"/>
            <w:shd w:val="clear" w:color="auto" w:fill="auto"/>
          </w:tcPr>
          <w:p w14:paraId="7688FA00"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7FEBBEB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0.3929</w:t>
            </w:r>
          </w:p>
        </w:tc>
        <w:tc>
          <w:tcPr>
            <w:tcW w:w="994" w:type="dxa"/>
            <w:shd w:val="clear" w:color="auto" w:fill="auto"/>
          </w:tcPr>
          <w:p w14:paraId="1200884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0.0611</w:t>
            </w:r>
          </w:p>
        </w:tc>
        <w:tc>
          <w:tcPr>
            <w:tcW w:w="705" w:type="dxa"/>
            <w:shd w:val="clear" w:color="auto" w:fill="auto"/>
          </w:tcPr>
          <w:p w14:paraId="39785013"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7A4CBA8"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0.8048</w:t>
            </w:r>
          </w:p>
        </w:tc>
        <w:tc>
          <w:tcPr>
            <w:tcW w:w="1110" w:type="dxa"/>
            <w:shd w:val="clear" w:color="auto" w:fill="auto"/>
          </w:tcPr>
          <w:p w14:paraId="6825D54E"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0.2117</w:t>
            </w:r>
          </w:p>
        </w:tc>
        <w:tc>
          <w:tcPr>
            <w:tcW w:w="705" w:type="dxa"/>
            <w:shd w:val="clear" w:color="auto" w:fill="auto"/>
          </w:tcPr>
          <w:p w14:paraId="0E74F30C"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79CC171"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0.6454</w:t>
            </w:r>
          </w:p>
        </w:tc>
      </w:tr>
      <w:tr w:rsidR="005C7F63" w:rsidRPr="009C2E9F" w14:paraId="1E09250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4294E0C5"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D(MS)</w:t>
            </w:r>
          </w:p>
        </w:tc>
        <w:tc>
          <w:tcPr>
            <w:tcW w:w="1188" w:type="dxa"/>
            <w:shd w:val="clear" w:color="auto" w:fill="auto"/>
          </w:tcPr>
          <w:p w14:paraId="647FBF2E"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9.9742</w:t>
            </w:r>
          </w:p>
        </w:tc>
        <w:tc>
          <w:tcPr>
            <w:tcW w:w="581" w:type="dxa"/>
            <w:shd w:val="clear" w:color="auto" w:fill="auto"/>
          </w:tcPr>
          <w:p w14:paraId="13D62AD8"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1A365FDC"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0.0016</w:t>
            </w:r>
          </w:p>
        </w:tc>
        <w:tc>
          <w:tcPr>
            <w:tcW w:w="994" w:type="dxa"/>
            <w:shd w:val="clear" w:color="auto" w:fill="auto"/>
          </w:tcPr>
          <w:p w14:paraId="33084806"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5.7484</w:t>
            </w:r>
          </w:p>
        </w:tc>
        <w:tc>
          <w:tcPr>
            <w:tcW w:w="705" w:type="dxa"/>
            <w:shd w:val="clear" w:color="auto" w:fill="auto"/>
          </w:tcPr>
          <w:p w14:paraId="5FBFE47F"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FADBF9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0.0165</w:t>
            </w:r>
          </w:p>
        </w:tc>
        <w:tc>
          <w:tcPr>
            <w:tcW w:w="1110" w:type="dxa"/>
            <w:shd w:val="clear" w:color="auto" w:fill="auto"/>
          </w:tcPr>
          <w:p w14:paraId="279AF8F1"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2.2120</w:t>
            </w:r>
          </w:p>
        </w:tc>
        <w:tc>
          <w:tcPr>
            <w:tcW w:w="705" w:type="dxa"/>
            <w:shd w:val="clear" w:color="auto" w:fill="auto"/>
          </w:tcPr>
          <w:p w14:paraId="7F4CF22A"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45F33370" w14:textId="77777777" w:rsidR="005C7F63" w:rsidRPr="009C2E9F" w:rsidRDefault="005C7F63"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0.1369</w:t>
            </w:r>
          </w:p>
        </w:tc>
      </w:tr>
      <w:tr w:rsidR="005C7F63" w:rsidRPr="009C2E9F" w14:paraId="5EDB3132"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FDE7979" w14:textId="77777777" w:rsidR="005C7F63" w:rsidRPr="009C2E9F" w:rsidRDefault="005C7F63"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All</w:t>
            </w:r>
          </w:p>
        </w:tc>
        <w:tc>
          <w:tcPr>
            <w:tcW w:w="1188" w:type="dxa"/>
            <w:shd w:val="clear" w:color="auto" w:fill="auto"/>
          </w:tcPr>
          <w:p w14:paraId="74E7016D"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16.1571</w:t>
            </w:r>
          </w:p>
        </w:tc>
        <w:tc>
          <w:tcPr>
            <w:tcW w:w="581" w:type="dxa"/>
            <w:shd w:val="clear" w:color="auto" w:fill="auto"/>
          </w:tcPr>
          <w:p w14:paraId="5D2EB712"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938" w:type="dxa"/>
            <w:shd w:val="clear" w:color="auto" w:fill="auto"/>
          </w:tcPr>
          <w:p w14:paraId="64320CC5"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0.0064</w:t>
            </w:r>
          </w:p>
        </w:tc>
        <w:tc>
          <w:tcPr>
            <w:tcW w:w="994" w:type="dxa"/>
            <w:shd w:val="clear" w:color="auto" w:fill="auto"/>
          </w:tcPr>
          <w:p w14:paraId="6F20DC9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20.5921</w:t>
            </w:r>
          </w:p>
        </w:tc>
        <w:tc>
          <w:tcPr>
            <w:tcW w:w="705" w:type="dxa"/>
            <w:shd w:val="clear" w:color="auto" w:fill="auto"/>
          </w:tcPr>
          <w:p w14:paraId="5ABBBD29"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6F54B72B"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0.0010</w:t>
            </w:r>
          </w:p>
        </w:tc>
        <w:tc>
          <w:tcPr>
            <w:tcW w:w="1110" w:type="dxa"/>
            <w:shd w:val="clear" w:color="auto" w:fill="auto"/>
          </w:tcPr>
          <w:p w14:paraId="2003CE54"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4.8633</w:t>
            </w:r>
          </w:p>
        </w:tc>
        <w:tc>
          <w:tcPr>
            <w:tcW w:w="705" w:type="dxa"/>
            <w:shd w:val="clear" w:color="auto" w:fill="auto"/>
          </w:tcPr>
          <w:p w14:paraId="4D0F40F6"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5D3BEC0A" w14:textId="77777777" w:rsidR="005C7F63" w:rsidRPr="009C2E9F" w:rsidRDefault="005C7F63"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0.4328</w:t>
            </w:r>
          </w:p>
        </w:tc>
      </w:tr>
    </w:tbl>
    <w:p w14:paraId="52BEC96C" w14:textId="46613E4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Exchange rate as dependent variable results in Table 10 indicates that GDP, and money supply do not individually Granger-cause the exchange rate, indicating that these variables do not exert a direct short-run causal influence on exchange rate movements when considered in isolation. Therefore, inflation, interest, and export does have a granger causality with exchange rate as the dependent variable. However, the joint causality test reveals that all explanatory variables collectively exert a statistically significant effect on the exchange rate (χ² = 16.16, p = 0.0064). This implies that although individual effects may be weak, the combined interaction of macroeconomic fundamentals significantly influences exchange rate behavior in Nigeria.</w:t>
      </w:r>
    </w:p>
    <w:p w14:paraId="7C4219FC" w14:textId="3EBA0B42"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Inflation rate as dependent variable results in Table 10 reveals that the exchange rate, interest rate, and exports individually Granger cause inflation in the short run. Furthermore, the joint test is also statistically significant (χ² = 4.8766, p = 0.001), indicating the presence of collective short-run causality from these macroeconomic variables to inflation.</w:t>
      </w:r>
    </w:p>
    <w:p w14:paraId="0EEBCC04" w14:textId="2B8C6538"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Economic growth as dependent variable results in Table 10 indicate that all the explanatory variables Granger-causes economic growth at the 5% level of significance (χ² = 11.65, p = 0.0006). In contrast, exchange rate, inflation, interest rate, and exports do not individually Granger-cause economic growth, suggesting that these variables do not exert a direct short-run causal influence on output when considered separately.</w:t>
      </w:r>
    </w:p>
    <w:p w14:paraId="06FE657C" w14:textId="77777777"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However, the joint causality test reveals a statistically significant effect of all explanatory variables on economic growth and jointly not statistically significant (χ² = 4.86, p = 0.433). This implies that although individual macroeconomic variables may be dependently drive growth, their combined interaction does not significantly influence economic output.</w:t>
      </w:r>
    </w:p>
    <w:p w14:paraId="165884AC" w14:textId="77777777" w:rsidR="00B9447D" w:rsidRPr="009C2E9F" w:rsidRDefault="00B9447D" w:rsidP="005A0249">
      <w:pPr>
        <w:spacing w:before="240" w:after="240" w:line="240" w:lineRule="auto"/>
        <w:jc w:val="both"/>
        <w:rPr>
          <w:rFonts w:ascii="Times New Roman" w:hAnsi="Times New Roman" w:cs="Times New Roman"/>
          <w:sz w:val="24"/>
          <w:szCs w:val="24"/>
        </w:rPr>
      </w:pPr>
    </w:p>
    <w:p w14:paraId="68880A14" w14:textId="0E98C8B5"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Impulse Response Function</w:t>
      </w:r>
    </w:p>
    <w:p w14:paraId="4792CEEC" w14:textId="5B5E354D"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lang w:val="en-IN" w:eastAsia="en-IN"/>
        </w:rPr>
        <w:lastRenderedPageBreak/>
        <w:drawing>
          <wp:inline distT="0" distB="0" distL="0" distR="0" wp14:anchorId="3B278EDA" wp14:editId="77A01D21">
            <wp:extent cx="5941695" cy="2634712"/>
            <wp:effectExtent l="0" t="0" r="190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3293" cy="2644289"/>
                    </a:xfrm>
                    <a:prstGeom prst="rect">
                      <a:avLst/>
                    </a:prstGeom>
                    <a:noFill/>
                    <a:ln>
                      <a:noFill/>
                    </a:ln>
                  </pic:spPr>
                </pic:pic>
              </a:graphicData>
            </a:graphic>
          </wp:inline>
        </w:drawing>
      </w:r>
    </w:p>
    <w:p w14:paraId="54B794B5" w14:textId="20595427" w:rsidR="003D3946" w:rsidRDefault="003D3946" w:rsidP="005A0249">
      <w:pPr>
        <w:pStyle w:val="NormalWeb"/>
        <w:spacing w:before="240" w:beforeAutospacing="0" w:after="240" w:afterAutospacing="0"/>
        <w:jc w:val="both"/>
      </w:pPr>
      <w:r>
        <w:t>Figure 2: Impulse Response Fun</w:t>
      </w:r>
      <w:r w:rsidR="00B16F2E">
        <w:t>c</w:t>
      </w:r>
      <w:r>
        <w:t>tion</w:t>
      </w:r>
    </w:p>
    <w:p w14:paraId="466E225B" w14:textId="76FE958E" w:rsidR="00737F6F" w:rsidRPr="009C2E9F" w:rsidRDefault="005C7F63" w:rsidP="005A0249">
      <w:pPr>
        <w:pStyle w:val="NormalWeb"/>
        <w:spacing w:before="240" w:beforeAutospacing="0" w:after="240" w:afterAutospacing="0"/>
        <w:jc w:val="both"/>
      </w:pPr>
      <w:r w:rsidRPr="009C2E9F">
        <w:t xml:space="preserve">Fig. </w:t>
      </w:r>
      <w:r w:rsidR="003D3946">
        <w:t xml:space="preserve">2 </w:t>
      </w:r>
      <w:r w:rsidRPr="009C2E9F">
        <w:t>shows that the responses gradually converge toward stable values, suggesting that exchange rate disturbances are temporary and that the system possesses a mechanism for restoring equilibrium over time. In addition, the impulse responses also show that the inflation disturbances reduce over the time, which implies the existence of long-run macroeconomic responses, as the effects. Lastly, the response of the economic growth is comparatively stable and is drawn to equilibrium values indicating the phenomenon of resilience of the real sector to macroeconomic shocks.</w:t>
      </w:r>
    </w:p>
    <w:p w14:paraId="075F2878" w14:textId="2FBBD5FE" w:rsidR="005C7F63"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11: Variance Decomposition </w:t>
      </w:r>
    </w:p>
    <w:tbl>
      <w:tblPr>
        <w:tblStyle w:val="LightShading1"/>
        <w:tblW w:w="9563" w:type="dxa"/>
        <w:tblInd w:w="-108" w:type="dxa"/>
        <w:tblLook w:val="04A0" w:firstRow="1" w:lastRow="0" w:firstColumn="1" w:lastColumn="0" w:noHBand="0" w:noVBand="1"/>
      </w:tblPr>
      <w:tblGrid>
        <w:gridCol w:w="1080"/>
        <w:gridCol w:w="876"/>
        <w:gridCol w:w="847"/>
        <w:gridCol w:w="847"/>
        <w:gridCol w:w="847"/>
        <w:gridCol w:w="847"/>
        <w:gridCol w:w="847"/>
        <w:gridCol w:w="847"/>
        <w:gridCol w:w="847"/>
        <w:gridCol w:w="847"/>
        <w:gridCol w:w="831"/>
      </w:tblGrid>
      <w:tr w:rsidR="005C7F63" w:rsidRPr="009C2E9F" w14:paraId="67E02304"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68A0476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EXR</w:t>
            </w:r>
          </w:p>
        </w:tc>
      </w:tr>
      <w:tr w:rsidR="005C7F63" w:rsidRPr="009C2E9F" w14:paraId="5FBB91D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CAC402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1726AB2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4180E8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0971224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543CAAAD"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66C811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7BA246A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1B7E081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4D09C2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0A79BE1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7B7F5A6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530C76ED"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39D67A9C"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742A918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100.00</w:t>
            </w:r>
          </w:p>
        </w:tc>
        <w:tc>
          <w:tcPr>
            <w:tcW w:w="847" w:type="dxa"/>
            <w:shd w:val="clear" w:color="auto" w:fill="auto"/>
          </w:tcPr>
          <w:p w14:paraId="201DE69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98.70</w:t>
            </w:r>
          </w:p>
        </w:tc>
        <w:tc>
          <w:tcPr>
            <w:tcW w:w="847" w:type="dxa"/>
            <w:shd w:val="clear" w:color="auto" w:fill="auto"/>
          </w:tcPr>
          <w:p w14:paraId="36244D7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97.76</w:t>
            </w:r>
          </w:p>
        </w:tc>
        <w:tc>
          <w:tcPr>
            <w:tcW w:w="847" w:type="dxa"/>
            <w:shd w:val="clear" w:color="auto" w:fill="auto"/>
          </w:tcPr>
          <w:p w14:paraId="29BD2F9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96.73</w:t>
            </w:r>
          </w:p>
        </w:tc>
        <w:tc>
          <w:tcPr>
            <w:tcW w:w="847" w:type="dxa"/>
            <w:shd w:val="clear" w:color="auto" w:fill="auto"/>
          </w:tcPr>
          <w:p w14:paraId="59D8824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95.66</w:t>
            </w:r>
          </w:p>
        </w:tc>
        <w:tc>
          <w:tcPr>
            <w:tcW w:w="847" w:type="dxa"/>
            <w:shd w:val="clear" w:color="auto" w:fill="auto"/>
          </w:tcPr>
          <w:p w14:paraId="620A113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94.59</w:t>
            </w:r>
          </w:p>
        </w:tc>
        <w:tc>
          <w:tcPr>
            <w:tcW w:w="847" w:type="dxa"/>
            <w:shd w:val="clear" w:color="auto" w:fill="auto"/>
          </w:tcPr>
          <w:p w14:paraId="374352C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93.55</w:t>
            </w:r>
          </w:p>
        </w:tc>
        <w:tc>
          <w:tcPr>
            <w:tcW w:w="847" w:type="dxa"/>
            <w:shd w:val="clear" w:color="auto" w:fill="auto"/>
          </w:tcPr>
          <w:p w14:paraId="2CCAA5E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92.51</w:t>
            </w:r>
          </w:p>
        </w:tc>
        <w:tc>
          <w:tcPr>
            <w:tcW w:w="847" w:type="dxa"/>
            <w:shd w:val="clear" w:color="auto" w:fill="auto"/>
          </w:tcPr>
          <w:p w14:paraId="754B8F6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91.49</w:t>
            </w:r>
          </w:p>
        </w:tc>
        <w:tc>
          <w:tcPr>
            <w:tcW w:w="831" w:type="dxa"/>
            <w:shd w:val="clear" w:color="auto" w:fill="auto"/>
          </w:tcPr>
          <w:p w14:paraId="6EC9E96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90.49</w:t>
            </w:r>
          </w:p>
        </w:tc>
      </w:tr>
      <w:tr w:rsidR="005C7F63" w:rsidRPr="009C2E9F" w14:paraId="71E63B6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03B3FD6"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1C0CB12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2DF44EA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w:t>
            </w:r>
          </w:p>
        </w:tc>
        <w:tc>
          <w:tcPr>
            <w:tcW w:w="847" w:type="dxa"/>
            <w:shd w:val="clear" w:color="auto" w:fill="auto"/>
          </w:tcPr>
          <w:p w14:paraId="107931D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w:t>
            </w:r>
          </w:p>
        </w:tc>
        <w:tc>
          <w:tcPr>
            <w:tcW w:w="847" w:type="dxa"/>
            <w:shd w:val="clear" w:color="auto" w:fill="auto"/>
          </w:tcPr>
          <w:p w14:paraId="14798CD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0.58</w:t>
            </w:r>
          </w:p>
        </w:tc>
        <w:tc>
          <w:tcPr>
            <w:tcW w:w="847" w:type="dxa"/>
            <w:shd w:val="clear" w:color="auto" w:fill="auto"/>
          </w:tcPr>
          <w:p w14:paraId="161C4954"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w:t>
            </w:r>
          </w:p>
        </w:tc>
        <w:tc>
          <w:tcPr>
            <w:tcW w:w="847" w:type="dxa"/>
            <w:shd w:val="clear" w:color="auto" w:fill="auto"/>
          </w:tcPr>
          <w:p w14:paraId="5635EAB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0.66</w:t>
            </w:r>
          </w:p>
        </w:tc>
        <w:tc>
          <w:tcPr>
            <w:tcW w:w="847" w:type="dxa"/>
            <w:shd w:val="clear" w:color="auto" w:fill="auto"/>
          </w:tcPr>
          <w:p w14:paraId="6D7A481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0.70</w:t>
            </w:r>
          </w:p>
        </w:tc>
        <w:tc>
          <w:tcPr>
            <w:tcW w:w="847" w:type="dxa"/>
            <w:shd w:val="clear" w:color="auto" w:fill="auto"/>
          </w:tcPr>
          <w:p w14:paraId="072CA3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0.75</w:t>
            </w:r>
          </w:p>
        </w:tc>
        <w:tc>
          <w:tcPr>
            <w:tcW w:w="847" w:type="dxa"/>
            <w:shd w:val="clear" w:color="auto" w:fill="auto"/>
          </w:tcPr>
          <w:p w14:paraId="5696A1A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0.79</w:t>
            </w:r>
          </w:p>
        </w:tc>
        <w:tc>
          <w:tcPr>
            <w:tcW w:w="831" w:type="dxa"/>
            <w:shd w:val="clear" w:color="auto" w:fill="auto"/>
          </w:tcPr>
          <w:p w14:paraId="6BC4A47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0.84</w:t>
            </w:r>
          </w:p>
        </w:tc>
      </w:tr>
      <w:tr w:rsidR="005C7F63" w:rsidRPr="009C2E9F" w14:paraId="6F44730E"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882A87B"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37862F1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31C9F00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0.72</w:t>
            </w:r>
          </w:p>
        </w:tc>
        <w:tc>
          <w:tcPr>
            <w:tcW w:w="847" w:type="dxa"/>
            <w:shd w:val="clear" w:color="auto" w:fill="auto"/>
          </w:tcPr>
          <w:p w14:paraId="2B0A38D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1.67</w:t>
            </w:r>
          </w:p>
        </w:tc>
        <w:tc>
          <w:tcPr>
            <w:tcW w:w="847" w:type="dxa"/>
            <w:shd w:val="clear" w:color="auto" w:fill="auto"/>
          </w:tcPr>
          <w:p w14:paraId="4233C3C9"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56EABF8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3.72</w:t>
            </w:r>
          </w:p>
        </w:tc>
        <w:tc>
          <w:tcPr>
            <w:tcW w:w="847" w:type="dxa"/>
            <w:shd w:val="clear" w:color="auto" w:fill="auto"/>
          </w:tcPr>
          <w:p w14:paraId="06C258C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4.74</w:t>
            </w:r>
          </w:p>
        </w:tc>
        <w:tc>
          <w:tcPr>
            <w:tcW w:w="847" w:type="dxa"/>
            <w:shd w:val="clear" w:color="auto" w:fill="auto"/>
          </w:tcPr>
          <w:p w14:paraId="68D5007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5.75</w:t>
            </w:r>
          </w:p>
        </w:tc>
        <w:tc>
          <w:tcPr>
            <w:tcW w:w="847" w:type="dxa"/>
            <w:shd w:val="clear" w:color="auto" w:fill="auto"/>
          </w:tcPr>
          <w:p w14:paraId="4E7EDEB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6.74</w:t>
            </w:r>
          </w:p>
        </w:tc>
        <w:tc>
          <w:tcPr>
            <w:tcW w:w="847" w:type="dxa"/>
            <w:shd w:val="clear" w:color="auto" w:fill="auto"/>
          </w:tcPr>
          <w:p w14:paraId="74321ED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7.72</w:t>
            </w:r>
          </w:p>
        </w:tc>
        <w:tc>
          <w:tcPr>
            <w:tcW w:w="831" w:type="dxa"/>
            <w:shd w:val="clear" w:color="auto" w:fill="auto"/>
          </w:tcPr>
          <w:p w14:paraId="41D6FA1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8.67</w:t>
            </w:r>
          </w:p>
        </w:tc>
      </w:tr>
      <w:tr w:rsidR="005C7F63" w:rsidRPr="009C2E9F" w14:paraId="5F796E0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2FFEDD38"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INF</w:t>
            </w:r>
          </w:p>
        </w:tc>
      </w:tr>
      <w:tr w:rsidR="005C7F63" w:rsidRPr="009C2E9F" w14:paraId="31BC5F9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07E1333"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0FB36884"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70BD536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2A34E91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4ADECF0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60B917C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37D338F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D3E251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1422B64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12B6CA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0994EFB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0DF7B9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2AB511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2151914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0.09</w:t>
            </w:r>
          </w:p>
        </w:tc>
        <w:tc>
          <w:tcPr>
            <w:tcW w:w="847" w:type="dxa"/>
            <w:shd w:val="clear" w:color="auto" w:fill="auto"/>
          </w:tcPr>
          <w:p w14:paraId="5140238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24A06CE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2.86</w:t>
            </w:r>
          </w:p>
        </w:tc>
        <w:tc>
          <w:tcPr>
            <w:tcW w:w="847" w:type="dxa"/>
            <w:shd w:val="clear" w:color="auto" w:fill="auto"/>
          </w:tcPr>
          <w:p w14:paraId="397EB8DA"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2.86</w:t>
            </w:r>
          </w:p>
        </w:tc>
        <w:tc>
          <w:tcPr>
            <w:tcW w:w="847" w:type="dxa"/>
            <w:shd w:val="clear" w:color="auto" w:fill="auto"/>
          </w:tcPr>
          <w:p w14:paraId="4D86625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37780AC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13419C2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571153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47" w:type="dxa"/>
            <w:shd w:val="clear" w:color="auto" w:fill="auto"/>
          </w:tcPr>
          <w:p w14:paraId="4EB09D3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c>
          <w:tcPr>
            <w:tcW w:w="831" w:type="dxa"/>
            <w:shd w:val="clear" w:color="auto" w:fill="auto"/>
          </w:tcPr>
          <w:p w14:paraId="688D40B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2.85</w:t>
            </w:r>
          </w:p>
        </w:tc>
      </w:tr>
      <w:tr w:rsidR="005C7F63" w:rsidRPr="009C2E9F" w14:paraId="05AB313F"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848BAE"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3EEF9AB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99.90</w:t>
            </w:r>
          </w:p>
        </w:tc>
        <w:tc>
          <w:tcPr>
            <w:tcW w:w="847" w:type="dxa"/>
            <w:shd w:val="clear" w:color="auto" w:fill="auto"/>
          </w:tcPr>
          <w:p w14:paraId="090FCFF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96.89</w:t>
            </w:r>
          </w:p>
        </w:tc>
        <w:tc>
          <w:tcPr>
            <w:tcW w:w="847" w:type="dxa"/>
            <w:shd w:val="clear" w:color="auto" w:fill="auto"/>
          </w:tcPr>
          <w:p w14:paraId="3EAA6DB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96.43</w:t>
            </w:r>
          </w:p>
        </w:tc>
        <w:tc>
          <w:tcPr>
            <w:tcW w:w="847" w:type="dxa"/>
            <w:shd w:val="clear" w:color="auto" w:fill="auto"/>
          </w:tcPr>
          <w:p w14:paraId="2B3F81F6"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96.17</w:t>
            </w:r>
          </w:p>
        </w:tc>
        <w:tc>
          <w:tcPr>
            <w:tcW w:w="847" w:type="dxa"/>
            <w:shd w:val="clear" w:color="auto" w:fill="auto"/>
          </w:tcPr>
          <w:p w14:paraId="3E697F9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95.92</w:t>
            </w:r>
          </w:p>
        </w:tc>
        <w:tc>
          <w:tcPr>
            <w:tcW w:w="847" w:type="dxa"/>
            <w:shd w:val="clear" w:color="auto" w:fill="auto"/>
          </w:tcPr>
          <w:p w14:paraId="70510A7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95.68</w:t>
            </w:r>
          </w:p>
        </w:tc>
        <w:tc>
          <w:tcPr>
            <w:tcW w:w="847" w:type="dxa"/>
            <w:shd w:val="clear" w:color="auto" w:fill="auto"/>
          </w:tcPr>
          <w:p w14:paraId="700C4B8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95.42</w:t>
            </w:r>
          </w:p>
        </w:tc>
        <w:tc>
          <w:tcPr>
            <w:tcW w:w="847" w:type="dxa"/>
            <w:shd w:val="clear" w:color="auto" w:fill="auto"/>
          </w:tcPr>
          <w:p w14:paraId="22BB6107"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95.18</w:t>
            </w:r>
          </w:p>
        </w:tc>
        <w:tc>
          <w:tcPr>
            <w:tcW w:w="847" w:type="dxa"/>
            <w:shd w:val="clear" w:color="auto" w:fill="auto"/>
          </w:tcPr>
          <w:p w14:paraId="0986065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94.93</w:t>
            </w:r>
          </w:p>
        </w:tc>
        <w:tc>
          <w:tcPr>
            <w:tcW w:w="831" w:type="dxa"/>
            <w:shd w:val="clear" w:color="auto" w:fill="auto"/>
          </w:tcPr>
          <w:p w14:paraId="75ACEA7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94.68</w:t>
            </w:r>
          </w:p>
        </w:tc>
      </w:tr>
      <w:tr w:rsidR="005C7F63" w:rsidRPr="009C2E9F" w14:paraId="3126105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38CEDEB"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2090146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w:t>
            </w:r>
          </w:p>
        </w:tc>
        <w:tc>
          <w:tcPr>
            <w:tcW w:w="847" w:type="dxa"/>
            <w:shd w:val="clear" w:color="auto" w:fill="auto"/>
          </w:tcPr>
          <w:p w14:paraId="526BB0E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w:t>
            </w:r>
          </w:p>
        </w:tc>
        <w:tc>
          <w:tcPr>
            <w:tcW w:w="847" w:type="dxa"/>
            <w:shd w:val="clear" w:color="auto" w:fill="auto"/>
          </w:tcPr>
          <w:p w14:paraId="086F311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0.71</w:t>
            </w:r>
          </w:p>
        </w:tc>
        <w:tc>
          <w:tcPr>
            <w:tcW w:w="847" w:type="dxa"/>
            <w:shd w:val="clear" w:color="auto" w:fill="auto"/>
          </w:tcPr>
          <w:p w14:paraId="2CBB13A7"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0.97</w:t>
            </w:r>
          </w:p>
        </w:tc>
        <w:tc>
          <w:tcPr>
            <w:tcW w:w="847" w:type="dxa"/>
            <w:shd w:val="clear" w:color="auto" w:fill="auto"/>
          </w:tcPr>
          <w:p w14:paraId="1FEDAE69"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1.22</w:t>
            </w:r>
          </w:p>
        </w:tc>
        <w:tc>
          <w:tcPr>
            <w:tcW w:w="847" w:type="dxa"/>
            <w:shd w:val="clear" w:color="auto" w:fill="auto"/>
          </w:tcPr>
          <w:p w14:paraId="7C48A33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1.47</w:t>
            </w:r>
          </w:p>
        </w:tc>
        <w:tc>
          <w:tcPr>
            <w:tcW w:w="847" w:type="dxa"/>
            <w:shd w:val="clear" w:color="auto" w:fill="auto"/>
          </w:tcPr>
          <w:p w14:paraId="09AA9A9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1.72</w:t>
            </w:r>
          </w:p>
        </w:tc>
        <w:tc>
          <w:tcPr>
            <w:tcW w:w="847" w:type="dxa"/>
            <w:shd w:val="clear" w:color="auto" w:fill="auto"/>
          </w:tcPr>
          <w:p w14:paraId="70F8BD5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1.97</w:t>
            </w:r>
          </w:p>
        </w:tc>
        <w:tc>
          <w:tcPr>
            <w:tcW w:w="847" w:type="dxa"/>
            <w:shd w:val="clear" w:color="auto" w:fill="auto"/>
          </w:tcPr>
          <w:p w14:paraId="118568F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2.22</w:t>
            </w:r>
          </w:p>
        </w:tc>
        <w:tc>
          <w:tcPr>
            <w:tcW w:w="831" w:type="dxa"/>
            <w:shd w:val="clear" w:color="auto" w:fill="auto"/>
          </w:tcPr>
          <w:p w14:paraId="461866A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2.47</w:t>
            </w:r>
          </w:p>
        </w:tc>
      </w:tr>
      <w:tr w:rsidR="005C7F63" w:rsidRPr="009C2E9F" w14:paraId="72F15D20" w14:textId="77777777" w:rsidTr="006C5B90">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1C4DE25A"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lastRenderedPageBreak/>
              <w:t>Variance Decomposition of GDP</w:t>
            </w:r>
          </w:p>
        </w:tc>
      </w:tr>
      <w:tr w:rsidR="005C7F63" w:rsidRPr="009C2E9F" w14:paraId="2919E34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308E8AF0"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6774EBD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0B8831A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02E4D2D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1F7A5F4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4A5C4F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56831678"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7E01DD65"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289769C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53C2858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688A9F9B"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5C7F63" w:rsidRPr="009C2E9F" w14:paraId="43AC3961"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61314986"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3ADE89F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1.78</w:t>
            </w:r>
          </w:p>
        </w:tc>
        <w:tc>
          <w:tcPr>
            <w:tcW w:w="847" w:type="dxa"/>
            <w:shd w:val="clear" w:color="auto" w:fill="auto"/>
          </w:tcPr>
          <w:p w14:paraId="0660E03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2.39</w:t>
            </w:r>
          </w:p>
        </w:tc>
        <w:tc>
          <w:tcPr>
            <w:tcW w:w="847" w:type="dxa"/>
            <w:shd w:val="clear" w:color="auto" w:fill="auto"/>
          </w:tcPr>
          <w:p w14:paraId="4D85888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2.56</w:t>
            </w:r>
          </w:p>
        </w:tc>
        <w:tc>
          <w:tcPr>
            <w:tcW w:w="847" w:type="dxa"/>
            <w:shd w:val="clear" w:color="auto" w:fill="auto"/>
          </w:tcPr>
          <w:p w14:paraId="16D26208"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2.64</w:t>
            </w:r>
          </w:p>
        </w:tc>
        <w:tc>
          <w:tcPr>
            <w:tcW w:w="847" w:type="dxa"/>
            <w:shd w:val="clear" w:color="auto" w:fill="auto"/>
          </w:tcPr>
          <w:p w14:paraId="200783FB"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2.69</w:t>
            </w:r>
          </w:p>
        </w:tc>
        <w:tc>
          <w:tcPr>
            <w:tcW w:w="847" w:type="dxa"/>
            <w:shd w:val="clear" w:color="auto" w:fill="auto"/>
          </w:tcPr>
          <w:p w14:paraId="5B5EFB10"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2.72</w:t>
            </w:r>
          </w:p>
        </w:tc>
        <w:tc>
          <w:tcPr>
            <w:tcW w:w="847" w:type="dxa"/>
            <w:shd w:val="clear" w:color="auto" w:fill="auto"/>
          </w:tcPr>
          <w:p w14:paraId="65D28E9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2.74</w:t>
            </w:r>
          </w:p>
        </w:tc>
        <w:tc>
          <w:tcPr>
            <w:tcW w:w="847" w:type="dxa"/>
            <w:shd w:val="clear" w:color="auto" w:fill="auto"/>
          </w:tcPr>
          <w:p w14:paraId="59B4573F"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2.76</w:t>
            </w:r>
          </w:p>
        </w:tc>
        <w:tc>
          <w:tcPr>
            <w:tcW w:w="847" w:type="dxa"/>
            <w:shd w:val="clear" w:color="auto" w:fill="auto"/>
          </w:tcPr>
          <w:p w14:paraId="7683EE6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2.77</w:t>
            </w:r>
          </w:p>
        </w:tc>
        <w:tc>
          <w:tcPr>
            <w:tcW w:w="831" w:type="dxa"/>
            <w:shd w:val="clear" w:color="auto" w:fill="auto"/>
          </w:tcPr>
          <w:p w14:paraId="3E5E533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2.78</w:t>
            </w:r>
          </w:p>
        </w:tc>
      </w:tr>
      <w:tr w:rsidR="005C7F63" w:rsidRPr="009C2E9F" w14:paraId="06EBDBAE"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1221F7F"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51F1C22"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2.04</w:t>
            </w:r>
          </w:p>
        </w:tc>
        <w:tc>
          <w:tcPr>
            <w:tcW w:w="847" w:type="dxa"/>
            <w:shd w:val="clear" w:color="auto" w:fill="auto"/>
          </w:tcPr>
          <w:p w14:paraId="25872BC1"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3.33</w:t>
            </w:r>
          </w:p>
        </w:tc>
        <w:tc>
          <w:tcPr>
            <w:tcW w:w="847" w:type="dxa"/>
            <w:shd w:val="clear" w:color="auto" w:fill="auto"/>
          </w:tcPr>
          <w:p w14:paraId="4DA6581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3.77</w:t>
            </w:r>
          </w:p>
        </w:tc>
        <w:tc>
          <w:tcPr>
            <w:tcW w:w="847" w:type="dxa"/>
            <w:shd w:val="clear" w:color="auto" w:fill="auto"/>
          </w:tcPr>
          <w:p w14:paraId="018D4C90"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3.40</w:t>
            </w:r>
          </w:p>
        </w:tc>
        <w:tc>
          <w:tcPr>
            <w:tcW w:w="847" w:type="dxa"/>
            <w:shd w:val="clear" w:color="auto" w:fill="auto"/>
          </w:tcPr>
          <w:p w14:paraId="24BECF43"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4.13</w:t>
            </w:r>
          </w:p>
        </w:tc>
        <w:tc>
          <w:tcPr>
            <w:tcW w:w="847" w:type="dxa"/>
            <w:shd w:val="clear" w:color="auto" w:fill="auto"/>
          </w:tcPr>
          <w:p w14:paraId="4721F17E"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4.22</w:t>
            </w:r>
          </w:p>
        </w:tc>
        <w:tc>
          <w:tcPr>
            <w:tcW w:w="847" w:type="dxa"/>
            <w:shd w:val="clear" w:color="auto" w:fill="auto"/>
          </w:tcPr>
          <w:p w14:paraId="7C3A3DE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4.28</w:t>
            </w:r>
          </w:p>
        </w:tc>
        <w:tc>
          <w:tcPr>
            <w:tcW w:w="847" w:type="dxa"/>
            <w:shd w:val="clear" w:color="auto" w:fill="auto"/>
          </w:tcPr>
          <w:p w14:paraId="6166E32C"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4.22</w:t>
            </w:r>
          </w:p>
        </w:tc>
        <w:tc>
          <w:tcPr>
            <w:tcW w:w="847" w:type="dxa"/>
            <w:shd w:val="clear" w:color="auto" w:fill="auto"/>
          </w:tcPr>
          <w:p w14:paraId="4325F7CF"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4.37</w:t>
            </w:r>
          </w:p>
        </w:tc>
        <w:tc>
          <w:tcPr>
            <w:tcW w:w="831" w:type="dxa"/>
            <w:shd w:val="clear" w:color="auto" w:fill="auto"/>
          </w:tcPr>
          <w:p w14:paraId="22A09E76" w14:textId="77777777" w:rsidR="005C7F63" w:rsidRPr="009C2E9F" w:rsidRDefault="005C7F63"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4.40</w:t>
            </w:r>
          </w:p>
        </w:tc>
      </w:tr>
      <w:tr w:rsidR="005C7F63" w:rsidRPr="009C2E9F" w14:paraId="1C8EAA00"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1574847" w14:textId="77777777" w:rsidR="005C7F63" w:rsidRPr="009C2E9F" w:rsidRDefault="005C7F63"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2C7C89C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96.18</w:t>
            </w:r>
          </w:p>
        </w:tc>
        <w:tc>
          <w:tcPr>
            <w:tcW w:w="847" w:type="dxa"/>
            <w:shd w:val="clear" w:color="auto" w:fill="auto"/>
          </w:tcPr>
          <w:p w14:paraId="40BDB9A2"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94.28</w:t>
            </w:r>
          </w:p>
        </w:tc>
        <w:tc>
          <w:tcPr>
            <w:tcW w:w="847" w:type="dxa"/>
            <w:shd w:val="clear" w:color="auto" w:fill="auto"/>
          </w:tcPr>
          <w:p w14:paraId="498753BE"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93.66</w:t>
            </w:r>
          </w:p>
        </w:tc>
        <w:tc>
          <w:tcPr>
            <w:tcW w:w="847" w:type="dxa"/>
            <w:shd w:val="clear" w:color="auto" w:fill="auto"/>
          </w:tcPr>
          <w:p w14:paraId="67A47C55"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93.36</w:t>
            </w:r>
          </w:p>
        </w:tc>
        <w:tc>
          <w:tcPr>
            <w:tcW w:w="847" w:type="dxa"/>
            <w:shd w:val="clear" w:color="auto" w:fill="auto"/>
          </w:tcPr>
          <w:p w14:paraId="2C42C0B1"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93.18</w:t>
            </w:r>
          </w:p>
        </w:tc>
        <w:tc>
          <w:tcPr>
            <w:tcW w:w="847" w:type="dxa"/>
            <w:shd w:val="clear" w:color="auto" w:fill="auto"/>
          </w:tcPr>
          <w:p w14:paraId="17E70ACA"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93.06</w:t>
            </w:r>
          </w:p>
        </w:tc>
        <w:tc>
          <w:tcPr>
            <w:tcW w:w="847" w:type="dxa"/>
            <w:shd w:val="clear" w:color="auto" w:fill="auto"/>
          </w:tcPr>
          <w:p w14:paraId="15959B9C"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92.97</w:t>
            </w:r>
          </w:p>
        </w:tc>
        <w:tc>
          <w:tcPr>
            <w:tcW w:w="847" w:type="dxa"/>
            <w:shd w:val="clear" w:color="auto" w:fill="auto"/>
          </w:tcPr>
          <w:p w14:paraId="277F7A4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92.91</w:t>
            </w:r>
          </w:p>
        </w:tc>
        <w:tc>
          <w:tcPr>
            <w:tcW w:w="847" w:type="dxa"/>
            <w:shd w:val="clear" w:color="auto" w:fill="auto"/>
          </w:tcPr>
          <w:p w14:paraId="6083B283"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92.86</w:t>
            </w:r>
          </w:p>
        </w:tc>
        <w:tc>
          <w:tcPr>
            <w:tcW w:w="831" w:type="dxa"/>
            <w:shd w:val="clear" w:color="auto" w:fill="auto"/>
          </w:tcPr>
          <w:p w14:paraId="376443ED" w14:textId="77777777" w:rsidR="005C7F63" w:rsidRPr="009C2E9F" w:rsidRDefault="005C7F63"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92.82</w:t>
            </w:r>
          </w:p>
        </w:tc>
      </w:tr>
    </w:tbl>
    <w:p w14:paraId="1DA16A19" w14:textId="1BE7F624" w:rsidR="004236B2" w:rsidRPr="009C2E9F" w:rsidRDefault="005C7F63"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results in Table 11 show that the exchange rate, inflation rate, and economic growth are mostly explained by their own shocks over the forecast horizon and also showed that movements are initially driven by internal factors and the forecast horizon lengthens, the influence of other variables gradually becomes more significant.</w:t>
      </w:r>
    </w:p>
    <w:p w14:paraId="68F141FF" w14:textId="5EDCFE48" w:rsidR="004236B2" w:rsidRPr="009C2E9F" w:rsidRDefault="00262D50" w:rsidP="005A0249">
      <w:pPr>
        <w:pStyle w:val="Default"/>
        <w:spacing w:before="240" w:after="240"/>
        <w:jc w:val="both"/>
        <w:rPr>
          <w:rFonts w:ascii="Times New Roman" w:eastAsiaTheme="minorEastAsia" w:hAnsi="Times New Roman" w:cs="Times New Roman"/>
        </w:rPr>
      </w:pPr>
      <w:r w:rsidRPr="009C2E9F">
        <w:rPr>
          <w:rFonts w:ascii="Times New Roman" w:eastAsiaTheme="minorEastAsia" w:hAnsi="Times New Roman" w:cs="Times New Roman"/>
          <w:b/>
          <w:bCs/>
        </w:rPr>
        <w:t>RESULTS AND DISCUSSION ON POST-COVID 19 ANALYSIS</w:t>
      </w:r>
    </w:p>
    <w:p w14:paraId="1F010318"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lang w:val="en-IN" w:eastAsia="en-IN"/>
        </w:rPr>
        <w:drawing>
          <wp:inline distT="0" distB="0" distL="0" distR="0" wp14:anchorId="69134ACC" wp14:editId="3E919E70">
            <wp:extent cx="5943600" cy="1898601"/>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7718" cy="1899916"/>
                    </a:xfrm>
                    <a:prstGeom prst="rect">
                      <a:avLst/>
                    </a:prstGeom>
                    <a:noFill/>
                    <a:ln>
                      <a:noFill/>
                    </a:ln>
                  </pic:spPr>
                </pic:pic>
              </a:graphicData>
            </a:graphic>
          </wp:inline>
        </w:drawing>
      </w:r>
    </w:p>
    <w:p w14:paraId="04E06034" w14:textId="583606E4"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Figure </w:t>
      </w:r>
      <w:r w:rsidR="00E61C2B">
        <w:rPr>
          <w:rFonts w:ascii="Times New Roman" w:hAnsi="Times New Roman" w:cs="Times New Roman"/>
          <w:sz w:val="24"/>
          <w:szCs w:val="24"/>
        </w:rPr>
        <w:t>3</w:t>
      </w:r>
      <w:r w:rsidRPr="009C2E9F">
        <w:rPr>
          <w:rFonts w:ascii="Times New Roman" w:hAnsi="Times New Roman" w:cs="Times New Roman"/>
          <w:sz w:val="24"/>
          <w:szCs w:val="24"/>
        </w:rPr>
        <w:t>: Trend Analysis</w:t>
      </w:r>
      <w:r w:rsidR="00737F6F" w:rsidRPr="009C2E9F">
        <w:rPr>
          <w:rFonts w:ascii="Times New Roman" w:hAnsi="Times New Roman" w:cs="Times New Roman"/>
          <w:sz w:val="24"/>
          <w:szCs w:val="24"/>
        </w:rPr>
        <w:t xml:space="preserve"> of the Post-COVID 19</w:t>
      </w:r>
    </w:p>
    <w:p w14:paraId="2ED74C03" w14:textId="52000A8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Table 1</w:t>
      </w:r>
      <w:r w:rsidR="001748CE">
        <w:rPr>
          <w:rFonts w:ascii="Times New Roman" w:hAnsi="Times New Roman" w:cs="Times New Roman"/>
          <w:sz w:val="24"/>
          <w:szCs w:val="24"/>
        </w:rPr>
        <w:t>2</w:t>
      </w:r>
      <w:r w:rsidRPr="009C2E9F">
        <w:rPr>
          <w:rFonts w:ascii="Times New Roman" w:hAnsi="Times New Roman" w:cs="Times New Roman"/>
          <w:sz w:val="24"/>
          <w:szCs w:val="24"/>
        </w:rPr>
        <w:t>: Descriptive Analysis</w:t>
      </w:r>
    </w:p>
    <w:tbl>
      <w:tblPr>
        <w:tblStyle w:val="LightShading1"/>
        <w:tblW w:w="9388" w:type="dxa"/>
        <w:tblLook w:val="04A0" w:firstRow="1" w:lastRow="0" w:firstColumn="1" w:lastColumn="0" w:noHBand="0" w:noVBand="1"/>
      </w:tblPr>
      <w:tblGrid>
        <w:gridCol w:w="1654"/>
        <w:gridCol w:w="1303"/>
        <w:gridCol w:w="1273"/>
        <w:gridCol w:w="1311"/>
        <w:gridCol w:w="1276"/>
        <w:gridCol w:w="1335"/>
        <w:gridCol w:w="1236"/>
      </w:tblGrid>
      <w:tr w:rsidR="00A8615A" w:rsidRPr="009C2E9F" w14:paraId="6928EAF6"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148BCD82"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Statistics</w:t>
            </w:r>
          </w:p>
        </w:tc>
        <w:tc>
          <w:tcPr>
            <w:tcW w:w="1303" w:type="dxa"/>
            <w:shd w:val="clear" w:color="auto" w:fill="auto"/>
          </w:tcPr>
          <w:p w14:paraId="5257B377"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p>
        </w:tc>
        <w:tc>
          <w:tcPr>
            <w:tcW w:w="1273" w:type="dxa"/>
            <w:shd w:val="clear" w:color="auto" w:fill="auto"/>
          </w:tcPr>
          <w:p w14:paraId="098CC1C3"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p>
        </w:tc>
        <w:tc>
          <w:tcPr>
            <w:tcW w:w="1311" w:type="dxa"/>
            <w:shd w:val="clear" w:color="auto" w:fill="auto"/>
          </w:tcPr>
          <w:p w14:paraId="77F20E08"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p>
        </w:tc>
        <w:tc>
          <w:tcPr>
            <w:tcW w:w="1276" w:type="dxa"/>
            <w:shd w:val="clear" w:color="auto" w:fill="auto"/>
          </w:tcPr>
          <w:p w14:paraId="1C1151F4"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p>
        </w:tc>
        <w:tc>
          <w:tcPr>
            <w:tcW w:w="1335" w:type="dxa"/>
            <w:shd w:val="clear" w:color="auto" w:fill="auto"/>
          </w:tcPr>
          <w:p w14:paraId="5F81B9A8"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p>
        </w:tc>
        <w:tc>
          <w:tcPr>
            <w:tcW w:w="1236" w:type="dxa"/>
            <w:shd w:val="clear" w:color="auto" w:fill="auto"/>
          </w:tcPr>
          <w:p w14:paraId="0EBC4ED5"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p>
        </w:tc>
      </w:tr>
      <w:tr w:rsidR="00A8615A" w:rsidRPr="009C2E9F" w14:paraId="34A4ECC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61CAD84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Mean</w:t>
            </w:r>
          </w:p>
        </w:tc>
        <w:tc>
          <w:tcPr>
            <w:tcW w:w="1303" w:type="dxa"/>
            <w:shd w:val="clear" w:color="auto" w:fill="auto"/>
          </w:tcPr>
          <w:p w14:paraId="3DD8E24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90.440</w:t>
            </w:r>
          </w:p>
        </w:tc>
        <w:tc>
          <w:tcPr>
            <w:tcW w:w="1273" w:type="dxa"/>
            <w:shd w:val="clear" w:color="auto" w:fill="auto"/>
          </w:tcPr>
          <w:p w14:paraId="446CC11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22.858</w:t>
            </w:r>
          </w:p>
        </w:tc>
        <w:tc>
          <w:tcPr>
            <w:tcW w:w="1311" w:type="dxa"/>
            <w:shd w:val="clear" w:color="auto" w:fill="auto"/>
          </w:tcPr>
          <w:p w14:paraId="1B3945C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1295.630</w:t>
            </w:r>
          </w:p>
        </w:tc>
        <w:tc>
          <w:tcPr>
            <w:tcW w:w="1276" w:type="dxa"/>
            <w:shd w:val="clear" w:color="auto" w:fill="auto"/>
          </w:tcPr>
          <w:p w14:paraId="7F36F81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12.647</w:t>
            </w:r>
          </w:p>
        </w:tc>
        <w:tc>
          <w:tcPr>
            <w:tcW w:w="1335" w:type="dxa"/>
            <w:shd w:val="clear" w:color="auto" w:fill="auto"/>
          </w:tcPr>
          <w:p w14:paraId="7AD8CD3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5.493</w:t>
            </w:r>
          </w:p>
        </w:tc>
        <w:tc>
          <w:tcPr>
            <w:tcW w:w="1236" w:type="dxa"/>
            <w:shd w:val="clear" w:color="auto" w:fill="auto"/>
          </w:tcPr>
          <w:p w14:paraId="6A46AE9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23666.210</w:t>
            </w:r>
          </w:p>
        </w:tc>
      </w:tr>
      <w:tr w:rsidR="00A8615A" w:rsidRPr="009C2E9F" w14:paraId="4D9DFE3A"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361CC69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Median</w:t>
            </w:r>
          </w:p>
        </w:tc>
        <w:tc>
          <w:tcPr>
            <w:tcW w:w="1303" w:type="dxa"/>
            <w:shd w:val="clear" w:color="auto" w:fill="auto"/>
          </w:tcPr>
          <w:p w14:paraId="08FC6EF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86.466</w:t>
            </w:r>
          </w:p>
        </w:tc>
        <w:tc>
          <w:tcPr>
            <w:tcW w:w="1273" w:type="dxa"/>
            <w:shd w:val="clear" w:color="auto" w:fill="auto"/>
          </w:tcPr>
          <w:p w14:paraId="573901B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22.639</w:t>
            </w:r>
          </w:p>
        </w:tc>
        <w:tc>
          <w:tcPr>
            <w:tcW w:w="1311" w:type="dxa"/>
            <w:shd w:val="clear" w:color="auto" w:fill="auto"/>
          </w:tcPr>
          <w:p w14:paraId="4102E3F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1284.561</w:t>
            </w:r>
          </w:p>
        </w:tc>
        <w:tc>
          <w:tcPr>
            <w:tcW w:w="1276" w:type="dxa"/>
            <w:shd w:val="clear" w:color="auto" w:fill="auto"/>
          </w:tcPr>
          <w:p w14:paraId="26EFDCC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12.303</w:t>
            </w:r>
          </w:p>
        </w:tc>
        <w:tc>
          <w:tcPr>
            <w:tcW w:w="1335" w:type="dxa"/>
            <w:shd w:val="clear" w:color="auto" w:fill="auto"/>
          </w:tcPr>
          <w:p w14:paraId="5AF4E58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5.481</w:t>
            </w:r>
          </w:p>
        </w:tc>
        <w:tc>
          <w:tcPr>
            <w:tcW w:w="1236" w:type="dxa"/>
            <w:shd w:val="clear" w:color="auto" w:fill="auto"/>
          </w:tcPr>
          <w:p w14:paraId="0015565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23361.570</w:t>
            </w:r>
          </w:p>
        </w:tc>
      </w:tr>
      <w:tr w:rsidR="00A8615A" w:rsidRPr="009C2E9F" w14:paraId="3C1A67E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412EE0DF"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Maximum</w:t>
            </w:r>
          </w:p>
        </w:tc>
        <w:tc>
          <w:tcPr>
            <w:tcW w:w="1303" w:type="dxa"/>
            <w:shd w:val="clear" w:color="auto" w:fill="auto"/>
          </w:tcPr>
          <w:p w14:paraId="3E759E6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177.888</w:t>
            </w:r>
          </w:p>
        </w:tc>
        <w:tc>
          <w:tcPr>
            <w:tcW w:w="1273" w:type="dxa"/>
            <w:shd w:val="clear" w:color="auto" w:fill="auto"/>
          </w:tcPr>
          <w:p w14:paraId="414ADBF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28.979</w:t>
            </w:r>
          </w:p>
        </w:tc>
        <w:tc>
          <w:tcPr>
            <w:tcW w:w="1311" w:type="dxa"/>
            <w:shd w:val="clear" w:color="auto" w:fill="auto"/>
          </w:tcPr>
          <w:p w14:paraId="6FE65B7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1567.992</w:t>
            </w:r>
          </w:p>
        </w:tc>
        <w:tc>
          <w:tcPr>
            <w:tcW w:w="1276" w:type="dxa"/>
            <w:shd w:val="clear" w:color="auto" w:fill="auto"/>
          </w:tcPr>
          <w:p w14:paraId="734ED2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18.225</w:t>
            </w:r>
          </w:p>
        </w:tc>
        <w:tc>
          <w:tcPr>
            <w:tcW w:w="1335" w:type="dxa"/>
            <w:shd w:val="clear" w:color="auto" w:fill="auto"/>
          </w:tcPr>
          <w:p w14:paraId="31EB41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12.524</w:t>
            </w:r>
          </w:p>
        </w:tc>
        <w:tc>
          <w:tcPr>
            <w:tcW w:w="1236" w:type="dxa"/>
            <w:shd w:val="clear" w:color="auto" w:fill="auto"/>
          </w:tcPr>
          <w:p w14:paraId="292CF0B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36990.300</w:t>
            </w:r>
          </w:p>
        </w:tc>
      </w:tr>
      <w:tr w:rsidR="00A8615A" w:rsidRPr="009C2E9F" w14:paraId="704A2B85"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5C10EC32"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Minimum</w:t>
            </w:r>
          </w:p>
        </w:tc>
        <w:tc>
          <w:tcPr>
            <w:tcW w:w="1303" w:type="dxa"/>
            <w:shd w:val="clear" w:color="auto" w:fill="auto"/>
          </w:tcPr>
          <w:p w14:paraId="10422DD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28.415</w:t>
            </w:r>
          </w:p>
        </w:tc>
        <w:tc>
          <w:tcPr>
            <w:tcW w:w="1273" w:type="dxa"/>
            <w:shd w:val="clear" w:color="auto" w:fill="auto"/>
          </w:tcPr>
          <w:p w14:paraId="55E5EF6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18.892</w:t>
            </w:r>
          </w:p>
        </w:tc>
        <w:tc>
          <w:tcPr>
            <w:tcW w:w="1311" w:type="dxa"/>
            <w:shd w:val="clear" w:color="auto" w:fill="auto"/>
          </w:tcPr>
          <w:p w14:paraId="711EB2E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1063.694</w:t>
            </w:r>
          </w:p>
        </w:tc>
        <w:tc>
          <w:tcPr>
            <w:tcW w:w="1276" w:type="dxa"/>
            <w:shd w:val="clear" w:color="auto" w:fill="auto"/>
          </w:tcPr>
          <w:p w14:paraId="41C37D9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8.313</w:t>
            </w:r>
          </w:p>
        </w:tc>
        <w:tc>
          <w:tcPr>
            <w:tcW w:w="1335" w:type="dxa"/>
            <w:shd w:val="clear" w:color="auto" w:fill="auto"/>
          </w:tcPr>
          <w:p w14:paraId="03B548E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0.210</w:t>
            </w:r>
          </w:p>
        </w:tc>
        <w:tc>
          <w:tcPr>
            <w:tcW w:w="1236" w:type="dxa"/>
            <w:shd w:val="clear" w:color="auto" w:fill="auto"/>
          </w:tcPr>
          <w:p w14:paraId="5CBA408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13617.570</w:t>
            </w:r>
          </w:p>
        </w:tc>
      </w:tr>
      <w:tr w:rsidR="00A8615A" w:rsidRPr="009C2E9F" w14:paraId="12D4D67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68747B2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Std. Dev.</w:t>
            </w:r>
          </w:p>
        </w:tc>
        <w:tc>
          <w:tcPr>
            <w:tcW w:w="1303" w:type="dxa"/>
            <w:shd w:val="clear" w:color="auto" w:fill="auto"/>
          </w:tcPr>
          <w:p w14:paraId="57A5B8D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30.114</w:t>
            </w:r>
          </w:p>
        </w:tc>
        <w:tc>
          <w:tcPr>
            <w:tcW w:w="1273" w:type="dxa"/>
            <w:shd w:val="clear" w:color="auto" w:fill="auto"/>
          </w:tcPr>
          <w:p w14:paraId="0BB043D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2.190</w:t>
            </w:r>
          </w:p>
        </w:tc>
        <w:tc>
          <w:tcPr>
            <w:tcW w:w="1311" w:type="dxa"/>
            <w:shd w:val="clear" w:color="auto" w:fill="auto"/>
          </w:tcPr>
          <w:p w14:paraId="0426F94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119.913</w:t>
            </w:r>
          </w:p>
        </w:tc>
        <w:tc>
          <w:tcPr>
            <w:tcW w:w="1276" w:type="dxa"/>
            <w:shd w:val="clear" w:color="auto" w:fill="auto"/>
          </w:tcPr>
          <w:p w14:paraId="6636DE4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2.094</w:t>
            </w:r>
          </w:p>
        </w:tc>
        <w:tc>
          <w:tcPr>
            <w:tcW w:w="1335" w:type="dxa"/>
            <w:shd w:val="clear" w:color="auto" w:fill="auto"/>
          </w:tcPr>
          <w:p w14:paraId="61FA4BC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2.898</w:t>
            </w:r>
          </w:p>
        </w:tc>
        <w:tc>
          <w:tcPr>
            <w:tcW w:w="1236" w:type="dxa"/>
            <w:shd w:val="clear" w:color="auto" w:fill="auto"/>
          </w:tcPr>
          <w:p w14:paraId="5A3A8A3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5627.789</w:t>
            </w:r>
          </w:p>
        </w:tc>
      </w:tr>
      <w:tr w:rsidR="00A8615A" w:rsidRPr="009C2E9F" w14:paraId="05C117F7"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0A346A73"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Skewness</w:t>
            </w:r>
          </w:p>
        </w:tc>
        <w:tc>
          <w:tcPr>
            <w:tcW w:w="1303" w:type="dxa"/>
            <w:shd w:val="clear" w:color="auto" w:fill="auto"/>
          </w:tcPr>
          <w:p w14:paraId="17E481B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0.281</w:t>
            </w:r>
          </w:p>
        </w:tc>
        <w:tc>
          <w:tcPr>
            <w:tcW w:w="1273" w:type="dxa"/>
            <w:shd w:val="clear" w:color="auto" w:fill="auto"/>
          </w:tcPr>
          <w:p w14:paraId="3451FFD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0.426</w:t>
            </w:r>
          </w:p>
        </w:tc>
        <w:tc>
          <w:tcPr>
            <w:tcW w:w="1311" w:type="dxa"/>
            <w:shd w:val="clear" w:color="auto" w:fill="auto"/>
          </w:tcPr>
          <w:p w14:paraId="48D075D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0.252</w:t>
            </w:r>
          </w:p>
        </w:tc>
        <w:tc>
          <w:tcPr>
            <w:tcW w:w="1276" w:type="dxa"/>
            <w:shd w:val="clear" w:color="auto" w:fill="auto"/>
          </w:tcPr>
          <w:p w14:paraId="0046267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0.488</w:t>
            </w:r>
          </w:p>
        </w:tc>
        <w:tc>
          <w:tcPr>
            <w:tcW w:w="1335" w:type="dxa"/>
            <w:shd w:val="clear" w:color="auto" w:fill="auto"/>
          </w:tcPr>
          <w:p w14:paraId="1E3F00F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0.455</w:t>
            </w:r>
          </w:p>
        </w:tc>
        <w:tc>
          <w:tcPr>
            <w:tcW w:w="1236" w:type="dxa"/>
            <w:shd w:val="clear" w:color="auto" w:fill="auto"/>
          </w:tcPr>
          <w:p w14:paraId="7214099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0.234</w:t>
            </w:r>
          </w:p>
        </w:tc>
      </w:tr>
      <w:tr w:rsidR="00A8615A" w:rsidRPr="009C2E9F" w14:paraId="4E053E9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5BC1091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Kurtosis</w:t>
            </w:r>
          </w:p>
        </w:tc>
        <w:tc>
          <w:tcPr>
            <w:tcW w:w="1303" w:type="dxa"/>
            <w:shd w:val="clear" w:color="auto" w:fill="auto"/>
          </w:tcPr>
          <w:p w14:paraId="17859CB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2.909</w:t>
            </w:r>
          </w:p>
        </w:tc>
        <w:tc>
          <w:tcPr>
            <w:tcW w:w="1273" w:type="dxa"/>
            <w:shd w:val="clear" w:color="auto" w:fill="auto"/>
          </w:tcPr>
          <w:p w14:paraId="7BD982D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2.881</w:t>
            </w:r>
          </w:p>
        </w:tc>
        <w:tc>
          <w:tcPr>
            <w:tcW w:w="1311" w:type="dxa"/>
            <w:shd w:val="clear" w:color="auto" w:fill="auto"/>
          </w:tcPr>
          <w:p w14:paraId="627CC5E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2.133</w:t>
            </w:r>
          </w:p>
        </w:tc>
        <w:tc>
          <w:tcPr>
            <w:tcW w:w="1276" w:type="dxa"/>
            <w:shd w:val="clear" w:color="auto" w:fill="auto"/>
          </w:tcPr>
          <w:p w14:paraId="67C0DC1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2.845</w:t>
            </w:r>
          </w:p>
        </w:tc>
        <w:tc>
          <w:tcPr>
            <w:tcW w:w="1335" w:type="dxa"/>
            <w:shd w:val="clear" w:color="auto" w:fill="auto"/>
          </w:tcPr>
          <w:p w14:paraId="6CC8993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2.773</w:t>
            </w:r>
          </w:p>
        </w:tc>
        <w:tc>
          <w:tcPr>
            <w:tcW w:w="1236" w:type="dxa"/>
            <w:shd w:val="clear" w:color="auto" w:fill="auto"/>
          </w:tcPr>
          <w:p w14:paraId="66AB205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2.154</w:t>
            </w:r>
          </w:p>
        </w:tc>
      </w:tr>
      <w:tr w:rsidR="00A8615A" w:rsidRPr="009C2E9F" w14:paraId="08E5F219"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3A3FFB0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Jarque-Bera</w:t>
            </w:r>
          </w:p>
        </w:tc>
        <w:tc>
          <w:tcPr>
            <w:tcW w:w="1303" w:type="dxa"/>
            <w:shd w:val="clear" w:color="auto" w:fill="auto"/>
          </w:tcPr>
          <w:p w14:paraId="438E2E4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0.867</w:t>
            </w:r>
          </w:p>
        </w:tc>
        <w:tc>
          <w:tcPr>
            <w:tcW w:w="1273" w:type="dxa"/>
            <w:shd w:val="clear" w:color="auto" w:fill="auto"/>
          </w:tcPr>
          <w:p w14:paraId="4091775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1.976</w:t>
            </w:r>
          </w:p>
        </w:tc>
        <w:tc>
          <w:tcPr>
            <w:tcW w:w="1311" w:type="dxa"/>
            <w:shd w:val="clear" w:color="auto" w:fill="auto"/>
          </w:tcPr>
          <w:p w14:paraId="279C048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2.682</w:t>
            </w:r>
          </w:p>
        </w:tc>
        <w:tc>
          <w:tcPr>
            <w:tcW w:w="1276" w:type="dxa"/>
            <w:shd w:val="clear" w:color="auto" w:fill="auto"/>
          </w:tcPr>
          <w:p w14:paraId="276639D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2.603</w:t>
            </w:r>
          </w:p>
        </w:tc>
        <w:tc>
          <w:tcPr>
            <w:tcW w:w="1335" w:type="dxa"/>
            <w:shd w:val="clear" w:color="auto" w:fill="auto"/>
          </w:tcPr>
          <w:p w14:paraId="17C5803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2.349</w:t>
            </w:r>
          </w:p>
        </w:tc>
        <w:tc>
          <w:tcPr>
            <w:tcW w:w="1236" w:type="dxa"/>
            <w:shd w:val="clear" w:color="auto" w:fill="auto"/>
          </w:tcPr>
          <w:p w14:paraId="0ED47DA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2.494</w:t>
            </w:r>
          </w:p>
        </w:tc>
      </w:tr>
      <w:tr w:rsidR="00A8615A" w:rsidRPr="009C2E9F" w14:paraId="3157A734"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78856EE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P-value</w:t>
            </w:r>
          </w:p>
        </w:tc>
        <w:tc>
          <w:tcPr>
            <w:tcW w:w="1303" w:type="dxa"/>
            <w:shd w:val="clear" w:color="auto" w:fill="auto"/>
          </w:tcPr>
          <w:p w14:paraId="31FCEBF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0.648</w:t>
            </w:r>
          </w:p>
        </w:tc>
        <w:tc>
          <w:tcPr>
            <w:tcW w:w="1273" w:type="dxa"/>
            <w:shd w:val="clear" w:color="auto" w:fill="auto"/>
          </w:tcPr>
          <w:p w14:paraId="4EF4237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0.372</w:t>
            </w:r>
          </w:p>
        </w:tc>
        <w:tc>
          <w:tcPr>
            <w:tcW w:w="1311" w:type="dxa"/>
            <w:shd w:val="clear" w:color="auto" w:fill="auto"/>
          </w:tcPr>
          <w:p w14:paraId="070063F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0.262</w:t>
            </w:r>
          </w:p>
        </w:tc>
        <w:tc>
          <w:tcPr>
            <w:tcW w:w="1276" w:type="dxa"/>
            <w:shd w:val="clear" w:color="auto" w:fill="auto"/>
          </w:tcPr>
          <w:p w14:paraId="3506EFB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0.272</w:t>
            </w:r>
          </w:p>
        </w:tc>
        <w:tc>
          <w:tcPr>
            <w:tcW w:w="1335" w:type="dxa"/>
            <w:shd w:val="clear" w:color="auto" w:fill="auto"/>
          </w:tcPr>
          <w:p w14:paraId="662801A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0.309</w:t>
            </w:r>
          </w:p>
        </w:tc>
        <w:tc>
          <w:tcPr>
            <w:tcW w:w="1236" w:type="dxa"/>
            <w:shd w:val="clear" w:color="auto" w:fill="auto"/>
          </w:tcPr>
          <w:p w14:paraId="27D4FF6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0.287</w:t>
            </w:r>
          </w:p>
        </w:tc>
      </w:tr>
      <w:tr w:rsidR="00A8615A" w:rsidRPr="009C2E9F" w14:paraId="5F62AB84" w14:textId="77777777" w:rsidTr="006C5B90">
        <w:tc>
          <w:tcPr>
            <w:cnfStyle w:val="001000000000" w:firstRow="0" w:lastRow="0" w:firstColumn="1" w:lastColumn="0" w:oddVBand="0" w:evenVBand="0" w:oddHBand="0" w:evenHBand="0" w:firstRowFirstColumn="0" w:firstRowLastColumn="0" w:lastRowFirstColumn="0" w:lastRowLastColumn="0"/>
            <w:tcW w:w="1654" w:type="dxa"/>
            <w:shd w:val="clear" w:color="auto" w:fill="auto"/>
          </w:tcPr>
          <w:p w14:paraId="0AB64EFC"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Observations</w:t>
            </w:r>
          </w:p>
        </w:tc>
        <w:tc>
          <w:tcPr>
            <w:tcW w:w="1303" w:type="dxa"/>
            <w:shd w:val="clear" w:color="auto" w:fill="auto"/>
          </w:tcPr>
          <w:p w14:paraId="0F00CBE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73" w:type="dxa"/>
            <w:shd w:val="clear" w:color="auto" w:fill="auto"/>
          </w:tcPr>
          <w:p w14:paraId="2C9B12C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311" w:type="dxa"/>
            <w:shd w:val="clear" w:color="auto" w:fill="auto"/>
          </w:tcPr>
          <w:p w14:paraId="542CC03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76" w:type="dxa"/>
            <w:shd w:val="clear" w:color="auto" w:fill="auto"/>
          </w:tcPr>
          <w:p w14:paraId="53D739A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335" w:type="dxa"/>
            <w:shd w:val="clear" w:color="auto" w:fill="auto"/>
          </w:tcPr>
          <w:p w14:paraId="02CC7C1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c>
          <w:tcPr>
            <w:tcW w:w="1236" w:type="dxa"/>
            <w:shd w:val="clear" w:color="auto" w:fill="auto"/>
          </w:tcPr>
          <w:p w14:paraId="79C03FF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64</w:t>
            </w:r>
          </w:p>
        </w:tc>
      </w:tr>
    </w:tbl>
    <w:p w14:paraId="675ACE21" w14:textId="107C1172"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Figure </w:t>
      </w:r>
      <w:r w:rsidR="001748CE">
        <w:rPr>
          <w:rFonts w:ascii="Times New Roman" w:hAnsi="Times New Roman" w:cs="Times New Roman"/>
          <w:sz w:val="24"/>
          <w:szCs w:val="24"/>
        </w:rPr>
        <w:t>3</w:t>
      </w:r>
      <w:r w:rsidRPr="009C2E9F">
        <w:rPr>
          <w:rFonts w:ascii="Times New Roman" w:hAnsi="Times New Roman" w:cs="Times New Roman"/>
          <w:sz w:val="24"/>
          <w:szCs w:val="24"/>
        </w:rPr>
        <w:t xml:space="preserve"> shows the individual graphical illustration of the variables used in this study and help to indicate the general trend and provides details about the patterns of variabilities and volatilities in the variables during the given period. The graphical illustration indicates that the variables have an upward trend.</w:t>
      </w:r>
    </w:p>
    <w:p w14:paraId="21A2A666" w14:textId="4A55C26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Based on the results in Table 1</w:t>
      </w:r>
      <w:r w:rsidR="001748CE">
        <w:rPr>
          <w:rFonts w:ascii="Times New Roman" w:hAnsi="Times New Roman" w:cs="Times New Roman"/>
          <w:sz w:val="24"/>
          <w:szCs w:val="24"/>
        </w:rPr>
        <w:t>2</w:t>
      </w:r>
      <w:r w:rsidRPr="009C2E9F">
        <w:rPr>
          <w:rFonts w:ascii="Times New Roman" w:hAnsi="Times New Roman" w:cs="Times New Roman"/>
          <w:sz w:val="24"/>
          <w:szCs w:val="24"/>
        </w:rPr>
        <w:t>, the exchange rate has a mean of 90.44 and a median of 86.47, it indicates the existence of extreme values at the sample period which is common in the history of the exchange rate with hits of sharp depreciation. A high volatility is also further indicated by the fact that the highest value (177.89) was compared with a minimum (28.42). This is strengthened by the existence of a standard deviation (30.11), which implies broad variations about the mean. This value of positive skewness (0.28) and kurtosis (2.91) is platykurtic which has thin tail. Jarque-Bra value is also statistically insignificant (p-value = 0.867), meaning that exchange rate series is normally distributed.</w:t>
      </w:r>
    </w:p>
    <w:p w14:paraId="77D66BCC"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There is a mean (22.86) and a median (22.64), which means that it appears to be fairly symmetric in its Centre. The inflation variable has a moderate variability, as the standard deviation of inflation is 2.19, as compared to other variables. The skew (0.43) shows that there is slight skewness to the right whereas the kurtosis (2.88) is almost near the normal distribution standard of 3. Nonetheless, the Jarque-Bra test is statistically insignificant (p-value = 0.37), meaning that inflation does follows normality.</w:t>
      </w:r>
    </w:p>
    <w:p w14:paraId="77F25BA8"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GDP displays a mean (1295.63) and a median (1284.56), and the result of this is that there is an increasing trend in the output of the Nigeria economy through the years. The difference between the minimum (1063.69) and maximum (1567.99) values is not too wide, which means that there has been a slight increase in the economy over the term. An existing dispersion is verified by the standard deviation (119.91). GDP is skewed in the positive (0.25), and the kurtosis (2.13) which is platykurtic. The Jarque-Bra statistic is insignificant (p-value = 0.262), which means that the GDP data is normally distributed.</w:t>
      </w:r>
    </w:p>
    <w:p w14:paraId="27B32143"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interest rate has a mean (12.65) and a median (12.30) indicating that there is stability on the central value. The standard deviation (2.09) is fairly low and the skewness (0.49) and kurtosis (2.85) values show that the distribution is somewhat symmetric and platykurtic is moderate. However, Jarque-Bera test at the level of 5 percent (p=0.27) indicating that interest rates data is normally distributed.</w:t>
      </w:r>
    </w:p>
    <w:p w14:paraId="1E0FCA1A"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mean of export is 5.49 and median is 5.48, which demonstrates that some extreme export values were produced at some point. The highest value (12.52) compared to the lowest value (0.21) is an indication a slight volatility in the performance of exports. A skew of the data (0.46) and a kurtosis (2.77) are an indicator of a skewed and platykurtic distribution. The Jarque-Bera (p-value = 0.31) shows that the export rate is normally distributed.</w:t>
      </w:r>
    </w:p>
    <w:p w14:paraId="5EC91B37"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Money supply has the largest mean (23666.21) and also a very high standard deviation (5627.79) meaning that the monetary growth is also very high during the study period and has a median (23361.57) and the maximum (36990.30) are also the indicators of high growth and volatility. Its skewness is positive (0.23) with a kurtosis (2.15) and Jarque-Bera test does not violates the assumption of normality (p-value = 0.29).</w:t>
      </w:r>
    </w:p>
    <w:p w14:paraId="6425E9AA"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lastRenderedPageBreak/>
        <w:t>Generally, it is possible to conclude that the variables show normally distributed assumption is satisfied and they all showed a volatility and skewness, which is typical of macroeconomic time-series data.</w:t>
      </w:r>
    </w:p>
    <w:p w14:paraId="1D82130D" w14:textId="38D7C791"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13</w:t>
      </w:r>
      <w:r w:rsidRPr="009C2E9F">
        <w:rPr>
          <w:rFonts w:ascii="Times New Roman" w:hAnsi="Times New Roman" w:cs="Times New Roman"/>
          <w:sz w:val="24"/>
          <w:szCs w:val="24"/>
        </w:rPr>
        <w:t>: Unit Root Test</w:t>
      </w:r>
    </w:p>
    <w:tbl>
      <w:tblPr>
        <w:tblStyle w:val="LightShading1"/>
        <w:tblW w:w="10472" w:type="dxa"/>
        <w:tblLook w:val="04A0" w:firstRow="1" w:lastRow="0" w:firstColumn="1" w:lastColumn="0" w:noHBand="0" w:noVBand="1"/>
      </w:tblPr>
      <w:tblGrid>
        <w:gridCol w:w="1203"/>
        <w:gridCol w:w="990"/>
        <w:gridCol w:w="936"/>
        <w:gridCol w:w="756"/>
        <w:gridCol w:w="990"/>
        <w:gridCol w:w="936"/>
        <w:gridCol w:w="990"/>
        <w:gridCol w:w="936"/>
        <w:gridCol w:w="809"/>
        <w:gridCol w:w="990"/>
        <w:gridCol w:w="936"/>
      </w:tblGrid>
      <w:tr w:rsidR="00A8615A" w:rsidRPr="009C2E9F" w14:paraId="1244362B" w14:textId="77777777" w:rsidTr="006C5B9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811" w:type="dxa"/>
            <w:gridSpan w:val="6"/>
            <w:shd w:val="clear" w:color="auto" w:fill="auto"/>
          </w:tcPr>
          <w:p w14:paraId="2221899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Level</w:t>
            </w:r>
          </w:p>
        </w:tc>
        <w:tc>
          <w:tcPr>
            <w:tcW w:w="4661" w:type="dxa"/>
            <w:gridSpan w:val="5"/>
            <w:shd w:val="clear" w:color="auto" w:fill="auto"/>
          </w:tcPr>
          <w:p w14:paraId="7BA8B567"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At First Difference</w:t>
            </w:r>
          </w:p>
        </w:tc>
      </w:tr>
      <w:tr w:rsidR="00A8615A" w:rsidRPr="009C2E9F" w14:paraId="06BFC1CC" w14:textId="77777777" w:rsidTr="006C5B90">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5DDECBF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Variables</w:t>
            </w:r>
          </w:p>
        </w:tc>
        <w:tc>
          <w:tcPr>
            <w:tcW w:w="990" w:type="dxa"/>
            <w:shd w:val="clear" w:color="auto" w:fill="auto"/>
          </w:tcPr>
          <w:p w14:paraId="4742987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60E0FF99" w14:textId="6991B972"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756" w:type="dxa"/>
            <w:shd w:val="clear" w:color="auto" w:fill="auto"/>
          </w:tcPr>
          <w:p w14:paraId="32BA8B0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3973EAA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2EFDC61C" w14:textId="323547EC"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990" w:type="dxa"/>
            <w:shd w:val="clear" w:color="auto" w:fill="auto"/>
          </w:tcPr>
          <w:p w14:paraId="58A5F7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ADF Statistic</w:t>
            </w:r>
          </w:p>
        </w:tc>
        <w:tc>
          <w:tcPr>
            <w:tcW w:w="936" w:type="dxa"/>
            <w:shd w:val="clear" w:color="auto" w:fill="auto"/>
          </w:tcPr>
          <w:p w14:paraId="72249A61" w14:textId="002E069F"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09" w:type="dxa"/>
            <w:shd w:val="clear" w:color="auto" w:fill="auto"/>
          </w:tcPr>
          <w:p w14:paraId="01437B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Prob.</w:t>
            </w:r>
          </w:p>
        </w:tc>
        <w:tc>
          <w:tcPr>
            <w:tcW w:w="990" w:type="dxa"/>
            <w:shd w:val="clear" w:color="auto" w:fill="auto"/>
          </w:tcPr>
          <w:p w14:paraId="14DDB00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KPSS Statistic</w:t>
            </w:r>
          </w:p>
        </w:tc>
        <w:tc>
          <w:tcPr>
            <w:tcW w:w="936" w:type="dxa"/>
            <w:shd w:val="clear" w:color="auto" w:fill="auto"/>
          </w:tcPr>
          <w:p w14:paraId="17B7F1B1" w14:textId="1E665668"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676DC5" w:rsidRPr="009C2E9F">
              <w:rPr>
                <w:rStyle w:val="Strong"/>
                <w:rFonts w:eastAsiaTheme="majorEastAsia"/>
                <w:sz w:val="24"/>
                <w:szCs w:val="24"/>
              </w:rPr>
              <w:t>.</w:t>
            </w:r>
            <w:r w:rsidRPr="009C2E9F">
              <w:rPr>
                <w:rStyle w:val="Strong"/>
                <w:rFonts w:eastAsiaTheme="majorEastAsia"/>
                <w:sz w:val="24"/>
                <w:szCs w:val="24"/>
              </w:rPr>
              <w:t xml:space="preserve"> Value</w:t>
            </w:r>
          </w:p>
        </w:tc>
      </w:tr>
      <w:tr w:rsidR="00A8615A" w:rsidRPr="009C2E9F" w14:paraId="5AB21693"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057A6A9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990" w:type="dxa"/>
            <w:shd w:val="clear" w:color="auto" w:fill="auto"/>
          </w:tcPr>
          <w:p w14:paraId="4457086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rStyle w:val="Strong"/>
                <w:sz w:val="24"/>
                <w:szCs w:val="24"/>
              </w:rPr>
              <w:t>0.999</w:t>
            </w:r>
          </w:p>
        </w:tc>
        <w:tc>
          <w:tcPr>
            <w:tcW w:w="936" w:type="dxa"/>
            <w:shd w:val="clear" w:color="auto" w:fill="auto"/>
          </w:tcPr>
          <w:p w14:paraId="59E9C00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
                <w:bCs/>
                <w:sz w:val="24"/>
                <w:szCs w:val="24"/>
              </w:rPr>
            </w:pPr>
            <w:r w:rsidRPr="009C2E9F">
              <w:rPr>
                <w:b w:val="0"/>
                <w:bCs w:val="0"/>
                <w:color w:val="000000"/>
                <w:sz w:val="24"/>
                <w:szCs w:val="24"/>
              </w:rPr>
              <w:t>-1.947</w:t>
            </w:r>
          </w:p>
        </w:tc>
        <w:tc>
          <w:tcPr>
            <w:tcW w:w="756" w:type="dxa"/>
            <w:shd w:val="clear" w:color="auto" w:fill="auto"/>
          </w:tcPr>
          <w:p w14:paraId="7777B61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0.915</w:t>
            </w:r>
          </w:p>
        </w:tc>
        <w:tc>
          <w:tcPr>
            <w:tcW w:w="990" w:type="dxa"/>
            <w:shd w:val="clear" w:color="auto" w:fill="auto"/>
          </w:tcPr>
          <w:p w14:paraId="46914E0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1.155</w:t>
            </w:r>
          </w:p>
        </w:tc>
        <w:tc>
          <w:tcPr>
            <w:tcW w:w="936" w:type="dxa"/>
            <w:shd w:val="clear" w:color="auto" w:fill="auto"/>
          </w:tcPr>
          <w:p w14:paraId="4F6B028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574D311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-8.048</w:t>
            </w:r>
          </w:p>
        </w:tc>
        <w:tc>
          <w:tcPr>
            <w:tcW w:w="936" w:type="dxa"/>
            <w:shd w:val="clear" w:color="auto" w:fill="auto"/>
          </w:tcPr>
          <w:p w14:paraId="4761FC3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-1.947</w:t>
            </w:r>
          </w:p>
        </w:tc>
        <w:tc>
          <w:tcPr>
            <w:tcW w:w="809" w:type="dxa"/>
            <w:shd w:val="clear" w:color="auto" w:fill="auto"/>
          </w:tcPr>
          <w:p w14:paraId="15161C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0C628FD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0.439</w:t>
            </w:r>
          </w:p>
        </w:tc>
        <w:tc>
          <w:tcPr>
            <w:tcW w:w="936" w:type="dxa"/>
            <w:shd w:val="clear" w:color="auto" w:fill="auto"/>
          </w:tcPr>
          <w:p w14:paraId="3C350FF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0E27B2FD"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7D18E6CE"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990" w:type="dxa"/>
            <w:shd w:val="clear" w:color="auto" w:fill="auto"/>
          </w:tcPr>
          <w:p w14:paraId="3F5B722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-0.141</w:t>
            </w:r>
          </w:p>
        </w:tc>
        <w:tc>
          <w:tcPr>
            <w:tcW w:w="936" w:type="dxa"/>
            <w:shd w:val="clear" w:color="auto" w:fill="auto"/>
          </w:tcPr>
          <w:p w14:paraId="323661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-1.947</w:t>
            </w:r>
          </w:p>
        </w:tc>
        <w:tc>
          <w:tcPr>
            <w:tcW w:w="756" w:type="dxa"/>
            <w:shd w:val="clear" w:color="auto" w:fill="auto"/>
          </w:tcPr>
          <w:p w14:paraId="6B4A8C2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0.631</w:t>
            </w:r>
          </w:p>
        </w:tc>
        <w:tc>
          <w:tcPr>
            <w:tcW w:w="990" w:type="dxa"/>
            <w:shd w:val="clear" w:color="auto" w:fill="auto"/>
          </w:tcPr>
          <w:p w14:paraId="25EFE47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0.316</w:t>
            </w:r>
          </w:p>
        </w:tc>
        <w:tc>
          <w:tcPr>
            <w:tcW w:w="936" w:type="dxa"/>
            <w:shd w:val="clear" w:color="auto" w:fill="auto"/>
          </w:tcPr>
          <w:p w14:paraId="7F1CDF3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1ACBC2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-13.495</w:t>
            </w:r>
          </w:p>
        </w:tc>
        <w:tc>
          <w:tcPr>
            <w:tcW w:w="936" w:type="dxa"/>
            <w:shd w:val="clear" w:color="auto" w:fill="auto"/>
          </w:tcPr>
          <w:p w14:paraId="2ABA858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809" w:type="dxa"/>
            <w:shd w:val="clear" w:color="auto" w:fill="auto"/>
          </w:tcPr>
          <w:p w14:paraId="50A1345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362564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c>
          <w:tcPr>
            <w:tcW w:w="936" w:type="dxa"/>
            <w:shd w:val="clear" w:color="auto" w:fill="auto"/>
          </w:tcPr>
          <w:p w14:paraId="7E93FB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r>
      <w:tr w:rsidR="00A8615A" w:rsidRPr="009C2E9F" w14:paraId="61648A76"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240A536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990" w:type="dxa"/>
            <w:shd w:val="clear" w:color="auto" w:fill="auto"/>
          </w:tcPr>
          <w:p w14:paraId="3B2D5DF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0.446</w:t>
            </w:r>
          </w:p>
        </w:tc>
        <w:tc>
          <w:tcPr>
            <w:tcW w:w="936" w:type="dxa"/>
            <w:shd w:val="clear" w:color="auto" w:fill="auto"/>
          </w:tcPr>
          <w:p w14:paraId="5679DF1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-2.912</w:t>
            </w:r>
          </w:p>
        </w:tc>
        <w:tc>
          <w:tcPr>
            <w:tcW w:w="756" w:type="dxa"/>
            <w:shd w:val="clear" w:color="auto" w:fill="auto"/>
          </w:tcPr>
          <w:p w14:paraId="1C7118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0.983</w:t>
            </w:r>
          </w:p>
        </w:tc>
        <w:tc>
          <w:tcPr>
            <w:tcW w:w="990" w:type="dxa"/>
            <w:shd w:val="clear" w:color="auto" w:fill="auto"/>
          </w:tcPr>
          <w:p w14:paraId="39D8069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1.015</w:t>
            </w:r>
          </w:p>
        </w:tc>
        <w:tc>
          <w:tcPr>
            <w:tcW w:w="936" w:type="dxa"/>
            <w:shd w:val="clear" w:color="auto" w:fill="auto"/>
          </w:tcPr>
          <w:p w14:paraId="2F8090B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723B89A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-6.737</w:t>
            </w:r>
          </w:p>
        </w:tc>
        <w:tc>
          <w:tcPr>
            <w:tcW w:w="936" w:type="dxa"/>
            <w:shd w:val="clear" w:color="auto" w:fill="auto"/>
          </w:tcPr>
          <w:p w14:paraId="711BA93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-2.912</w:t>
            </w:r>
          </w:p>
        </w:tc>
        <w:tc>
          <w:tcPr>
            <w:tcW w:w="809" w:type="dxa"/>
            <w:shd w:val="clear" w:color="auto" w:fill="auto"/>
          </w:tcPr>
          <w:p w14:paraId="4D37D15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7166C42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0.162</w:t>
            </w:r>
          </w:p>
        </w:tc>
        <w:tc>
          <w:tcPr>
            <w:tcW w:w="936" w:type="dxa"/>
            <w:shd w:val="clear" w:color="auto" w:fill="auto"/>
          </w:tcPr>
          <w:p w14:paraId="0E800C4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2272041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6920BC5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INT</w:t>
            </w:r>
          </w:p>
        </w:tc>
        <w:tc>
          <w:tcPr>
            <w:tcW w:w="990" w:type="dxa"/>
            <w:shd w:val="clear" w:color="auto" w:fill="auto"/>
          </w:tcPr>
          <w:p w14:paraId="27E5350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-0.834</w:t>
            </w:r>
          </w:p>
        </w:tc>
        <w:tc>
          <w:tcPr>
            <w:tcW w:w="936" w:type="dxa"/>
            <w:shd w:val="clear" w:color="auto" w:fill="auto"/>
          </w:tcPr>
          <w:p w14:paraId="1F306A4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756" w:type="dxa"/>
            <w:shd w:val="clear" w:color="auto" w:fill="auto"/>
          </w:tcPr>
          <w:p w14:paraId="1F6A98C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0.351</w:t>
            </w:r>
          </w:p>
        </w:tc>
        <w:tc>
          <w:tcPr>
            <w:tcW w:w="990" w:type="dxa"/>
            <w:shd w:val="clear" w:color="auto" w:fill="auto"/>
          </w:tcPr>
          <w:p w14:paraId="5774332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0.223</w:t>
            </w:r>
          </w:p>
        </w:tc>
        <w:tc>
          <w:tcPr>
            <w:tcW w:w="936" w:type="dxa"/>
            <w:shd w:val="clear" w:color="auto" w:fill="auto"/>
          </w:tcPr>
          <w:p w14:paraId="1FDC55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62CC283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-7.210</w:t>
            </w:r>
          </w:p>
        </w:tc>
        <w:tc>
          <w:tcPr>
            <w:tcW w:w="936" w:type="dxa"/>
            <w:shd w:val="clear" w:color="auto" w:fill="auto"/>
          </w:tcPr>
          <w:p w14:paraId="4D2FC62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809" w:type="dxa"/>
            <w:shd w:val="clear" w:color="auto" w:fill="auto"/>
          </w:tcPr>
          <w:p w14:paraId="3CD2CAB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7DB8DAC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c>
          <w:tcPr>
            <w:tcW w:w="936" w:type="dxa"/>
            <w:shd w:val="clear" w:color="auto" w:fill="auto"/>
          </w:tcPr>
          <w:p w14:paraId="37ADD28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w:t>
            </w:r>
          </w:p>
        </w:tc>
      </w:tr>
      <w:tr w:rsidR="00A8615A" w:rsidRPr="009C2E9F" w14:paraId="1F8F00AE" w14:textId="77777777" w:rsidTr="006C5B90">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0B12F285"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EXP</w:t>
            </w:r>
          </w:p>
        </w:tc>
        <w:tc>
          <w:tcPr>
            <w:tcW w:w="990" w:type="dxa"/>
            <w:shd w:val="clear" w:color="auto" w:fill="auto"/>
          </w:tcPr>
          <w:p w14:paraId="70EE92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-1.356</w:t>
            </w:r>
          </w:p>
        </w:tc>
        <w:tc>
          <w:tcPr>
            <w:tcW w:w="936" w:type="dxa"/>
            <w:shd w:val="clear" w:color="auto" w:fill="auto"/>
          </w:tcPr>
          <w:p w14:paraId="0B83F04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756" w:type="dxa"/>
            <w:shd w:val="clear" w:color="auto" w:fill="auto"/>
          </w:tcPr>
          <w:p w14:paraId="5FA50FF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0.161</w:t>
            </w:r>
          </w:p>
        </w:tc>
        <w:tc>
          <w:tcPr>
            <w:tcW w:w="990" w:type="dxa"/>
            <w:shd w:val="clear" w:color="auto" w:fill="auto"/>
          </w:tcPr>
          <w:p w14:paraId="5A6301A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0.574</w:t>
            </w:r>
          </w:p>
        </w:tc>
        <w:tc>
          <w:tcPr>
            <w:tcW w:w="936" w:type="dxa"/>
            <w:shd w:val="clear" w:color="auto" w:fill="auto"/>
          </w:tcPr>
          <w:p w14:paraId="2342311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3D63052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-10.231</w:t>
            </w:r>
          </w:p>
        </w:tc>
        <w:tc>
          <w:tcPr>
            <w:tcW w:w="936" w:type="dxa"/>
            <w:shd w:val="clear" w:color="auto" w:fill="auto"/>
          </w:tcPr>
          <w:p w14:paraId="1AC92D9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-1.946</w:t>
            </w:r>
          </w:p>
        </w:tc>
        <w:tc>
          <w:tcPr>
            <w:tcW w:w="809" w:type="dxa"/>
            <w:shd w:val="clear" w:color="auto" w:fill="auto"/>
          </w:tcPr>
          <w:p w14:paraId="32E6C8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AB3581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0.347</w:t>
            </w:r>
          </w:p>
        </w:tc>
        <w:tc>
          <w:tcPr>
            <w:tcW w:w="936" w:type="dxa"/>
            <w:shd w:val="clear" w:color="auto" w:fill="auto"/>
          </w:tcPr>
          <w:p w14:paraId="2D47337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r w:rsidR="00A8615A" w:rsidRPr="009C2E9F" w14:paraId="0DCF249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3" w:type="dxa"/>
            <w:shd w:val="clear" w:color="auto" w:fill="auto"/>
          </w:tcPr>
          <w:p w14:paraId="4C19C48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MS</w:t>
            </w:r>
          </w:p>
        </w:tc>
        <w:tc>
          <w:tcPr>
            <w:tcW w:w="990" w:type="dxa"/>
            <w:shd w:val="clear" w:color="auto" w:fill="auto"/>
          </w:tcPr>
          <w:p w14:paraId="1394C35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-1.411</w:t>
            </w:r>
          </w:p>
        </w:tc>
        <w:tc>
          <w:tcPr>
            <w:tcW w:w="936" w:type="dxa"/>
            <w:shd w:val="clear" w:color="auto" w:fill="auto"/>
          </w:tcPr>
          <w:p w14:paraId="4D177E3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756" w:type="dxa"/>
            <w:shd w:val="clear" w:color="auto" w:fill="auto"/>
          </w:tcPr>
          <w:p w14:paraId="1952872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0.571</w:t>
            </w:r>
          </w:p>
        </w:tc>
        <w:tc>
          <w:tcPr>
            <w:tcW w:w="990" w:type="dxa"/>
            <w:shd w:val="clear" w:color="auto" w:fill="auto"/>
          </w:tcPr>
          <w:p w14:paraId="0E17EEB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1.014</w:t>
            </w:r>
          </w:p>
        </w:tc>
        <w:tc>
          <w:tcPr>
            <w:tcW w:w="936" w:type="dxa"/>
            <w:shd w:val="clear" w:color="auto" w:fill="auto"/>
          </w:tcPr>
          <w:p w14:paraId="472C91A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c>
          <w:tcPr>
            <w:tcW w:w="990" w:type="dxa"/>
            <w:shd w:val="clear" w:color="auto" w:fill="auto"/>
          </w:tcPr>
          <w:p w14:paraId="13DCAA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-11.992</w:t>
            </w:r>
          </w:p>
        </w:tc>
        <w:tc>
          <w:tcPr>
            <w:tcW w:w="936" w:type="dxa"/>
            <w:shd w:val="clear" w:color="auto" w:fill="auto"/>
          </w:tcPr>
          <w:p w14:paraId="1397331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-2.909</w:t>
            </w:r>
          </w:p>
        </w:tc>
        <w:tc>
          <w:tcPr>
            <w:tcW w:w="809" w:type="dxa"/>
            <w:shd w:val="clear" w:color="auto" w:fill="auto"/>
          </w:tcPr>
          <w:p w14:paraId="2A8F30F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990" w:type="dxa"/>
            <w:shd w:val="clear" w:color="auto" w:fill="auto"/>
          </w:tcPr>
          <w:p w14:paraId="5256AED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0.455</w:t>
            </w:r>
          </w:p>
        </w:tc>
        <w:tc>
          <w:tcPr>
            <w:tcW w:w="936" w:type="dxa"/>
            <w:shd w:val="clear" w:color="auto" w:fill="auto"/>
          </w:tcPr>
          <w:p w14:paraId="627DC3D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0.463</w:t>
            </w:r>
          </w:p>
        </w:tc>
      </w:tr>
    </w:tbl>
    <w:p w14:paraId="58C35DD9" w14:textId="24050DA2" w:rsidR="00A8615A" w:rsidRPr="009C2E9F" w:rsidRDefault="00A8615A"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 xml:space="preserve">The ADF result in Table </w:t>
      </w:r>
      <w:r w:rsidR="001748CE">
        <w:rPr>
          <w:rStyle w:val="Strong"/>
          <w:rFonts w:eastAsiaTheme="majorEastAsia"/>
          <w:sz w:val="24"/>
          <w:szCs w:val="24"/>
        </w:rPr>
        <w:t>13</w:t>
      </w:r>
      <w:r w:rsidRPr="009C2E9F">
        <w:rPr>
          <w:rStyle w:val="Strong"/>
          <w:rFonts w:eastAsiaTheme="majorEastAsia"/>
          <w:sz w:val="24"/>
          <w:szCs w:val="24"/>
        </w:rPr>
        <w:t xml:space="preserve"> shows that all variables are non-stationary at the level. This is evidenced by their probability values greater than the level of significance at 5%. Implying that the null hypothesis cannot be rejected. At first difference, all variables became stationary, as their probability values are statistically significant at 5%. level of significance, indicating that the p-value is less than the level of significance, implying that the null hypothesis can be rejected.</w:t>
      </w:r>
    </w:p>
    <w:p w14:paraId="59F439BA" w14:textId="7F6DE55F" w:rsidR="00A8615A" w:rsidRPr="009C2E9F" w:rsidRDefault="00A8615A" w:rsidP="005A0249">
      <w:pPr>
        <w:pStyle w:val="Heading3"/>
        <w:spacing w:before="240" w:beforeAutospacing="0" w:after="240" w:afterAutospacing="0"/>
        <w:jc w:val="both"/>
        <w:rPr>
          <w:rFonts w:eastAsiaTheme="majorEastAsia"/>
          <w:b w:val="0"/>
          <w:sz w:val="24"/>
          <w:szCs w:val="24"/>
        </w:rPr>
      </w:pPr>
      <w:r w:rsidRPr="009C2E9F">
        <w:rPr>
          <w:rStyle w:val="Strong"/>
          <w:rFonts w:eastAsiaTheme="majorEastAsia"/>
          <w:sz w:val="24"/>
          <w:szCs w:val="24"/>
        </w:rPr>
        <w:t xml:space="preserve">The KPSS results in Table </w:t>
      </w:r>
      <w:r w:rsidR="001748CE">
        <w:rPr>
          <w:rStyle w:val="Strong"/>
          <w:rFonts w:eastAsiaTheme="majorEastAsia"/>
          <w:sz w:val="24"/>
          <w:szCs w:val="24"/>
        </w:rPr>
        <w:t>13</w:t>
      </w:r>
      <w:r w:rsidRPr="009C2E9F">
        <w:rPr>
          <w:rStyle w:val="Strong"/>
          <w:rFonts w:eastAsiaTheme="majorEastAsia"/>
          <w:sz w:val="24"/>
          <w:szCs w:val="24"/>
        </w:rPr>
        <w:t xml:space="preserve"> reveal that the KPSS statistics for variables exceed the 5% critical value of 0.463. This indicates that the null hypothesis of stationarity is rejected, confirming that the variables are non-stationary at the level. At first difference, the KPSS statistics for all variables are less than the 5% critical value, implying that the null hypothesis of stationarity cannot be rejected.</w:t>
      </w:r>
    </w:p>
    <w:p w14:paraId="095783FE" w14:textId="344F7794"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w:t>
      </w:r>
      <w:r w:rsidRPr="009C2E9F">
        <w:rPr>
          <w:rFonts w:ascii="Times New Roman" w:hAnsi="Times New Roman" w:cs="Times New Roman"/>
          <w:sz w:val="24"/>
          <w:szCs w:val="24"/>
        </w:rPr>
        <w:t>4: Lag Order Selection output</w:t>
      </w:r>
    </w:p>
    <w:tbl>
      <w:tblPr>
        <w:tblStyle w:val="LightShading1"/>
        <w:tblW w:w="0" w:type="auto"/>
        <w:tblLook w:val="04A0" w:firstRow="1" w:lastRow="0" w:firstColumn="1" w:lastColumn="0" w:noHBand="0" w:noVBand="1"/>
      </w:tblPr>
      <w:tblGrid>
        <w:gridCol w:w="2337"/>
        <w:gridCol w:w="2337"/>
        <w:gridCol w:w="2338"/>
        <w:gridCol w:w="2338"/>
      </w:tblGrid>
      <w:tr w:rsidR="00A8615A" w:rsidRPr="009C2E9F" w14:paraId="4E11F728"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D6F5E91"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Lag</w:t>
            </w:r>
          </w:p>
        </w:tc>
        <w:tc>
          <w:tcPr>
            <w:tcW w:w="2337" w:type="dxa"/>
            <w:shd w:val="clear" w:color="auto" w:fill="auto"/>
          </w:tcPr>
          <w:p w14:paraId="348BE2D4"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LogL</w:t>
            </w:r>
          </w:p>
        </w:tc>
        <w:tc>
          <w:tcPr>
            <w:tcW w:w="2338" w:type="dxa"/>
            <w:shd w:val="clear" w:color="auto" w:fill="auto"/>
          </w:tcPr>
          <w:p w14:paraId="7589A61F"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AIC</w:t>
            </w:r>
          </w:p>
        </w:tc>
        <w:tc>
          <w:tcPr>
            <w:tcW w:w="2338" w:type="dxa"/>
            <w:shd w:val="clear" w:color="auto" w:fill="auto"/>
          </w:tcPr>
          <w:p w14:paraId="3CB6DB90"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SC</w:t>
            </w:r>
          </w:p>
        </w:tc>
      </w:tr>
      <w:tr w:rsidR="00A8615A" w:rsidRPr="009C2E9F" w14:paraId="31790D99"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2439D3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0</w:t>
            </w:r>
          </w:p>
        </w:tc>
        <w:tc>
          <w:tcPr>
            <w:tcW w:w="2337" w:type="dxa"/>
            <w:shd w:val="clear" w:color="auto" w:fill="auto"/>
          </w:tcPr>
          <w:p w14:paraId="16F2043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-1488.791</w:t>
            </w:r>
          </w:p>
        </w:tc>
        <w:tc>
          <w:tcPr>
            <w:tcW w:w="2338" w:type="dxa"/>
            <w:shd w:val="clear" w:color="auto" w:fill="auto"/>
          </w:tcPr>
          <w:p w14:paraId="5D999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53.385</w:t>
            </w:r>
          </w:p>
        </w:tc>
        <w:tc>
          <w:tcPr>
            <w:tcW w:w="2338" w:type="dxa"/>
            <w:shd w:val="clear" w:color="auto" w:fill="auto"/>
          </w:tcPr>
          <w:p w14:paraId="67FB5F0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53.602</w:t>
            </w:r>
          </w:p>
        </w:tc>
      </w:tr>
      <w:tr w:rsidR="00A8615A" w:rsidRPr="009C2E9F" w14:paraId="656C5457"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C0B64B3"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1</w:t>
            </w:r>
          </w:p>
        </w:tc>
        <w:tc>
          <w:tcPr>
            <w:tcW w:w="2337" w:type="dxa"/>
            <w:shd w:val="clear" w:color="auto" w:fill="auto"/>
          </w:tcPr>
          <w:p w14:paraId="2C22F0C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-1400.748</w:t>
            </w:r>
          </w:p>
        </w:tc>
        <w:tc>
          <w:tcPr>
            <w:tcW w:w="2338" w:type="dxa"/>
            <w:shd w:val="clear" w:color="auto" w:fill="auto"/>
          </w:tcPr>
          <w:p w14:paraId="537B122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51.527</w:t>
            </w:r>
          </w:p>
        </w:tc>
        <w:tc>
          <w:tcPr>
            <w:tcW w:w="2338" w:type="dxa"/>
            <w:shd w:val="clear" w:color="auto" w:fill="auto"/>
          </w:tcPr>
          <w:p w14:paraId="337332B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53.046*</w:t>
            </w:r>
          </w:p>
        </w:tc>
      </w:tr>
      <w:tr w:rsidR="00A8615A" w:rsidRPr="009C2E9F" w14:paraId="71F2A18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7EC759C"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2</w:t>
            </w:r>
          </w:p>
        </w:tc>
        <w:tc>
          <w:tcPr>
            <w:tcW w:w="2337" w:type="dxa"/>
            <w:shd w:val="clear" w:color="auto" w:fill="auto"/>
          </w:tcPr>
          <w:p w14:paraId="156899A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-1372.670</w:t>
            </w:r>
          </w:p>
        </w:tc>
        <w:tc>
          <w:tcPr>
            <w:tcW w:w="2338" w:type="dxa"/>
            <w:shd w:val="clear" w:color="auto" w:fill="auto"/>
          </w:tcPr>
          <w:p w14:paraId="68DB1CB7"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51.809</w:t>
            </w:r>
          </w:p>
        </w:tc>
        <w:tc>
          <w:tcPr>
            <w:tcW w:w="2338" w:type="dxa"/>
            <w:shd w:val="clear" w:color="auto" w:fill="auto"/>
          </w:tcPr>
          <w:p w14:paraId="38E9872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54.631</w:t>
            </w:r>
          </w:p>
        </w:tc>
      </w:tr>
      <w:tr w:rsidR="00A8615A" w:rsidRPr="009C2E9F" w14:paraId="4FF68D23"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42AD6D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3</w:t>
            </w:r>
          </w:p>
        </w:tc>
        <w:tc>
          <w:tcPr>
            <w:tcW w:w="2337" w:type="dxa"/>
            <w:shd w:val="clear" w:color="auto" w:fill="auto"/>
          </w:tcPr>
          <w:p w14:paraId="7A819FA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-1335.427</w:t>
            </w:r>
          </w:p>
        </w:tc>
        <w:tc>
          <w:tcPr>
            <w:tcW w:w="2338" w:type="dxa"/>
            <w:shd w:val="clear" w:color="auto" w:fill="auto"/>
          </w:tcPr>
          <w:p w14:paraId="59D6621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51.765</w:t>
            </w:r>
          </w:p>
        </w:tc>
        <w:tc>
          <w:tcPr>
            <w:tcW w:w="2338" w:type="dxa"/>
            <w:shd w:val="clear" w:color="auto" w:fill="auto"/>
          </w:tcPr>
          <w:p w14:paraId="107E14F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55.888</w:t>
            </w:r>
          </w:p>
        </w:tc>
      </w:tr>
      <w:tr w:rsidR="00A8615A" w:rsidRPr="009C2E9F" w14:paraId="05B583A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0914FE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4</w:t>
            </w:r>
          </w:p>
        </w:tc>
        <w:tc>
          <w:tcPr>
            <w:tcW w:w="2337" w:type="dxa"/>
            <w:shd w:val="clear" w:color="auto" w:fill="auto"/>
          </w:tcPr>
          <w:p w14:paraId="21B3491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-1294.088</w:t>
            </w:r>
          </w:p>
        </w:tc>
        <w:tc>
          <w:tcPr>
            <w:tcW w:w="2338" w:type="dxa"/>
            <w:shd w:val="clear" w:color="auto" w:fill="auto"/>
          </w:tcPr>
          <w:p w14:paraId="760851C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51.575</w:t>
            </w:r>
          </w:p>
        </w:tc>
        <w:tc>
          <w:tcPr>
            <w:tcW w:w="2338" w:type="dxa"/>
            <w:shd w:val="clear" w:color="auto" w:fill="auto"/>
          </w:tcPr>
          <w:p w14:paraId="3835DEE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56.999</w:t>
            </w:r>
          </w:p>
        </w:tc>
      </w:tr>
      <w:tr w:rsidR="00A8615A" w:rsidRPr="009C2E9F" w14:paraId="43026A5E"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F88BD44"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5</w:t>
            </w:r>
          </w:p>
        </w:tc>
        <w:tc>
          <w:tcPr>
            <w:tcW w:w="2337" w:type="dxa"/>
            <w:shd w:val="clear" w:color="auto" w:fill="auto"/>
          </w:tcPr>
          <w:p w14:paraId="5BD1AF7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-1266.693</w:t>
            </w:r>
          </w:p>
        </w:tc>
        <w:tc>
          <w:tcPr>
            <w:tcW w:w="2338" w:type="dxa"/>
            <w:shd w:val="clear" w:color="auto" w:fill="auto"/>
          </w:tcPr>
          <w:p w14:paraId="1646742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51.882</w:t>
            </w:r>
          </w:p>
        </w:tc>
        <w:tc>
          <w:tcPr>
            <w:tcW w:w="2338" w:type="dxa"/>
            <w:shd w:val="clear" w:color="auto" w:fill="auto"/>
          </w:tcPr>
          <w:p w14:paraId="27E2CDE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58.609</w:t>
            </w:r>
          </w:p>
        </w:tc>
      </w:tr>
      <w:tr w:rsidR="00A8615A" w:rsidRPr="009C2E9F" w14:paraId="39275DA2"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EB76240"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6</w:t>
            </w:r>
          </w:p>
        </w:tc>
        <w:tc>
          <w:tcPr>
            <w:tcW w:w="2337" w:type="dxa"/>
            <w:shd w:val="clear" w:color="auto" w:fill="auto"/>
          </w:tcPr>
          <w:p w14:paraId="6C4123B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-1221.913</w:t>
            </w:r>
          </w:p>
        </w:tc>
        <w:tc>
          <w:tcPr>
            <w:tcW w:w="2338" w:type="dxa"/>
            <w:shd w:val="clear" w:color="auto" w:fill="auto"/>
          </w:tcPr>
          <w:p w14:paraId="1A04F87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51.568</w:t>
            </w:r>
          </w:p>
        </w:tc>
        <w:tc>
          <w:tcPr>
            <w:tcW w:w="2338" w:type="dxa"/>
            <w:shd w:val="clear" w:color="auto" w:fill="auto"/>
          </w:tcPr>
          <w:p w14:paraId="4BBD530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59.597</w:t>
            </w:r>
          </w:p>
        </w:tc>
      </w:tr>
      <w:tr w:rsidR="00A8615A" w:rsidRPr="009C2E9F" w14:paraId="52C53987"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63FCFC4"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7</w:t>
            </w:r>
          </w:p>
        </w:tc>
        <w:tc>
          <w:tcPr>
            <w:tcW w:w="2337" w:type="dxa"/>
            <w:shd w:val="clear" w:color="auto" w:fill="auto"/>
          </w:tcPr>
          <w:p w14:paraId="491269B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-1172.614</w:t>
            </w:r>
          </w:p>
        </w:tc>
        <w:tc>
          <w:tcPr>
            <w:tcW w:w="2338" w:type="dxa"/>
            <w:shd w:val="clear" w:color="auto" w:fill="auto"/>
          </w:tcPr>
          <w:p w14:paraId="626E97A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51.093</w:t>
            </w:r>
          </w:p>
        </w:tc>
        <w:tc>
          <w:tcPr>
            <w:tcW w:w="2338" w:type="dxa"/>
            <w:shd w:val="clear" w:color="auto" w:fill="auto"/>
          </w:tcPr>
          <w:p w14:paraId="47BDADE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60.424</w:t>
            </w:r>
          </w:p>
        </w:tc>
      </w:tr>
      <w:tr w:rsidR="00A8615A" w:rsidRPr="009C2E9F" w14:paraId="4DA3A0F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33CDC3D"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8</w:t>
            </w:r>
          </w:p>
        </w:tc>
        <w:tc>
          <w:tcPr>
            <w:tcW w:w="2337" w:type="dxa"/>
            <w:shd w:val="clear" w:color="auto" w:fill="auto"/>
          </w:tcPr>
          <w:p w14:paraId="00D9F5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-1073.592</w:t>
            </w:r>
          </w:p>
        </w:tc>
        <w:tc>
          <w:tcPr>
            <w:tcW w:w="2338" w:type="dxa"/>
            <w:shd w:val="clear" w:color="auto" w:fill="auto"/>
          </w:tcPr>
          <w:p w14:paraId="449C409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48.843*</w:t>
            </w:r>
          </w:p>
        </w:tc>
        <w:tc>
          <w:tcPr>
            <w:tcW w:w="2338" w:type="dxa"/>
            <w:shd w:val="clear" w:color="auto" w:fill="auto"/>
          </w:tcPr>
          <w:p w14:paraId="39675E9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59.476</w:t>
            </w:r>
          </w:p>
        </w:tc>
      </w:tr>
    </w:tbl>
    <w:p w14:paraId="04C665CD" w14:textId="2510B99B" w:rsidR="00A8615A" w:rsidRPr="009C2E9F" w:rsidRDefault="00A8615A" w:rsidP="005A0249">
      <w:pPr>
        <w:pStyle w:val="Heading3"/>
        <w:spacing w:before="240" w:beforeAutospacing="0" w:after="240" w:afterAutospacing="0"/>
        <w:jc w:val="both"/>
        <w:rPr>
          <w:rStyle w:val="Strong"/>
          <w:rFonts w:eastAsiaTheme="majorEastAsia"/>
          <w:sz w:val="24"/>
          <w:szCs w:val="24"/>
        </w:rPr>
      </w:pPr>
      <w:r w:rsidRPr="009C2E9F">
        <w:rPr>
          <w:rStyle w:val="Strong"/>
          <w:rFonts w:eastAsiaTheme="majorEastAsia"/>
          <w:sz w:val="24"/>
          <w:szCs w:val="24"/>
        </w:rPr>
        <w:t xml:space="preserve">Table </w:t>
      </w:r>
      <w:r w:rsidR="001748CE">
        <w:rPr>
          <w:rStyle w:val="Strong"/>
          <w:rFonts w:eastAsiaTheme="majorEastAsia"/>
          <w:sz w:val="24"/>
          <w:szCs w:val="24"/>
        </w:rPr>
        <w:t>1</w:t>
      </w:r>
      <w:r w:rsidRPr="009C2E9F">
        <w:rPr>
          <w:rStyle w:val="Strong"/>
          <w:rFonts w:eastAsiaTheme="majorEastAsia"/>
          <w:sz w:val="24"/>
          <w:szCs w:val="24"/>
        </w:rPr>
        <w:t>4 reveals that the lag length selection relies on the outcomes of the various information criteria, of which the Akaike information criterion suggests lag 8 while the Schwarz information criterion suggests lag 2. SIC suggested a minimum lag of 1, which is likely better to avoid overfitting and maintain simplicity.</w:t>
      </w:r>
    </w:p>
    <w:p w14:paraId="4A3C2B09" w14:textId="1C24A1BD" w:rsidR="00A8615A" w:rsidRPr="009C2E9F" w:rsidRDefault="00A8615A"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 xml:space="preserve">Table </w:t>
      </w:r>
      <w:r w:rsidR="001748CE">
        <w:rPr>
          <w:b w:val="0"/>
          <w:bCs w:val="0"/>
          <w:sz w:val="24"/>
          <w:szCs w:val="24"/>
        </w:rPr>
        <w:t>15</w:t>
      </w:r>
      <w:r w:rsidRPr="009C2E9F">
        <w:rPr>
          <w:b w:val="0"/>
          <w:bCs w:val="0"/>
          <w:sz w:val="24"/>
          <w:szCs w:val="24"/>
        </w:rPr>
        <w:t>:</w:t>
      </w:r>
      <w:r w:rsidRPr="009C2E9F">
        <w:rPr>
          <w:sz w:val="24"/>
          <w:szCs w:val="24"/>
        </w:rPr>
        <w:t xml:space="preserve"> </w:t>
      </w:r>
      <w:r w:rsidRPr="009C2E9F">
        <w:rPr>
          <w:rStyle w:val="Strong"/>
          <w:rFonts w:eastAsiaTheme="majorEastAsia"/>
          <w:sz w:val="24"/>
          <w:szCs w:val="24"/>
        </w:rPr>
        <w:t>Unrestricted Cointegration Rank Test (Trace and Max-Eigen)</w:t>
      </w:r>
      <w:r w:rsidRPr="009C2E9F">
        <w:rPr>
          <w:sz w:val="24"/>
          <w:szCs w:val="24"/>
        </w:rPr>
        <w:t xml:space="preserve"> </w:t>
      </w:r>
    </w:p>
    <w:tbl>
      <w:tblPr>
        <w:tblStyle w:val="LightShading1"/>
        <w:tblW w:w="10519" w:type="dxa"/>
        <w:tblLook w:val="04A0" w:firstRow="1" w:lastRow="0" w:firstColumn="1" w:lastColumn="0" w:noHBand="0" w:noVBand="1"/>
      </w:tblPr>
      <w:tblGrid>
        <w:gridCol w:w="1603"/>
        <w:gridCol w:w="1350"/>
        <w:gridCol w:w="1116"/>
        <w:gridCol w:w="1116"/>
        <w:gridCol w:w="876"/>
        <w:gridCol w:w="1350"/>
        <w:gridCol w:w="1116"/>
        <w:gridCol w:w="1116"/>
        <w:gridCol w:w="876"/>
      </w:tblGrid>
      <w:tr w:rsidR="00A8615A" w:rsidRPr="009C2E9F" w14:paraId="290BEAEC"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014BCFA4"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p>
        </w:tc>
        <w:tc>
          <w:tcPr>
            <w:tcW w:w="4458" w:type="dxa"/>
            <w:gridSpan w:val="4"/>
            <w:shd w:val="clear" w:color="auto" w:fill="auto"/>
          </w:tcPr>
          <w:p w14:paraId="5469721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(Trace)</w:t>
            </w:r>
          </w:p>
        </w:tc>
        <w:tc>
          <w:tcPr>
            <w:tcW w:w="4458" w:type="dxa"/>
            <w:gridSpan w:val="4"/>
            <w:shd w:val="clear" w:color="auto" w:fill="auto"/>
          </w:tcPr>
          <w:p w14:paraId="6C4B8A77"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Style w:val="Strong"/>
                <w:rFonts w:eastAsiaTheme="majorEastAsia"/>
                <w:b w:val="0"/>
                <w:bCs w:val="0"/>
                <w:sz w:val="24"/>
                <w:szCs w:val="24"/>
              </w:rPr>
            </w:pPr>
            <w:r w:rsidRPr="009C2E9F">
              <w:rPr>
                <w:rStyle w:val="Strong"/>
                <w:rFonts w:eastAsiaTheme="majorEastAsia"/>
                <w:b w:val="0"/>
                <w:bCs w:val="0"/>
                <w:sz w:val="24"/>
                <w:szCs w:val="24"/>
              </w:rPr>
              <w:t>Cointegration Rank Test (Max-Eigen)</w:t>
            </w:r>
          </w:p>
        </w:tc>
      </w:tr>
      <w:tr w:rsidR="00A8615A" w:rsidRPr="009C2E9F" w14:paraId="3ED3145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4940249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Hypothesized No. of CE(s)</w:t>
            </w:r>
          </w:p>
        </w:tc>
        <w:tc>
          <w:tcPr>
            <w:tcW w:w="1350" w:type="dxa"/>
            <w:shd w:val="clear" w:color="auto" w:fill="auto"/>
          </w:tcPr>
          <w:p w14:paraId="3CC8B24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7A6C76E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Trace Statistic</w:t>
            </w:r>
          </w:p>
        </w:tc>
        <w:tc>
          <w:tcPr>
            <w:tcW w:w="1116" w:type="dxa"/>
            <w:shd w:val="clear" w:color="auto" w:fill="auto"/>
          </w:tcPr>
          <w:p w14:paraId="2E1A7AB3" w14:textId="35946C04"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753102"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48E1E56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c>
          <w:tcPr>
            <w:tcW w:w="1350" w:type="dxa"/>
            <w:shd w:val="clear" w:color="auto" w:fill="auto"/>
          </w:tcPr>
          <w:p w14:paraId="1D2A08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Eigenvalue</w:t>
            </w:r>
          </w:p>
        </w:tc>
        <w:tc>
          <w:tcPr>
            <w:tcW w:w="1116" w:type="dxa"/>
            <w:shd w:val="clear" w:color="auto" w:fill="auto"/>
          </w:tcPr>
          <w:p w14:paraId="708CEC5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Max-Eigen Statistic</w:t>
            </w:r>
          </w:p>
        </w:tc>
        <w:tc>
          <w:tcPr>
            <w:tcW w:w="1116" w:type="dxa"/>
            <w:shd w:val="clear" w:color="auto" w:fill="auto"/>
          </w:tcPr>
          <w:p w14:paraId="695420FE" w14:textId="34E831BC"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 Crit</w:t>
            </w:r>
            <w:r w:rsidR="00753102" w:rsidRPr="009C2E9F">
              <w:rPr>
                <w:rStyle w:val="Strong"/>
                <w:rFonts w:eastAsiaTheme="majorEastAsia"/>
                <w:sz w:val="24"/>
                <w:szCs w:val="24"/>
              </w:rPr>
              <w:t>.</w:t>
            </w:r>
            <w:r w:rsidRPr="009C2E9F">
              <w:rPr>
                <w:rStyle w:val="Strong"/>
                <w:rFonts w:eastAsiaTheme="majorEastAsia"/>
                <w:sz w:val="24"/>
                <w:szCs w:val="24"/>
              </w:rPr>
              <w:t xml:space="preserve"> Value</w:t>
            </w:r>
          </w:p>
        </w:tc>
        <w:tc>
          <w:tcPr>
            <w:tcW w:w="876" w:type="dxa"/>
            <w:shd w:val="clear" w:color="auto" w:fill="auto"/>
          </w:tcPr>
          <w:p w14:paraId="5B82AA7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Prob.</w:t>
            </w:r>
          </w:p>
        </w:tc>
      </w:tr>
      <w:tr w:rsidR="00A8615A" w:rsidRPr="009C2E9F" w14:paraId="1078D1E7"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42C0176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None*</w:t>
            </w:r>
          </w:p>
        </w:tc>
        <w:tc>
          <w:tcPr>
            <w:tcW w:w="1350" w:type="dxa"/>
            <w:shd w:val="clear" w:color="auto" w:fill="auto"/>
          </w:tcPr>
          <w:p w14:paraId="5E4EEDC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0.627</w:t>
            </w:r>
          </w:p>
        </w:tc>
        <w:tc>
          <w:tcPr>
            <w:tcW w:w="1116" w:type="dxa"/>
            <w:shd w:val="clear" w:color="auto" w:fill="auto"/>
          </w:tcPr>
          <w:p w14:paraId="15042AC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142.314</w:t>
            </w:r>
          </w:p>
        </w:tc>
        <w:tc>
          <w:tcPr>
            <w:tcW w:w="1116" w:type="dxa"/>
            <w:shd w:val="clear" w:color="auto" w:fill="auto"/>
          </w:tcPr>
          <w:p w14:paraId="5BEA056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95.754</w:t>
            </w:r>
          </w:p>
        </w:tc>
        <w:tc>
          <w:tcPr>
            <w:tcW w:w="876" w:type="dxa"/>
            <w:shd w:val="clear" w:color="auto" w:fill="auto"/>
          </w:tcPr>
          <w:p w14:paraId="3BDF57C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0.000</w:t>
            </w:r>
          </w:p>
        </w:tc>
        <w:tc>
          <w:tcPr>
            <w:tcW w:w="1350" w:type="dxa"/>
            <w:shd w:val="clear" w:color="auto" w:fill="auto"/>
          </w:tcPr>
          <w:p w14:paraId="0238439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0.627</w:t>
            </w:r>
          </w:p>
        </w:tc>
        <w:tc>
          <w:tcPr>
            <w:tcW w:w="1116" w:type="dxa"/>
            <w:shd w:val="clear" w:color="auto" w:fill="auto"/>
          </w:tcPr>
          <w:p w14:paraId="4384E15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60.079</w:t>
            </w:r>
          </w:p>
        </w:tc>
        <w:tc>
          <w:tcPr>
            <w:tcW w:w="1116" w:type="dxa"/>
            <w:shd w:val="clear" w:color="auto" w:fill="auto"/>
          </w:tcPr>
          <w:p w14:paraId="5BC50A3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40.078</w:t>
            </w:r>
          </w:p>
        </w:tc>
        <w:tc>
          <w:tcPr>
            <w:tcW w:w="876" w:type="dxa"/>
            <w:shd w:val="clear" w:color="auto" w:fill="auto"/>
          </w:tcPr>
          <w:p w14:paraId="3125C16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0.000</w:t>
            </w:r>
          </w:p>
        </w:tc>
      </w:tr>
      <w:tr w:rsidR="00A8615A" w:rsidRPr="009C2E9F" w14:paraId="0E8A79C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061943B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1*</w:t>
            </w:r>
          </w:p>
        </w:tc>
        <w:tc>
          <w:tcPr>
            <w:tcW w:w="1350" w:type="dxa"/>
            <w:shd w:val="clear" w:color="auto" w:fill="auto"/>
          </w:tcPr>
          <w:p w14:paraId="1247912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0.420</w:t>
            </w:r>
          </w:p>
        </w:tc>
        <w:tc>
          <w:tcPr>
            <w:tcW w:w="1116" w:type="dxa"/>
            <w:shd w:val="clear" w:color="auto" w:fill="auto"/>
          </w:tcPr>
          <w:p w14:paraId="5E99796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82.234</w:t>
            </w:r>
          </w:p>
        </w:tc>
        <w:tc>
          <w:tcPr>
            <w:tcW w:w="1116" w:type="dxa"/>
            <w:shd w:val="clear" w:color="auto" w:fill="auto"/>
          </w:tcPr>
          <w:p w14:paraId="40D399F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69.819</w:t>
            </w:r>
          </w:p>
        </w:tc>
        <w:tc>
          <w:tcPr>
            <w:tcW w:w="876" w:type="dxa"/>
            <w:shd w:val="clear" w:color="auto" w:fill="auto"/>
          </w:tcPr>
          <w:p w14:paraId="10C69D5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0.004</w:t>
            </w:r>
          </w:p>
        </w:tc>
        <w:tc>
          <w:tcPr>
            <w:tcW w:w="1350" w:type="dxa"/>
            <w:shd w:val="clear" w:color="auto" w:fill="auto"/>
          </w:tcPr>
          <w:p w14:paraId="2E8F72D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0.420</w:t>
            </w:r>
          </w:p>
        </w:tc>
        <w:tc>
          <w:tcPr>
            <w:tcW w:w="1116" w:type="dxa"/>
            <w:shd w:val="clear" w:color="auto" w:fill="auto"/>
          </w:tcPr>
          <w:p w14:paraId="50367B1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33.256</w:t>
            </w:r>
          </w:p>
        </w:tc>
        <w:tc>
          <w:tcPr>
            <w:tcW w:w="1116" w:type="dxa"/>
            <w:shd w:val="clear" w:color="auto" w:fill="auto"/>
          </w:tcPr>
          <w:p w14:paraId="551C6C3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33.877</w:t>
            </w:r>
          </w:p>
        </w:tc>
        <w:tc>
          <w:tcPr>
            <w:tcW w:w="876" w:type="dxa"/>
            <w:shd w:val="clear" w:color="auto" w:fill="auto"/>
          </w:tcPr>
          <w:p w14:paraId="3E70F59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0.059</w:t>
            </w:r>
          </w:p>
        </w:tc>
      </w:tr>
      <w:tr w:rsidR="00A8615A" w:rsidRPr="009C2E9F" w14:paraId="46629F9C"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716D70B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2*</w:t>
            </w:r>
          </w:p>
        </w:tc>
        <w:tc>
          <w:tcPr>
            <w:tcW w:w="1350" w:type="dxa"/>
            <w:shd w:val="clear" w:color="auto" w:fill="auto"/>
          </w:tcPr>
          <w:p w14:paraId="0E89547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0.333</w:t>
            </w:r>
          </w:p>
        </w:tc>
        <w:tc>
          <w:tcPr>
            <w:tcW w:w="1116" w:type="dxa"/>
            <w:shd w:val="clear" w:color="auto" w:fill="auto"/>
          </w:tcPr>
          <w:p w14:paraId="457A90E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48.978</w:t>
            </w:r>
          </w:p>
        </w:tc>
        <w:tc>
          <w:tcPr>
            <w:tcW w:w="1116" w:type="dxa"/>
            <w:shd w:val="clear" w:color="auto" w:fill="auto"/>
          </w:tcPr>
          <w:p w14:paraId="0A14E94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47.856</w:t>
            </w:r>
          </w:p>
        </w:tc>
        <w:tc>
          <w:tcPr>
            <w:tcW w:w="876" w:type="dxa"/>
            <w:shd w:val="clear" w:color="auto" w:fill="auto"/>
          </w:tcPr>
          <w:p w14:paraId="5F46CF1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0.039</w:t>
            </w:r>
          </w:p>
        </w:tc>
        <w:tc>
          <w:tcPr>
            <w:tcW w:w="1350" w:type="dxa"/>
            <w:shd w:val="clear" w:color="auto" w:fill="auto"/>
          </w:tcPr>
          <w:p w14:paraId="3A8488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0.333</w:t>
            </w:r>
          </w:p>
        </w:tc>
        <w:tc>
          <w:tcPr>
            <w:tcW w:w="1116" w:type="dxa"/>
            <w:shd w:val="clear" w:color="auto" w:fill="auto"/>
          </w:tcPr>
          <w:p w14:paraId="0981886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24.667</w:t>
            </w:r>
          </w:p>
        </w:tc>
        <w:tc>
          <w:tcPr>
            <w:tcW w:w="1116" w:type="dxa"/>
            <w:shd w:val="clear" w:color="auto" w:fill="auto"/>
          </w:tcPr>
          <w:p w14:paraId="4959AB8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27.584</w:t>
            </w:r>
          </w:p>
        </w:tc>
        <w:tc>
          <w:tcPr>
            <w:tcW w:w="876" w:type="dxa"/>
            <w:shd w:val="clear" w:color="auto" w:fill="auto"/>
          </w:tcPr>
          <w:p w14:paraId="1016666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0.113</w:t>
            </w:r>
          </w:p>
        </w:tc>
      </w:tr>
      <w:tr w:rsidR="00A8615A" w:rsidRPr="009C2E9F" w14:paraId="33C890D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5091EDA0"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3</w:t>
            </w:r>
          </w:p>
        </w:tc>
        <w:tc>
          <w:tcPr>
            <w:tcW w:w="1350" w:type="dxa"/>
            <w:shd w:val="clear" w:color="auto" w:fill="auto"/>
          </w:tcPr>
          <w:p w14:paraId="0955F7A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0.208</w:t>
            </w:r>
          </w:p>
        </w:tc>
        <w:tc>
          <w:tcPr>
            <w:tcW w:w="1116" w:type="dxa"/>
            <w:shd w:val="clear" w:color="auto" w:fill="auto"/>
          </w:tcPr>
          <w:p w14:paraId="420B9E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24.312</w:t>
            </w:r>
          </w:p>
        </w:tc>
        <w:tc>
          <w:tcPr>
            <w:tcW w:w="1116" w:type="dxa"/>
            <w:shd w:val="clear" w:color="auto" w:fill="auto"/>
          </w:tcPr>
          <w:p w14:paraId="52DC1C2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29.797</w:t>
            </w:r>
          </w:p>
        </w:tc>
        <w:tc>
          <w:tcPr>
            <w:tcW w:w="876" w:type="dxa"/>
            <w:shd w:val="clear" w:color="auto" w:fill="auto"/>
          </w:tcPr>
          <w:p w14:paraId="6131A16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0.188</w:t>
            </w:r>
          </w:p>
        </w:tc>
        <w:tc>
          <w:tcPr>
            <w:tcW w:w="1350" w:type="dxa"/>
            <w:shd w:val="clear" w:color="auto" w:fill="auto"/>
          </w:tcPr>
          <w:p w14:paraId="480A731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0.207</w:t>
            </w:r>
          </w:p>
        </w:tc>
        <w:tc>
          <w:tcPr>
            <w:tcW w:w="1116" w:type="dxa"/>
            <w:shd w:val="clear" w:color="auto" w:fill="auto"/>
          </w:tcPr>
          <w:p w14:paraId="53EF19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14.222</w:t>
            </w:r>
          </w:p>
        </w:tc>
        <w:tc>
          <w:tcPr>
            <w:tcW w:w="1116" w:type="dxa"/>
            <w:shd w:val="clear" w:color="auto" w:fill="auto"/>
          </w:tcPr>
          <w:p w14:paraId="16AA327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21.132</w:t>
            </w:r>
          </w:p>
        </w:tc>
        <w:tc>
          <w:tcPr>
            <w:tcW w:w="876" w:type="dxa"/>
            <w:shd w:val="clear" w:color="auto" w:fill="auto"/>
          </w:tcPr>
          <w:p w14:paraId="1A5E6EA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0.347</w:t>
            </w:r>
          </w:p>
        </w:tc>
      </w:tr>
      <w:tr w:rsidR="00A8615A" w:rsidRPr="009C2E9F" w14:paraId="6FDE31CC" w14:textId="77777777" w:rsidTr="006C5B90">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3069E944"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4</w:t>
            </w:r>
          </w:p>
        </w:tc>
        <w:tc>
          <w:tcPr>
            <w:tcW w:w="1350" w:type="dxa"/>
            <w:shd w:val="clear" w:color="auto" w:fill="auto"/>
          </w:tcPr>
          <w:p w14:paraId="6A26A90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0.141</w:t>
            </w:r>
          </w:p>
        </w:tc>
        <w:tc>
          <w:tcPr>
            <w:tcW w:w="1116" w:type="dxa"/>
            <w:shd w:val="clear" w:color="auto" w:fill="auto"/>
          </w:tcPr>
          <w:p w14:paraId="682F246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10.089</w:t>
            </w:r>
          </w:p>
        </w:tc>
        <w:tc>
          <w:tcPr>
            <w:tcW w:w="1116" w:type="dxa"/>
            <w:shd w:val="clear" w:color="auto" w:fill="auto"/>
          </w:tcPr>
          <w:p w14:paraId="7395038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15.495</w:t>
            </w:r>
          </w:p>
        </w:tc>
        <w:tc>
          <w:tcPr>
            <w:tcW w:w="876" w:type="dxa"/>
            <w:shd w:val="clear" w:color="auto" w:fill="auto"/>
          </w:tcPr>
          <w:p w14:paraId="36B4FFA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0.274</w:t>
            </w:r>
          </w:p>
        </w:tc>
        <w:tc>
          <w:tcPr>
            <w:tcW w:w="1350" w:type="dxa"/>
            <w:shd w:val="clear" w:color="auto" w:fill="auto"/>
          </w:tcPr>
          <w:p w14:paraId="58C15B2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0.141</w:t>
            </w:r>
          </w:p>
        </w:tc>
        <w:tc>
          <w:tcPr>
            <w:tcW w:w="1116" w:type="dxa"/>
            <w:shd w:val="clear" w:color="auto" w:fill="auto"/>
          </w:tcPr>
          <w:p w14:paraId="0CD2AFB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9.243</w:t>
            </w:r>
          </w:p>
        </w:tc>
        <w:tc>
          <w:tcPr>
            <w:tcW w:w="1116" w:type="dxa"/>
            <w:shd w:val="clear" w:color="auto" w:fill="auto"/>
          </w:tcPr>
          <w:p w14:paraId="09AB394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14.265</w:t>
            </w:r>
          </w:p>
        </w:tc>
        <w:tc>
          <w:tcPr>
            <w:tcW w:w="876" w:type="dxa"/>
            <w:shd w:val="clear" w:color="auto" w:fill="auto"/>
          </w:tcPr>
          <w:p w14:paraId="08C104B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0.267</w:t>
            </w:r>
          </w:p>
        </w:tc>
      </w:tr>
      <w:tr w:rsidR="00A8615A" w:rsidRPr="009C2E9F" w14:paraId="317C563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3" w:type="dxa"/>
            <w:shd w:val="clear" w:color="auto" w:fill="auto"/>
          </w:tcPr>
          <w:p w14:paraId="3A29591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At most 5</w:t>
            </w:r>
          </w:p>
        </w:tc>
        <w:tc>
          <w:tcPr>
            <w:tcW w:w="1350" w:type="dxa"/>
            <w:shd w:val="clear" w:color="auto" w:fill="auto"/>
          </w:tcPr>
          <w:p w14:paraId="5F4BBC7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0.014</w:t>
            </w:r>
          </w:p>
        </w:tc>
        <w:tc>
          <w:tcPr>
            <w:tcW w:w="1116" w:type="dxa"/>
            <w:shd w:val="clear" w:color="auto" w:fill="auto"/>
          </w:tcPr>
          <w:p w14:paraId="778A1DC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0.847</w:t>
            </w:r>
          </w:p>
        </w:tc>
        <w:tc>
          <w:tcPr>
            <w:tcW w:w="1116" w:type="dxa"/>
            <w:shd w:val="clear" w:color="auto" w:fill="auto"/>
          </w:tcPr>
          <w:p w14:paraId="08A4975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3.841</w:t>
            </w:r>
          </w:p>
        </w:tc>
        <w:tc>
          <w:tcPr>
            <w:tcW w:w="876" w:type="dxa"/>
            <w:shd w:val="clear" w:color="auto" w:fill="auto"/>
          </w:tcPr>
          <w:p w14:paraId="2D4E7B7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bCs/>
                <w:sz w:val="24"/>
                <w:szCs w:val="24"/>
              </w:rPr>
            </w:pPr>
            <w:r w:rsidRPr="009C2E9F">
              <w:rPr>
                <w:rStyle w:val="Strong"/>
                <w:rFonts w:eastAsiaTheme="majorEastAsia"/>
                <w:sz w:val="24"/>
                <w:szCs w:val="24"/>
              </w:rPr>
              <w:t>0.357</w:t>
            </w:r>
          </w:p>
        </w:tc>
        <w:tc>
          <w:tcPr>
            <w:tcW w:w="1350" w:type="dxa"/>
            <w:shd w:val="clear" w:color="auto" w:fill="auto"/>
          </w:tcPr>
          <w:p w14:paraId="36E320B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0.014</w:t>
            </w:r>
          </w:p>
        </w:tc>
        <w:tc>
          <w:tcPr>
            <w:tcW w:w="1116" w:type="dxa"/>
            <w:shd w:val="clear" w:color="auto" w:fill="auto"/>
          </w:tcPr>
          <w:p w14:paraId="426A742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0.847</w:t>
            </w:r>
          </w:p>
        </w:tc>
        <w:tc>
          <w:tcPr>
            <w:tcW w:w="1116" w:type="dxa"/>
            <w:shd w:val="clear" w:color="auto" w:fill="auto"/>
          </w:tcPr>
          <w:p w14:paraId="08F5EE8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3.841</w:t>
            </w:r>
          </w:p>
        </w:tc>
        <w:tc>
          <w:tcPr>
            <w:tcW w:w="876" w:type="dxa"/>
            <w:shd w:val="clear" w:color="auto" w:fill="auto"/>
          </w:tcPr>
          <w:p w14:paraId="5DCD8B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0.357</w:t>
            </w:r>
          </w:p>
        </w:tc>
      </w:tr>
    </w:tbl>
    <w:p w14:paraId="386D1981" w14:textId="1B7CB155" w:rsidR="00A8615A" w:rsidRPr="009C2E9F" w:rsidRDefault="00A8615A" w:rsidP="005A0249">
      <w:pPr>
        <w:pStyle w:val="Heading3"/>
        <w:spacing w:before="240" w:beforeAutospacing="0" w:after="240" w:afterAutospacing="0"/>
        <w:jc w:val="both"/>
        <w:rPr>
          <w:rStyle w:val="Strong"/>
          <w:rFonts w:eastAsiaTheme="majorEastAsia"/>
          <w:bCs/>
          <w:sz w:val="24"/>
          <w:szCs w:val="24"/>
        </w:rPr>
      </w:pPr>
      <w:r w:rsidRPr="009C2E9F">
        <w:rPr>
          <w:rStyle w:val="Strong"/>
          <w:rFonts w:eastAsiaTheme="majorEastAsia"/>
          <w:sz w:val="24"/>
          <w:szCs w:val="24"/>
        </w:rPr>
        <w:t xml:space="preserve">The results in Table </w:t>
      </w:r>
      <w:r w:rsidR="001748CE">
        <w:rPr>
          <w:rStyle w:val="Strong"/>
          <w:rFonts w:eastAsiaTheme="majorEastAsia"/>
          <w:sz w:val="24"/>
          <w:szCs w:val="24"/>
        </w:rPr>
        <w:t>15</w:t>
      </w:r>
      <w:r w:rsidRPr="009C2E9F">
        <w:rPr>
          <w:rStyle w:val="Strong"/>
          <w:rFonts w:eastAsiaTheme="majorEastAsia"/>
          <w:sz w:val="24"/>
          <w:szCs w:val="24"/>
        </w:rPr>
        <w:t xml:space="preserve"> reveals that the trace show that there are at most three cointegrating equations are also rejected as the p-value (0.188) is less than the significance level at 5%. However, the null hypothesis of at most three cointegrating equations cannot be rejected as the p-value (0.188) is greater than the significance level at 5%.</w:t>
      </w:r>
    </w:p>
    <w:p w14:paraId="4C783ADC" w14:textId="5D8A2292" w:rsidR="00A8615A" w:rsidRPr="009C2E9F" w:rsidRDefault="00A8615A" w:rsidP="005A0249">
      <w:pPr>
        <w:pStyle w:val="Heading3"/>
        <w:spacing w:before="240" w:beforeAutospacing="0" w:after="240" w:afterAutospacing="0"/>
        <w:jc w:val="both"/>
        <w:rPr>
          <w:rFonts w:eastAsiaTheme="majorEastAsia"/>
          <w:b w:val="0"/>
          <w:sz w:val="24"/>
          <w:szCs w:val="24"/>
        </w:rPr>
      </w:pPr>
      <w:r w:rsidRPr="009C2E9F">
        <w:rPr>
          <w:rStyle w:val="Strong"/>
          <w:rFonts w:eastAsiaTheme="majorEastAsia"/>
          <w:sz w:val="24"/>
          <w:szCs w:val="24"/>
        </w:rPr>
        <w:lastRenderedPageBreak/>
        <w:t xml:space="preserve">The results in Table </w:t>
      </w:r>
      <w:r w:rsidR="001748CE">
        <w:rPr>
          <w:rStyle w:val="Strong"/>
          <w:rFonts w:eastAsiaTheme="majorEastAsia"/>
          <w:sz w:val="24"/>
          <w:szCs w:val="24"/>
        </w:rPr>
        <w:t>15</w:t>
      </w:r>
      <w:r w:rsidRPr="009C2E9F">
        <w:rPr>
          <w:rStyle w:val="Strong"/>
          <w:rFonts w:eastAsiaTheme="majorEastAsia"/>
          <w:sz w:val="24"/>
          <w:szCs w:val="24"/>
        </w:rPr>
        <w:t xml:space="preserve"> reveal that the Max-eigenvalue at most one cointegrating equations are also rejected as the p-value (0.000) is less than the 0.05 significance level. However, the null hypothesis of at most one cointegrating equations cannot be rejected as the p-value (0.059) is greater than the 0.05 significance level. The Maximum Eigenvalue test indicates 1 cointegrating equations at the 0.05 level.</w:t>
      </w:r>
    </w:p>
    <w:p w14:paraId="3B76F153" w14:textId="1468F75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16</w:t>
      </w:r>
      <w:r w:rsidRPr="009C2E9F">
        <w:rPr>
          <w:rFonts w:ascii="Times New Roman" w:hAnsi="Times New Roman" w:cs="Times New Roman"/>
          <w:sz w:val="24"/>
          <w:szCs w:val="24"/>
        </w:rPr>
        <w:t>: Long-run Coefficient of the Cointegrating Vector</w:t>
      </w:r>
    </w:p>
    <w:tbl>
      <w:tblPr>
        <w:tblStyle w:val="LightShading1"/>
        <w:tblW w:w="0" w:type="auto"/>
        <w:tblLook w:val="04A0" w:firstRow="1" w:lastRow="0" w:firstColumn="1" w:lastColumn="0" w:noHBand="0" w:noVBand="1"/>
      </w:tblPr>
      <w:tblGrid>
        <w:gridCol w:w="2337"/>
        <w:gridCol w:w="2337"/>
        <w:gridCol w:w="2338"/>
        <w:gridCol w:w="2338"/>
      </w:tblGrid>
      <w:tr w:rsidR="00A8615A" w:rsidRPr="009C2E9F" w14:paraId="3B875E1A"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D14CA1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Variables</w:t>
            </w:r>
          </w:p>
        </w:tc>
        <w:tc>
          <w:tcPr>
            <w:tcW w:w="2337" w:type="dxa"/>
            <w:shd w:val="clear" w:color="auto" w:fill="auto"/>
          </w:tcPr>
          <w:p w14:paraId="019A3632"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CointEq1</w:t>
            </w:r>
          </w:p>
        </w:tc>
        <w:tc>
          <w:tcPr>
            <w:tcW w:w="2338" w:type="dxa"/>
            <w:shd w:val="clear" w:color="auto" w:fill="auto"/>
          </w:tcPr>
          <w:p w14:paraId="141DBB1D"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CointEq2</w:t>
            </w:r>
          </w:p>
        </w:tc>
        <w:tc>
          <w:tcPr>
            <w:tcW w:w="2338" w:type="dxa"/>
            <w:shd w:val="clear" w:color="auto" w:fill="auto"/>
          </w:tcPr>
          <w:p w14:paraId="539FFBB0"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CointEq3</w:t>
            </w:r>
          </w:p>
        </w:tc>
      </w:tr>
      <w:tr w:rsidR="00A8615A" w:rsidRPr="009C2E9F" w14:paraId="5F5046C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331CE6E" w14:textId="45ECA69C"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EXR</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38C93AA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2338" w:type="dxa"/>
            <w:shd w:val="clear" w:color="auto" w:fill="auto"/>
          </w:tcPr>
          <w:p w14:paraId="1ADB4F8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6A87302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r>
      <w:tr w:rsidR="00A8615A" w:rsidRPr="009C2E9F" w14:paraId="46A5E444" w14:textId="77777777" w:rsidTr="006C5B90">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5B71F20" w14:textId="22C07DA6"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7D31CD4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7A9C7DD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2338" w:type="dxa"/>
            <w:shd w:val="clear" w:color="auto" w:fill="auto"/>
          </w:tcPr>
          <w:p w14:paraId="6094C71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r>
      <w:tr w:rsidR="00A8615A" w:rsidRPr="009C2E9F" w14:paraId="38B289B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6532DFAA" w14:textId="4DA10E03"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GDP</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6BBB6A3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0FE71B6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w:t>
            </w:r>
          </w:p>
        </w:tc>
        <w:tc>
          <w:tcPr>
            <w:tcW w:w="2338" w:type="dxa"/>
            <w:shd w:val="clear" w:color="auto" w:fill="auto"/>
          </w:tcPr>
          <w:p w14:paraId="3011DF5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r>
      <w:tr w:rsidR="00A8615A" w:rsidRPr="009C2E9F" w14:paraId="2B241695" w14:textId="77777777" w:rsidTr="006C5B90">
        <w:trPr>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459FB49" w14:textId="36A37896"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INT</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7B09F622"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-1.652</w:t>
            </w:r>
          </w:p>
          <w:p w14:paraId="483475A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(1.420)</w:t>
            </w:r>
          </w:p>
          <w:p w14:paraId="1F9278E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[-1.163]</w:t>
            </w:r>
          </w:p>
        </w:tc>
        <w:tc>
          <w:tcPr>
            <w:tcW w:w="2338" w:type="dxa"/>
            <w:shd w:val="clear" w:color="auto" w:fill="auto"/>
          </w:tcPr>
          <w:p w14:paraId="5134618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-1.569</w:t>
            </w:r>
          </w:p>
          <w:p w14:paraId="618F23D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(0.266)</w:t>
            </w:r>
          </w:p>
          <w:p w14:paraId="4B5E726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[-5.899]</w:t>
            </w:r>
          </w:p>
        </w:tc>
        <w:tc>
          <w:tcPr>
            <w:tcW w:w="2338" w:type="dxa"/>
            <w:shd w:val="clear" w:color="auto" w:fill="auto"/>
          </w:tcPr>
          <w:p w14:paraId="0157B2F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-3.429</w:t>
            </w:r>
          </w:p>
          <w:p w14:paraId="1C793D2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(4.673)</w:t>
            </w:r>
          </w:p>
          <w:p w14:paraId="722C5E2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[-0.734]</w:t>
            </w:r>
          </w:p>
        </w:tc>
      </w:tr>
      <w:tr w:rsidR="00A8615A" w:rsidRPr="009C2E9F" w14:paraId="070ADD9E" w14:textId="77777777" w:rsidTr="006C5B90">
        <w:trPr>
          <w:cnfStyle w:val="000000100000" w:firstRow="0" w:lastRow="0" w:firstColumn="0" w:lastColumn="0" w:oddVBand="0" w:evenVBand="0" w:oddHBand="1" w:evenHBand="0" w:firstRowFirstColumn="0" w:firstRowLastColumn="0" w:lastRowFirstColumn="0" w:lastRowLastColumn="0"/>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283144B" w14:textId="3855D0C2"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EXPR</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19AE43A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1.405</w:t>
            </w:r>
          </w:p>
          <w:p w14:paraId="4D657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(0.884)</w:t>
            </w:r>
          </w:p>
          <w:p w14:paraId="484BD7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[1.588]</w:t>
            </w:r>
          </w:p>
        </w:tc>
        <w:tc>
          <w:tcPr>
            <w:tcW w:w="2338" w:type="dxa"/>
            <w:shd w:val="clear" w:color="auto" w:fill="auto"/>
          </w:tcPr>
          <w:p w14:paraId="2092239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0.059</w:t>
            </w:r>
          </w:p>
          <w:p w14:paraId="216B332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(0.166)</w:t>
            </w:r>
          </w:p>
          <w:p w14:paraId="2896A2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[0.381]</w:t>
            </w:r>
          </w:p>
        </w:tc>
        <w:tc>
          <w:tcPr>
            <w:tcW w:w="2338" w:type="dxa"/>
            <w:shd w:val="clear" w:color="auto" w:fill="auto"/>
          </w:tcPr>
          <w:p w14:paraId="35EADD0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-7.929</w:t>
            </w:r>
          </w:p>
          <w:p w14:paraId="0E2F034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(2.909)</w:t>
            </w:r>
          </w:p>
          <w:p w14:paraId="3C9DA68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[-2.725]</w:t>
            </w:r>
          </w:p>
        </w:tc>
      </w:tr>
      <w:tr w:rsidR="00A8615A" w:rsidRPr="009C2E9F" w14:paraId="21F791C7" w14:textId="77777777" w:rsidTr="006C5B90">
        <w:trPr>
          <w:trHeight w:val="848"/>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6E4B5F0" w14:textId="4F367A24"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MS</w:t>
            </w:r>
            <w:r w:rsidR="00182233" w:rsidRPr="009C2E9F">
              <w:rPr>
                <w:rFonts w:ascii="Times New Roman" w:hAnsi="Times New Roman" w:cs="Times New Roman"/>
                <w:b w:val="0"/>
                <w:bCs w:val="0"/>
                <w:sz w:val="24"/>
                <w:szCs w:val="24"/>
              </w:rPr>
              <w:t xml:space="preserve"> </w:t>
            </w:r>
            <w:r w:rsidRPr="009C2E9F">
              <w:rPr>
                <w:rFonts w:ascii="Times New Roman" w:hAnsi="Times New Roman" w:cs="Times New Roman"/>
                <w:b w:val="0"/>
                <w:bCs w:val="0"/>
                <w:sz w:val="24"/>
                <w:szCs w:val="24"/>
              </w:rPr>
              <w:t>(-1)</w:t>
            </w:r>
          </w:p>
        </w:tc>
        <w:tc>
          <w:tcPr>
            <w:tcW w:w="2337" w:type="dxa"/>
            <w:shd w:val="clear" w:color="auto" w:fill="auto"/>
          </w:tcPr>
          <w:p w14:paraId="4F24933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-0.004</w:t>
            </w:r>
          </w:p>
          <w:p w14:paraId="4930E62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p w14:paraId="73F9FD9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[-8.069]</w:t>
            </w:r>
          </w:p>
        </w:tc>
        <w:tc>
          <w:tcPr>
            <w:tcW w:w="2338" w:type="dxa"/>
            <w:shd w:val="clear" w:color="auto" w:fill="auto"/>
          </w:tcPr>
          <w:p w14:paraId="588390F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-0.000</w:t>
            </w:r>
          </w:p>
          <w:p w14:paraId="4A5DCD5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(8.4E-05)</w:t>
            </w:r>
          </w:p>
          <w:p w14:paraId="0B9A77F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[-2.705]</w:t>
            </w:r>
          </w:p>
        </w:tc>
        <w:tc>
          <w:tcPr>
            <w:tcW w:w="2338" w:type="dxa"/>
            <w:shd w:val="clear" w:color="auto" w:fill="auto"/>
          </w:tcPr>
          <w:p w14:paraId="3FF9FD6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-0.021</w:t>
            </w:r>
          </w:p>
          <w:p w14:paraId="747B1FB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(0.001)</w:t>
            </w:r>
          </w:p>
          <w:p w14:paraId="327DDF98"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[-14.216]</w:t>
            </w:r>
          </w:p>
        </w:tc>
      </w:tr>
      <w:tr w:rsidR="00A8615A" w:rsidRPr="009C2E9F" w14:paraId="7BD415B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1A044A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C</w:t>
            </w:r>
          </w:p>
        </w:tc>
        <w:tc>
          <w:tcPr>
            <w:tcW w:w="2337" w:type="dxa"/>
            <w:shd w:val="clear" w:color="auto" w:fill="auto"/>
          </w:tcPr>
          <w:p w14:paraId="6C77825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7.689</w:t>
            </w:r>
          </w:p>
        </w:tc>
        <w:tc>
          <w:tcPr>
            <w:tcW w:w="2338" w:type="dxa"/>
            <w:shd w:val="clear" w:color="auto" w:fill="auto"/>
          </w:tcPr>
          <w:p w14:paraId="3FCFB6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2.153</w:t>
            </w:r>
          </w:p>
        </w:tc>
        <w:tc>
          <w:tcPr>
            <w:tcW w:w="2338" w:type="dxa"/>
            <w:shd w:val="clear" w:color="auto" w:fill="auto"/>
          </w:tcPr>
          <w:p w14:paraId="1E9601E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-712.757</w:t>
            </w:r>
          </w:p>
        </w:tc>
      </w:tr>
    </w:tbl>
    <w:p w14:paraId="72707279" w14:textId="503676D3"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1748CE">
        <w:rPr>
          <w:rFonts w:ascii="Times New Roman" w:hAnsi="Times New Roman" w:cs="Times New Roman"/>
          <w:sz w:val="24"/>
          <w:szCs w:val="24"/>
        </w:rPr>
        <w:t>16</w:t>
      </w:r>
      <w:r w:rsidRPr="009C2E9F">
        <w:rPr>
          <w:rFonts w:ascii="Times New Roman" w:hAnsi="Times New Roman" w:cs="Times New Roman"/>
          <w:sz w:val="24"/>
          <w:szCs w:val="24"/>
        </w:rPr>
        <w:t xml:space="preserve"> reveals that the existence of stable long-run relationships among the variables. Money supply emerges as a key determinant of exchange rate and economic growth, while interest rate significantly influences inflation. However, the negative impact of exports and money supply on economic growth suggests the presence of structural inefficiencies within the economy, which may limit the effectiveness of macroeconomic policies.</w:t>
      </w:r>
    </w:p>
    <w:p w14:paraId="7F7E89D2" w14:textId="77777777" w:rsidR="00B16F2E" w:rsidRDefault="00B16F2E" w:rsidP="005A0249">
      <w:pPr>
        <w:spacing w:before="240" w:after="240" w:line="240" w:lineRule="auto"/>
        <w:jc w:val="both"/>
        <w:rPr>
          <w:rFonts w:ascii="Times New Roman" w:hAnsi="Times New Roman" w:cs="Times New Roman"/>
          <w:sz w:val="24"/>
          <w:szCs w:val="24"/>
        </w:rPr>
      </w:pPr>
    </w:p>
    <w:p w14:paraId="52B52400" w14:textId="77777777" w:rsidR="00B16F2E" w:rsidRDefault="00B16F2E" w:rsidP="005A0249">
      <w:pPr>
        <w:spacing w:before="240" w:after="240" w:line="240" w:lineRule="auto"/>
        <w:jc w:val="both"/>
        <w:rPr>
          <w:rFonts w:ascii="Times New Roman" w:hAnsi="Times New Roman" w:cs="Times New Roman"/>
          <w:sz w:val="24"/>
          <w:szCs w:val="24"/>
        </w:rPr>
      </w:pPr>
    </w:p>
    <w:p w14:paraId="62CC1562" w14:textId="77777777" w:rsidR="00B16F2E" w:rsidRDefault="00B16F2E" w:rsidP="005A0249">
      <w:pPr>
        <w:spacing w:before="240" w:after="240" w:line="240" w:lineRule="auto"/>
        <w:jc w:val="both"/>
        <w:rPr>
          <w:rFonts w:ascii="Times New Roman" w:hAnsi="Times New Roman" w:cs="Times New Roman"/>
          <w:sz w:val="24"/>
          <w:szCs w:val="24"/>
        </w:rPr>
      </w:pPr>
    </w:p>
    <w:p w14:paraId="5EE4730F" w14:textId="0A330824" w:rsidR="00A8615A" w:rsidRPr="009C2E9F" w:rsidRDefault="001748CE" w:rsidP="005A0249">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Table 17</w:t>
      </w:r>
      <w:r w:rsidR="00A8615A" w:rsidRPr="009C2E9F">
        <w:rPr>
          <w:rFonts w:ascii="Times New Roman" w:hAnsi="Times New Roman" w:cs="Times New Roman"/>
          <w:sz w:val="24"/>
          <w:szCs w:val="24"/>
        </w:rPr>
        <w:t>: Speed of Adjustment</w:t>
      </w:r>
    </w:p>
    <w:tbl>
      <w:tblPr>
        <w:tblStyle w:val="LightShading1"/>
        <w:tblW w:w="0" w:type="auto"/>
        <w:tblLook w:val="04A0" w:firstRow="1" w:lastRow="0" w:firstColumn="1" w:lastColumn="0" w:noHBand="0" w:noVBand="1"/>
      </w:tblPr>
      <w:tblGrid>
        <w:gridCol w:w="1329"/>
        <w:gridCol w:w="1335"/>
        <w:gridCol w:w="1386"/>
        <w:gridCol w:w="1288"/>
        <w:gridCol w:w="1332"/>
        <w:gridCol w:w="1358"/>
        <w:gridCol w:w="1332"/>
      </w:tblGrid>
      <w:tr w:rsidR="00A8615A" w:rsidRPr="009C2E9F" w14:paraId="528651C0"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7D1EDDE3"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lastRenderedPageBreak/>
              <w:t>Variables</w:t>
            </w:r>
          </w:p>
        </w:tc>
        <w:tc>
          <w:tcPr>
            <w:tcW w:w="1335" w:type="dxa"/>
            <w:shd w:val="clear" w:color="auto" w:fill="auto"/>
          </w:tcPr>
          <w:p w14:paraId="24334CB2"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386" w:type="dxa"/>
            <w:shd w:val="clear" w:color="auto" w:fill="auto"/>
          </w:tcPr>
          <w:p w14:paraId="5F120C9F"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288" w:type="dxa"/>
            <w:shd w:val="clear" w:color="auto" w:fill="auto"/>
          </w:tcPr>
          <w:p w14:paraId="527B264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332" w:type="dxa"/>
            <w:shd w:val="clear" w:color="auto" w:fill="auto"/>
          </w:tcPr>
          <w:p w14:paraId="59791916"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58" w:type="dxa"/>
            <w:shd w:val="clear" w:color="auto" w:fill="auto"/>
          </w:tcPr>
          <w:p w14:paraId="15C434E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w:t>
            </w:r>
          </w:p>
        </w:tc>
        <w:tc>
          <w:tcPr>
            <w:tcW w:w="1332" w:type="dxa"/>
            <w:shd w:val="clear" w:color="auto" w:fill="auto"/>
          </w:tcPr>
          <w:p w14:paraId="232EB945"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A8615A" w:rsidRPr="009C2E9F" w14:paraId="758FC4C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shd w:val="clear" w:color="auto" w:fill="auto"/>
          </w:tcPr>
          <w:p w14:paraId="05FB09B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ECM</w:t>
            </w:r>
          </w:p>
        </w:tc>
        <w:tc>
          <w:tcPr>
            <w:tcW w:w="1335" w:type="dxa"/>
            <w:shd w:val="clear" w:color="auto" w:fill="auto"/>
          </w:tcPr>
          <w:p w14:paraId="0AB1937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-1.567</w:t>
            </w:r>
          </w:p>
          <w:p w14:paraId="5972329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(0.224)</w:t>
            </w:r>
          </w:p>
          <w:p w14:paraId="0D0B8AD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[-7.002]*</w:t>
            </w:r>
          </w:p>
        </w:tc>
        <w:tc>
          <w:tcPr>
            <w:tcW w:w="1386" w:type="dxa"/>
            <w:shd w:val="clear" w:color="auto" w:fill="auto"/>
          </w:tcPr>
          <w:p w14:paraId="0EDA5E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-0.005</w:t>
            </w:r>
          </w:p>
          <w:p w14:paraId="6A79925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(0.020)</w:t>
            </w:r>
          </w:p>
          <w:p w14:paraId="54F06D1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[-0.258]</w:t>
            </w:r>
          </w:p>
        </w:tc>
        <w:tc>
          <w:tcPr>
            <w:tcW w:w="1288" w:type="dxa"/>
            <w:shd w:val="clear" w:color="auto" w:fill="auto"/>
          </w:tcPr>
          <w:p w14:paraId="269723B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0.442</w:t>
            </w:r>
          </w:p>
          <w:p w14:paraId="0F41FB1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(0.289)</w:t>
            </w:r>
          </w:p>
          <w:p w14:paraId="7149C85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[1.523]</w:t>
            </w:r>
          </w:p>
        </w:tc>
        <w:tc>
          <w:tcPr>
            <w:tcW w:w="1332" w:type="dxa"/>
            <w:shd w:val="clear" w:color="auto" w:fill="auto"/>
          </w:tcPr>
          <w:p w14:paraId="3697938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-0.022</w:t>
            </w:r>
          </w:p>
          <w:p w14:paraId="7003D83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(0.019)</w:t>
            </w:r>
          </w:p>
          <w:p w14:paraId="5E89BF7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[-1.146]</w:t>
            </w:r>
          </w:p>
        </w:tc>
        <w:tc>
          <w:tcPr>
            <w:tcW w:w="1358" w:type="dxa"/>
            <w:shd w:val="clear" w:color="auto" w:fill="auto"/>
          </w:tcPr>
          <w:p w14:paraId="658244C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-0.017</w:t>
            </w:r>
          </w:p>
          <w:p w14:paraId="5194F09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(0.021)</w:t>
            </w:r>
          </w:p>
          <w:p w14:paraId="59DDAA9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[-0.804]</w:t>
            </w:r>
          </w:p>
        </w:tc>
        <w:tc>
          <w:tcPr>
            <w:tcW w:w="1332" w:type="dxa"/>
            <w:shd w:val="clear" w:color="auto" w:fill="auto"/>
          </w:tcPr>
          <w:p w14:paraId="27E63A6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35.636</w:t>
            </w:r>
          </w:p>
          <w:p w14:paraId="465A2E5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(24.235)</w:t>
            </w:r>
          </w:p>
          <w:p w14:paraId="0CB0CC0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[1.470]</w:t>
            </w:r>
          </w:p>
        </w:tc>
      </w:tr>
    </w:tbl>
    <w:p w14:paraId="2271503B" w14:textId="7EB623CF" w:rsidR="00182233"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error correction results</w:t>
      </w:r>
      <w:r w:rsidR="00FA14D0">
        <w:rPr>
          <w:rFonts w:ascii="Times New Roman" w:hAnsi="Times New Roman" w:cs="Times New Roman"/>
          <w:sz w:val="24"/>
          <w:szCs w:val="24"/>
        </w:rPr>
        <w:t xml:space="preserve"> in Table 17</w:t>
      </w:r>
      <w:r w:rsidRPr="009C2E9F">
        <w:rPr>
          <w:rFonts w:ascii="Times New Roman" w:hAnsi="Times New Roman" w:cs="Times New Roman"/>
          <w:sz w:val="24"/>
          <w:szCs w:val="24"/>
        </w:rPr>
        <w:t xml:space="preserve"> indicate that exchange rate is the only variable that exhibits a statistically significant and negative adjustment coefficient, implying a strong speed of adjustment to long-run equilibrium. This suggests that exchange rate plays a central role in restoring equilibrium in the short run. Inflation, economic growth, interest rate, exports, and money supply do not show statistically significant adjustment, indicating weak short-run dynamics among these variables. This may reflect structural rigidities and inefficiencies within the economy, limiting the responsiveness of key macroeconomic indicators to disequilibrium.</w:t>
      </w:r>
    </w:p>
    <w:p w14:paraId="7DAF4CA2" w14:textId="0E79C759"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FA14D0">
        <w:rPr>
          <w:rFonts w:ascii="Times New Roman" w:hAnsi="Times New Roman" w:cs="Times New Roman"/>
          <w:sz w:val="24"/>
          <w:szCs w:val="24"/>
        </w:rPr>
        <w:t>18</w:t>
      </w:r>
      <w:r w:rsidRPr="009C2E9F">
        <w:rPr>
          <w:rFonts w:ascii="Times New Roman" w:hAnsi="Times New Roman" w:cs="Times New Roman"/>
          <w:sz w:val="24"/>
          <w:szCs w:val="24"/>
        </w:rPr>
        <w:t xml:space="preserve"> Short-run dynamics</w:t>
      </w:r>
    </w:p>
    <w:tbl>
      <w:tblPr>
        <w:tblStyle w:val="LightShading1"/>
        <w:tblW w:w="0" w:type="auto"/>
        <w:tblLook w:val="04A0" w:firstRow="1" w:lastRow="0" w:firstColumn="1" w:lastColumn="0" w:noHBand="0" w:noVBand="1"/>
      </w:tblPr>
      <w:tblGrid>
        <w:gridCol w:w="2344"/>
        <w:gridCol w:w="2339"/>
        <w:gridCol w:w="2338"/>
        <w:gridCol w:w="2339"/>
      </w:tblGrid>
      <w:tr w:rsidR="00A8615A" w:rsidRPr="009C2E9F" w14:paraId="6393D02F"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491BE4DA"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2339" w:type="dxa"/>
            <w:shd w:val="clear" w:color="auto" w:fill="auto"/>
          </w:tcPr>
          <w:p w14:paraId="4E275EB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2338" w:type="dxa"/>
            <w:shd w:val="clear" w:color="auto" w:fill="auto"/>
          </w:tcPr>
          <w:p w14:paraId="5769F61D"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2339" w:type="dxa"/>
            <w:shd w:val="clear" w:color="auto" w:fill="auto"/>
          </w:tcPr>
          <w:p w14:paraId="171389A2"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r>
      <w:tr w:rsidR="00A8615A" w:rsidRPr="009C2E9F" w14:paraId="76AA378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38A68E17"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D(EXR(-1))</w:t>
            </w:r>
          </w:p>
        </w:tc>
        <w:tc>
          <w:tcPr>
            <w:tcW w:w="2339" w:type="dxa"/>
            <w:shd w:val="clear" w:color="auto" w:fill="auto"/>
          </w:tcPr>
          <w:p w14:paraId="68A5DB3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8" w:type="dxa"/>
            <w:shd w:val="clear" w:color="auto" w:fill="auto"/>
          </w:tcPr>
          <w:p w14:paraId="3DD815D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0.0023</w:t>
            </w:r>
          </w:p>
          <w:p w14:paraId="25CB98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(0.0131)</w:t>
            </w:r>
          </w:p>
          <w:p w14:paraId="0E9E93B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[0.1789]</w:t>
            </w:r>
          </w:p>
        </w:tc>
        <w:tc>
          <w:tcPr>
            <w:tcW w:w="2339" w:type="dxa"/>
            <w:shd w:val="clear" w:color="auto" w:fill="auto"/>
          </w:tcPr>
          <w:p w14:paraId="7495DA3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-0.2367</w:t>
            </w:r>
          </w:p>
          <w:p w14:paraId="33E0C6F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(0.1873)</w:t>
            </w:r>
          </w:p>
          <w:p w14:paraId="513EF0D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[-1.2636]</w:t>
            </w:r>
          </w:p>
        </w:tc>
      </w:tr>
      <w:tr w:rsidR="00A8615A" w:rsidRPr="009C2E9F" w14:paraId="311A9ED6" w14:textId="77777777" w:rsidTr="006C5B90">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7B21248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D(INF(-1))</w:t>
            </w:r>
          </w:p>
        </w:tc>
        <w:tc>
          <w:tcPr>
            <w:tcW w:w="2339" w:type="dxa"/>
            <w:shd w:val="clear" w:color="auto" w:fill="auto"/>
          </w:tcPr>
          <w:p w14:paraId="41847F2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-0.2797</w:t>
            </w:r>
          </w:p>
          <w:p w14:paraId="130EE91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(1.4162)</w:t>
            </w:r>
          </w:p>
          <w:p w14:paraId="3E10DCB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[-0.1975]</w:t>
            </w:r>
          </w:p>
        </w:tc>
        <w:tc>
          <w:tcPr>
            <w:tcW w:w="2338" w:type="dxa"/>
            <w:shd w:val="clear" w:color="auto" w:fill="auto"/>
          </w:tcPr>
          <w:p w14:paraId="27F1202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c>
          <w:tcPr>
            <w:tcW w:w="2339" w:type="dxa"/>
            <w:shd w:val="clear" w:color="auto" w:fill="auto"/>
          </w:tcPr>
          <w:p w14:paraId="686AEAF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-0.5367</w:t>
            </w:r>
          </w:p>
          <w:p w14:paraId="68C57A3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(1.8320)</w:t>
            </w:r>
          </w:p>
          <w:p w14:paraId="7AEEAAC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[-0.2929]</w:t>
            </w:r>
          </w:p>
        </w:tc>
      </w:tr>
      <w:tr w:rsidR="00A8615A" w:rsidRPr="009C2E9F" w14:paraId="64D25E1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shd w:val="clear" w:color="auto" w:fill="auto"/>
          </w:tcPr>
          <w:p w14:paraId="654C4C09"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D(GDP(-1))</w:t>
            </w:r>
          </w:p>
        </w:tc>
        <w:tc>
          <w:tcPr>
            <w:tcW w:w="2339" w:type="dxa"/>
            <w:shd w:val="clear" w:color="auto" w:fill="auto"/>
          </w:tcPr>
          <w:p w14:paraId="3B0DDC5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-0.0139</w:t>
            </w:r>
          </w:p>
          <w:p w14:paraId="1DCBFFF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(0.0988)</w:t>
            </w:r>
          </w:p>
          <w:p w14:paraId="36270C8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[-0.1407]</w:t>
            </w:r>
          </w:p>
        </w:tc>
        <w:tc>
          <w:tcPr>
            <w:tcW w:w="2338" w:type="dxa"/>
            <w:shd w:val="clear" w:color="auto" w:fill="auto"/>
          </w:tcPr>
          <w:p w14:paraId="13179B0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-0.0125</w:t>
            </w:r>
          </w:p>
          <w:p w14:paraId="0BA390D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(0.0089)</w:t>
            </w:r>
          </w:p>
          <w:p w14:paraId="1CF9845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[1.3954]</w:t>
            </w:r>
          </w:p>
        </w:tc>
        <w:tc>
          <w:tcPr>
            <w:tcW w:w="2339" w:type="dxa"/>
            <w:shd w:val="clear" w:color="auto" w:fill="auto"/>
          </w:tcPr>
          <w:p w14:paraId="2B57DD5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w:t>
            </w:r>
          </w:p>
        </w:tc>
      </w:tr>
    </w:tbl>
    <w:p w14:paraId="7901757E"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The short-run dynamic results indicate that the lagged values of exchange rate, inflation, and economic growth do not exert statistically significant effects on one another. This suggests weak short-run interdependence among the variables. In other words, changes in one macroeconomic variable do not immediately translate into changes in others within the short-run period. This finding implies that the adjustment process in the economy is not instantaneous but occurs gradually through long-run equilibrium mechanisms rather than short-run interactions.</w:t>
      </w:r>
    </w:p>
    <w:p w14:paraId="1C75197C" w14:textId="77777777" w:rsidR="00B16F2E" w:rsidRDefault="00B16F2E" w:rsidP="005A0249">
      <w:pPr>
        <w:spacing w:before="240" w:after="240" w:line="240" w:lineRule="auto"/>
        <w:jc w:val="both"/>
        <w:rPr>
          <w:rFonts w:ascii="Times New Roman" w:hAnsi="Times New Roman" w:cs="Times New Roman"/>
          <w:sz w:val="24"/>
          <w:szCs w:val="24"/>
        </w:rPr>
      </w:pPr>
    </w:p>
    <w:p w14:paraId="0FC6EA7F" w14:textId="77777777" w:rsidR="00B16F2E" w:rsidRDefault="00B16F2E" w:rsidP="005A0249">
      <w:pPr>
        <w:spacing w:before="240" w:after="240" w:line="240" w:lineRule="auto"/>
        <w:jc w:val="both"/>
        <w:rPr>
          <w:rFonts w:ascii="Times New Roman" w:hAnsi="Times New Roman" w:cs="Times New Roman"/>
          <w:sz w:val="24"/>
          <w:szCs w:val="24"/>
        </w:rPr>
      </w:pPr>
    </w:p>
    <w:p w14:paraId="01820903" w14:textId="77777777" w:rsidR="00B16F2E" w:rsidRDefault="00B16F2E" w:rsidP="005A0249">
      <w:pPr>
        <w:spacing w:before="240" w:after="240" w:line="240" w:lineRule="auto"/>
        <w:jc w:val="both"/>
        <w:rPr>
          <w:rFonts w:ascii="Times New Roman" w:hAnsi="Times New Roman" w:cs="Times New Roman"/>
          <w:sz w:val="24"/>
          <w:szCs w:val="24"/>
        </w:rPr>
      </w:pPr>
    </w:p>
    <w:p w14:paraId="48055B7C" w14:textId="5D1ECBEC"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FA14D0">
        <w:rPr>
          <w:rFonts w:ascii="Times New Roman" w:hAnsi="Times New Roman" w:cs="Times New Roman"/>
          <w:sz w:val="24"/>
          <w:szCs w:val="24"/>
        </w:rPr>
        <w:t>19</w:t>
      </w:r>
      <w:r w:rsidRPr="009C2E9F">
        <w:rPr>
          <w:rFonts w:ascii="Times New Roman" w:hAnsi="Times New Roman" w:cs="Times New Roman"/>
          <w:sz w:val="24"/>
          <w:szCs w:val="24"/>
        </w:rPr>
        <w:t xml:space="preserve">: </w:t>
      </w:r>
      <w:r w:rsidRPr="009C2E9F">
        <w:rPr>
          <w:rFonts w:ascii="Times New Roman" w:eastAsiaTheme="majorEastAsia" w:hAnsi="Times New Roman" w:cs="Times New Roman"/>
          <w:sz w:val="24"/>
          <w:szCs w:val="24"/>
        </w:rPr>
        <w:t>Goodness of Fit</w:t>
      </w:r>
    </w:p>
    <w:tbl>
      <w:tblPr>
        <w:tblStyle w:val="LightShading1"/>
        <w:tblW w:w="0" w:type="auto"/>
        <w:tblLook w:val="04A0" w:firstRow="1" w:lastRow="0" w:firstColumn="1" w:lastColumn="0" w:noHBand="0" w:noVBand="1"/>
      </w:tblPr>
      <w:tblGrid>
        <w:gridCol w:w="1588"/>
        <w:gridCol w:w="1446"/>
        <w:gridCol w:w="1438"/>
        <w:gridCol w:w="1176"/>
        <w:gridCol w:w="1126"/>
        <w:gridCol w:w="1310"/>
        <w:gridCol w:w="1492"/>
      </w:tblGrid>
      <w:tr w:rsidR="00A8615A" w:rsidRPr="009C2E9F" w14:paraId="2F27EAFD"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10936F81"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Variables</w:t>
            </w:r>
          </w:p>
        </w:tc>
        <w:tc>
          <w:tcPr>
            <w:tcW w:w="1446" w:type="dxa"/>
            <w:shd w:val="clear" w:color="auto" w:fill="auto"/>
          </w:tcPr>
          <w:p w14:paraId="032957F9"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D(EXR)</w:t>
            </w:r>
          </w:p>
        </w:tc>
        <w:tc>
          <w:tcPr>
            <w:tcW w:w="1438" w:type="dxa"/>
            <w:shd w:val="clear" w:color="auto" w:fill="auto"/>
          </w:tcPr>
          <w:p w14:paraId="64209018"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D(INF)</w:t>
            </w:r>
          </w:p>
        </w:tc>
        <w:tc>
          <w:tcPr>
            <w:tcW w:w="1176" w:type="dxa"/>
            <w:shd w:val="clear" w:color="auto" w:fill="auto"/>
          </w:tcPr>
          <w:p w14:paraId="5044E21B"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D(GDP)</w:t>
            </w:r>
          </w:p>
        </w:tc>
        <w:tc>
          <w:tcPr>
            <w:tcW w:w="1126" w:type="dxa"/>
            <w:shd w:val="clear" w:color="auto" w:fill="auto"/>
          </w:tcPr>
          <w:p w14:paraId="7DA2FA2D"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D(INT)</w:t>
            </w:r>
          </w:p>
        </w:tc>
        <w:tc>
          <w:tcPr>
            <w:tcW w:w="1310" w:type="dxa"/>
            <w:shd w:val="clear" w:color="auto" w:fill="auto"/>
          </w:tcPr>
          <w:p w14:paraId="70647E6A"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D(EXPR)</w:t>
            </w:r>
          </w:p>
        </w:tc>
        <w:tc>
          <w:tcPr>
            <w:tcW w:w="1492" w:type="dxa"/>
            <w:shd w:val="clear" w:color="auto" w:fill="auto"/>
          </w:tcPr>
          <w:p w14:paraId="5A52A244"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D(MS)</w:t>
            </w:r>
          </w:p>
        </w:tc>
      </w:tr>
      <w:tr w:rsidR="00A8615A" w:rsidRPr="009C2E9F" w14:paraId="377EFA7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296EAF0C"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R-square</w:t>
            </w:r>
          </w:p>
        </w:tc>
        <w:tc>
          <w:tcPr>
            <w:tcW w:w="1446" w:type="dxa"/>
            <w:shd w:val="clear" w:color="auto" w:fill="auto"/>
          </w:tcPr>
          <w:p w14:paraId="163E2F9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0.6376</w:t>
            </w:r>
          </w:p>
        </w:tc>
        <w:tc>
          <w:tcPr>
            <w:tcW w:w="1438" w:type="dxa"/>
            <w:shd w:val="clear" w:color="auto" w:fill="auto"/>
          </w:tcPr>
          <w:p w14:paraId="6AB53BC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0.4230</w:t>
            </w:r>
          </w:p>
        </w:tc>
        <w:tc>
          <w:tcPr>
            <w:tcW w:w="1176" w:type="dxa"/>
            <w:shd w:val="clear" w:color="auto" w:fill="auto"/>
          </w:tcPr>
          <w:p w14:paraId="45C22AE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0.3378</w:t>
            </w:r>
          </w:p>
        </w:tc>
        <w:tc>
          <w:tcPr>
            <w:tcW w:w="1126" w:type="dxa"/>
            <w:shd w:val="clear" w:color="auto" w:fill="auto"/>
          </w:tcPr>
          <w:p w14:paraId="44F517A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0.4901</w:t>
            </w:r>
          </w:p>
        </w:tc>
        <w:tc>
          <w:tcPr>
            <w:tcW w:w="1310" w:type="dxa"/>
            <w:shd w:val="clear" w:color="auto" w:fill="auto"/>
          </w:tcPr>
          <w:p w14:paraId="0998D71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0.2106</w:t>
            </w:r>
          </w:p>
        </w:tc>
        <w:tc>
          <w:tcPr>
            <w:tcW w:w="1492" w:type="dxa"/>
            <w:shd w:val="clear" w:color="auto" w:fill="auto"/>
          </w:tcPr>
          <w:p w14:paraId="4780E93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0.4843</w:t>
            </w:r>
          </w:p>
        </w:tc>
      </w:tr>
      <w:tr w:rsidR="00A8615A" w:rsidRPr="009C2E9F" w14:paraId="526334ED" w14:textId="77777777" w:rsidTr="006C5B90">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1D5B256F"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Adj. R-square</w:t>
            </w:r>
          </w:p>
        </w:tc>
        <w:tc>
          <w:tcPr>
            <w:tcW w:w="1446" w:type="dxa"/>
            <w:shd w:val="clear" w:color="auto" w:fill="auto"/>
          </w:tcPr>
          <w:p w14:paraId="4CB7DF6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0.5749</w:t>
            </w:r>
          </w:p>
        </w:tc>
        <w:tc>
          <w:tcPr>
            <w:tcW w:w="1438" w:type="dxa"/>
            <w:shd w:val="clear" w:color="auto" w:fill="auto"/>
          </w:tcPr>
          <w:p w14:paraId="45014DB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0.3232</w:t>
            </w:r>
          </w:p>
        </w:tc>
        <w:tc>
          <w:tcPr>
            <w:tcW w:w="1176" w:type="dxa"/>
            <w:shd w:val="clear" w:color="auto" w:fill="auto"/>
          </w:tcPr>
          <w:p w14:paraId="5E0FA8F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0.2232</w:t>
            </w:r>
          </w:p>
        </w:tc>
        <w:tc>
          <w:tcPr>
            <w:tcW w:w="1126" w:type="dxa"/>
            <w:shd w:val="clear" w:color="auto" w:fill="auto"/>
          </w:tcPr>
          <w:p w14:paraId="19D2081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0.4018</w:t>
            </w:r>
          </w:p>
        </w:tc>
        <w:tc>
          <w:tcPr>
            <w:tcW w:w="1310" w:type="dxa"/>
            <w:shd w:val="clear" w:color="auto" w:fill="auto"/>
          </w:tcPr>
          <w:p w14:paraId="298E081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0.0739</w:t>
            </w:r>
          </w:p>
        </w:tc>
        <w:tc>
          <w:tcPr>
            <w:tcW w:w="1492" w:type="dxa"/>
            <w:shd w:val="clear" w:color="auto" w:fill="auto"/>
          </w:tcPr>
          <w:p w14:paraId="48D9461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0.3949</w:t>
            </w:r>
          </w:p>
        </w:tc>
      </w:tr>
      <w:tr w:rsidR="00A8615A" w:rsidRPr="009C2E9F" w14:paraId="3A50B6EB"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8" w:type="dxa"/>
            <w:shd w:val="clear" w:color="auto" w:fill="auto"/>
          </w:tcPr>
          <w:p w14:paraId="42F24E00"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F-statistic</w:t>
            </w:r>
          </w:p>
        </w:tc>
        <w:tc>
          <w:tcPr>
            <w:tcW w:w="1446" w:type="dxa"/>
            <w:shd w:val="clear" w:color="auto" w:fill="auto"/>
          </w:tcPr>
          <w:p w14:paraId="64A7310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10.1675*</w:t>
            </w:r>
          </w:p>
        </w:tc>
        <w:tc>
          <w:tcPr>
            <w:tcW w:w="1438" w:type="dxa"/>
            <w:shd w:val="clear" w:color="auto" w:fill="auto"/>
          </w:tcPr>
          <w:p w14:paraId="7D111AB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4.2362*</w:t>
            </w:r>
          </w:p>
        </w:tc>
        <w:tc>
          <w:tcPr>
            <w:tcW w:w="1176" w:type="dxa"/>
            <w:shd w:val="clear" w:color="auto" w:fill="auto"/>
          </w:tcPr>
          <w:p w14:paraId="143A75F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2.9475*</w:t>
            </w:r>
          </w:p>
        </w:tc>
        <w:tc>
          <w:tcPr>
            <w:tcW w:w="1126" w:type="dxa"/>
            <w:shd w:val="clear" w:color="auto" w:fill="auto"/>
          </w:tcPr>
          <w:p w14:paraId="21CB261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5.5531*</w:t>
            </w:r>
          </w:p>
        </w:tc>
        <w:tc>
          <w:tcPr>
            <w:tcW w:w="1310" w:type="dxa"/>
            <w:shd w:val="clear" w:color="auto" w:fill="auto"/>
          </w:tcPr>
          <w:p w14:paraId="0982340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1.5414</w:t>
            </w:r>
          </w:p>
        </w:tc>
        <w:tc>
          <w:tcPr>
            <w:tcW w:w="1492" w:type="dxa"/>
            <w:shd w:val="clear" w:color="auto" w:fill="auto"/>
          </w:tcPr>
          <w:p w14:paraId="6311BB7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5.4252*</w:t>
            </w:r>
          </w:p>
        </w:tc>
      </w:tr>
    </w:tbl>
    <w:p w14:paraId="4480E250" w14:textId="77777777" w:rsidR="00A8615A" w:rsidRPr="009C2E9F" w:rsidRDefault="00A8615A" w:rsidP="005A0249">
      <w:pPr>
        <w:pStyle w:val="NormalWeb"/>
        <w:spacing w:before="240" w:beforeAutospacing="0" w:after="240" w:afterAutospacing="0"/>
        <w:jc w:val="both"/>
      </w:pPr>
      <w:r w:rsidRPr="009C2E9F">
        <w:t>The goodness-of-fit statistics indicate that the exchange rate equation exhibits the highest explanatory power, with an R-squared value of 0.6376, suggesting that approximately 64% of its variation is explained by the model. Similarly, the interest rate and money supply equations demonstrate moderate explanatory power and are statistically significant. Moreover, the inflation and economic growth equations show moderate to weak explanatory power, although they remain statistically significant. However, the export equation exhibits low explanatory power and is not statistically significant, indicating that the model does not adequately explain variations in exports.</w:t>
      </w:r>
    </w:p>
    <w:p w14:paraId="1F76E06B" w14:textId="16F0B053" w:rsidR="00A8615A" w:rsidRPr="009C2E9F" w:rsidRDefault="00A8615A" w:rsidP="005A0249">
      <w:pPr>
        <w:pStyle w:val="Heading3"/>
        <w:spacing w:before="240" w:beforeAutospacing="0" w:after="240" w:afterAutospacing="0"/>
        <w:jc w:val="both"/>
        <w:rPr>
          <w:b w:val="0"/>
          <w:bCs w:val="0"/>
          <w:sz w:val="24"/>
          <w:szCs w:val="24"/>
        </w:rPr>
      </w:pPr>
      <w:r w:rsidRPr="009C2E9F">
        <w:rPr>
          <w:rFonts w:eastAsiaTheme="majorEastAsia"/>
          <w:b w:val="0"/>
          <w:sz w:val="24"/>
          <w:szCs w:val="24"/>
        </w:rPr>
        <w:t xml:space="preserve">Table </w:t>
      </w:r>
      <w:r w:rsidR="00FA14D0">
        <w:rPr>
          <w:rFonts w:eastAsiaTheme="majorEastAsia"/>
          <w:b w:val="0"/>
          <w:sz w:val="24"/>
          <w:szCs w:val="24"/>
        </w:rPr>
        <w:t>20</w:t>
      </w:r>
      <w:r w:rsidRPr="009C2E9F">
        <w:rPr>
          <w:rFonts w:eastAsiaTheme="majorEastAsia"/>
          <w:b w:val="0"/>
          <w:sz w:val="24"/>
          <w:szCs w:val="24"/>
        </w:rPr>
        <w:t>:</w:t>
      </w:r>
      <w:r w:rsidRPr="009C2E9F">
        <w:rPr>
          <w:rFonts w:eastAsiaTheme="majorEastAsia"/>
          <w:bCs w:val="0"/>
          <w:sz w:val="24"/>
          <w:szCs w:val="24"/>
        </w:rPr>
        <w:t xml:space="preserve"> </w:t>
      </w:r>
      <w:r w:rsidRPr="009C2E9F">
        <w:rPr>
          <w:b w:val="0"/>
          <w:bCs w:val="0"/>
          <w:sz w:val="24"/>
          <w:szCs w:val="24"/>
        </w:rPr>
        <w:t>Residual Covariance and Stability</w:t>
      </w:r>
    </w:p>
    <w:tbl>
      <w:tblPr>
        <w:tblStyle w:val="LightShading1"/>
        <w:tblW w:w="0" w:type="auto"/>
        <w:tblLook w:val="04A0" w:firstRow="1" w:lastRow="0" w:firstColumn="1" w:lastColumn="0" w:noHBand="0" w:noVBand="1"/>
      </w:tblPr>
      <w:tblGrid>
        <w:gridCol w:w="4788"/>
        <w:gridCol w:w="4788"/>
      </w:tblGrid>
      <w:tr w:rsidR="00A8615A" w:rsidRPr="009C2E9F" w14:paraId="6C847B80"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2E8C3C0B"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Determinant residual covariance</w:t>
            </w:r>
          </w:p>
        </w:tc>
        <w:tc>
          <w:tcPr>
            <w:tcW w:w="4788" w:type="dxa"/>
            <w:shd w:val="clear" w:color="auto" w:fill="auto"/>
          </w:tcPr>
          <w:p w14:paraId="54E83D4C" w14:textId="77777777" w:rsidR="00A8615A" w:rsidRPr="009C2E9F" w:rsidRDefault="00A8615A" w:rsidP="005A0249">
            <w:pPr>
              <w:pStyle w:val="Heading3"/>
              <w:spacing w:before="240" w:beforeAutospacing="0" w:after="240" w:afterAutospacing="0"/>
              <w:jc w:val="both"/>
              <w:outlineLvl w:val="2"/>
              <w:cnfStyle w:val="100000000000" w:firstRow="1" w:lastRow="0" w:firstColumn="0" w:lastColumn="0" w:oddVBand="0" w:evenVBand="0" w:oddHBand="0" w:evenHBand="0" w:firstRowFirstColumn="0" w:firstRowLastColumn="0" w:lastRowFirstColumn="0" w:lastRowLastColumn="0"/>
              <w:rPr>
                <w:rFonts w:eastAsiaTheme="majorEastAsia"/>
                <w:b/>
                <w:sz w:val="24"/>
                <w:szCs w:val="24"/>
              </w:rPr>
            </w:pPr>
            <w:r w:rsidRPr="009C2E9F">
              <w:rPr>
                <w:rFonts w:eastAsiaTheme="majorEastAsia"/>
                <w:sz w:val="24"/>
                <w:szCs w:val="24"/>
              </w:rPr>
              <w:t>1.37E+14</w:t>
            </w:r>
          </w:p>
        </w:tc>
      </w:tr>
      <w:tr w:rsidR="00A8615A" w:rsidRPr="009C2E9F" w14:paraId="585CFCB1"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3182D71C"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Log likelihood</w:t>
            </w:r>
          </w:p>
        </w:tc>
        <w:tc>
          <w:tcPr>
            <w:tcW w:w="4788" w:type="dxa"/>
            <w:shd w:val="clear" w:color="auto" w:fill="auto"/>
          </w:tcPr>
          <w:p w14:paraId="03831F8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-1536.827</w:t>
            </w:r>
          </w:p>
        </w:tc>
      </w:tr>
      <w:tr w:rsidR="00A8615A" w:rsidRPr="009C2E9F" w14:paraId="56253C40" w14:textId="77777777" w:rsidTr="006C5B90">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0257082B"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AIC</w:t>
            </w:r>
          </w:p>
        </w:tc>
        <w:tc>
          <w:tcPr>
            <w:tcW w:w="4788" w:type="dxa"/>
            <w:shd w:val="clear" w:color="auto" w:fill="auto"/>
          </w:tcPr>
          <w:p w14:paraId="5FE1026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52.0912</w:t>
            </w:r>
          </w:p>
        </w:tc>
      </w:tr>
      <w:tr w:rsidR="00A8615A" w:rsidRPr="009C2E9F" w14:paraId="058DBDC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auto"/>
          </w:tcPr>
          <w:p w14:paraId="6D853B23" w14:textId="77777777" w:rsidR="00A8615A" w:rsidRPr="009C2E9F" w:rsidRDefault="00A8615A" w:rsidP="005A0249">
            <w:pPr>
              <w:pStyle w:val="Heading3"/>
              <w:spacing w:before="240" w:beforeAutospacing="0" w:after="240" w:afterAutospacing="0"/>
              <w:jc w:val="both"/>
              <w:outlineLvl w:val="2"/>
              <w:rPr>
                <w:rFonts w:eastAsiaTheme="majorEastAsia"/>
                <w:b/>
                <w:sz w:val="24"/>
                <w:szCs w:val="24"/>
              </w:rPr>
            </w:pPr>
            <w:r w:rsidRPr="009C2E9F">
              <w:rPr>
                <w:rFonts w:eastAsiaTheme="majorEastAsia"/>
                <w:sz w:val="24"/>
                <w:szCs w:val="24"/>
              </w:rPr>
              <w:t>SIC</w:t>
            </w:r>
          </w:p>
        </w:tc>
        <w:tc>
          <w:tcPr>
            <w:tcW w:w="4788" w:type="dxa"/>
            <w:shd w:val="clear" w:color="auto" w:fill="auto"/>
          </w:tcPr>
          <w:p w14:paraId="2B3AB06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Fonts w:eastAsiaTheme="majorEastAsia"/>
                <w:b w:val="0"/>
                <w:sz w:val="24"/>
                <w:szCs w:val="24"/>
              </w:rPr>
            </w:pPr>
            <w:r w:rsidRPr="009C2E9F">
              <w:rPr>
                <w:rFonts w:eastAsiaTheme="majorEastAsia"/>
                <w:b w:val="0"/>
                <w:sz w:val="24"/>
                <w:szCs w:val="24"/>
              </w:rPr>
              <w:t>54.7673</w:t>
            </w:r>
          </w:p>
        </w:tc>
      </w:tr>
    </w:tbl>
    <w:p w14:paraId="4FB98FE1" w14:textId="42D228D9" w:rsidR="00A8615A" w:rsidRPr="009C2E9F" w:rsidRDefault="00A8615A" w:rsidP="005A0249">
      <w:pPr>
        <w:pStyle w:val="Heading3"/>
        <w:spacing w:before="240" w:beforeAutospacing="0" w:after="240" w:afterAutospacing="0"/>
        <w:jc w:val="both"/>
        <w:rPr>
          <w:rFonts w:eastAsiaTheme="majorEastAsia"/>
          <w:b w:val="0"/>
          <w:bCs w:val="0"/>
          <w:sz w:val="24"/>
          <w:szCs w:val="24"/>
        </w:rPr>
      </w:pPr>
      <w:r w:rsidRPr="009C2E9F">
        <w:rPr>
          <w:b w:val="0"/>
          <w:bCs w:val="0"/>
          <w:sz w:val="24"/>
          <w:szCs w:val="24"/>
        </w:rPr>
        <w:t xml:space="preserve">Table </w:t>
      </w:r>
      <w:r w:rsidR="00FA14D0">
        <w:rPr>
          <w:b w:val="0"/>
          <w:bCs w:val="0"/>
          <w:sz w:val="24"/>
          <w:szCs w:val="24"/>
        </w:rPr>
        <w:t>20</w:t>
      </w:r>
      <w:r w:rsidRPr="009C2E9F">
        <w:rPr>
          <w:b w:val="0"/>
          <w:bCs w:val="0"/>
          <w:sz w:val="24"/>
          <w:szCs w:val="24"/>
        </w:rPr>
        <w:t xml:space="preserve"> shows the low determinant of the residual covariance matrix, and reasonable information criteria values indicate that the VECM is</w:t>
      </w:r>
      <w:r w:rsidRPr="009C2E9F">
        <w:rPr>
          <w:sz w:val="24"/>
          <w:szCs w:val="24"/>
        </w:rPr>
        <w:t xml:space="preserve"> </w:t>
      </w:r>
      <w:r w:rsidRPr="009C2E9F">
        <w:rPr>
          <w:rStyle w:val="Strong"/>
          <w:sz w:val="24"/>
          <w:szCs w:val="24"/>
        </w:rPr>
        <w:t>well specified, stable, and dynamically consistent</w:t>
      </w:r>
      <w:r w:rsidRPr="009C2E9F">
        <w:rPr>
          <w:b w:val="0"/>
          <w:bCs w:val="0"/>
          <w:sz w:val="24"/>
          <w:szCs w:val="24"/>
        </w:rPr>
        <w:t>.</w:t>
      </w:r>
    </w:p>
    <w:p w14:paraId="1CD19BBC" w14:textId="4CCF71FE"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FA14D0">
        <w:rPr>
          <w:rFonts w:ascii="Times New Roman" w:hAnsi="Times New Roman" w:cs="Times New Roman"/>
          <w:sz w:val="24"/>
          <w:szCs w:val="24"/>
        </w:rPr>
        <w:t>21</w:t>
      </w:r>
      <w:r w:rsidRPr="009C2E9F">
        <w:rPr>
          <w:rFonts w:ascii="Times New Roman" w:hAnsi="Times New Roman" w:cs="Times New Roman"/>
          <w:sz w:val="24"/>
          <w:szCs w:val="24"/>
        </w:rPr>
        <w:t>: Granger-causality Test result</w:t>
      </w:r>
    </w:p>
    <w:tbl>
      <w:tblPr>
        <w:tblStyle w:val="LightShading1"/>
        <w:tblW w:w="0" w:type="auto"/>
        <w:tblLook w:val="04A0" w:firstRow="1" w:lastRow="0" w:firstColumn="1" w:lastColumn="0" w:noHBand="0" w:noVBand="1"/>
      </w:tblPr>
      <w:tblGrid>
        <w:gridCol w:w="1382"/>
        <w:gridCol w:w="1188"/>
        <w:gridCol w:w="581"/>
        <w:gridCol w:w="938"/>
        <w:gridCol w:w="994"/>
        <w:gridCol w:w="705"/>
        <w:gridCol w:w="876"/>
        <w:gridCol w:w="1110"/>
        <w:gridCol w:w="705"/>
        <w:gridCol w:w="876"/>
      </w:tblGrid>
      <w:tr w:rsidR="00A8615A" w:rsidRPr="009C2E9F" w14:paraId="7CB7241B"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0502B7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Dependent Variables</w:t>
            </w:r>
          </w:p>
        </w:tc>
        <w:tc>
          <w:tcPr>
            <w:tcW w:w="2707" w:type="dxa"/>
            <w:gridSpan w:val="3"/>
            <w:shd w:val="clear" w:color="auto" w:fill="auto"/>
          </w:tcPr>
          <w:p w14:paraId="0EA0B94C"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Exchange rate D(EXR)</w:t>
            </w:r>
          </w:p>
        </w:tc>
        <w:tc>
          <w:tcPr>
            <w:tcW w:w="2575" w:type="dxa"/>
            <w:gridSpan w:val="3"/>
            <w:shd w:val="clear" w:color="auto" w:fill="auto"/>
          </w:tcPr>
          <w:p w14:paraId="46F14125"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Inflation rate D(INF)</w:t>
            </w:r>
          </w:p>
        </w:tc>
        <w:tc>
          <w:tcPr>
            <w:tcW w:w="2691" w:type="dxa"/>
            <w:gridSpan w:val="3"/>
            <w:shd w:val="clear" w:color="auto" w:fill="auto"/>
          </w:tcPr>
          <w:p w14:paraId="305D0C8C" w14:textId="77777777" w:rsidR="00A8615A" w:rsidRPr="009C2E9F" w:rsidRDefault="00A8615A" w:rsidP="005A0249">
            <w:pPr>
              <w:spacing w:before="240" w:after="24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9C2E9F">
              <w:rPr>
                <w:rFonts w:ascii="Times New Roman" w:hAnsi="Times New Roman" w:cs="Times New Roman"/>
                <w:b w:val="0"/>
                <w:bCs w:val="0"/>
                <w:sz w:val="24"/>
                <w:szCs w:val="24"/>
              </w:rPr>
              <w:t>Economic growth D(GDP)</w:t>
            </w:r>
          </w:p>
        </w:tc>
      </w:tr>
      <w:tr w:rsidR="00A8615A" w:rsidRPr="009C2E9F" w14:paraId="4D0D631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8F12A6E"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Variables Excluded</w:t>
            </w:r>
          </w:p>
        </w:tc>
        <w:tc>
          <w:tcPr>
            <w:tcW w:w="1188" w:type="dxa"/>
            <w:shd w:val="clear" w:color="auto" w:fill="auto"/>
          </w:tcPr>
          <w:p w14:paraId="76F572E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Chi-square statistic</w:t>
            </w:r>
          </w:p>
        </w:tc>
        <w:tc>
          <w:tcPr>
            <w:tcW w:w="581" w:type="dxa"/>
            <w:shd w:val="clear" w:color="auto" w:fill="auto"/>
          </w:tcPr>
          <w:p w14:paraId="414724C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df</w:t>
            </w:r>
          </w:p>
        </w:tc>
        <w:tc>
          <w:tcPr>
            <w:tcW w:w="938" w:type="dxa"/>
            <w:shd w:val="clear" w:color="auto" w:fill="auto"/>
          </w:tcPr>
          <w:p w14:paraId="615A93C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9C2E9F">
              <w:rPr>
                <w:rFonts w:ascii="Times New Roman" w:hAnsi="Times New Roman" w:cs="Times New Roman"/>
                <w:sz w:val="24"/>
                <w:szCs w:val="24"/>
              </w:rPr>
              <w:t>Prob.</w:t>
            </w:r>
          </w:p>
        </w:tc>
        <w:tc>
          <w:tcPr>
            <w:tcW w:w="994" w:type="dxa"/>
            <w:shd w:val="clear" w:color="auto" w:fill="auto"/>
          </w:tcPr>
          <w:p w14:paraId="6AE3F69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4677A24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df</w:t>
            </w:r>
          </w:p>
        </w:tc>
        <w:tc>
          <w:tcPr>
            <w:tcW w:w="876" w:type="dxa"/>
            <w:shd w:val="clear" w:color="auto" w:fill="auto"/>
          </w:tcPr>
          <w:p w14:paraId="769A144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c>
          <w:tcPr>
            <w:tcW w:w="1110" w:type="dxa"/>
            <w:shd w:val="clear" w:color="auto" w:fill="auto"/>
          </w:tcPr>
          <w:p w14:paraId="1009ADE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Chi-square statistic</w:t>
            </w:r>
          </w:p>
        </w:tc>
        <w:tc>
          <w:tcPr>
            <w:tcW w:w="705" w:type="dxa"/>
            <w:shd w:val="clear" w:color="auto" w:fill="auto"/>
          </w:tcPr>
          <w:p w14:paraId="5E607DC2"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df</w:t>
            </w:r>
          </w:p>
        </w:tc>
        <w:tc>
          <w:tcPr>
            <w:tcW w:w="876" w:type="dxa"/>
            <w:shd w:val="clear" w:color="auto" w:fill="auto"/>
          </w:tcPr>
          <w:p w14:paraId="36C56055"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Prob.</w:t>
            </w:r>
          </w:p>
        </w:tc>
      </w:tr>
      <w:tr w:rsidR="00A8615A" w:rsidRPr="009C2E9F" w14:paraId="1A5F7B2E" w14:textId="77777777" w:rsidTr="006C5B90">
        <w:trPr>
          <w:trHeight w:val="58"/>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159F2467"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D(EXR)</w:t>
            </w:r>
          </w:p>
        </w:tc>
        <w:tc>
          <w:tcPr>
            <w:tcW w:w="1188" w:type="dxa"/>
            <w:shd w:val="clear" w:color="auto" w:fill="auto"/>
          </w:tcPr>
          <w:p w14:paraId="15443BF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581" w:type="dxa"/>
            <w:shd w:val="clear" w:color="auto" w:fill="auto"/>
          </w:tcPr>
          <w:p w14:paraId="75BE381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38" w:type="dxa"/>
            <w:shd w:val="clear" w:color="auto" w:fill="auto"/>
          </w:tcPr>
          <w:p w14:paraId="1D79D83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994" w:type="dxa"/>
            <w:shd w:val="clear" w:color="auto" w:fill="auto"/>
          </w:tcPr>
          <w:p w14:paraId="666983E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0.0319</w:t>
            </w:r>
          </w:p>
        </w:tc>
        <w:tc>
          <w:tcPr>
            <w:tcW w:w="705" w:type="dxa"/>
            <w:shd w:val="clear" w:color="auto" w:fill="auto"/>
          </w:tcPr>
          <w:p w14:paraId="78F7579D"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43E9228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0.8580</w:t>
            </w:r>
          </w:p>
        </w:tc>
        <w:tc>
          <w:tcPr>
            <w:tcW w:w="1110" w:type="dxa"/>
            <w:shd w:val="clear" w:color="auto" w:fill="auto"/>
          </w:tcPr>
          <w:p w14:paraId="61DECF6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1.5968</w:t>
            </w:r>
          </w:p>
        </w:tc>
        <w:tc>
          <w:tcPr>
            <w:tcW w:w="705" w:type="dxa"/>
            <w:shd w:val="clear" w:color="auto" w:fill="auto"/>
          </w:tcPr>
          <w:p w14:paraId="3BC6FF3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C39397E"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0.2064</w:t>
            </w:r>
          </w:p>
        </w:tc>
      </w:tr>
      <w:tr w:rsidR="00A8615A" w:rsidRPr="009C2E9F" w14:paraId="6ECAFAC6"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5C055678"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lastRenderedPageBreak/>
              <w:t>D(INF)</w:t>
            </w:r>
          </w:p>
        </w:tc>
        <w:tc>
          <w:tcPr>
            <w:tcW w:w="1188" w:type="dxa"/>
            <w:shd w:val="clear" w:color="auto" w:fill="auto"/>
          </w:tcPr>
          <w:p w14:paraId="53D333B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0.0390</w:t>
            </w:r>
          </w:p>
        </w:tc>
        <w:tc>
          <w:tcPr>
            <w:tcW w:w="581" w:type="dxa"/>
            <w:shd w:val="clear" w:color="auto" w:fill="auto"/>
          </w:tcPr>
          <w:p w14:paraId="6874434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F4508E7"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0.8434</w:t>
            </w:r>
          </w:p>
        </w:tc>
        <w:tc>
          <w:tcPr>
            <w:tcW w:w="994" w:type="dxa"/>
            <w:shd w:val="clear" w:color="auto" w:fill="auto"/>
          </w:tcPr>
          <w:p w14:paraId="26735C2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32A36D5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42A71B7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1110" w:type="dxa"/>
            <w:shd w:val="clear" w:color="auto" w:fill="auto"/>
          </w:tcPr>
          <w:p w14:paraId="1FD4A0A9"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0.0858</w:t>
            </w:r>
          </w:p>
        </w:tc>
        <w:tc>
          <w:tcPr>
            <w:tcW w:w="705" w:type="dxa"/>
            <w:shd w:val="clear" w:color="auto" w:fill="auto"/>
          </w:tcPr>
          <w:p w14:paraId="3B2428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752D881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0.7696</w:t>
            </w:r>
          </w:p>
        </w:tc>
      </w:tr>
      <w:tr w:rsidR="00A8615A" w:rsidRPr="009C2E9F" w14:paraId="346038E0"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C037A15"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D(GDP)</w:t>
            </w:r>
          </w:p>
        </w:tc>
        <w:tc>
          <w:tcPr>
            <w:tcW w:w="1188" w:type="dxa"/>
            <w:shd w:val="clear" w:color="auto" w:fill="auto"/>
          </w:tcPr>
          <w:p w14:paraId="2C6F771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0.0198</w:t>
            </w:r>
          </w:p>
        </w:tc>
        <w:tc>
          <w:tcPr>
            <w:tcW w:w="581" w:type="dxa"/>
            <w:shd w:val="clear" w:color="auto" w:fill="auto"/>
          </w:tcPr>
          <w:p w14:paraId="4B38396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6FFA113"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0.8881</w:t>
            </w:r>
          </w:p>
        </w:tc>
        <w:tc>
          <w:tcPr>
            <w:tcW w:w="994" w:type="dxa"/>
            <w:shd w:val="clear" w:color="auto" w:fill="auto"/>
          </w:tcPr>
          <w:p w14:paraId="57D3429F"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1.9471</w:t>
            </w:r>
          </w:p>
        </w:tc>
        <w:tc>
          <w:tcPr>
            <w:tcW w:w="705" w:type="dxa"/>
            <w:shd w:val="clear" w:color="auto" w:fill="auto"/>
          </w:tcPr>
          <w:p w14:paraId="5EAFBD1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6F68B8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0.1629</w:t>
            </w:r>
          </w:p>
        </w:tc>
        <w:tc>
          <w:tcPr>
            <w:tcW w:w="1110" w:type="dxa"/>
            <w:shd w:val="clear" w:color="auto" w:fill="auto"/>
          </w:tcPr>
          <w:p w14:paraId="0B528D6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705" w:type="dxa"/>
            <w:shd w:val="clear" w:color="auto" w:fill="auto"/>
          </w:tcPr>
          <w:p w14:paraId="7907BBC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c>
          <w:tcPr>
            <w:tcW w:w="876" w:type="dxa"/>
            <w:shd w:val="clear" w:color="auto" w:fill="auto"/>
          </w:tcPr>
          <w:p w14:paraId="38BC8C54"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w:t>
            </w:r>
          </w:p>
        </w:tc>
      </w:tr>
      <w:tr w:rsidR="00A8615A" w:rsidRPr="009C2E9F" w14:paraId="35A0F70A"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6A72B25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D(INT)</w:t>
            </w:r>
          </w:p>
        </w:tc>
        <w:tc>
          <w:tcPr>
            <w:tcW w:w="1188" w:type="dxa"/>
            <w:shd w:val="clear" w:color="auto" w:fill="auto"/>
          </w:tcPr>
          <w:p w14:paraId="4D3123C0"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1.4384</w:t>
            </w:r>
          </w:p>
        </w:tc>
        <w:tc>
          <w:tcPr>
            <w:tcW w:w="581" w:type="dxa"/>
            <w:shd w:val="clear" w:color="auto" w:fill="auto"/>
          </w:tcPr>
          <w:p w14:paraId="71355C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730860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0.2304</w:t>
            </w:r>
          </w:p>
        </w:tc>
        <w:tc>
          <w:tcPr>
            <w:tcW w:w="994" w:type="dxa"/>
            <w:shd w:val="clear" w:color="auto" w:fill="auto"/>
          </w:tcPr>
          <w:p w14:paraId="0B9385A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2.8786</w:t>
            </w:r>
          </w:p>
        </w:tc>
        <w:tc>
          <w:tcPr>
            <w:tcW w:w="705" w:type="dxa"/>
            <w:shd w:val="clear" w:color="auto" w:fill="auto"/>
          </w:tcPr>
          <w:p w14:paraId="357B24D8"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50414FC1"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0.0898</w:t>
            </w:r>
          </w:p>
        </w:tc>
        <w:tc>
          <w:tcPr>
            <w:tcW w:w="1110" w:type="dxa"/>
            <w:shd w:val="clear" w:color="auto" w:fill="auto"/>
          </w:tcPr>
          <w:p w14:paraId="749D7E6B"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0.5998</w:t>
            </w:r>
          </w:p>
        </w:tc>
        <w:tc>
          <w:tcPr>
            <w:tcW w:w="705" w:type="dxa"/>
            <w:shd w:val="clear" w:color="auto" w:fill="auto"/>
          </w:tcPr>
          <w:p w14:paraId="5907D0D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1BE4DA8C"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0.4387</w:t>
            </w:r>
          </w:p>
        </w:tc>
      </w:tr>
      <w:tr w:rsidR="00A8615A" w:rsidRPr="009C2E9F" w14:paraId="4C6740EA"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B320DBA"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D(EXPR)</w:t>
            </w:r>
          </w:p>
        </w:tc>
        <w:tc>
          <w:tcPr>
            <w:tcW w:w="1188" w:type="dxa"/>
            <w:shd w:val="clear" w:color="auto" w:fill="auto"/>
          </w:tcPr>
          <w:p w14:paraId="4A458345"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0.7364</w:t>
            </w:r>
          </w:p>
        </w:tc>
        <w:tc>
          <w:tcPr>
            <w:tcW w:w="581" w:type="dxa"/>
            <w:shd w:val="clear" w:color="auto" w:fill="auto"/>
          </w:tcPr>
          <w:p w14:paraId="67C9BA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410CF7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0.3908</w:t>
            </w:r>
          </w:p>
        </w:tc>
        <w:tc>
          <w:tcPr>
            <w:tcW w:w="994" w:type="dxa"/>
            <w:shd w:val="clear" w:color="auto" w:fill="auto"/>
          </w:tcPr>
          <w:p w14:paraId="2987FD4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0.3783</w:t>
            </w:r>
          </w:p>
        </w:tc>
        <w:tc>
          <w:tcPr>
            <w:tcW w:w="705" w:type="dxa"/>
            <w:shd w:val="clear" w:color="auto" w:fill="auto"/>
          </w:tcPr>
          <w:p w14:paraId="610C3F7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DEACA2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0.5383</w:t>
            </w:r>
          </w:p>
        </w:tc>
        <w:tc>
          <w:tcPr>
            <w:tcW w:w="1110" w:type="dxa"/>
            <w:shd w:val="clear" w:color="auto" w:fill="auto"/>
          </w:tcPr>
          <w:p w14:paraId="235A6741"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8.5845</w:t>
            </w:r>
          </w:p>
        </w:tc>
        <w:tc>
          <w:tcPr>
            <w:tcW w:w="705" w:type="dxa"/>
            <w:shd w:val="clear" w:color="auto" w:fill="auto"/>
          </w:tcPr>
          <w:p w14:paraId="5E37F2B7"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236748F9"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0.0034</w:t>
            </w:r>
          </w:p>
        </w:tc>
      </w:tr>
      <w:tr w:rsidR="00A8615A" w:rsidRPr="009C2E9F" w14:paraId="1381AAE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30321D49"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D(MS)</w:t>
            </w:r>
          </w:p>
        </w:tc>
        <w:tc>
          <w:tcPr>
            <w:tcW w:w="1188" w:type="dxa"/>
            <w:shd w:val="clear" w:color="auto" w:fill="auto"/>
          </w:tcPr>
          <w:p w14:paraId="0D9A4FE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0.0462</w:t>
            </w:r>
          </w:p>
        </w:tc>
        <w:tc>
          <w:tcPr>
            <w:tcW w:w="581" w:type="dxa"/>
            <w:shd w:val="clear" w:color="auto" w:fill="auto"/>
          </w:tcPr>
          <w:p w14:paraId="73F8880A"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938" w:type="dxa"/>
            <w:shd w:val="clear" w:color="auto" w:fill="auto"/>
          </w:tcPr>
          <w:p w14:paraId="2087E52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0.8299</w:t>
            </w:r>
          </w:p>
        </w:tc>
        <w:tc>
          <w:tcPr>
            <w:tcW w:w="994" w:type="dxa"/>
            <w:shd w:val="clear" w:color="auto" w:fill="auto"/>
          </w:tcPr>
          <w:p w14:paraId="186E5326"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2.6149</w:t>
            </w:r>
          </w:p>
        </w:tc>
        <w:tc>
          <w:tcPr>
            <w:tcW w:w="705" w:type="dxa"/>
            <w:shd w:val="clear" w:color="auto" w:fill="auto"/>
          </w:tcPr>
          <w:p w14:paraId="5B788DB4"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AE1155F"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0.1059</w:t>
            </w:r>
          </w:p>
        </w:tc>
        <w:tc>
          <w:tcPr>
            <w:tcW w:w="1110" w:type="dxa"/>
            <w:shd w:val="clear" w:color="auto" w:fill="auto"/>
          </w:tcPr>
          <w:p w14:paraId="67FDB553"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0.0214</w:t>
            </w:r>
          </w:p>
        </w:tc>
        <w:tc>
          <w:tcPr>
            <w:tcW w:w="705" w:type="dxa"/>
            <w:shd w:val="clear" w:color="auto" w:fill="auto"/>
          </w:tcPr>
          <w:p w14:paraId="0B222CDD"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w:t>
            </w:r>
          </w:p>
        </w:tc>
        <w:tc>
          <w:tcPr>
            <w:tcW w:w="876" w:type="dxa"/>
            <w:shd w:val="clear" w:color="auto" w:fill="auto"/>
          </w:tcPr>
          <w:p w14:paraId="391FC97E" w14:textId="77777777" w:rsidR="00A8615A" w:rsidRPr="009C2E9F" w:rsidRDefault="00A8615A" w:rsidP="005A0249">
            <w:pPr>
              <w:spacing w:before="240" w:after="24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0.8836</w:t>
            </w:r>
          </w:p>
        </w:tc>
      </w:tr>
      <w:tr w:rsidR="00A8615A" w:rsidRPr="009C2E9F" w14:paraId="2D2F4924" w14:textId="77777777" w:rsidTr="006C5B90">
        <w:tc>
          <w:tcPr>
            <w:cnfStyle w:val="001000000000" w:firstRow="0" w:lastRow="0" w:firstColumn="1" w:lastColumn="0" w:oddVBand="0" w:evenVBand="0" w:oddHBand="0" w:evenHBand="0" w:firstRowFirstColumn="0" w:firstRowLastColumn="0" w:lastRowFirstColumn="0" w:lastRowLastColumn="0"/>
            <w:tcW w:w="1382" w:type="dxa"/>
            <w:shd w:val="clear" w:color="auto" w:fill="auto"/>
          </w:tcPr>
          <w:p w14:paraId="70857E35" w14:textId="77777777" w:rsidR="00A8615A" w:rsidRPr="009C2E9F" w:rsidRDefault="00A8615A" w:rsidP="005A0249">
            <w:pPr>
              <w:spacing w:before="240" w:after="240"/>
              <w:jc w:val="both"/>
              <w:rPr>
                <w:rFonts w:ascii="Times New Roman" w:hAnsi="Times New Roman" w:cs="Times New Roman"/>
                <w:b w:val="0"/>
                <w:bCs w:val="0"/>
                <w:sz w:val="24"/>
                <w:szCs w:val="24"/>
              </w:rPr>
            </w:pPr>
            <w:r w:rsidRPr="009C2E9F">
              <w:rPr>
                <w:rFonts w:ascii="Times New Roman" w:hAnsi="Times New Roman" w:cs="Times New Roman"/>
                <w:b w:val="0"/>
                <w:bCs w:val="0"/>
                <w:sz w:val="24"/>
                <w:szCs w:val="24"/>
              </w:rPr>
              <w:t>All</w:t>
            </w:r>
          </w:p>
        </w:tc>
        <w:tc>
          <w:tcPr>
            <w:tcW w:w="1188" w:type="dxa"/>
            <w:shd w:val="clear" w:color="auto" w:fill="auto"/>
          </w:tcPr>
          <w:p w14:paraId="4C47BCD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2.5351</w:t>
            </w:r>
          </w:p>
        </w:tc>
        <w:tc>
          <w:tcPr>
            <w:tcW w:w="581" w:type="dxa"/>
            <w:shd w:val="clear" w:color="auto" w:fill="auto"/>
          </w:tcPr>
          <w:p w14:paraId="7724CBF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938" w:type="dxa"/>
            <w:shd w:val="clear" w:color="auto" w:fill="auto"/>
          </w:tcPr>
          <w:p w14:paraId="59B0A0B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0.7712</w:t>
            </w:r>
          </w:p>
        </w:tc>
        <w:tc>
          <w:tcPr>
            <w:tcW w:w="994" w:type="dxa"/>
            <w:shd w:val="clear" w:color="auto" w:fill="auto"/>
          </w:tcPr>
          <w:p w14:paraId="68133186"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6.2336</w:t>
            </w:r>
          </w:p>
        </w:tc>
        <w:tc>
          <w:tcPr>
            <w:tcW w:w="705" w:type="dxa"/>
            <w:shd w:val="clear" w:color="auto" w:fill="auto"/>
          </w:tcPr>
          <w:p w14:paraId="435FCABB"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4CF134B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0.2841</w:t>
            </w:r>
          </w:p>
        </w:tc>
        <w:tc>
          <w:tcPr>
            <w:tcW w:w="1110" w:type="dxa"/>
            <w:shd w:val="clear" w:color="auto" w:fill="auto"/>
          </w:tcPr>
          <w:p w14:paraId="5C80F11A"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11.8676</w:t>
            </w:r>
          </w:p>
        </w:tc>
        <w:tc>
          <w:tcPr>
            <w:tcW w:w="705" w:type="dxa"/>
            <w:shd w:val="clear" w:color="auto" w:fill="auto"/>
          </w:tcPr>
          <w:p w14:paraId="59AE665C"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5</w:t>
            </w:r>
          </w:p>
        </w:tc>
        <w:tc>
          <w:tcPr>
            <w:tcW w:w="876" w:type="dxa"/>
            <w:shd w:val="clear" w:color="auto" w:fill="auto"/>
          </w:tcPr>
          <w:p w14:paraId="1299B130" w14:textId="77777777" w:rsidR="00A8615A" w:rsidRPr="009C2E9F" w:rsidRDefault="00A8615A" w:rsidP="005A0249">
            <w:pPr>
              <w:spacing w:before="240" w:after="2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C2E9F">
              <w:rPr>
                <w:rFonts w:ascii="Times New Roman" w:hAnsi="Times New Roman" w:cs="Times New Roman"/>
                <w:sz w:val="24"/>
                <w:szCs w:val="24"/>
              </w:rPr>
              <w:t>0.0366</w:t>
            </w:r>
          </w:p>
        </w:tc>
      </w:tr>
    </w:tbl>
    <w:p w14:paraId="0096B9B6" w14:textId="77777777" w:rsidR="00A8615A" w:rsidRPr="009C2E9F" w:rsidRDefault="00A8615A" w:rsidP="005A0249">
      <w:pPr>
        <w:pStyle w:val="NormalWeb"/>
        <w:spacing w:before="240" w:beforeAutospacing="0" w:after="240" w:afterAutospacing="0"/>
        <w:jc w:val="both"/>
      </w:pPr>
      <w:r w:rsidRPr="009C2E9F">
        <w:t>The Granger causality results indicate that exports have a statistically significant causal effect on economic growth, suggesting that changes in export performance play a crucial role in driving short-run economic growth. Furthermore, the joint significance of all variables in the GDP equation confirms that macroeconomic variables collectively influence economic growth.</w:t>
      </w:r>
    </w:p>
    <w:p w14:paraId="315F2407" w14:textId="77777777" w:rsidR="00A8615A" w:rsidRPr="009C2E9F" w:rsidRDefault="00A8615A" w:rsidP="005A0249">
      <w:pPr>
        <w:pStyle w:val="NormalWeb"/>
        <w:spacing w:before="240" w:beforeAutospacing="0" w:after="240" w:afterAutospacing="0"/>
        <w:jc w:val="both"/>
      </w:pPr>
      <w:r w:rsidRPr="009C2E9F">
        <w:t>However, no significant causality is observed for exchange rate and inflation, indicating that these variables are not strongly driven by the included macroeconomic factors in the short run. This suggests that external factors or structural dynamics may play a more dominant role in determining exchange rate and inflation behavior.</w:t>
      </w:r>
    </w:p>
    <w:p w14:paraId="29F60121"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Impulse Response Function</w:t>
      </w:r>
    </w:p>
    <w:p w14:paraId="5D961322" w14:textId="77777777"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noProof/>
          <w:sz w:val="24"/>
          <w:szCs w:val="24"/>
          <w:lang w:val="en-IN" w:eastAsia="en-IN"/>
        </w:rPr>
        <w:drawing>
          <wp:inline distT="0" distB="0" distL="0" distR="0" wp14:anchorId="60A8A90D" wp14:editId="416A359C">
            <wp:extent cx="5941695" cy="2113109"/>
            <wp:effectExtent l="0" t="0" r="1905"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0127" cy="2126777"/>
                    </a:xfrm>
                    <a:prstGeom prst="rect">
                      <a:avLst/>
                    </a:prstGeom>
                    <a:noFill/>
                    <a:ln>
                      <a:noFill/>
                    </a:ln>
                  </pic:spPr>
                </pic:pic>
              </a:graphicData>
            </a:graphic>
          </wp:inline>
        </w:drawing>
      </w:r>
    </w:p>
    <w:p w14:paraId="42B06AB3" w14:textId="27CA9E3F" w:rsidR="00381874" w:rsidRDefault="00381874" w:rsidP="005A0249">
      <w:pPr>
        <w:pStyle w:val="NormalWeb"/>
        <w:spacing w:before="240" w:beforeAutospacing="0" w:after="240" w:afterAutospacing="0"/>
        <w:jc w:val="both"/>
      </w:pPr>
      <w:r>
        <w:t>Figure 4</w:t>
      </w:r>
      <w:r w:rsidR="00FD0519">
        <w:t>: Impulse Response Function</w:t>
      </w:r>
    </w:p>
    <w:p w14:paraId="6168F420" w14:textId="1699E0CB" w:rsidR="00A8615A" w:rsidRPr="009C2E9F" w:rsidRDefault="00381874" w:rsidP="005A0249">
      <w:pPr>
        <w:pStyle w:val="NormalWeb"/>
        <w:spacing w:before="240" w:beforeAutospacing="0" w:after="240" w:afterAutospacing="0"/>
        <w:jc w:val="both"/>
      </w:pPr>
      <w:r>
        <w:t>Fig. 4</w:t>
      </w:r>
      <w:r w:rsidR="00A8615A" w:rsidRPr="009C2E9F">
        <w:t xml:space="preserve"> impulse response functions reveal that most variables exhibit short-run fluctuations following shocks but gradually converge to equilibrium over time. This indicates that the effects of shocks are temporary and that the system possesses a stable adjustment mechanism. Exchange rate demonstrates strong short-run responsiveness but quickly stabilizes, confirming its role as a key adjustment variable. Other variables, including inflation and economic growth, show relatively mild responses, suggesting limited short-run volatility.</w:t>
      </w:r>
    </w:p>
    <w:p w14:paraId="126A6005" w14:textId="77777777" w:rsidR="00A8615A" w:rsidRPr="009C2E9F" w:rsidRDefault="00A8615A" w:rsidP="005A0249">
      <w:pPr>
        <w:pStyle w:val="NormalWeb"/>
        <w:spacing w:before="240" w:beforeAutospacing="0" w:after="240" w:afterAutospacing="0"/>
        <w:jc w:val="both"/>
      </w:pPr>
      <w:r w:rsidRPr="009C2E9F">
        <w:t>Overall, the results support the presence of long-run stability in the system, as all variables eventually return to their equilibrium paths after experiencing shocks.</w:t>
      </w:r>
    </w:p>
    <w:p w14:paraId="69A109F4" w14:textId="77777777" w:rsidR="00CB3223" w:rsidRDefault="00CB3223" w:rsidP="005A0249">
      <w:pPr>
        <w:spacing w:before="240" w:after="240" w:line="240" w:lineRule="auto"/>
        <w:jc w:val="both"/>
        <w:rPr>
          <w:rFonts w:ascii="Times New Roman" w:hAnsi="Times New Roman" w:cs="Times New Roman"/>
          <w:sz w:val="24"/>
          <w:szCs w:val="24"/>
        </w:rPr>
      </w:pPr>
    </w:p>
    <w:p w14:paraId="5C53EE4F" w14:textId="77777777" w:rsidR="00CB3223" w:rsidRDefault="00CB3223" w:rsidP="005A0249">
      <w:pPr>
        <w:spacing w:before="240" w:after="240" w:line="240" w:lineRule="auto"/>
        <w:jc w:val="both"/>
        <w:rPr>
          <w:rFonts w:ascii="Times New Roman" w:hAnsi="Times New Roman" w:cs="Times New Roman"/>
          <w:sz w:val="24"/>
          <w:szCs w:val="24"/>
        </w:rPr>
      </w:pPr>
    </w:p>
    <w:p w14:paraId="286CF8EA" w14:textId="77777777" w:rsidR="00CB3223" w:rsidRDefault="00CB3223" w:rsidP="005A0249">
      <w:pPr>
        <w:spacing w:before="240" w:after="240" w:line="240" w:lineRule="auto"/>
        <w:jc w:val="both"/>
        <w:rPr>
          <w:rFonts w:ascii="Times New Roman" w:hAnsi="Times New Roman" w:cs="Times New Roman"/>
          <w:sz w:val="24"/>
          <w:szCs w:val="24"/>
        </w:rPr>
      </w:pPr>
    </w:p>
    <w:p w14:paraId="15F264FA" w14:textId="1AEA4530" w:rsidR="00A8615A" w:rsidRPr="009C2E9F" w:rsidRDefault="00A8615A" w:rsidP="005A0249">
      <w:pPr>
        <w:spacing w:before="240" w:after="240" w:line="240" w:lineRule="auto"/>
        <w:jc w:val="both"/>
        <w:rPr>
          <w:rFonts w:ascii="Times New Roman" w:hAnsi="Times New Roman" w:cs="Times New Roman"/>
          <w:sz w:val="24"/>
          <w:szCs w:val="24"/>
        </w:rPr>
      </w:pPr>
      <w:r w:rsidRPr="009C2E9F">
        <w:rPr>
          <w:rFonts w:ascii="Times New Roman" w:hAnsi="Times New Roman" w:cs="Times New Roman"/>
          <w:sz w:val="24"/>
          <w:szCs w:val="24"/>
        </w:rPr>
        <w:t xml:space="preserve">Table </w:t>
      </w:r>
      <w:r w:rsidR="00D8522C">
        <w:rPr>
          <w:rFonts w:ascii="Times New Roman" w:hAnsi="Times New Roman" w:cs="Times New Roman"/>
          <w:sz w:val="24"/>
          <w:szCs w:val="24"/>
        </w:rPr>
        <w:t>22</w:t>
      </w:r>
      <w:r w:rsidRPr="009C2E9F">
        <w:rPr>
          <w:rFonts w:ascii="Times New Roman" w:hAnsi="Times New Roman" w:cs="Times New Roman"/>
          <w:sz w:val="24"/>
          <w:szCs w:val="24"/>
        </w:rPr>
        <w:t xml:space="preserve">: Variance Decomposition </w:t>
      </w:r>
    </w:p>
    <w:tbl>
      <w:tblPr>
        <w:tblStyle w:val="LightShading1"/>
        <w:tblW w:w="9563" w:type="dxa"/>
        <w:tblInd w:w="-108" w:type="dxa"/>
        <w:tblLook w:val="04A0" w:firstRow="1" w:lastRow="0" w:firstColumn="1" w:lastColumn="0" w:noHBand="0" w:noVBand="1"/>
      </w:tblPr>
      <w:tblGrid>
        <w:gridCol w:w="1080"/>
        <w:gridCol w:w="876"/>
        <w:gridCol w:w="847"/>
        <w:gridCol w:w="847"/>
        <w:gridCol w:w="847"/>
        <w:gridCol w:w="847"/>
        <w:gridCol w:w="847"/>
        <w:gridCol w:w="847"/>
        <w:gridCol w:w="847"/>
        <w:gridCol w:w="847"/>
        <w:gridCol w:w="831"/>
      </w:tblGrid>
      <w:tr w:rsidR="00A8615A" w:rsidRPr="009C2E9F" w14:paraId="3D74EFF5" w14:textId="77777777" w:rsidTr="006C5B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0F189766"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EXR</w:t>
            </w:r>
          </w:p>
        </w:tc>
      </w:tr>
      <w:tr w:rsidR="00A8615A" w:rsidRPr="009C2E9F" w14:paraId="03433AC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A2663E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3DD4070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0A1DD35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35423F0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4978916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316F46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14FF087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16F5B30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6AE2B51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1649219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0E9B9F8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2667B17B"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531F9F8"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294F829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100.00</w:t>
            </w:r>
          </w:p>
        </w:tc>
        <w:tc>
          <w:tcPr>
            <w:tcW w:w="847" w:type="dxa"/>
            <w:shd w:val="clear" w:color="auto" w:fill="auto"/>
          </w:tcPr>
          <w:p w14:paraId="6A5220D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93.55</w:t>
            </w:r>
          </w:p>
        </w:tc>
        <w:tc>
          <w:tcPr>
            <w:tcW w:w="847" w:type="dxa"/>
            <w:shd w:val="clear" w:color="auto" w:fill="auto"/>
          </w:tcPr>
          <w:p w14:paraId="6BC1C7B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92.04</w:t>
            </w:r>
          </w:p>
        </w:tc>
        <w:tc>
          <w:tcPr>
            <w:tcW w:w="847" w:type="dxa"/>
            <w:shd w:val="clear" w:color="auto" w:fill="auto"/>
          </w:tcPr>
          <w:p w14:paraId="0417B6D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91.08</w:t>
            </w:r>
          </w:p>
        </w:tc>
        <w:tc>
          <w:tcPr>
            <w:tcW w:w="847" w:type="dxa"/>
            <w:shd w:val="clear" w:color="auto" w:fill="auto"/>
          </w:tcPr>
          <w:p w14:paraId="1CCEE7A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89.62</w:t>
            </w:r>
          </w:p>
        </w:tc>
        <w:tc>
          <w:tcPr>
            <w:tcW w:w="847" w:type="dxa"/>
            <w:shd w:val="clear" w:color="auto" w:fill="auto"/>
          </w:tcPr>
          <w:p w14:paraId="489A6B7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88.35</w:t>
            </w:r>
          </w:p>
        </w:tc>
        <w:tc>
          <w:tcPr>
            <w:tcW w:w="847" w:type="dxa"/>
            <w:shd w:val="clear" w:color="auto" w:fill="auto"/>
          </w:tcPr>
          <w:p w14:paraId="671A17C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87.22</w:t>
            </w:r>
          </w:p>
        </w:tc>
        <w:tc>
          <w:tcPr>
            <w:tcW w:w="847" w:type="dxa"/>
            <w:shd w:val="clear" w:color="auto" w:fill="auto"/>
          </w:tcPr>
          <w:p w14:paraId="6F0F6C8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86.12</w:t>
            </w:r>
          </w:p>
        </w:tc>
        <w:tc>
          <w:tcPr>
            <w:tcW w:w="847" w:type="dxa"/>
            <w:shd w:val="clear" w:color="auto" w:fill="auto"/>
          </w:tcPr>
          <w:p w14:paraId="3DC2A60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85.05</w:t>
            </w:r>
          </w:p>
        </w:tc>
        <w:tc>
          <w:tcPr>
            <w:tcW w:w="831" w:type="dxa"/>
            <w:shd w:val="clear" w:color="auto" w:fill="auto"/>
          </w:tcPr>
          <w:p w14:paraId="6F68E6B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84.05</w:t>
            </w:r>
          </w:p>
        </w:tc>
      </w:tr>
      <w:tr w:rsidR="00A8615A" w:rsidRPr="009C2E9F" w14:paraId="70DB2967"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107BBF"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A6833D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6A9996D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1.09</w:t>
            </w:r>
          </w:p>
        </w:tc>
        <w:tc>
          <w:tcPr>
            <w:tcW w:w="847" w:type="dxa"/>
            <w:shd w:val="clear" w:color="auto" w:fill="auto"/>
          </w:tcPr>
          <w:p w14:paraId="213CD13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1.34</w:t>
            </w:r>
          </w:p>
        </w:tc>
        <w:tc>
          <w:tcPr>
            <w:tcW w:w="847" w:type="dxa"/>
            <w:shd w:val="clear" w:color="auto" w:fill="auto"/>
          </w:tcPr>
          <w:p w14:paraId="3532B7F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1.32</w:t>
            </w:r>
          </w:p>
        </w:tc>
        <w:tc>
          <w:tcPr>
            <w:tcW w:w="847" w:type="dxa"/>
            <w:shd w:val="clear" w:color="auto" w:fill="auto"/>
          </w:tcPr>
          <w:p w14:paraId="75C782A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1.29</w:t>
            </w:r>
          </w:p>
        </w:tc>
        <w:tc>
          <w:tcPr>
            <w:tcW w:w="847" w:type="dxa"/>
            <w:shd w:val="clear" w:color="auto" w:fill="auto"/>
          </w:tcPr>
          <w:p w14:paraId="01EBFBF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1.27</w:t>
            </w:r>
          </w:p>
        </w:tc>
        <w:tc>
          <w:tcPr>
            <w:tcW w:w="847" w:type="dxa"/>
            <w:shd w:val="clear" w:color="auto" w:fill="auto"/>
          </w:tcPr>
          <w:p w14:paraId="552CF3B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1.25</w:t>
            </w:r>
          </w:p>
        </w:tc>
        <w:tc>
          <w:tcPr>
            <w:tcW w:w="847" w:type="dxa"/>
            <w:shd w:val="clear" w:color="auto" w:fill="auto"/>
          </w:tcPr>
          <w:p w14:paraId="388F736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1.23</w:t>
            </w:r>
          </w:p>
        </w:tc>
        <w:tc>
          <w:tcPr>
            <w:tcW w:w="847" w:type="dxa"/>
            <w:shd w:val="clear" w:color="auto" w:fill="auto"/>
          </w:tcPr>
          <w:p w14:paraId="724BFE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1.21</w:t>
            </w:r>
          </w:p>
        </w:tc>
        <w:tc>
          <w:tcPr>
            <w:tcW w:w="831" w:type="dxa"/>
            <w:shd w:val="clear" w:color="auto" w:fill="auto"/>
          </w:tcPr>
          <w:p w14:paraId="6867CAC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1.20</w:t>
            </w:r>
          </w:p>
        </w:tc>
      </w:tr>
      <w:tr w:rsidR="00A8615A" w:rsidRPr="009C2E9F" w14:paraId="79870FB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2D050F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2CBE4FEC"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0.00</w:t>
            </w:r>
          </w:p>
        </w:tc>
        <w:tc>
          <w:tcPr>
            <w:tcW w:w="847" w:type="dxa"/>
            <w:shd w:val="clear" w:color="auto" w:fill="auto"/>
          </w:tcPr>
          <w:p w14:paraId="1C0CDB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5.36</w:t>
            </w:r>
          </w:p>
        </w:tc>
        <w:tc>
          <w:tcPr>
            <w:tcW w:w="847" w:type="dxa"/>
            <w:shd w:val="clear" w:color="auto" w:fill="auto"/>
          </w:tcPr>
          <w:p w14:paraId="3459948D"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6.63</w:t>
            </w:r>
          </w:p>
        </w:tc>
        <w:tc>
          <w:tcPr>
            <w:tcW w:w="847" w:type="dxa"/>
            <w:shd w:val="clear" w:color="auto" w:fill="auto"/>
          </w:tcPr>
          <w:p w14:paraId="6BA4C4D4"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7.60</w:t>
            </w:r>
          </w:p>
        </w:tc>
        <w:tc>
          <w:tcPr>
            <w:tcW w:w="847" w:type="dxa"/>
            <w:shd w:val="clear" w:color="auto" w:fill="auto"/>
          </w:tcPr>
          <w:p w14:paraId="2B1FF08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9.09</w:t>
            </w:r>
          </w:p>
        </w:tc>
        <w:tc>
          <w:tcPr>
            <w:tcW w:w="847" w:type="dxa"/>
            <w:shd w:val="clear" w:color="auto" w:fill="auto"/>
          </w:tcPr>
          <w:p w14:paraId="035B3A19"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10.37</w:t>
            </w:r>
          </w:p>
        </w:tc>
        <w:tc>
          <w:tcPr>
            <w:tcW w:w="847" w:type="dxa"/>
            <w:shd w:val="clear" w:color="auto" w:fill="auto"/>
          </w:tcPr>
          <w:p w14:paraId="5DD0766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11.53</w:t>
            </w:r>
          </w:p>
        </w:tc>
        <w:tc>
          <w:tcPr>
            <w:tcW w:w="847" w:type="dxa"/>
            <w:shd w:val="clear" w:color="auto" w:fill="auto"/>
          </w:tcPr>
          <w:p w14:paraId="215AEC1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12.66</w:t>
            </w:r>
          </w:p>
        </w:tc>
        <w:tc>
          <w:tcPr>
            <w:tcW w:w="847" w:type="dxa"/>
            <w:shd w:val="clear" w:color="auto" w:fill="auto"/>
          </w:tcPr>
          <w:p w14:paraId="381F06D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13.74</w:t>
            </w:r>
          </w:p>
        </w:tc>
        <w:tc>
          <w:tcPr>
            <w:tcW w:w="831" w:type="dxa"/>
            <w:shd w:val="clear" w:color="auto" w:fill="auto"/>
          </w:tcPr>
          <w:p w14:paraId="1955541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14.75</w:t>
            </w:r>
          </w:p>
        </w:tc>
      </w:tr>
      <w:tr w:rsidR="00A8615A" w:rsidRPr="009C2E9F" w14:paraId="34DD4D18"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4D724C1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INF</w:t>
            </w:r>
          </w:p>
        </w:tc>
      </w:tr>
      <w:tr w:rsidR="00A8615A" w:rsidRPr="009C2E9F" w14:paraId="056E4F1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28E3638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366E8C7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4A0F50D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489D87B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5E6BA2F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6257956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550B68A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1BBDA5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0EB504F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518D4AA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3474F1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3238FF90"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3DC4572"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6461136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13.73</w:t>
            </w:r>
          </w:p>
        </w:tc>
        <w:tc>
          <w:tcPr>
            <w:tcW w:w="847" w:type="dxa"/>
            <w:shd w:val="clear" w:color="auto" w:fill="auto"/>
          </w:tcPr>
          <w:p w14:paraId="7B336E4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14.43</w:t>
            </w:r>
          </w:p>
        </w:tc>
        <w:tc>
          <w:tcPr>
            <w:tcW w:w="847" w:type="dxa"/>
            <w:shd w:val="clear" w:color="auto" w:fill="auto"/>
          </w:tcPr>
          <w:p w14:paraId="7F1980C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47" w:type="dxa"/>
            <w:shd w:val="clear" w:color="auto" w:fill="auto"/>
          </w:tcPr>
          <w:p w14:paraId="106EA2D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16.46</w:t>
            </w:r>
          </w:p>
        </w:tc>
        <w:tc>
          <w:tcPr>
            <w:tcW w:w="847" w:type="dxa"/>
            <w:shd w:val="clear" w:color="auto" w:fill="auto"/>
          </w:tcPr>
          <w:p w14:paraId="7F69193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16.44</w:t>
            </w:r>
          </w:p>
        </w:tc>
        <w:tc>
          <w:tcPr>
            <w:tcW w:w="847" w:type="dxa"/>
            <w:shd w:val="clear" w:color="auto" w:fill="auto"/>
          </w:tcPr>
          <w:p w14:paraId="7DFA603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16.47</w:t>
            </w:r>
          </w:p>
        </w:tc>
        <w:tc>
          <w:tcPr>
            <w:tcW w:w="847" w:type="dxa"/>
            <w:shd w:val="clear" w:color="auto" w:fill="auto"/>
          </w:tcPr>
          <w:p w14:paraId="094B537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47" w:type="dxa"/>
            <w:shd w:val="clear" w:color="auto" w:fill="auto"/>
          </w:tcPr>
          <w:p w14:paraId="29CEACF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16.47</w:t>
            </w:r>
          </w:p>
        </w:tc>
        <w:tc>
          <w:tcPr>
            <w:tcW w:w="847" w:type="dxa"/>
            <w:shd w:val="clear" w:color="auto" w:fill="auto"/>
          </w:tcPr>
          <w:p w14:paraId="78CE4F4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c>
          <w:tcPr>
            <w:tcW w:w="831" w:type="dxa"/>
            <w:shd w:val="clear" w:color="auto" w:fill="auto"/>
          </w:tcPr>
          <w:p w14:paraId="1DC5396E"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16.48</w:t>
            </w:r>
          </w:p>
        </w:tc>
      </w:tr>
      <w:tr w:rsidR="00A8615A" w:rsidRPr="009C2E9F" w14:paraId="0855743F"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4FB0FF8B"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448553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86.27</w:t>
            </w:r>
          </w:p>
        </w:tc>
        <w:tc>
          <w:tcPr>
            <w:tcW w:w="847" w:type="dxa"/>
            <w:shd w:val="clear" w:color="auto" w:fill="auto"/>
          </w:tcPr>
          <w:p w14:paraId="75FA9B3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84.83</w:t>
            </w:r>
          </w:p>
        </w:tc>
        <w:tc>
          <w:tcPr>
            <w:tcW w:w="847" w:type="dxa"/>
            <w:shd w:val="clear" w:color="auto" w:fill="auto"/>
          </w:tcPr>
          <w:p w14:paraId="2A2069B7"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82.78</w:t>
            </w:r>
          </w:p>
        </w:tc>
        <w:tc>
          <w:tcPr>
            <w:tcW w:w="847" w:type="dxa"/>
            <w:shd w:val="clear" w:color="auto" w:fill="auto"/>
          </w:tcPr>
          <w:p w14:paraId="38844CE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82.42</w:t>
            </w:r>
          </w:p>
        </w:tc>
        <w:tc>
          <w:tcPr>
            <w:tcW w:w="847" w:type="dxa"/>
            <w:shd w:val="clear" w:color="auto" w:fill="auto"/>
          </w:tcPr>
          <w:p w14:paraId="4686EEF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82.25</w:t>
            </w:r>
          </w:p>
        </w:tc>
        <w:tc>
          <w:tcPr>
            <w:tcW w:w="847" w:type="dxa"/>
            <w:shd w:val="clear" w:color="auto" w:fill="auto"/>
          </w:tcPr>
          <w:p w14:paraId="418A6AA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82.02</w:t>
            </w:r>
          </w:p>
        </w:tc>
        <w:tc>
          <w:tcPr>
            <w:tcW w:w="847" w:type="dxa"/>
            <w:shd w:val="clear" w:color="auto" w:fill="auto"/>
          </w:tcPr>
          <w:p w14:paraId="762A31E0"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81.82</w:t>
            </w:r>
          </w:p>
        </w:tc>
        <w:tc>
          <w:tcPr>
            <w:tcW w:w="847" w:type="dxa"/>
            <w:shd w:val="clear" w:color="auto" w:fill="auto"/>
          </w:tcPr>
          <w:p w14:paraId="4BC85AD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81.62</w:t>
            </w:r>
          </w:p>
        </w:tc>
        <w:tc>
          <w:tcPr>
            <w:tcW w:w="847" w:type="dxa"/>
            <w:shd w:val="clear" w:color="auto" w:fill="auto"/>
          </w:tcPr>
          <w:p w14:paraId="60516BF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81.42</w:t>
            </w:r>
          </w:p>
        </w:tc>
        <w:tc>
          <w:tcPr>
            <w:tcW w:w="831" w:type="dxa"/>
            <w:shd w:val="clear" w:color="auto" w:fill="auto"/>
          </w:tcPr>
          <w:p w14:paraId="2EA8446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81.24</w:t>
            </w:r>
          </w:p>
        </w:tc>
      </w:tr>
      <w:tr w:rsidR="00A8615A" w:rsidRPr="009C2E9F" w14:paraId="1F4A2F75"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1595147"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6A8FFA1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w:t>
            </w:r>
          </w:p>
        </w:tc>
        <w:tc>
          <w:tcPr>
            <w:tcW w:w="847" w:type="dxa"/>
            <w:shd w:val="clear" w:color="auto" w:fill="auto"/>
          </w:tcPr>
          <w:p w14:paraId="30793FE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0.74</w:t>
            </w:r>
          </w:p>
        </w:tc>
        <w:tc>
          <w:tcPr>
            <w:tcW w:w="847" w:type="dxa"/>
            <w:shd w:val="clear" w:color="auto" w:fill="auto"/>
          </w:tcPr>
          <w:p w14:paraId="3694958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0.74</w:t>
            </w:r>
          </w:p>
        </w:tc>
        <w:tc>
          <w:tcPr>
            <w:tcW w:w="847" w:type="dxa"/>
            <w:shd w:val="clear" w:color="auto" w:fill="auto"/>
          </w:tcPr>
          <w:p w14:paraId="7D39EA8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1.12</w:t>
            </w:r>
          </w:p>
        </w:tc>
        <w:tc>
          <w:tcPr>
            <w:tcW w:w="847" w:type="dxa"/>
            <w:shd w:val="clear" w:color="auto" w:fill="auto"/>
          </w:tcPr>
          <w:p w14:paraId="31E758F8"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1.31</w:t>
            </w:r>
          </w:p>
        </w:tc>
        <w:tc>
          <w:tcPr>
            <w:tcW w:w="847" w:type="dxa"/>
            <w:shd w:val="clear" w:color="auto" w:fill="auto"/>
          </w:tcPr>
          <w:p w14:paraId="134CFBC9"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1.51</w:t>
            </w:r>
          </w:p>
        </w:tc>
        <w:tc>
          <w:tcPr>
            <w:tcW w:w="847" w:type="dxa"/>
            <w:shd w:val="clear" w:color="auto" w:fill="auto"/>
          </w:tcPr>
          <w:p w14:paraId="0B6411C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1.71</w:t>
            </w:r>
          </w:p>
        </w:tc>
        <w:tc>
          <w:tcPr>
            <w:tcW w:w="847" w:type="dxa"/>
            <w:shd w:val="clear" w:color="auto" w:fill="auto"/>
          </w:tcPr>
          <w:p w14:paraId="1909FABF"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1.91</w:t>
            </w:r>
          </w:p>
        </w:tc>
        <w:tc>
          <w:tcPr>
            <w:tcW w:w="847" w:type="dxa"/>
            <w:shd w:val="clear" w:color="auto" w:fill="auto"/>
          </w:tcPr>
          <w:p w14:paraId="2EE53ED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2.09</w:t>
            </w:r>
          </w:p>
        </w:tc>
        <w:tc>
          <w:tcPr>
            <w:tcW w:w="831" w:type="dxa"/>
            <w:shd w:val="clear" w:color="auto" w:fill="auto"/>
          </w:tcPr>
          <w:p w14:paraId="2BA97715"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2.28</w:t>
            </w:r>
          </w:p>
        </w:tc>
      </w:tr>
      <w:tr w:rsidR="00A8615A" w:rsidRPr="009C2E9F" w14:paraId="59603F2A" w14:textId="77777777" w:rsidTr="006C5B90">
        <w:tc>
          <w:tcPr>
            <w:cnfStyle w:val="001000000000" w:firstRow="0" w:lastRow="0" w:firstColumn="1" w:lastColumn="0" w:oddVBand="0" w:evenVBand="0" w:oddHBand="0" w:evenHBand="0" w:firstRowFirstColumn="0" w:firstRowLastColumn="0" w:lastRowFirstColumn="0" w:lastRowLastColumn="0"/>
            <w:tcW w:w="9563" w:type="dxa"/>
            <w:gridSpan w:val="11"/>
            <w:shd w:val="clear" w:color="auto" w:fill="auto"/>
          </w:tcPr>
          <w:p w14:paraId="7C0B5246"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Variance Decomposition of GDP</w:t>
            </w:r>
          </w:p>
        </w:tc>
      </w:tr>
      <w:tr w:rsidR="00A8615A" w:rsidRPr="009C2E9F" w14:paraId="731F7D1C"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5C64124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Period</w:t>
            </w:r>
          </w:p>
        </w:tc>
        <w:tc>
          <w:tcPr>
            <w:tcW w:w="876" w:type="dxa"/>
            <w:shd w:val="clear" w:color="auto" w:fill="auto"/>
          </w:tcPr>
          <w:p w14:paraId="061E672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w:t>
            </w:r>
          </w:p>
        </w:tc>
        <w:tc>
          <w:tcPr>
            <w:tcW w:w="847" w:type="dxa"/>
            <w:shd w:val="clear" w:color="auto" w:fill="auto"/>
          </w:tcPr>
          <w:p w14:paraId="57689EA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2</w:t>
            </w:r>
          </w:p>
        </w:tc>
        <w:tc>
          <w:tcPr>
            <w:tcW w:w="847" w:type="dxa"/>
            <w:shd w:val="clear" w:color="auto" w:fill="auto"/>
          </w:tcPr>
          <w:p w14:paraId="639A87A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3</w:t>
            </w:r>
          </w:p>
        </w:tc>
        <w:tc>
          <w:tcPr>
            <w:tcW w:w="847" w:type="dxa"/>
            <w:shd w:val="clear" w:color="auto" w:fill="auto"/>
          </w:tcPr>
          <w:p w14:paraId="3A53644B"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4</w:t>
            </w:r>
          </w:p>
        </w:tc>
        <w:tc>
          <w:tcPr>
            <w:tcW w:w="847" w:type="dxa"/>
            <w:shd w:val="clear" w:color="auto" w:fill="auto"/>
          </w:tcPr>
          <w:p w14:paraId="2C3B5B6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5</w:t>
            </w:r>
          </w:p>
        </w:tc>
        <w:tc>
          <w:tcPr>
            <w:tcW w:w="847" w:type="dxa"/>
            <w:shd w:val="clear" w:color="auto" w:fill="auto"/>
          </w:tcPr>
          <w:p w14:paraId="7C2F37B1"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6</w:t>
            </w:r>
          </w:p>
        </w:tc>
        <w:tc>
          <w:tcPr>
            <w:tcW w:w="847" w:type="dxa"/>
            <w:shd w:val="clear" w:color="auto" w:fill="auto"/>
          </w:tcPr>
          <w:p w14:paraId="3A786C00"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7</w:t>
            </w:r>
          </w:p>
        </w:tc>
        <w:tc>
          <w:tcPr>
            <w:tcW w:w="847" w:type="dxa"/>
            <w:shd w:val="clear" w:color="auto" w:fill="auto"/>
          </w:tcPr>
          <w:p w14:paraId="38D408A7"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w:t>
            </w:r>
          </w:p>
        </w:tc>
        <w:tc>
          <w:tcPr>
            <w:tcW w:w="847" w:type="dxa"/>
            <w:shd w:val="clear" w:color="auto" w:fill="auto"/>
          </w:tcPr>
          <w:p w14:paraId="395CC18A"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w:t>
            </w:r>
          </w:p>
        </w:tc>
        <w:tc>
          <w:tcPr>
            <w:tcW w:w="831" w:type="dxa"/>
            <w:shd w:val="clear" w:color="auto" w:fill="auto"/>
          </w:tcPr>
          <w:p w14:paraId="3679A0E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10</w:t>
            </w:r>
          </w:p>
        </w:tc>
      </w:tr>
      <w:tr w:rsidR="00A8615A" w:rsidRPr="009C2E9F" w14:paraId="27EAB953"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1A0F9349"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EXR</w:t>
            </w:r>
          </w:p>
        </w:tc>
        <w:tc>
          <w:tcPr>
            <w:tcW w:w="876" w:type="dxa"/>
            <w:shd w:val="clear" w:color="auto" w:fill="auto"/>
          </w:tcPr>
          <w:p w14:paraId="6292119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9.16</w:t>
            </w:r>
          </w:p>
        </w:tc>
        <w:tc>
          <w:tcPr>
            <w:tcW w:w="847" w:type="dxa"/>
            <w:shd w:val="clear" w:color="auto" w:fill="auto"/>
          </w:tcPr>
          <w:p w14:paraId="18B99EE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9.46</w:t>
            </w:r>
          </w:p>
        </w:tc>
        <w:tc>
          <w:tcPr>
            <w:tcW w:w="847" w:type="dxa"/>
            <w:shd w:val="clear" w:color="auto" w:fill="auto"/>
          </w:tcPr>
          <w:p w14:paraId="2412D87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15.83</w:t>
            </w:r>
          </w:p>
        </w:tc>
        <w:tc>
          <w:tcPr>
            <w:tcW w:w="847" w:type="dxa"/>
            <w:shd w:val="clear" w:color="auto" w:fill="auto"/>
          </w:tcPr>
          <w:p w14:paraId="02073C6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16.40</w:t>
            </w:r>
          </w:p>
        </w:tc>
        <w:tc>
          <w:tcPr>
            <w:tcW w:w="847" w:type="dxa"/>
            <w:shd w:val="clear" w:color="auto" w:fill="auto"/>
          </w:tcPr>
          <w:p w14:paraId="6AA5EA5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16.41</w:t>
            </w:r>
          </w:p>
        </w:tc>
        <w:tc>
          <w:tcPr>
            <w:tcW w:w="847" w:type="dxa"/>
            <w:shd w:val="clear" w:color="auto" w:fill="auto"/>
          </w:tcPr>
          <w:p w14:paraId="7A1C66D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16.76</w:t>
            </w:r>
          </w:p>
        </w:tc>
        <w:tc>
          <w:tcPr>
            <w:tcW w:w="847" w:type="dxa"/>
            <w:shd w:val="clear" w:color="auto" w:fill="auto"/>
          </w:tcPr>
          <w:p w14:paraId="2EA26FB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16.94</w:t>
            </w:r>
          </w:p>
        </w:tc>
        <w:tc>
          <w:tcPr>
            <w:tcW w:w="847" w:type="dxa"/>
            <w:shd w:val="clear" w:color="auto" w:fill="auto"/>
          </w:tcPr>
          <w:p w14:paraId="28A5AED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17.06</w:t>
            </w:r>
          </w:p>
        </w:tc>
        <w:tc>
          <w:tcPr>
            <w:tcW w:w="847" w:type="dxa"/>
            <w:shd w:val="clear" w:color="auto" w:fill="auto"/>
          </w:tcPr>
          <w:p w14:paraId="7731D16F"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17.17</w:t>
            </w:r>
          </w:p>
        </w:tc>
        <w:tc>
          <w:tcPr>
            <w:tcW w:w="831" w:type="dxa"/>
            <w:shd w:val="clear" w:color="auto" w:fill="auto"/>
          </w:tcPr>
          <w:p w14:paraId="4D3C934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17.26</w:t>
            </w:r>
          </w:p>
        </w:tc>
      </w:tr>
      <w:tr w:rsidR="00A8615A" w:rsidRPr="009C2E9F" w14:paraId="63991D43" w14:textId="77777777" w:rsidTr="006C5B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72D47745"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INF</w:t>
            </w:r>
          </w:p>
        </w:tc>
        <w:tc>
          <w:tcPr>
            <w:tcW w:w="876" w:type="dxa"/>
            <w:shd w:val="clear" w:color="auto" w:fill="auto"/>
          </w:tcPr>
          <w:p w14:paraId="5BF0954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0.20</w:t>
            </w:r>
          </w:p>
        </w:tc>
        <w:tc>
          <w:tcPr>
            <w:tcW w:w="847" w:type="dxa"/>
            <w:shd w:val="clear" w:color="auto" w:fill="auto"/>
          </w:tcPr>
          <w:p w14:paraId="379B2DA4"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0.86</w:t>
            </w:r>
          </w:p>
        </w:tc>
        <w:tc>
          <w:tcPr>
            <w:tcW w:w="847" w:type="dxa"/>
            <w:shd w:val="clear" w:color="auto" w:fill="auto"/>
          </w:tcPr>
          <w:p w14:paraId="5732C18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0.62</w:t>
            </w:r>
          </w:p>
        </w:tc>
        <w:tc>
          <w:tcPr>
            <w:tcW w:w="847" w:type="dxa"/>
            <w:shd w:val="clear" w:color="auto" w:fill="auto"/>
          </w:tcPr>
          <w:p w14:paraId="5137F0F3"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0.50</w:t>
            </w:r>
          </w:p>
        </w:tc>
        <w:tc>
          <w:tcPr>
            <w:tcW w:w="847" w:type="dxa"/>
            <w:shd w:val="clear" w:color="auto" w:fill="auto"/>
          </w:tcPr>
          <w:p w14:paraId="6A2372FD"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0.42</w:t>
            </w:r>
          </w:p>
        </w:tc>
        <w:tc>
          <w:tcPr>
            <w:tcW w:w="847" w:type="dxa"/>
            <w:shd w:val="clear" w:color="auto" w:fill="auto"/>
          </w:tcPr>
          <w:p w14:paraId="6CFF568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0.36</w:t>
            </w:r>
          </w:p>
        </w:tc>
        <w:tc>
          <w:tcPr>
            <w:tcW w:w="847" w:type="dxa"/>
            <w:shd w:val="clear" w:color="auto" w:fill="auto"/>
          </w:tcPr>
          <w:p w14:paraId="1AA6AA12"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0.32</w:t>
            </w:r>
          </w:p>
        </w:tc>
        <w:tc>
          <w:tcPr>
            <w:tcW w:w="847" w:type="dxa"/>
            <w:shd w:val="clear" w:color="auto" w:fill="auto"/>
          </w:tcPr>
          <w:p w14:paraId="06D73D4C"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0.28</w:t>
            </w:r>
          </w:p>
        </w:tc>
        <w:tc>
          <w:tcPr>
            <w:tcW w:w="847" w:type="dxa"/>
            <w:shd w:val="clear" w:color="auto" w:fill="auto"/>
          </w:tcPr>
          <w:p w14:paraId="0A574E6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0.26</w:t>
            </w:r>
          </w:p>
        </w:tc>
        <w:tc>
          <w:tcPr>
            <w:tcW w:w="831" w:type="dxa"/>
            <w:shd w:val="clear" w:color="auto" w:fill="auto"/>
          </w:tcPr>
          <w:p w14:paraId="526764F6" w14:textId="77777777" w:rsidR="00A8615A" w:rsidRPr="009C2E9F" w:rsidRDefault="00A8615A" w:rsidP="005A0249">
            <w:pPr>
              <w:pStyle w:val="Heading3"/>
              <w:spacing w:before="240" w:beforeAutospacing="0" w:after="240" w:afterAutospacing="0"/>
              <w:jc w:val="both"/>
              <w:outlineLvl w:val="2"/>
              <w:cnfStyle w:val="000000100000" w:firstRow="0" w:lastRow="0" w:firstColumn="0" w:lastColumn="0" w:oddVBand="0" w:evenVBand="0" w:oddHBand="1"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0.23</w:t>
            </w:r>
          </w:p>
        </w:tc>
      </w:tr>
      <w:tr w:rsidR="00A8615A" w:rsidRPr="009C2E9F" w14:paraId="1D47BD6D" w14:textId="77777777" w:rsidTr="006C5B90">
        <w:tc>
          <w:tcPr>
            <w:cnfStyle w:val="001000000000" w:firstRow="0" w:lastRow="0" w:firstColumn="1" w:lastColumn="0" w:oddVBand="0" w:evenVBand="0" w:oddHBand="0" w:evenHBand="0" w:firstRowFirstColumn="0" w:firstRowLastColumn="0" w:lastRowFirstColumn="0" w:lastRowLastColumn="0"/>
            <w:tcW w:w="1080" w:type="dxa"/>
            <w:shd w:val="clear" w:color="auto" w:fill="auto"/>
          </w:tcPr>
          <w:p w14:paraId="040482C3" w14:textId="77777777" w:rsidR="00A8615A" w:rsidRPr="009C2E9F" w:rsidRDefault="00A8615A" w:rsidP="005A0249">
            <w:pPr>
              <w:pStyle w:val="Heading3"/>
              <w:spacing w:before="240" w:beforeAutospacing="0" w:after="240" w:afterAutospacing="0"/>
              <w:jc w:val="both"/>
              <w:outlineLvl w:val="2"/>
              <w:rPr>
                <w:rStyle w:val="Strong"/>
                <w:rFonts w:eastAsiaTheme="majorEastAsia"/>
                <w:b w:val="0"/>
                <w:bCs w:val="0"/>
                <w:sz w:val="24"/>
                <w:szCs w:val="24"/>
              </w:rPr>
            </w:pPr>
            <w:r w:rsidRPr="009C2E9F">
              <w:rPr>
                <w:rStyle w:val="Strong"/>
                <w:rFonts w:eastAsiaTheme="majorEastAsia"/>
                <w:b w:val="0"/>
                <w:bCs w:val="0"/>
                <w:sz w:val="24"/>
                <w:szCs w:val="24"/>
              </w:rPr>
              <w:t>GDP</w:t>
            </w:r>
          </w:p>
        </w:tc>
        <w:tc>
          <w:tcPr>
            <w:tcW w:w="876" w:type="dxa"/>
            <w:shd w:val="clear" w:color="auto" w:fill="auto"/>
          </w:tcPr>
          <w:p w14:paraId="3C192A23"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90.64</w:t>
            </w:r>
          </w:p>
        </w:tc>
        <w:tc>
          <w:tcPr>
            <w:tcW w:w="847" w:type="dxa"/>
            <w:shd w:val="clear" w:color="auto" w:fill="auto"/>
          </w:tcPr>
          <w:p w14:paraId="2C725C81"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89.67</w:t>
            </w:r>
          </w:p>
        </w:tc>
        <w:tc>
          <w:tcPr>
            <w:tcW w:w="847" w:type="dxa"/>
            <w:shd w:val="clear" w:color="auto" w:fill="auto"/>
          </w:tcPr>
          <w:p w14:paraId="3A5387E5"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83.54</w:t>
            </w:r>
          </w:p>
        </w:tc>
        <w:tc>
          <w:tcPr>
            <w:tcW w:w="847" w:type="dxa"/>
            <w:shd w:val="clear" w:color="auto" w:fill="auto"/>
          </w:tcPr>
          <w:p w14:paraId="31913D8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83.10</w:t>
            </w:r>
          </w:p>
        </w:tc>
        <w:tc>
          <w:tcPr>
            <w:tcW w:w="847" w:type="dxa"/>
            <w:shd w:val="clear" w:color="auto" w:fill="auto"/>
          </w:tcPr>
          <w:p w14:paraId="2BF215A6"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83.18</w:t>
            </w:r>
          </w:p>
        </w:tc>
        <w:tc>
          <w:tcPr>
            <w:tcW w:w="847" w:type="dxa"/>
            <w:shd w:val="clear" w:color="auto" w:fill="auto"/>
          </w:tcPr>
          <w:p w14:paraId="01353E3A"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82.88</w:t>
            </w:r>
          </w:p>
        </w:tc>
        <w:tc>
          <w:tcPr>
            <w:tcW w:w="847" w:type="dxa"/>
            <w:shd w:val="clear" w:color="auto" w:fill="auto"/>
          </w:tcPr>
          <w:p w14:paraId="72A0DE08"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82.74</w:t>
            </w:r>
          </w:p>
        </w:tc>
        <w:tc>
          <w:tcPr>
            <w:tcW w:w="847" w:type="dxa"/>
            <w:shd w:val="clear" w:color="auto" w:fill="auto"/>
          </w:tcPr>
          <w:p w14:paraId="2072C422"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82.66</w:t>
            </w:r>
          </w:p>
        </w:tc>
        <w:tc>
          <w:tcPr>
            <w:tcW w:w="847" w:type="dxa"/>
            <w:shd w:val="clear" w:color="auto" w:fill="auto"/>
          </w:tcPr>
          <w:p w14:paraId="6DDB08AB"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82.57</w:t>
            </w:r>
          </w:p>
        </w:tc>
        <w:tc>
          <w:tcPr>
            <w:tcW w:w="831" w:type="dxa"/>
            <w:shd w:val="clear" w:color="auto" w:fill="auto"/>
          </w:tcPr>
          <w:p w14:paraId="06E86A6E" w14:textId="77777777" w:rsidR="00A8615A" w:rsidRPr="009C2E9F" w:rsidRDefault="00A8615A" w:rsidP="005A0249">
            <w:pPr>
              <w:pStyle w:val="Heading3"/>
              <w:spacing w:before="240" w:beforeAutospacing="0" w:after="240" w:afterAutospacing="0"/>
              <w:jc w:val="both"/>
              <w:outlineLvl w:val="2"/>
              <w:cnfStyle w:val="000000000000" w:firstRow="0" w:lastRow="0" w:firstColumn="0" w:lastColumn="0" w:oddVBand="0" w:evenVBand="0" w:oddHBand="0" w:evenHBand="0" w:firstRowFirstColumn="0" w:firstRowLastColumn="0" w:lastRowFirstColumn="0" w:lastRowLastColumn="0"/>
              <w:rPr>
                <w:rStyle w:val="Strong"/>
                <w:rFonts w:eastAsiaTheme="majorEastAsia"/>
                <w:sz w:val="24"/>
                <w:szCs w:val="24"/>
              </w:rPr>
            </w:pPr>
            <w:r w:rsidRPr="009C2E9F">
              <w:rPr>
                <w:rStyle w:val="Strong"/>
                <w:rFonts w:eastAsiaTheme="majorEastAsia"/>
                <w:sz w:val="24"/>
                <w:szCs w:val="24"/>
              </w:rPr>
              <w:t>82.50</w:t>
            </w:r>
          </w:p>
        </w:tc>
      </w:tr>
    </w:tbl>
    <w:p w14:paraId="3FB0BC51" w14:textId="77777777" w:rsidR="00A8615A" w:rsidRPr="009C2E9F" w:rsidRDefault="00A8615A" w:rsidP="005A0249">
      <w:pPr>
        <w:pStyle w:val="NormalWeb"/>
        <w:spacing w:before="240" w:beforeAutospacing="0" w:after="240" w:afterAutospacing="0"/>
        <w:jc w:val="both"/>
      </w:pPr>
      <w:r w:rsidRPr="009C2E9F">
        <w:t>The variance decomposition results indicate that each variable is largely driven by its own shocks, particularly in the short run. However, over time, the influence of other variables becomes more pronounced. Exchange rate is predominantly self-explanatory, although the contribution of economic growth increases steadily, reaching approximately 15% in the long run. Inflation contributes minimally to exchange rate fluctuations. Inflation is largely explained by its own innovations, with exchange rate accounting for about 16% of its variation, suggesting the presence of exchange rate pass-through effects. Economic growth is mainly self-</w:t>
      </w:r>
      <w:r w:rsidRPr="009C2E9F">
        <w:lastRenderedPageBreak/>
        <w:t>driven; however, the contribution of exchange rate increases significantly over time, indicating that exchange rate dynamics play an important role in influencing growth.</w:t>
      </w:r>
    </w:p>
    <w:p w14:paraId="239EBF5F" w14:textId="77777777" w:rsidR="00CB3223" w:rsidRDefault="00CB3223" w:rsidP="005A0249">
      <w:pPr>
        <w:pStyle w:val="NormalWeb"/>
        <w:spacing w:before="240" w:beforeAutospacing="0" w:after="240" w:afterAutospacing="0"/>
        <w:jc w:val="both"/>
        <w:rPr>
          <w:b/>
          <w:bCs/>
        </w:rPr>
      </w:pPr>
    </w:p>
    <w:p w14:paraId="26D465C4" w14:textId="6C37615B" w:rsidR="00A608CF" w:rsidRPr="009C2E9F" w:rsidRDefault="00D028F5" w:rsidP="005A0249">
      <w:pPr>
        <w:pStyle w:val="NormalWeb"/>
        <w:spacing w:before="240" w:beforeAutospacing="0" w:after="240" w:afterAutospacing="0"/>
        <w:jc w:val="both"/>
        <w:rPr>
          <w:b/>
          <w:bCs/>
        </w:rPr>
      </w:pPr>
      <w:r w:rsidRPr="009C2E9F">
        <w:rPr>
          <w:b/>
          <w:bCs/>
        </w:rPr>
        <w:t xml:space="preserve">COMPARATIVE DISCUSSION </w:t>
      </w:r>
      <w:r w:rsidR="00F41757" w:rsidRPr="009C2E9F">
        <w:rPr>
          <w:b/>
          <w:bCs/>
        </w:rPr>
        <w:t>BETWEEN PRE-COVID 19 AND POST-COVID 19</w:t>
      </w:r>
      <w:r w:rsidR="00BF26D4" w:rsidRPr="009C2E9F">
        <w:rPr>
          <w:b/>
          <w:bCs/>
        </w:rPr>
        <w:t xml:space="preserve"> PERIODS</w:t>
      </w:r>
    </w:p>
    <w:p w14:paraId="7CE40A13" w14:textId="22325BC2" w:rsidR="00945593" w:rsidRPr="009C2E9F" w:rsidRDefault="0094559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comparative analysis between the pre-COVID-19 and post-COVID-19 periods provides important insights into how the pandemic altered the structure, behavior, and transmission of macroeconomic shocks in Nigeria. The results reveal that the COVID-19 pandemic created significant structural changes in the Nigerian economy, affecting both the short-run dynamics and long-run equilibrium relationships among exchange rate, inflation, economic growth, interest rate, exports, and money supply.</w:t>
      </w:r>
    </w:p>
    <w:p w14:paraId="1985189B" w14:textId="77777777" w:rsidR="00DE1A19" w:rsidRPr="009C2E9F" w:rsidRDefault="00DE1A1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A major difference observed between the two periods relates to the behavior of exchange rate volatility. During the pre-COVID-19 period, the exchange rate already exhibited substantial volatility, but the post-pandemic period recorded far more severe depreciation pressures and wider fluctuations. The mean exchange rate increased dramatically from approximately 13.41 in the pre-pandemic era to about 90.44 in the post-pandemic period. This sharp increase reflects the significant depreciation of the Nigerian currency following the COVID-19 crisis. The depreciation was largely driven by declining oil export revenues, capital flight, reduced foreign direct investment inflows, depletion of foreign reserves, and increased demand for foreign exchange during the pandemic period.</w:t>
      </w:r>
    </w:p>
    <w:p w14:paraId="00F6DCE6" w14:textId="7B9953EC" w:rsidR="00DE1A19" w:rsidRPr="009C2E9F" w:rsidRDefault="00DE1A1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comparative results further revealed important changes in the distributional properties of macroeconomic variables. In the pre-COVID-19 period, most variables exhibited strong non-normality, high skewness, and leptokurtic behavior, indicating persistent macroeconomic instability and frequent extreme fluctuations. However, the post-COVID-19 results showed relatively improved normality conditions and lower skewness across most variables. This apparent improvement does not necessarily imply stronger economic performance; rather, it may reflect the shorter sample period and the stabilization effects of emergency policy interventions implemented during and after the pandemic. The aggressive monetary and fiscal responses introduced by the Central Bank of Nigeria and the Federal Government helped moderate some macroeconomic fluctuations temporarily.</w:t>
      </w:r>
    </w:p>
    <w:p w14:paraId="731A7E71" w14:textId="77777777" w:rsidR="00357DE9" w:rsidRPr="009C2E9F" w:rsidRDefault="00357DE9"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Before the COVID-19 pandemic, the Nigerian economy exhibited stronger long-run macroeconomic relationships and relatively more stable adjustment mechanisms despite the presence of volatility. The pre-pandemic results showed the existence of five cointegrating equations, indicating a strong and stable long-run relationship among the macroeconomic variables. This suggests that macroeconomic variables moved together over time and that shocks were eventually corrected through long-run equilibrium adjustments. However, in the post-COVID-19 period, the number of cointegrating relationships reduced significantly. The trace and maximum eigenvalue tests revealed weaker long-run integration among the variables after the pandemic. This structural weakening can largely be attributed to the severe economic disruptions caused by the COVID-19 crisis, including lockdown measures, supply chain disruptions, reduced international trade, oil price collapse, and declining foreign exchange earnings.</w:t>
      </w:r>
    </w:p>
    <w:p w14:paraId="42116B88" w14:textId="77777777" w:rsidR="00357D4B" w:rsidRPr="009C2E9F" w:rsidRDefault="00357D4B"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Another major structural difference lies in the speed of adjustment toward long-run equilibrium. During the pre-COVID-19 period, exchange rate, exports, and money supply exhibited statistically significant error correction mechanisms, indicating relatively stronger adjustment processes whenever disequilibrium occurred. In contrast, after the pandemic, exchange rate became the only variable with a statistically significant adjustment coefficient. Inflation, economic growth, exports, interest rate, and money supply all displayed weak and insignificant adjustment processes. This suggests that the pandemic weakened the economy’s ability to self-correct after macroeconomic shocks.</w:t>
      </w:r>
    </w:p>
    <w:p w14:paraId="3157105B" w14:textId="77777777" w:rsidR="00357D4B" w:rsidRPr="009C2E9F" w:rsidRDefault="00357D4B"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 xml:space="preserve">Several reasons may explain this weakened adjustment mechanism in the post-pandemic period. First, the pandemic generated unprecedented uncertainty in both domestic and global markets, reducing the effectiveness of traditional monetary and fiscal policy tools. Second, disruptions to production activities, logistics, and international trade reduced the responsiveness of key macroeconomic variables to policy adjustments. Third, </w:t>
      </w:r>
      <w:r w:rsidRPr="009C2E9F">
        <w:rPr>
          <w:rFonts w:ascii="Times New Roman" w:eastAsia="Times New Roman" w:hAnsi="Times New Roman" w:cs="Times New Roman"/>
          <w:sz w:val="24"/>
          <w:szCs w:val="24"/>
        </w:rPr>
        <w:lastRenderedPageBreak/>
        <w:t>structural weaknesses such as low industrial productivity, import dependency, weak infrastructure, and insecurity further constrained economic recovery efforts.</w:t>
      </w:r>
    </w:p>
    <w:p w14:paraId="4390E1FC" w14:textId="77777777" w:rsidR="00F55873" w:rsidRPr="009C2E9F" w:rsidRDefault="00F5587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short-run dynamics also changed substantially across the two regimes. Before COVID-19, GDP significantly influenced exchange rate and inflation dynamics in the short run, indicating stronger macroeconomic interdependence. However, in the post-COVID-19 period, the short-run interactions among exchange rate, inflation, and economic growth became statistically insignificant. This implies that the transmission of shocks across macroeconomic variables weakened after the pandemic.</w:t>
      </w:r>
    </w:p>
    <w:p w14:paraId="283A4F00" w14:textId="77777777" w:rsidR="00F55873" w:rsidRPr="009C2E9F" w:rsidRDefault="00F55873"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This weakening may be attributed to several pandemic-related disruptions. The COVID-19 crisis severely reduced economic activities due to lockdown measures, business closures, and declining household consumption. Consequently, the normal transmission channels through which macroeconomic variables influence one another became less effective. In addition, heightened uncertainty caused economic agents to respond cautiously to policy changes, thereby reducing the short-run effectiveness of stabilization policies.</w:t>
      </w:r>
    </w:p>
    <w:p w14:paraId="0D313120" w14:textId="77777777" w:rsidR="004C4151" w:rsidRPr="009C2E9F" w:rsidRDefault="004C4151"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Granger causality results also revealed notable regime differences. In the pre-pandemic period, GDP and money supply significantly influenced exchange rate movements, while exchange rate, interest rate, and exports significantly affected inflation. This indicates that macroeconomic fundamentals played stronger explanatory roles before the pandemic. However, in the post-pandemic period, exports emerged as the major variable influencing economic growth, while exchange rate and inflation became less responsive to domestic macroeconomic variables.</w:t>
      </w:r>
    </w:p>
    <w:p w14:paraId="4EBCEA8F" w14:textId="77777777" w:rsidR="0084773E" w:rsidRPr="009C2E9F" w:rsidRDefault="0084773E"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This shift reflects the increasing dominance of external shocks and structural constraints after COVID-19. During the pandemic, the Nigerian economy became more vulnerable to global developments such as oil price fluctuations, disruptions in global supply chains, rising import costs, and external financial instability. As a result, domestic macroeconomic variables lost part of their explanatory power over exchange rate and inflation dynamics.</w:t>
      </w:r>
    </w:p>
    <w:p w14:paraId="0595520F" w14:textId="77777777" w:rsidR="00FA703A" w:rsidRPr="009C2E9F" w:rsidRDefault="00FA703A"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variance decomposition analysis further supports the existence of regime differences between the two periods. Before the pandemic, macroeconomic variables were largely explained by their own shocks, with relatively smaller contributions from other variables over time. In the post-pandemic period, however, exchange rate contributed more strongly to variations in inflation and economic growth. This suggests stronger exchange rate pass-through effects after the pandemic.</w:t>
      </w:r>
    </w:p>
    <w:p w14:paraId="4C79C936" w14:textId="77777777" w:rsidR="00FA703A" w:rsidRPr="009C2E9F" w:rsidRDefault="00FA703A"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The increased influence of exchange rate shocks on inflation and growth can be explained by Nigeria’s high import dependency. Following the COVID-19 pandemic, exchange rate depreciation significantly increased import costs, which transmitted directly into higher domestic prices and production costs. This further intensified inflationary pressures and constrained economic growth.</w:t>
      </w:r>
    </w:p>
    <w:p w14:paraId="3CB1BEE2" w14:textId="77777777" w:rsidR="006015E7" w:rsidRPr="009C2E9F" w:rsidRDefault="006015E7" w:rsidP="005A0249">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Overall, the regime comparison demonstrates that the COVID-19 pandemic significantly altered the macroeconomic structure of Nigeria. The pre-COVID-19 period was characterized by stronger long-run relationships, more effective adjustment mechanisms, and greater macroeconomic interdependence. In contrast, the post-COVID-19 period experienced weaker equilibrium relationships, slower adjustment processes, stronger exchange rate dominance, and reduced effectiveness of macroeconomic policy transmission mechanisms.</w:t>
      </w:r>
    </w:p>
    <w:p w14:paraId="2ABE0436" w14:textId="4C4D77E1" w:rsidR="008362CF" w:rsidRPr="00F05EAC" w:rsidRDefault="006015E7" w:rsidP="00F05EAC">
      <w:pPr>
        <w:spacing w:before="240" w:after="240" w:line="240" w:lineRule="auto"/>
        <w:jc w:val="both"/>
        <w:rPr>
          <w:rFonts w:ascii="Times New Roman" w:eastAsia="Times New Roman" w:hAnsi="Times New Roman" w:cs="Times New Roman"/>
          <w:sz w:val="24"/>
          <w:szCs w:val="24"/>
        </w:rPr>
      </w:pPr>
      <w:r w:rsidRPr="009C2E9F">
        <w:rPr>
          <w:rFonts w:ascii="Times New Roman" w:eastAsia="Times New Roman" w:hAnsi="Times New Roman" w:cs="Times New Roman"/>
          <w:sz w:val="24"/>
          <w:szCs w:val="24"/>
        </w:rPr>
        <w:t xml:space="preserve">The findings therefore suggest that the pandemic not only generated temporary economic disruptions but also created </w:t>
      </w:r>
      <w:r w:rsidR="00F05EAC">
        <w:rPr>
          <w:rFonts w:ascii="Times New Roman" w:eastAsia="Times New Roman" w:hAnsi="Times New Roman" w:cs="Times New Roman"/>
          <w:sz w:val="24"/>
          <w:szCs w:val="24"/>
        </w:rPr>
        <w:t>bigger</w:t>
      </w:r>
      <w:r w:rsidRPr="009C2E9F">
        <w:rPr>
          <w:rFonts w:ascii="Times New Roman" w:eastAsia="Times New Roman" w:hAnsi="Times New Roman" w:cs="Times New Roman"/>
          <w:sz w:val="24"/>
          <w:szCs w:val="24"/>
        </w:rPr>
        <w:t xml:space="preserve"> structural changes within the Nigerian economy. These structural changes highlight the urgent need for economic diversification, stronger institutional reforms, improved domestic production capacity, and more resilient macroeconomic policy frameworks capable of withstanding future global shocks.</w:t>
      </w:r>
    </w:p>
    <w:p w14:paraId="4C022042" w14:textId="53F9A1B8" w:rsidR="00384A5D" w:rsidRPr="00893DDB" w:rsidRDefault="00384A5D" w:rsidP="005A0249">
      <w:pPr>
        <w:pStyle w:val="NormalWeb"/>
        <w:spacing w:before="240" w:beforeAutospacing="0" w:after="240" w:afterAutospacing="0"/>
        <w:jc w:val="both"/>
        <w:rPr>
          <w:b/>
          <w:bCs/>
          <w:sz w:val="28"/>
          <w:szCs w:val="28"/>
        </w:rPr>
      </w:pPr>
      <w:r w:rsidRPr="00893DDB">
        <w:rPr>
          <w:b/>
          <w:bCs/>
          <w:sz w:val="28"/>
          <w:szCs w:val="28"/>
        </w:rPr>
        <w:t>CONCLUSION</w:t>
      </w:r>
    </w:p>
    <w:p w14:paraId="6C448148" w14:textId="27E0EDB5" w:rsidR="00384A5D" w:rsidRPr="009C2E9F" w:rsidRDefault="00384A5D" w:rsidP="005A0249">
      <w:pPr>
        <w:pStyle w:val="NormalWeb"/>
        <w:spacing w:before="240" w:beforeAutospacing="0" w:after="240" w:afterAutospacing="0"/>
        <w:jc w:val="both"/>
      </w:pPr>
      <w:r w:rsidRPr="009C2E9F">
        <w:t xml:space="preserve">This study examined the modeling of macroeconomic shocks in Nigeria using the Vector Error Correction Model framework during the pre-COVID-19 and post-COVID-19 periods. The findings revealed that </w:t>
      </w:r>
      <w:r w:rsidRPr="009C2E9F">
        <w:lastRenderedPageBreak/>
        <w:t>macroeconomic variables in Nigeria are strongly interconnected and maintain long-run equilibrium relationships despite short-run disturbances.</w:t>
      </w:r>
    </w:p>
    <w:p w14:paraId="4CAA9E39" w14:textId="10B8E0CB" w:rsidR="00384A5D" w:rsidRPr="009C2E9F" w:rsidRDefault="00384A5D" w:rsidP="005A0249">
      <w:pPr>
        <w:pStyle w:val="NormalWeb"/>
        <w:spacing w:before="240" w:beforeAutospacing="0" w:after="240" w:afterAutospacing="0"/>
        <w:jc w:val="both"/>
      </w:pPr>
      <w:r w:rsidRPr="009C2E9F">
        <w:t>The study established that the COVID-19 pandemic significantly altered the dynamics of macroeconomic relationships in Nigeria. Before the pandemic, the economy exhibited stronger long-run relationships and more effective adjustment mechanisms. However, after the pandemic, the economy experienced weaker cointegration relationships, slower adjustment processes, and reduced short-run interactions among macroeconomic variables.</w:t>
      </w:r>
    </w:p>
    <w:p w14:paraId="2A388493" w14:textId="2C1C046E" w:rsidR="00384A5D" w:rsidRPr="009C2E9F" w:rsidRDefault="00384A5D" w:rsidP="005A0249">
      <w:pPr>
        <w:pStyle w:val="NormalWeb"/>
        <w:spacing w:before="240" w:beforeAutospacing="0" w:after="240" w:afterAutospacing="0"/>
        <w:jc w:val="both"/>
      </w:pPr>
      <w:r w:rsidRPr="009C2E9F">
        <w:t>The results further revealed that exchange rate became the most dominant adjustment variable after the pandemic, reflecting the heightened vulnerability of the Nigerian economy to exchange rate instability and external shocks. Money supply also remained a critical determinant of macroeconomic performance across both periods, indicating the importance of monetary policy in Nigeria’s economic management.</w:t>
      </w:r>
    </w:p>
    <w:p w14:paraId="6222876D" w14:textId="2974BB2E" w:rsidR="00246F82" w:rsidRPr="009C2E9F" w:rsidRDefault="00384A5D" w:rsidP="00F05EAC">
      <w:pPr>
        <w:pStyle w:val="NormalWeb"/>
        <w:spacing w:before="240" w:beforeAutospacing="0" w:after="240" w:afterAutospacing="0"/>
        <w:jc w:val="both"/>
      </w:pPr>
      <w:r w:rsidRPr="009C2E9F">
        <w:t>Overall, the study concludes that macroeconomic shocks in Nigeria are transmitted through both short-run and long-run channels, but the COVID-19 pandemic weakened the effectiveness of these transmission mechanisms. The persistence of structural rigidities, exchange rate instability, inflationary pressures, and weak productive capacity continues to limit the ability of macroeconomic policies to achieve sustainable economic stability and growth in Nigeria.</w:t>
      </w:r>
    </w:p>
    <w:p w14:paraId="10EFA25B" w14:textId="0DD2EFDC" w:rsidR="008C74B5" w:rsidRPr="00893DDB" w:rsidRDefault="008C74B5" w:rsidP="005A0249">
      <w:pPr>
        <w:spacing w:before="240" w:after="240" w:line="240" w:lineRule="auto"/>
        <w:jc w:val="both"/>
        <w:rPr>
          <w:rFonts w:ascii="Times New Roman" w:eastAsia="Times New Roman" w:hAnsi="Times New Roman" w:cs="Times New Roman"/>
          <w:b/>
          <w:bCs/>
          <w:sz w:val="28"/>
          <w:szCs w:val="28"/>
        </w:rPr>
      </w:pPr>
      <w:r w:rsidRPr="00893DDB">
        <w:rPr>
          <w:rFonts w:ascii="Times New Roman" w:eastAsia="Times New Roman" w:hAnsi="Times New Roman" w:cs="Times New Roman"/>
          <w:b/>
          <w:bCs/>
          <w:sz w:val="28"/>
          <w:szCs w:val="28"/>
        </w:rPr>
        <w:t>REFERENCE</w:t>
      </w:r>
      <w:r w:rsidR="004F553B" w:rsidRPr="00893DDB">
        <w:rPr>
          <w:rFonts w:ascii="Times New Roman" w:eastAsia="Times New Roman" w:hAnsi="Times New Roman" w:cs="Times New Roman"/>
          <w:b/>
          <w:bCs/>
          <w:sz w:val="28"/>
          <w:szCs w:val="28"/>
        </w:rPr>
        <w:t>S</w:t>
      </w:r>
    </w:p>
    <w:p w14:paraId="0A0499F6" w14:textId="77777777" w:rsidR="00382D69" w:rsidRPr="0047074E" w:rsidRDefault="00382D69" w:rsidP="00382D69">
      <w:pPr>
        <w:pStyle w:val="ListParagraph"/>
        <w:numPr>
          <w:ilvl w:val="0"/>
          <w:numId w:val="1"/>
        </w:numPr>
        <w:spacing w:before="240" w:after="240" w:line="240" w:lineRule="auto"/>
        <w:jc w:val="both"/>
        <w:rPr>
          <w:rFonts w:ascii="Times New Roman" w:hAnsi="Times New Roman" w:cs="Times New Roman"/>
          <w:sz w:val="24"/>
          <w:szCs w:val="24"/>
        </w:rPr>
      </w:pPr>
      <w:r w:rsidRPr="0047074E">
        <w:rPr>
          <w:rFonts w:ascii="Times New Roman" w:eastAsia="Times New Roman" w:hAnsi="Times New Roman" w:cs="Times New Roman"/>
          <w:sz w:val="24"/>
          <w:szCs w:val="24"/>
        </w:rPr>
        <w:t xml:space="preserve">Adebanjo, S., Banchani, E., Mishiwo, S. H., &amp; Adejumo, B. (2026). </w:t>
      </w:r>
      <w:r w:rsidRPr="0047074E">
        <w:rPr>
          <w:rFonts w:ascii="Times New Roman" w:eastAsia="Times New Roman" w:hAnsi="Times New Roman" w:cs="Times New Roman"/>
          <w:i/>
          <w:iCs/>
          <w:sz w:val="24"/>
          <w:szCs w:val="24"/>
        </w:rPr>
        <w:t>Technological Innovation and Carbon Dioxide Emissions in Nigeria Using an EKC-STIRPAT VECM Framework with Artificial Neural Network Robustness</w:t>
      </w:r>
      <w:r w:rsidRPr="0047074E">
        <w:rPr>
          <w:rFonts w:ascii="Times New Roman" w:eastAsia="Times New Roman" w:hAnsi="Times New Roman" w:cs="Times New Roman"/>
          <w:sz w:val="24"/>
          <w:szCs w:val="24"/>
        </w:rPr>
        <w:t>. Discover Environment.</w:t>
      </w:r>
    </w:p>
    <w:p w14:paraId="57732B42" w14:textId="77777777" w:rsidR="00382D69" w:rsidRPr="0047074E" w:rsidRDefault="00382D69" w:rsidP="00330963">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Arulogun, O. O., Aruwaji, A. M., Adekeye, E. S., &amp; Peters, F. F. (2024). </w:t>
      </w:r>
      <w:r w:rsidRPr="0047074E">
        <w:rPr>
          <w:rFonts w:ascii="Times New Roman" w:eastAsia="Times New Roman" w:hAnsi="Times New Roman" w:cs="Times New Roman"/>
          <w:i/>
          <w:iCs/>
          <w:sz w:val="24"/>
          <w:szCs w:val="24"/>
        </w:rPr>
        <w:t>Impact of Fiscal Policy Variables and Oil Price Shocks on Sectoral Output Growth in Nigeria: Evidence from Vector Error Correction Model</w:t>
      </w:r>
      <w:r w:rsidRPr="0047074E">
        <w:rPr>
          <w:rFonts w:ascii="Times New Roman" w:eastAsia="Times New Roman" w:hAnsi="Times New Roman" w:cs="Times New Roman"/>
          <w:sz w:val="24"/>
          <w:szCs w:val="24"/>
        </w:rPr>
        <w:t xml:space="preserve">. International Journal of Economics and Financial Management. </w:t>
      </w:r>
    </w:p>
    <w:p w14:paraId="73480B8A" w14:textId="77777777" w:rsidR="00330963" w:rsidRPr="008B7B88" w:rsidRDefault="00330963" w:rsidP="00330963">
      <w:pPr>
        <w:pStyle w:val="NormalWeb"/>
        <w:numPr>
          <w:ilvl w:val="0"/>
          <w:numId w:val="1"/>
        </w:numPr>
        <w:spacing w:before="240" w:beforeAutospacing="0"/>
        <w:mirrorIndents/>
        <w:jc w:val="both"/>
        <w:rPr>
          <w:shd w:val="clear" w:color="auto" w:fill="FFFFFF"/>
        </w:rPr>
      </w:pPr>
      <w:r w:rsidRPr="00553026">
        <w:rPr>
          <w:shd w:val="clear" w:color="auto" w:fill="FFFFFF"/>
        </w:rPr>
        <w:t>Berhe, W. T., &amp;</w:t>
      </w:r>
      <w:r>
        <w:rPr>
          <w:shd w:val="clear" w:color="auto" w:fill="FFFFFF"/>
        </w:rPr>
        <w:t xml:space="preserve"> </w:t>
      </w:r>
      <w:r w:rsidRPr="00553026">
        <w:rPr>
          <w:shd w:val="clear" w:color="auto" w:fill="FFFFFF"/>
        </w:rPr>
        <w:t>Gebrehiwot, K. G. (2020). The effect of domestic currency devaluation on trade balance in Ethiopia. </w:t>
      </w:r>
      <w:r w:rsidRPr="00553026">
        <w:rPr>
          <w:i/>
          <w:iCs/>
          <w:shd w:val="clear" w:color="auto" w:fill="FFFFFF"/>
        </w:rPr>
        <w:t>Research Journal of Finance and Accounting</w:t>
      </w:r>
      <w:r w:rsidRPr="00553026">
        <w:rPr>
          <w:shd w:val="clear" w:color="auto" w:fill="FFFFFF"/>
        </w:rPr>
        <w:t>, </w:t>
      </w:r>
      <w:r w:rsidRPr="00553026">
        <w:rPr>
          <w:i/>
          <w:iCs/>
          <w:shd w:val="clear" w:color="auto" w:fill="FFFFFF"/>
        </w:rPr>
        <w:t>11</w:t>
      </w:r>
      <w:r w:rsidRPr="00553026">
        <w:rPr>
          <w:shd w:val="clear" w:color="auto" w:fill="FFFFFF"/>
        </w:rPr>
        <w:t>(1), 27-38.</w:t>
      </w:r>
    </w:p>
    <w:p w14:paraId="12A545A1" w14:textId="77777777" w:rsidR="00E54ECB" w:rsidRDefault="00E54ECB" w:rsidP="00E54ECB">
      <w:pPr>
        <w:pStyle w:val="NormalWeb"/>
        <w:numPr>
          <w:ilvl w:val="0"/>
          <w:numId w:val="1"/>
        </w:numPr>
        <w:spacing w:before="240" w:beforeAutospacing="0"/>
        <w:mirrorIndents/>
        <w:jc w:val="both"/>
      </w:pPr>
      <w:r w:rsidRPr="00553026">
        <w:t>Clarida, R., Galí, J., &amp;</w:t>
      </w:r>
      <w:r>
        <w:t xml:space="preserve"> </w:t>
      </w:r>
      <w:r w:rsidRPr="00553026">
        <w:t xml:space="preserve">Gertler, M. (1999). The science of monetary policy: A new Keynesian perspective. </w:t>
      </w:r>
      <w:r w:rsidRPr="00553026">
        <w:rPr>
          <w:i/>
          <w:iCs/>
        </w:rPr>
        <w:t>Journal of Economic Literature</w:t>
      </w:r>
      <w:r w:rsidRPr="00553026">
        <w:t>, 37(4), 1661-1707.</w:t>
      </w:r>
    </w:p>
    <w:p w14:paraId="3C478A2A" w14:textId="3CB388F5" w:rsidR="008F22A1" w:rsidRPr="009C050F" w:rsidRDefault="009C050F" w:rsidP="009C050F">
      <w:pPr>
        <w:pStyle w:val="NormalWeb"/>
        <w:numPr>
          <w:ilvl w:val="0"/>
          <w:numId w:val="1"/>
        </w:numPr>
        <w:spacing w:before="240" w:beforeAutospacing="0"/>
        <w:mirrorIndents/>
        <w:jc w:val="both"/>
      </w:pPr>
      <w:r w:rsidRPr="00553026">
        <w:t>Cletus Okwuchukwu, O., &amp;</w:t>
      </w:r>
      <w:r>
        <w:t xml:space="preserve"> </w:t>
      </w:r>
      <w:r w:rsidRPr="00553026">
        <w:t>Onyeanu</w:t>
      </w:r>
      <w:r>
        <w:t>,</w:t>
      </w:r>
      <w:r w:rsidRPr="00553026">
        <w:t xml:space="preserve"> E. O., Dr. (2023). Exchange Rate Fluctuations and Inflation on Economic Development in Nigeria: The Economic, HEART of a Nation. Seybold Report Journal, 18(10), 46- 64. DOI: 10.5110/77. 1082.</w:t>
      </w:r>
    </w:p>
    <w:p w14:paraId="47889431" w14:textId="1A0E93C4" w:rsidR="00405694"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Clive W. J. Granger (1981). </w:t>
      </w:r>
      <w:r w:rsidRPr="0047074E">
        <w:rPr>
          <w:rFonts w:ascii="Times New Roman" w:eastAsia="Times New Roman" w:hAnsi="Times New Roman" w:cs="Times New Roman"/>
          <w:i/>
          <w:iCs/>
          <w:sz w:val="24"/>
          <w:szCs w:val="24"/>
        </w:rPr>
        <w:t>Some Properties of Time Series Data and Their Use in Econometric Model Specification</w:t>
      </w:r>
      <w:r w:rsidRPr="0047074E">
        <w:rPr>
          <w:rFonts w:ascii="Times New Roman" w:eastAsia="Times New Roman" w:hAnsi="Times New Roman" w:cs="Times New Roman"/>
          <w:sz w:val="24"/>
          <w:szCs w:val="24"/>
        </w:rPr>
        <w:t xml:space="preserve">. Journal of Econometrics, 16(1), 121–130. </w:t>
      </w:r>
    </w:p>
    <w:p w14:paraId="5D89AF0A" w14:textId="77777777" w:rsidR="009C050F" w:rsidRPr="0047074E" w:rsidRDefault="009C050F" w:rsidP="009C050F">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Damodar N. Gujarati &amp; Dawn C. Porter (2009). </w:t>
      </w:r>
      <w:r w:rsidRPr="0047074E">
        <w:rPr>
          <w:rFonts w:ascii="Times New Roman" w:eastAsia="Times New Roman" w:hAnsi="Times New Roman" w:cs="Times New Roman"/>
          <w:i/>
          <w:iCs/>
          <w:sz w:val="24"/>
          <w:szCs w:val="24"/>
        </w:rPr>
        <w:t>Basic Econometrics</w:t>
      </w:r>
      <w:r w:rsidRPr="0047074E">
        <w:rPr>
          <w:rFonts w:ascii="Times New Roman" w:eastAsia="Times New Roman" w:hAnsi="Times New Roman" w:cs="Times New Roman"/>
          <w:sz w:val="24"/>
          <w:szCs w:val="24"/>
        </w:rPr>
        <w:t xml:space="preserve"> (5th Edition). McGraw-Hill Education.</w:t>
      </w:r>
    </w:p>
    <w:p w14:paraId="3F615DFD" w14:textId="77777777" w:rsidR="00AB7C3E" w:rsidRDefault="00AB7C3E" w:rsidP="00AB7C3E">
      <w:pPr>
        <w:pStyle w:val="NormalWeb"/>
        <w:numPr>
          <w:ilvl w:val="0"/>
          <w:numId w:val="1"/>
        </w:numPr>
        <w:spacing w:before="240" w:beforeAutospacing="0"/>
        <w:mirrorIndents/>
        <w:jc w:val="both"/>
      </w:pPr>
      <w:r w:rsidRPr="00553026">
        <w:t xml:space="preserve">Fisher, I. (1911). </w:t>
      </w:r>
      <w:r w:rsidRPr="00553026">
        <w:rPr>
          <w:i/>
          <w:iCs/>
        </w:rPr>
        <w:t>The Purchasing Power of Money</w:t>
      </w:r>
      <w:r w:rsidRPr="00553026">
        <w:t>. Macmillan.</w:t>
      </w:r>
    </w:p>
    <w:p w14:paraId="2DC0B641" w14:textId="77777777" w:rsidR="00EF6C65" w:rsidRDefault="00EF6C65" w:rsidP="00EF6C65">
      <w:pPr>
        <w:pStyle w:val="NormalWeb"/>
        <w:numPr>
          <w:ilvl w:val="0"/>
          <w:numId w:val="1"/>
        </w:numPr>
        <w:spacing w:before="240" w:beforeAutospacing="0"/>
        <w:mirrorIndents/>
        <w:jc w:val="both"/>
      </w:pPr>
      <w:r w:rsidRPr="00553026">
        <w:t xml:space="preserve">Gujarati, D. N., &amp; Porter, D. C. (2009). </w:t>
      </w:r>
      <w:r w:rsidRPr="00553026">
        <w:rPr>
          <w:rStyle w:val="Emphasis"/>
        </w:rPr>
        <w:t>Basic econometrics</w:t>
      </w:r>
      <w:r w:rsidRPr="00553026">
        <w:t xml:space="preserve"> (5th ed.). McGraw</w:t>
      </w:r>
      <w:r w:rsidRPr="00553026">
        <w:noBreakHyphen/>
        <w:t>Hill/Irwin.</w:t>
      </w:r>
    </w:p>
    <w:p w14:paraId="709AD8F0" w14:textId="77777777" w:rsidR="003630E5" w:rsidRPr="0047074E" w:rsidRDefault="003630E5" w:rsidP="003630E5">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Ifeacho, C. I., Olasehinde, T. J., &amp; Mpala, N. (2025). </w:t>
      </w:r>
      <w:r w:rsidRPr="0047074E">
        <w:rPr>
          <w:rFonts w:ascii="Times New Roman" w:eastAsia="Times New Roman" w:hAnsi="Times New Roman" w:cs="Times New Roman"/>
          <w:i/>
          <w:iCs/>
          <w:sz w:val="24"/>
          <w:szCs w:val="24"/>
        </w:rPr>
        <w:t>Inflation and Economic Growth Dynamics in Nigeria: Evidence from the SVEC Model and Frequency-Domain Causality Approach</w:t>
      </w:r>
      <w:r w:rsidRPr="0047074E">
        <w:rPr>
          <w:rFonts w:ascii="Times New Roman" w:eastAsia="Times New Roman" w:hAnsi="Times New Roman" w:cs="Times New Roman"/>
          <w:sz w:val="24"/>
          <w:szCs w:val="24"/>
        </w:rPr>
        <w:t xml:space="preserve">. International Journal of Applied Research in Business and Management. </w:t>
      </w:r>
    </w:p>
    <w:p w14:paraId="1AEAADE0" w14:textId="77777777" w:rsidR="003630E5" w:rsidRPr="0047074E" w:rsidRDefault="003630E5" w:rsidP="003630E5">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James D. Hamilton (1994). </w:t>
      </w:r>
      <w:r w:rsidRPr="0047074E">
        <w:rPr>
          <w:rFonts w:ascii="Times New Roman" w:eastAsia="Times New Roman" w:hAnsi="Times New Roman" w:cs="Times New Roman"/>
          <w:i/>
          <w:iCs/>
          <w:sz w:val="24"/>
          <w:szCs w:val="24"/>
        </w:rPr>
        <w:t>Time Series Analysis</w:t>
      </w:r>
      <w:r w:rsidRPr="0047074E">
        <w:rPr>
          <w:rFonts w:ascii="Times New Roman" w:eastAsia="Times New Roman" w:hAnsi="Times New Roman" w:cs="Times New Roman"/>
          <w:sz w:val="24"/>
          <w:szCs w:val="24"/>
        </w:rPr>
        <w:t xml:space="preserve">. Princeton University Press. </w:t>
      </w:r>
    </w:p>
    <w:p w14:paraId="2DD9206E" w14:textId="77777777" w:rsidR="00C70767" w:rsidRPr="00553026" w:rsidRDefault="00C70767" w:rsidP="00C70767">
      <w:pPr>
        <w:pStyle w:val="NormalWeb"/>
        <w:numPr>
          <w:ilvl w:val="0"/>
          <w:numId w:val="1"/>
        </w:numPr>
        <w:spacing w:before="240" w:beforeAutospacing="0"/>
        <w:mirrorIndents/>
        <w:jc w:val="both"/>
        <w:rPr>
          <w:rFonts w:eastAsiaTheme="minorHAnsi"/>
          <w:shd w:val="clear" w:color="auto" w:fill="FFFFFF"/>
        </w:rPr>
      </w:pPr>
      <w:r w:rsidRPr="00553026">
        <w:rPr>
          <w:shd w:val="clear" w:color="auto" w:fill="FFFFFF"/>
        </w:rPr>
        <w:t>Kwiatkowski, D.; Phillips, P. C. B.; Schmidt, P.; Shin, Y. (1992). "Testing the null hypothesis of stationarity against the alternative of a unit root". </w:t>
      </w:r>
      <w:r w:rsidRPr="00553026">
        <w:rPr>
          <w:i/>
          <w:iCs/>
          <w:shd w:val="clear" w:color="auto" w:fill="FFFFFF"/>
        </w:rPr>
        <w:t>Journal of Econometrics</w:t>
      </w:r>
      <w:r w:rsidRPr="00553026">
        <w:rPr>
          <w:shd w:val="clear" w:color="auto" w:fill="FFFFFF"/>
        </w:rPr>
        <w:t>. </w:t>
      </w:r>
      <w:r w:rsidRPr="008B7B88">
        <w:rPr>
          <w:shd w:val="clear" w:color="auto" w:fill="FFFFFF"/>
        </w:rPr>
        <w:t>54</w:t>
      </w:r>
      <w:r w:rsidRPr="00553026">
        <w:rPr>
          <w:shd w:val="clear" w:color="auto" w:fill="FFFFFF"/>
        </w:rPr>
        <w:t> (</w:t>
      </w:r>
      <w:r w:rsidRPr="00553026">
        <w:rPr>
          <w:rStyle w:val="nowrap"/>
          <w:shd w:val="clear" w:color="auto" w:fill="FFFFFF"/>
        </w:rPr>
        <w:t>1–</w:t>
      </w:r>
      <w:r w:rsidRPr="00553026">
        <w:rPr>
          <w:shd w:val="clear" w:color="auto" w:fill="FFFFFF"/>
        </w:rPr>
        <w:t>3): </w:t>
      </w:r>
      <w:r w:rsidRPr="00553026">
        <w:rPr>
          <w:rStyle w:val="nowrap"/>
          <w:shd w:val="clear" w:color="auto" w:fill="FFFFFF"/>
        </w:rPr>
        <w:t>159–</w:t>
      </w:r>
      <w:r w:rsidRPr="00553026">
        <w:rPr>
          <w:shd w:val="clear" w:color="auto" w:fill="FFFFFF"/>
        </w:rPr>
        <w:t>178. </w:t>
      </w:r>
      <w:hyperlink r:id="rId13" w:tooltip="Doi (identifier)" w:history="1">
        <w:r w:rsidRPr="00553026">
          <w:rPr>
            <w:rStyle w:val="Hyperlink"/>
            <w:shd w:val="clear" w:color="auto" w:fill="FFFFFF"/>
          </w:rPr>
          <w:t>doi</w:t>
        </w:r>
      </w:hyperlink>
      <w:r w:rsidRPr="00553026">
        <w:rPr>
          <w:shd w:val="clear" w:color="auto" w:fill="FFFFFF"/>
        </w:rPr>
        <w:t>:</w:t>
      </w:r>
      <w:hyperlink r:id="rId14" w:history="1">
        <w:r w:rsidRPr="00553026">
          <w:rPr>
            <w:rStyle w:val="Hyperlink"/>
          </w:rPr>
          <w:t>10.1016/0304-4076(92)90104-Y</w:t>
        </w:r>
      </w:hyperlink>
    </w:p>
    <w:p w14:paraId="560C4207" w14:textId="77777777" w:rsidR="00CD71BA" w:rsidRPr="00553026" w:rsidRDefault="00CD71BA" w:rsidP="00CD71BA">
      <w:pPr>
        <w:pStyle w:val="NormalWeb"/>
        <w:numPr>
          <w:ilvl w:val="0"/>
          <w:numId w:val="1"/>
        </w:numPr>
        <w:spacing w:before="240" w:beforeAutospacing="0"/>
        <w:mirrorIndents/>
        <w:jc w:val="both"/>
      </w:pPr>
      <w:r w:rsidRPr="00553026">
        <w:lastRenderedPageBreak/>
        <w:t xml:space="preserve">Mankiw, N. G. (2021). </w:t>
      </w:r>
      <w:r w:rsidRPr="00553026">
        <w:rPr>
          <w:rStyle w:val="Emphasis"/>
        </w:rPr>
        <w:t>Macroeconomics</w:t>
      </w:r>
      <w:r w:rsidRPr="00553026">
        <w:t xml:space="preserve"> (10th ed.). Worth Publishers.</w:t>
      </w:r>
    </w:p>
    <w:p w14:paraId="1CD98C46" w14:textId="5EE9BDF9" w:rsidR="00A8088D" w:rsidRPr="00A8088D" w:rsidRDefault="00A8088D" w:rsidP="00A8088D">
      <w:pPr>
        <w:pStyle w:val="NormalWeb"/>
        <w:numPr>
          <w:ilvl w:val="0"/>
          <w:numId w:val="1"/>
        </w:numPr>
        <w:spacing w:before="240" w:beforeAutospacing="0"/>
        <w:mirrorIndents/>
        <w:jc w:val="both"/>
        <w:rPr>
          <w:shd w:val="clear" w:color="auto" w:fill="FFFFFF"/>
        </w:rPr>
      </w:pPr>
      <w:r w:rsidRPr="00553026">
        <w:t>Mordi, C.N.O. (2014). Exchange rate and inflation: is there a relationship in Nigeria. CBN Economic and Financial Review. 52(4), 105-123.</w:t>
      </w:r>
    </w:p>
    <w:p w14:paraId="63D295C4" w14:textId="42AA5DB4" w:rsidR="00CD71BA" w:rsidRPr="0047074E" w:rsidRDefault="00CD71BA" w:rsidP="00CD71BA">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Olanrele, I. A., &amp; Angahar, J. S. (2025). </w:t>
      </w:r>
      <w:r w:rsidRPr="0047074E">
        <w:rPr>
          <w:rFonts w:ascii="Times New Roman" w:eastAsia="Times New Roman" w:hAnsi="Times New Roman" w:cs="Times New Roman"/>
          <w:i/>
          <w:iCs/>
          <w:sz w:val="24"/>
          <w:szCs w:val="24"/>
        </w:rPr>
        <w:t>Macroeconomic Effects of Interest Rate in Nigeria: A Rolling Impulse Response Approach</w:t>
      </w:r>
      <w:r w:rsidRPr="0047074E">
        <w:rPr>
          <w:rFonts w:ascii="Times New Roman" w:eastAsia="Times New Roman" w:hAnsi="Times New Roman" w:cs="Times New Roman"/>
          <w:sz w:val="24"/>
          <w:szCs w:val="24"/>
        </w:rPr>
        <w:t xml:space="preserve">. International Journal of Humanities, Education, and Social Sciences. </w:t>
      </w:r>
    </w:p>
    <w:p w14:paraId="29379EC2" w14:textId="77777777" w:rsidR="00CD71BA" w:rsidRPr="0047074E" w:rsidRDefault="00CD71BA" w:rsidP="00CD71BA">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Olawale, O. J., Flora, A. T., &amp; Alademomi, A. (2026). </w:t>
      </w:r>
      <w:r w:rsidRPr="0047074E">
        <w:rPr>
          <w:rFonts w:ascii="Times New Roman" w:eastAsia="Times New Roman" w:hAnsi="Times New Roman" w:cs="Times New Roman"/>
          <w:i/>
          <w:iCs/>
          <w:sz w:val="24"/>
          <w:szCs w:val="24"/>
        </w:rPr>
        <w:t>Macroeconomic Interactions in Nigeria: VECM-Based Analysis (2001–2023)</w:t>
      </w:r>
      <w:r w:rsidRPr="0047074E">
        <w:rPr>
          <w:rFonts w:ascii="Times New Roman" w:eastAsia="Times New Roman" w:hAnsi="Times New Roman" w:cs="Times New Roman"/>
          <w:sz w:val="24"/>
          <w:szCs w:val="24"/>
        </w:rPr>
        <w:t xml:space="preserve">. International Journal of Humanities Education and Social Sciences. </w:t>
      </w:r>
    </w:p>
    <w:p w14:paraId="6F61460F" w14:textId="77777777" w:rsidR="0039410D" w:rsidRDefault="0039410D" w:rsidP="0039410D">
      <w:pPr>
        <w:pStyle w:val="NormalWeb"/>
        <w:numPr>
          <w:ilvl w:val="0"/>
          <w:numId w:val="1"/>
        </w:numPr>
        <w:spacing w:before="240" w:beforeAutospacing="0"/>
        <w:mirrorIndents/>
        <w:jc w:val="both"/>
        <w:rPr>
          <w:shd w:val="clear" w:color="auto" w:fill="FFFFFF"/>
        </w:rPr>
      </w:pPr>
      <w:r w:rsidRPr="00553026">
        <w:rPr>
          <w:shd w:val="clear" w:color="auto" w:fill="FFFFFF"/>
        </w:rPr>
        <w:t>Osuji, O., Alugbuo, J., &amp;</w:t>
      </w:r>
      <w:r>
        <w:rPr>
          <w:shd w:val="clear" w:color="auto" w:fill="FFFFFF"/>
        </w:rPr>
        <w:t xml:space="preserve"> </w:t>
      </w:r>
      <w:r w:rsidRPr="00553026">
        <w:rPr>
          <w:shd w:val="clear" w:color="auto" w:fill="FFFFFF"/>
        </w:rPr>
        <w:t>Eze, E. (2022). Inflation and Economic Growth Nexus in Nigeria. </w:t>
      </w:r>
      <w:r w:rsidRPr="00553026">
        <w:rPr>
          <w:i/>
          <w:iCs/>
          <w:shd w:val="clear" w:color="auto" w:fill="FFFFFF"/>
        </w:rPr>
        <w:t>LAFIA JOURNAL OF ECONOMICS AND MANAGEMENT SCIENCES</w:t>
      </w:r>
      <w:r w:rsidRPr="00553026">
        <w:rPr>
          <w:shd w:val="clear" w:color="auto" w:fill="FFFFFF"/>
        </w:rPr>
        <w:t>, </w:t>
      </w:r>
      <w:r w:rsidRPr="00553026">
        <w:rPr>
          <w:i/>
          <w:iCs/>
          <w:shd w:val="clear" w:color="auto" w:fill="FFFFFF"/>
        </w:rPr>
        <w:t>7</w:t>
      </w:r>
      <w:r w:rsidRPr="00553026">
        <w:rPr>
          <w:shd w:val="clear" w:color="auto" w:fill="FFFFFF"/>
        </w:rPr>
        <w:t>, 143-158.</w:t>
      </w:r>
    </w:p>
    <w:p w14:paraId="02319C10" w14:textId="2E138D08" w:rsidR="009C050F" w:rsidRPr="00212D2E" w:rsidRDefault="00951956" w:rsidP="00212D2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Oyadeyi, O. O., Osinubi, T. T., Simatele, M., &amp; Oyadeyi, O. A. (2025). </w:t>
      </w:r>
      <w:r w:rsidRPr="0047074E">
        <w:rPr>
          <w:rFonts w:ascii="Times New Roman" w:eastAsia="Times New Roman" w:hAnsi="Times New Roman" w:cs="Times New Roman"/>
          <w:i/>
          <w:iCs/>
          <w:sz w:val="24"/>
          <w:szCs w:val="24"/>
        </w:rPr>
        <w:t>The Threshold Effects of Inflation Rate, Interest Rate, and Exchange Rate on Economic Growth in Nigeria</w:t>
      </w:r>
      <w:r w:rsidRPr="0047074E">
        <w:rPr>
          <w:rFonts w:ascii="Times New Roman" w:eastAsia="Times New Roman" w:hAnsi="Times New Roman" w:cs="Times New Roman"/>
          <w:sz w:val="24"/>
          <w:szCs w:val="24"/>
        </w:rPr>
        <w:t xml:space="preserve">. Cogent Economics &amp; Finance. </w:t>
      </w:r>
    </w:p>
    <w:p w14:paraId="31FB640B" w14:textId="77777777" w:rsidR="00405694" w:rsidRPr="0047074E"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Robert F. Engle &amp; Clive W. J. Granger (1987). </w:t>
      </w:r>
      <w:r w:rsidRPr="0047074E">
        <w:rPr>
          <w:rFonts w:ascii="Times New Roman" w:eastAsia="Times New Roman" w:hAnsi="Times New Roman" w:cs="Times New Roman"/>
          <w:i/>
          <w:iCs/>
          <w:sz w:val="24"/>
          <w:szCs w:val="24"/>
        </w:rPr>
        <w:t>Co-integration and Error Correction: Representation, Estimation, and Testing</w:t>
      </w:r>
      <w:r w:rsidRPr="0047074E">
        <w:rPr>
          <w:rFonts w:ascii="Times New Roman" w:eastAsia="Times New Roman" w:hAnsi="Times New Roman" w:cs="Times New Roman"/>
          <w:sz w:val="24"/>
          <w:szCs w:val="24"/>
        </w:rPr>
        <w:t xml:space="preserve">. Econometrica, 55(2), 251–276. </w:t>
      </w:r>
    </w:p>
    <w:p w14:paraId="545363FF" w14:textId="42A9566E" w:rsidR="00212D2E" w:rsidRPr="00304827" w:rsidRDefault="00304827" w:rsidP="00304827">
      <w:pPr>
        <w:pStyle w:val="NormalWeb"/>
        <w:numPr>
          <w:ilvl w:val="0"/>
          <w:numId w:val="1"/>
        </w:numPr>
        <w:spacing w:before="240" w:beforeAutospacing="0"/>
        <w:mirrorIndents/>
        <w:jc w:val="both"/>
        <w:rPr>
          <w:shd w:val="clear" w:color="auto" w:fill="FFFFFF"/>
        </w:rPr>
      </w:pPr>
      <w:r w:rsidRPr="00553026">
        <w:rPr>
          <w:shd w:val="clear" w:color="auto" w:fill="FFFFFF"/>
        </w:rPr>
        <w:t>Sanusi, L. S. (2010). Growth prospects for the Nigerian economy. </w:t>
      </w:r>
      <w:r w:rsidRPr="00553026">
        <w:rPr>
          <w:i/>
          <w:iCs/>
          <w:shd w:val="clear" w:color="auto" w:fill="FFFFFF"/>
        </w:rPr>
        <w:t>Convocation Lecture delivered at the Igbinedion University Eighth Convocation Ceremony, Okada, Edo State</w:t>
      </w:r>
    </w:p>
    <w:p w14:paraId="609E1F7B" w14:textId="3F16449F" w:rsidR="00405694" w:rsidRPr="0047074E" w:rsidRDefault="00E42454" w:rsidP="0047074E">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S</w:t>
      </w:r>
      <w:r w:rsidR="00405694" w:rsidRPr="0047074E">
        <w:rPr>
          <w:rFonts w:ascii="Times New Roman" w:eastAsia="Times New Roman" w:hAnsi="Times New Roman" w:cs="Times New Roman"/>
          <w:sz w:val="24"/>
          <w:szCs w:val="24"/>
        </w:rPr>
        <w:t>o</w:t>
      </w:r>
      <w:r w:rsidRPr="0047074E">
        <w:rPr>
          <w:rFonts w:ascii="Times New Roman" w:eastAsia="Times New Roman" w:hAnsi="Times New Roman" w:cs="Times New Roman"/>
          <w:sz w:val="24"/>
          <w:szCs w:val="24"/>
        </w:rPr>
        <w:t xml:space="preserve">ren Johansen (1988). </w:t>
      </w:r>
      <w:r w:rsidRPr="0047074E">
        <w:rPr>
          <w:rFonts w:ascii="Times New Roman" w:eastAsia="Times New Roman" w:hAnsi="Times New Roman" w:cs="Times New Roman"/>
          <w:i/>
          <w:iCs/>
          <w:sz w:val="24"/>
          <w:szCs w:val="24"/>
        </w:rPr>
        <w:t>Statistical Analysis of Cointegration Vectors</w:t>
      </w:r>
      <w:r w:rsidRPr="0047074E">
        <w:rPr>
          <w:rFonts w:ascii="Times New Roman" w:eastAsia="Times New Roman" w:hAnsi="Times New Roman" w:cs="Times New Roman"/>
          <w:sz w:val="24"/>
          <w:szCs w:val="24"/>
        </w:rPr>
        <w:t xml:space="preserve">. Journal of Economic Dynamics and Control, 12(2–3), 231–254. </w:t>
      </w:r>
    </w:p>
    <w:p w14:paraId="2040468B" w14:textId="77777777" w:rsidR="00304827" w:rsidRPr="00304827" w:rsidRDefault="00304827" w:rsidP="00304827">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Umar, J. N., &amp; Umar, Y. H. (2024). </w:t>
      </w:r>
      <w:r w:rsidRPr="0047074E">
        <w:rPr>
          <w:rFonts w:ascii="Times New Roman" w:eastAsia="Times New Roman" w:hAnsi="Times New Roman" w:cs="Times New Roman"/>
          <w:i/>
          <w:iCs/>
          <w:sz w:val="24"/>
          <w:szCs w:val="24"/>
        </w:rPr>
        <w:t>Modelling and Forecasting Inflation for Nigeria: A Structural Vector Autoregressive Approach</w:t>
      </w:r>
      <w:r w:rsidRPr="0047074E">
        <w:rPr>
          <w:rFonts w:ascii="Times New Roman" w:eastAsia="Times New Roman" w:hAnsi="Times New Roman" w:cs="Times New Roman"/>
          <w:sz w:val="24"/>
          <w:szCs w:val="24"/>
        </w:rPr>
        <w:t xml:space="preserve">. Journal of Third World Economics. </w:t>
      </w:r>
    </w:p>
    <w:p w14:paraId="3FF6F5D0" w14:textId="278A9DDC" w:rsidR="00304827" w:rsidRPr="00304827" w:rsidRDefault="00E42454" w:rsidP="00304827">
      <w:pPr>
        <w:pStyle w:val="ListParagraph"/>
        <w:numPr>
          <w:ilvl w:val="0"/>
          <w:numId w:val="1"/>
        </w:numPr>
        <w:spacing w:before="240" w:after="240" w:line="240" w:lineRule="auto"/>
        <w:jc w:val="both"/>
        <w:rPr>
          <w:rFonts w:ascii="Times New Roman" w:eastAsia="Times New Roman" w:hAnsi="Times New Roman" w:cs="Times New Roman"/>
          <w:sz w:val="24"/>
          <w:szCs w:val="24"/>
        </w:rPr>
      </w:pPr>
      <w:r w:rsidRPr="0047074E">
        <w:rPr>
          <w:rFonts w:ascii="Times New Roman" w:eastAsia="Times New Roman" w:hAnsi="Times New Roman" w:cs="Times New Roman"/>
          <w:sz w:val="24"/>
          <w:szCs w:val="24"/>
        </w:rPr>
        <w:t xml:space="preserve">Walter Enders (2015). </w:t>
      </w:r>
      <w:r w:rsidRPr="0047074E">
        <w:rPr>
          <w:rFonts w:ascii="Times New Roman" w:eastAsia="Times New Roman" w:hAnsi="Times New Roman" w:cs="Times New Roman"/>
          <w:i/>
          <w:iCs/>
          <w:sz w:val="24"/>
          <w:szCs w:val="24"/>
        </w:rPr>
        <w:t>Applied Econometric Time Series</w:t>
      </w:r>
      <w:r w:rsidRPr="0047074E">
        <w:rPr>
          <w:rFonts w:ascii="Times New Roman" w:eastAsia="Times New Roman" w:hAnsi="Times New Roman" w:cs="Times New Roman"/>
          <w:sz w:val="24"/>
          <w:szCs w:val="24"/>
        </w:rPr>
        <w:t xml:space="preserve"> (4th Edition). Wiley Publishers. </w:t>
      </w:r>
    </w:p>
    <w:sectPr w:rsidR="00304827" w:rsidRPr="00304827" w:rsidSect="00B617F2">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DF505" w14:textId="77777777" w:rsidR="008D4883" w:rsidRDefault="008D4883" w:rsidP="00262D50">
      <w:pPr>
        <w:spacing w:after="0" w:line="240" w:lineRule="auto"/>
      </w:pPr>
      <w:r>
        <w:separator/>
      </w:r>
    </w:p>
  </w:endnote>
  <w:endnote w:type="continuationSeparator" w:id="0">
    <w:p w14:paraId="2A129B96" w14:textId="77777777" w:rsidR="008D4883" w:rsidRDefault="008D4883" w:rsidP="0026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73A38" w14:textId="77777777" w:rsidR="008D4883" w:rsidRDefault="008D4883" w:rsidP="00262D50">
      <w:pPr>
        <w:spacing w:after="0" w:line="240" w:lineRule="auto"/>
      </w:pPr>
      <w:r>
        <w:separator/>
      </w:r>
    </w:p>
  </w:footnote>
  <w:footnote w:type="continuationSeparator" w:id="0">
    <w:p w14:paraId="08F409AA" w14:textId="77777777" w:rsidR="008D4883" w:rsidRDefault="008D4883" w:rsidP="00262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45839"/>
    <w:multiLevelType w:val="hybridMultilevel"/>
    <w:tmpl w:val="9B2ED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DB8"/>
    <w:rsid w:val="00015238"/>
    <w:rsid w:val="0002116C"/>
    <w:rsid w:val="000603EB"/>
    <w:rsid w:val="0008567E"/>
    <w:rsid w:val="000C0C7E"/>
    <w:rsid w:val="000C0DEA"/>
    <w:rsid w:val="000F58CA"/>
    <w:rsid w:val="00115C71"/>
    <w:rsid w:val="001748CE"/>
    <w:rsid w:val="00182233"/>
    <w:rsid w:val="001A0D8A"/>
    <w:rsid w:val="001B4F09"/>
    <w:rsid w:val="001B50FA"/>
    <w:rsid w:val="001D73CE"/>
    <w:rsid w:val="001E1D71"/>
    <w:rsid w:val="001F7990"/>
    <w:rsid w:val="0020289C"/>
    <w:rsid w:val="00212D2E"/>
    <w:rsid w:val="00217D6E"/>
    <w:rsid w:val="0022569D"/>
    <w:rsid w:val="00226F6C"/>
    <w:rsid w:val="00232BCF"/>
    <w:rsid w:val="00244CF4"/>
    <w:rsid w:val="00246F82"/>
    <w:rsid w:val="00262D50"/>
    <w:rsid w:val="00291755"/>
    <w:rsid w:val="002924B4"/>
    <w:rsid w:val="002B4A36"/>
    <w:rsid w:val="002B5CD7"/>
    <w:rsid w:val="002F0591"/>
    <w:rsid w:val="00304827"/>
    <w:rsid w:val="00330963"/>
    <w:rsid w:val="003412C7"/>
    <w:rsid w:val="00357C4A"/>
    <w:rsid w:val="00357D4B"/>
    <w:rsid w:val="00357DE9"/>
    <w:rsid w:val="003620EB"/>
    <w:rsid w:val="003630E5"/>
    <w:rsid w:val="00381874"/>
    <w:rsid w:val="00382D69"/>
    <w:rsid w:val="0038473D"/>
    <w:rsid w:val="00384A5D"/>
    <w:rsid w:val="0039410D"/>
    <w:rsid w:val="003968F6"/>
    <w:rsid w:val="003B1822"/>
    <w:rsid w:val="003B7C32"/>
    <w:rsid w:val="003D11A4"/>
    <w:rsid w:val="003D3946"/>
    <w:rsid w:val="003D6278"/>
    <w:rsid w:val="003E5C44"/>
    <w:rsid w:val="003E7E48"/>
    <w:rsid w:val="003F3B07"/>
    <w:rsid w:val="00401AC4"/>
    <w:rsid w:val="00405694"/>
    <w:rsid w:val="004236B2"/>
    <w:rsid w:val="004330C0"/>
    <w:rsid w:val="00433AD8"/>
    <w:rsid w:val="00435911"/>
    <w:rsid w:val="004371C7"/>
    <w:rsid w:val="00464A2C"/>
    <w:rsid w:val="0047074E"/>
    <w:rsid w:val="0047389F"/>
    <w:rsid w:val="004A7D7E"/>
    <w:rsid w:val="004B10FA"/>
    <w:rsid w:val="004B58E4"/>
    <w:rsid w:val="004C0C6D"/>
    <w:rsid w:val="004C0E74"/>
    <w:rsid w:val="004C4151"/>
    <w:rsid w:val="004F553B"/>
    <w:rsid w:val="00500A09"/>
    <w:rsid w:val="00502144"/>
    <w:rsid w:val="00515DB3"/>
    <w:rsid w:val="00525737"/>
    <w:rsid w:val="00536B21"/>
    <w:rsid w:val="00542BA0"/>
    <w:rsid w:val="00557547"/>
    <w:rsid w:val="005725F2"/>
    <w:rsid w:val="00580C13"/>
    <w:rsid w:val="00593683"/>
    <w:rsid w:val="00593CB2"/>
    <w:rsid w:val="005A0249"/>
    <w:rsid w:val="005C7F63"/>
    <w:rsid w:val="005F5EED"/>
    <w:rsid w:val="00600AE9"/>
    <w:rsid w:val="006015E7"/>
    <w:rsid w:val="00602CC1"/>
    <w:rsid w:val="00605823"/>
    <w:rsid w:val="00605A2B"/>
    <w:rsid w:val="00662728"/>
    <w:rsid w:val="00664964"/>
    <w:rsid w:val="006679E7"/>
    <w:rsid w:val="00676DC5"/>
    <w:rsid w:val="00692558"/>
    <w:rsid w:val="00692F3A"/>
    <w:rsid w:val="007100A9"/>
    <w:rsid w:val="00715B76"/>
    <w:rsid w:val="00727BD3"/>
    <w:rsid w:val="00732F60"/>
    <w:rsid w:val="00737F6F"/>
    <w:rsid w:val="00753102"/>
    <w:rsid w:val="00761BE8"/>
    <w:rsid w:val="00794225"/>
    <w:rsid w:val="0079728C"/>
    <w:rsid w:val="007A0D34"/>
    <w:rsid w:val="007B1C4E"/>
    <w:rsid w:val="007C1725"/>
    <w:rsid w:val="007C4989"/>
    <w:rsid w:val="007F19D8"/>
    <w:rsid w:val="00824DA6"/>
    <w:rsid w:val="00834818"/>
    <w:rsid w:val="008362CF"/>
    <w:rsid w:val="0084773E"/>
    <w:rsid w:val="0085797B"/>
    <w:rsid w:val="00893DDB"/>
    <w:rsid w:val="008969D9"/>
    <w:rsid w:val="008C74B5"/>
    <w:rsid w:val="008D4883"/>
    <w:rsid w:val="008F21AA"/>
    <w:rsid w:val="008F22A1"/>
    <w:rsid w:val="00930A21"/>
    <w:rsid w:val="0093178C"/>
    <w:rsid w:val="00941DB8"/>
    <w:rsid w:val="00945593"/>
    <w:rsid w:val="00951956"/>
    <w:rsid w:val="00970E30"/>
    <w:rsid w:val="009853A2"/>
    <w:rsid w:val="00990C2B"/>
    <w:rsid w:val="009A0039"/>
    <w:rsid w:val="009B446D"/>
    <w:rsid w:val="009C050F"/>
    <w:rsid w:val="009C2E9F"/>
    <w:rsid w:val="009F7456"/>
    <w:rsid w:val="00A00E56"/>
    <w:rsid w:val="00A5233B"/>
    <w:rsid w:val="00A561D7"/>
    <w:rsid w:val="00A608CF"/>
    <w:rsid w:val="00A61CB4"/>
    <w:rsid w:val="00A8088D"/>
    <w:rsid w:val="00A8615A"/>
    <w:rsid w:val="00AA3AB3"/>
    <w:rsid w:val="00AB7C3E"/>
    <w:rsid w:val="00AE400C"/>
    <w:rsid w:val="00AE4EAF"/>
    <w:rsid w:val="00AE7894"/>
    <w:rsid w:val="00B13947"/>
    <w:rsid w:val="00B16F2E"/>
    <w:rsid w:val="00B226E8"/>
    <w:rsid w:val="00B253F7"/>
    <w:rsid w:val="00B25488"/>
    <w:rsid w:val="00B336DD"/>
    <w:rsid w:val="00B524AA"/>
    <w:rsid w:val="00B52EC8"/>
    <w:rsid w:val="00B617F2"/>
    <w:rsid w:val="00B70926"/>
    <w:rsid w:val="00B7182A"/>
    <w:rsid w:val="00B93916"/>
    <w:rsid w:val="00B9447D"/>
    <w:rsid w:val="00BB6FE4"/>
    <w:rsid w:val="00BB75D4"/>
    <w:rsid w:val="00BC624E"/>
    <w:rsid w:val="00BF22C0"/>
    <w:rsid w:val="00BF26D4"/>
    <w:rsid w:val="00C60DAC"/>
    <w:rsid w:val="00C61BCA"/>
    <w:rsid w:val="00C67676"/>
    <w:rsid w:val="00C7030F"/>
    <w:rsid w:val="00C70767"/>
    <w:rsid w:val="00CB3223"/>
    <w:rsid w:val="00CD71BA"/>
    <w:rsid w:val="00CE35AA"/>
    <w:rsid w:val="00D028F5"/>
    <w:rsid w:val="00D02F03"/>
    <w:rsid w:val="00D1559F"/>
    <w:rsid w:val="00D43854"/>
    <w:rsid w:val="00D541C4"/>
    <w:rsid w:val="00D73B76"/>
    <w:rsid w:val="00D8522C"/>
    <w:rsid w:val="00DA2313"/>
    <w:rsid w:val="00DA24E0"/>
    <w:rsid w:val="00DB3E23"/>
    <w:rsid w:val="00DB736C"/>
    <w:rsid w:val="00DD47F8"/>
    <w:rsid w:val="00DE1A19"/>
    <w:rsid w:val="00DE1E63"/>
    <w:rsid w:val="00E1061B"/>
    <w:rsid w:val="00E23158"/>
    <w:rsid w:val="00E42454"/>
    <w:rsid w:val="00E45CAF"/>
    <w:rsid w:val="00E47D40"/>
    <w:rsid w:val="00E54ECB"/>
    <w:rsid w:val="00E55C87"/>
    <w:rsid w:val="00E61215"/>
    <w:rsid w:val="00E61C2B"/>
    <w:rsid w:val="00EA7518"/>
    <w:rsid w:val="00EB0900"/>
    <w:rsid w:val="00EF6C65"/>
    <w:rsid w:val="00EF7672"/>
    <w:rsid w:val="00F0247A"/>
    <w:rsid w:val="00F05EAC"/>
    <w:rsid w:val="00F17E08"/>
    <w:rsid w:val="00F26CE4"/>
    <w:rsid w:val="00F371CA"/>
    <w:rsid w:val="00F41757"/>
    <w:rsid w:val="00F55873"/>
    <w:rsid w:val="00F743F4"/>
    <w:rsid w:val="00FA14D0"/>
    <w:rsid w:val="00FA36BB"/>
    <w:rsid w:val="00FA6CBD"/>
    <w:rsid w:val="00FA703A"/>
    <w:rsid w:val="00FB29F7"/>
    <w:rsid w:val="00FD0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7F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5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F3B07"/>
  </w:style>
  <w:style w:type="character" w:styleId="Emphasis">
    <w:name w:val="Emphasis"/>
    <w:basedOn w:val="DefaultParagraphFont"/>
    <w:uiPriority w:val="20"/>
    <w:qFormat/>
    <w:rsid w:val="00E42454"/>
    <w:rPr>
      <w:i/>
      <w:iCs/>
    </w:rPr>
  </w:style>
  <w:style w:type="paragraph" w:customStyle="1" w:styleId="Default">
    <w:name w:val="Default"/>
    <w:rsid w:val="00AE4EAF"/>
    <w:pPr>
      <w:autoSpaceDE w:val="0"/>
      <w:autoSpaceDN w:val="0"/>
      <w:adjustRightInd w:val="0"/>
      <w:spacing w:after="0" w:line="240" w:lineRule="auto"/>
    </w:pPr>
    <w:rPr>
      <w:rFonts w:ascii="Segoe UI Semibold" w:hAnsi="Segoe UI Semibold" w:cs="Segoe UI Semibold"/>
      <w:color w:val="000000"/>
      <w:sz w:val="24"/>
      <w:szCs w:val="24"/>
    </w:rPr>
  </w:style>
  <w:style w:type="character" w:customStyle="1" w:styleId="uv3um">
    <w:name w:val="uv3um"/>
    <w:basedOn w:val="DefaultParagraphFont"/>
    <w:qFormat/>
    <w:rsid w:val="00BB75D4"/>
  </w:style>
  <w:style w:type="character" w:customStyle="1" w:styleId="Heading3Char">
    <w:name w:val="Heading 3 Char"/>
    <w:basedOn w:val="DefaultParagraphFont"/>
    <w:link w:val="Heading3"/>
    <w:uiPriority w:val="9"/>
    <w:qFormat/>
    <w:rsid w:val="005C7F63"/>
    <w:rPr>
      <w:rFonts w:ascii="Times New Roman" w:eastAsia="Times New Roman" w:hAnsi="Times New Roman" w:cs="Times New Roman"/>
      <w:b/>
      <w:bCs/>
      <w:sz w:val="27"/>
      <w:szCs w:val="27"/>
    </w:rPr>
  </w:style>
  <w:style w:type="table" w:styleId="TableGrid">
    <w:name w:val="Table Grid"/>
    <w:basedOn w:val="TableNormal"/>
    <w:uiPriority w:val="39"/>
    <w:rsid w:val="005C7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C7F63"/>
    <w:rPr>
      <w:b/>
      <w:bCs/>
    </w:rPr>
  </w:style>
  <w:style w:type="table" w:customStyle="1" w:styleId="LightShading1">
    <w:name w:val="Light Shading1"/>
    <w:basedOn w:val="TableNormal"/>
    <w:uiPriority w:val="60"/>
    <w:rsid w:val="005C7F63"/>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8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15A"/>
  </w:style>
  <w:style w:type="paragraph" w:styleId="Footer">
    <w:name w:val="footer"/>
    <w:basedOn w:val="Normal"/>
    <w:link w:val="FooterChar"/>
    <w:uiPriority w:val="99"/>
    <w:unhideWhenUsed/>
    <w:rsid w:val="00A8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15A"/>
  </w:style>
  <w:style w:type="character" w:styleId="Hyperlink">
    <w:name w:val="Hyperlink"/>
    <w:basedOn w:val="DefaultParagraphFont"/>
    <w:uiPriority w:val="99"/>
    <w:unhideWhenUsed/>
    <w:rsid w:val="003E5C44"/>
    <w:rPr>
      <w:color w:val="0563C1" w:themeColor="hyperlink"/>
      <w:u w:val="single"/>
    </w:rPr>
  </w:style>
  <w:style w:type="character" w:customStyle="1" w:styleId="UnresolvedMention">
    <w:name w:val="Unresolved Mention"/>
    <w:basedOn w:val="DefaultParagraphFont"/>
    <w:uiPriority w:val="99"/>
    <w:semiHidden/>
    <w:unhideWhenUsed/>
    <w:rsid w:val="003E5C44"/>
    <w:rPr>
      <w:color w:val="605E5C"/>
      <w:shd w:val="clear" w:color="auto" w:fill="E1DFDD"/>
    </w:rPr>
  </w:style>
  <w:style w:type="paragraph" w:styleId="ListParagraph">
    <w:name w:val="List Paragraph"/>
    <w:basedOn w:val="Normal"/>
    <w:uiPriority w:val="34"/>
    <w:qFormat/>
    <w:rsid w:val="0047074E"/>
    <w:pPr>
      <w:ind w:left="720"/>
      <w:contextualSpacing/>
    </w:pPr>
  </w:style>
  <w:style w:type="character" w:customStyle="1" w:styleId="nowrap">
    <w:name w:val="nowrap"/>
    <w:basedOn w:val="DefaultParagraphFont"/>
    <w:rsid w:val="00C707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7F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05A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3F3B07"/>
  </w:style>
  <w:style w:type="character" w:styleId="Emphasis">
    <w:name w:val="Emphasis"/>
    <w:basedOn w:val="DefaultParagraphFont"/>
    <w:uiPriority w:val="20"/>
    <w:qFormat/>
    <w:rsid w:val="00E42454"/>
    <w:rPr>
      <w:i/>
      <w:iCs/>
    </w:rPr>
  </w:style>
  <w:style w:type="paragraph" w:customStyle="1" w:styleId="Default">
    <w:name w:val="Default"/>
    <w:rsid w:val="00AE4EAF"/>
    <w:pPr>
      <w:autoSpaceDE w:val="0"/>
      <w:autoSpaceDN w:val="0"/>
      <w:adjustRightInd w:val="0"/>
      <w:spacing w:after="0" w:line="240" w:lineRule="auto"/>
    </w:pPr>
    <w:rPr>
      <w:rFonts w:ascii="Segoe UI Semibold" w:hAnsi="Segoe UI Semibold" w:cs="Segoe UI Semibold"/>
      <w:color w:val="000000"/>
      <w:sz w:val="24"/>
      <w:szCs w:val="24"/>
    </w:rPr>
  </w:style>
  <w:style w:type="character" w:customStyle="1" w:styleId="uv3um">
    <w:name w:val="uv3um"/>
    <w:basedOn w:val="DefaultParagraphFont"/>
    <w:qFormat/>
    <w:rsid w:val="00BB75D4"/>
  </w:style>
  <w:style w:type="character" w:customStyle="1" w:styleId="Heading3Char">
    <w:name w:val="Heading 3 Char"/>
    <w:basedOn w:val="DefaultParagraphFont"/>
    <w:link w:val="Heading3"/>
    <w:uiPriority w:val="9"/>
    <w:qFormat/>
    <w:rsid w:val="005C7F63"/>
    <w:rPr>
      <w:rFonts w:ascii="Times New Roman" w:eastAsia="Times New Roman" w:hAnsi="Times New Roman" w:cs="Times New Roman"/>
      <w:b/>
      <w:bCs/>
      <w:sz w:val="27"/>
      <w:szCs w:val="27"/>
    </w:rPr>
  </w:style>
  <w:style w:type="table" w:styleId="TableGrid">
    <w:name w:val="Table Grid"/>
    <w:basedOn w:val="TableNormal"/>
    <w:uiPriority w:val="39"/>
    <w:rsid w:val="005C7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C7F63"/>
    <w:rPr>
      <w:b/>
      <w:bCs/>
    </w:rPr>
  </w:style>
  <w:style w:type="table" w:customStyle="1" w:styleId="LightShading1">
    <w:name w:val="Light Shading1"/>
    <w:basedOn w:val="TableNormal"/>
    <w:uiPriority w:val="60"/>
    <w:rsid w:val="005C7F63"/>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86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15A"/>
  </w:style>
  <w:style w:type="paragraph" w:styleId="Footer">
    <w:name w:val="footer"/>
    <w:basedOn w:val="Normal"/>
    <w:link w:val="FooterChar"/>
    <w:uiPriority w:val="99"/>
    <w:unhideWhenUsed/>
    <w:rsid w:val="00A86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15A"/>
  </w:style>
  <w:style w:type="character" w:styleId="Hyperlink">
    <w:name w:val="Hyperlink"/>
    <w:basedOn w:val="DefaultParagraphFont"/>
    <w:uiPriority w:val="99"/>
    <w:unhideWhenUsed/>
    <w:rsid w:val="003E5C44"/>
    <w:rPr>
      <w:color w:val="0563C1" w:themeColor="hyperlink"/>
      <w:u w:val="single"/>
    </w:rPr>
  </w:style>
  <w:style w:type="character" w:customStyle="1" w:styleId="UnresolvedMention">
    <w:name w:val="Unresolved Mention"/>
    <w:basedOn w:val="DefaultParagraphFont"/>
    <w:uiPriority w:val="99"/>
    <w:semiHidden/>
    <w:unhideWhenUsed/>
    <w:rsid w:val="003E5C44"/>
    <w:rPr>
      <w:color w:val="605E5C"/>
      <w:shd w:val="clear" w:color="auto" w:fill="E1DFDD"/>
    </w:rPr>
  </w:style>
  <w:style w:type="paragraph" w:styleId="ListParagraph">
    <w:name w:val="List Paragraph"/>
    <w:basedOn w:val="Normal"/>
    <w:uiPriority w:val="34"/>
    <w:qFormat/>
    <w:rsid w:val="0047074E"/>
    <w:pPr>
      <w:ind w:left="720"/>
      <w:contextualSpacing/>
    </w:pPr>
  </w:style>
  <w:style w:type="character" w:customStyle="1" w:styleId="nowrap">
    <w:name w:val="nowrap"/>
    <w:basedOn w:val="DefaultParagraphFont"/>
    <w:rsid w:val="00C7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2609">
      <w:bodyDiv w:val="1"/>
      <w:marLeft w:val="0"/>
      <w:marRight w:val="0"/>
      <w:marTop w:val="0"/>
      <w:marBottom w:val="0"/>
      <w:divBdr>
        <w:top w:val="none" w:sz="0" w:space="0" w:color="auto"/>
        <w:left w:val="none" w:sz="0" w:space="0" w:color="auto"/>
        <w:bottom w:val="none" w:sz="0" w:space="0" w:color="auto"/>
        <w:right w:val="none" w:sz="0" w:space="0" w:color="auto"/>
      </w:divBdr>
      <w:divsChild>
        <w:div w:id="2145804632">
          <w:marLeft w:val="0"/>
          <w:marRight w:val="0"/>
          <w:marTop w:val="0"/>
          <w:marBottom w:val="0"/>
          <w:divBdr>
            <w:top w:val="none" w:sz="0" w:space="0" w:color="auto"/>
            <w:left w:val="none" w:sz="0" w:space="0" w:color="auto"/>
            <w:bottom w:val="none" w:sz="0" w:space="0" w:color="auto"/>
            <w:right w:val="none" w:sz="0" w:space="0" w:color="auto"/>
          </w:divBdr>
          <w:divsChild>
            <w:div w:id="1980452292">
              <w:marLeft w:val="0"/>
              <w:marRight w:val="0"/>
              <w:marTop w:val="0"/>
              <w:marBottom w:val="0"/>
              <w:divBdr>
                <w:top w:val="none" w:sz="0" w:space="0" w:color="auto"/>
                <w:left w:val="none" w:sz="0" w:space="0" w:color="auto"/>
                <w:bottom w:val="none" w:sz="0" w:space="0" w:color="auto"/>
                <w:right w:val="none" w:sz="0" w:space="0" w:color="auto"/>
              </w:divBdr>
              <w:divsChild>
                <w:div w:id="256327274">
                  <w:marLeft w:val="0"/>
                  <w:marRight w:val="0"/>
                  <w:marTop w:val="0"/>
                  <w:marBottom w:val="0"/>
                  <w:divBdr>
                    <w:top w:val="none" w:sz="0" w:space="0" w:color="auto"/>
                    <w:left w:val="none" w:sz="0" w:space="0" w:color="auto"/>
                    <w:bottom w:val="none" w:sz="0" w:space="0" w:color="auto"/>
                    <w:right w:val="none" w:sz="0" w:space="0" w:color="auto"/>
                  </w:divBdr>
                  <w:divsChild>
                    <w:div w:id="1725716994">
                      <w:marLeft w:val="0"/>
                      <w:marRight w:val="0"/>
                      <w:marTop w:val="0"/>
                      <w:marBottom w:val="0"/>
                      <w:divBdr>
                        <w:top w:val="none" w:sz="0" w:space="0" w:color="auto"/>
                        <w:left w:val="none" w:sz="0" w:space="0" w:color="auto"/>
                        <w:bottom w:val="none" w:sz="0" w:space="0" w:color="auto"/>
                        <w:right w:val="none" w:sz="0" w:space="0" w:color="auto"/>
                      </w:divBdr>
                      <w:divsChild>
                        <w:div w:id="1376740055">
                          <w:marLeft w:val="0"/>
                          <w:marRight w:val="0"/>
                          <w:marTop w:val="0"/>
                          <w:marBottom w:val="0"/>
                          <w:divBdr>
                            <w:top w:val="none" w:sz="0" w:space="0" w:color="auto"/>
                            <w:left w:val="none" w:sz="0" w:space="0" w:color="auto"/>
                            <w:bottom w:val="none" w:sz="0" w:space="0" w:color="auto"/>
                            <w:right w:val="none" w:sz="0" w:space="0" w:color="auto"/>
                          </w:divBdr>
                          <w:divsChild>
                            <w:div w:id="631909955">
                              <w:marLeft w:val="0"/>
                              <w:marRight w:val="0"/>
                              <w:marTop w:val="0"/>
                              <w:marBottom w:val="0"/>
                              <w:divBdr>
                                <w:top w:val="none" w:sz="0" w:space="0" w:color="auto"/>
                                <w:left w:val="none" w:sz="0" w:space="0" w:color="auto"/>
                                <w:bottom w:val="none" w:sz="0" w:space="0" w:color="auto"/>
                                <w:right w:val="none" w:sz="0" w:space="0" w:color="auto"/>
                              </w:divBdr>
                              <w:divsChild>
                                <w:div w:id="7481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230897">
      <w:bodyDiv w:val="1"/>
      <w:marLeft w:val="0"/>
      <w:marRight w:val="0"/>
      <w:marTop w:val="0"/>
      <w:marBottom w:val="0"/>
      <w:divBdr>
        <w:top w:val="none" w:sz="0" w:space="0" w:color="auto"/>
        <w:left w:val="none" w:sz="0" w:space="0" w:color="auto"/>
        <w:bottom w:val="none" w:sz="0" w:space="0" w:color="auto"/>
        <w:right w:val="none" w:sz="0" w:space="0" w:color="auto"/>
      </w:divBdr>
    </w:div>
    <w:div w:id="297422887">
      <w:bodyDiv w:val="1"/>
      <w:marLeft w:val="0"/>
      <w:marRight w:val="0"/>
      <w:marTop w:val="0"/>
      <w:marBottom w:val="0"/>
      <w:divBdr>
        <w:top w:val="none" w:sz="0" w:space="0" w:color="auto"/>
        <w:left w:val="none" w:sz="0" w:space="0" w:color="auto"/>
        <w:bottom w:val="none" w:sz="0" w:space="0" w:color="auto"/>
        <w:right w:val="none" w:sz="0" w:space="0" w:color="auto"/>
      </w:divBdr>
    </w:div>
    <w:div w:id="804203383">
      <w:bodyDiv w:val="1"/>
      <w:marLeft w:val="0"/>
      <w:marRight w:val="0"/>
      <w:marTop w:val="0"/>
      <w:marBottom w:val="0"/>
      <w:divBdr>
        <w:top w:val="none" w:sz="0" w:space="0" w:color="auto"/>
        <w:left w:val="none" w:sz="0" w:space="0" w:color="auto"/>
        <w:bottom w:val="none" w:sz="0" w:space="0" w:color="auto"/>
        <w:right w:val="none" w:sz="0" w:space="0" w:color="auto"/>
      </w:divBdr>
    </w:div>
    <w:div w:id="1428697461">
      <w:bodyDiv w:val="1"/>
      <w:marLeft w:val="0"/>
      <w:marRight w:val="0"/>
      <w:marTop w:val="0"/>
      <w:marBottom w:val="0"/>
      <w:divBdr>
        <w:top w:val="none" w:sz="0" w:space="0" w:color="auto"/>
        <w:left w:val="none" w:sz="0" w:space="0" w:color="auto"/>
        <w:bottom w:val="none" w:sz="0" w:space="0" w:color="auto"/>
        <w:right w:val="none" w:sz="0" w:space="0" w:color="auto"/>
      </w:divBdr>
      <w:divsChild>
        <w:div w:id="576397974">
          <w:marLeft w:val="0"/>
          <w:marRight w:val="0"/>
          <w:marTop w:val="0"/>
          <w:marBottom w:val="0"/>
          <w:divBdr>
            <w:top w:val="none" w:sz="0" w:space="0" w:color="auto"/>
            <w:left w:val="none" w:sz="0" w:space="0" w:color="auto"/>
            <w:bottom w:val="none" w:sz="0" w:space="0" w:color="auto"/>
            <w:right w:val="none" w:sz="0" w:space="0" w:color="auto"/>
          </w:divBdr>
          <w:divsChild>
            <w:div w:id="662124052">
              <w:marLeft w:val="0"/>
              <w:marRight w:val="0"/>
              <w:marTop w:val="0"/>
              <w:marBottom w:val="0"/>
              <w:divBdr>
                <w:top w:val="none" w:sz="0" w:space="0" w:color="auto"/>
                <w:left w:val="none" w:sz="0" w:space="0" w:color="auto"/>
                <w:bottom w:val="none" w:sz="0" w:space="0" w:color="auto"/>
                <w:right w:val="none" w:sz="0" w:space="0" w:color="auto"/>
              </w:divBdr>
              <w:divsChild>
                <w:div w:id="1434789401">
                  <w:marLeft w:val="0"/>
                  <w:marRight w:val="0"/>
                  <w:marTop w:val="0"/>
                  <w:marBottom w:val="0"/>
                  <w:divBdr>
                    <w:top w:val="none" w:sz="0" w:space="0" w:color="auto"/>
                    <w:left w:val="none" w:sz="0" w:space="0" w:color="auto"/>
                    <w:bottom w:val="none" w:sz="0" w:space="0" w:color="auto"/>
                    <w:right w:val="none" w:sz="0" w:space="0" w:color="auto"/>
                  </w:divBdr>
                  <w:divsChild>
                    <w:div w:id="1223254252">
                      <w:marLeft w:val="0"/>
                      <w:marRight w:val="0"/>
                      <w:marTop w:val="0"/>
                      <w:marBottom w:val="0"/>
                      <w:divBdr>
                        <w:top w:val="none" w:sz="0" w:space="0" w:color="auto"/>
                        <w:left w:val="none" w:sz="0" w:space="0" w:color="auto"/>
                        <w:bottom w:val="none" w:sz="0" w:space="0" w:color="auto"/>
                        <w:right w:val="none" w:sz="0" w:space="0" w:color="auto"/>
                      </w:divBdr>
                      <w:divsChild>
                        <w:div w:id="57441204">
                          <w:marLeft w:val="0"/>
                          <w:marRight w:val="0"/>
                          <w:marTop w:val="0"/>
                          <w:marBottom w:val="0"/>
                          <w:divBdr>
                            <w:top w:val="none" w:sz="0" w:space="0" w:color="auto"/>
                            <w:left w:val="none" w:sz="0" w:space="0" w:color="auto"/>
                            <w:bottom w:val="none" w:sz="0" w:space="0" w:color="auto"/>
                            <w:right w:val="none" w:sz="0" w:space="0" w:color="auto"/>
                          </w:divBdr>
                          <w:divsChild>
                            <w:div w:id="1216818189">
                              <w:marLeft w:val="0"/>
                              <w:marRight w:val="0"/>
                              <w:marTop w:val="0"/>
                              <w:marBottom w:val="0"/>
                              <w:divBdr>
                                <w:top w:val="none" w:sz="0" w:space="0" w:color="auto"/>
                                <w:left w:val="none" w:sz="0" w:space="0" w:color="auto"/>
                                <w:bottom w:val="none" w:sz="0" w:space="0" w:color="auto"/>
                                <w:right w:val="none" w:sz="0" w:space="0" w:color="auto"/>
                              </w:divBdr>
                              <w:divsChild>
                                <w:div w:id="17023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82679">
      <w:bodyDiv w:val="1"/>
      <w:marLeft w:val="0"/>
      <w:marRight w:val="0"/>
      <w:marTop w:val="0"/>
      <w:marBottom w:val="0"/>
      <w:divBdr>
        <w:top w:val="none" w:sz="0" w:space="0" w:color="auto"/>
        <w:left w:val="none" w:sz="0" w:space="0" w:color="auto"/>
        <w:bottom w:val="none" w:sz="0" w:space="0" w:color="auto"/>
        <w:right w:val="none" w:sz="0" w:space="0" w:color="auto"/>
      </w:divBdr>
    </w:div>
    <w:div w:id="1917857461">
      <w:bodyDiv w:val="1"/>
      <w:marLeft w:val="0"/>
      <w:marRight w:val="0"/>
      <w:marTop w:val="0"/>
      <w:marBottom w:val="0"/>
      <w:divBdr>
        <w:top w:val="none" w:sz="0" w:space="0" w:color="auto"/>
        <w:left w:val="none" w:sz="0" w:space="0" w:color="auto"/>
        <w:bottom w:val="none" w:sz="0" w:space="0" w:color="auto"/>
        <w:right w:val="none" w:sz="0" w:space="0" w:color="auto"/>
      </w:divBdr>
      <w:divsChild>
        <w:div w:id="160658243">
          <w:marLeft w:val="0"/>
          <w:marRight w:val="0"/>
          <w:marTop w:val="0"/>
          <w:marBottom w:val="0"/>
          <w:divBdr>
            <w:top w:val="none" w:sz="0" w:space="0" w:color="auto"/>
            <w:left w:val="none" w:sz="0" w:space="0" w:color="auto"/>
            <w:bottom w:val="none" w:sz="0" w:space="0" w:color="auto"/>
            <w:right w:val="none" w:sz="0" w:space="0" w:color="auto"/>
          </w:divBdr>
          <w:divsChild>
            <w:div w:id="1769885438">
              <w:marLeft w:val="0"/>
              <w:marRight w:val="0"/>
              <w:marTop w:val="0"/>
              <w:marBottom w:val="0"/>
              <w:divBdr>
                <w:top w:val="none" w:sz="0" w:space="0" w:color="auto"/>
                <w:left w:val="none" w:sz="0" w:space="0" w:color="auto"/>
                <w:bottom w:val="none" w:sz="0" w:space="0" w:color="auto"/>
                <w:right w:val="none" w:sz="0" w:space="0" w:color="auto"/>
              </w:divBdr>
              <w:divsChild>
                <w:div w:id="1324165976">
                  <w:marLeft w:val="0"/>
                  <w:marRight w:val="0"/>
                  <w:marTop w:val="0"/>
                  <w:marBottom w:val="0"/>
                  <w:divBdr>
                    <w:top w:val="none" w:sz="0" w:space="0" w:color="auto"/>
                    <w:left w:val="none" w:sz="0" w:space="0" w:color="auto"/>
                    <w:bottom w:val="none" w:sz="0" w:space="0" w:color="auto"/>
                    <w:right w:val="none" w:sz="0" w:space="0" w:color="auto"/>
                  </w:divBdr>
                  <w:divsChild>
                    <w:div w:id="1456172212">
                      <w:marLeft w:val="0"/>
                      <w:marRight w:val="0"/>
                      <w:marTop w:val="0"/>
                      <w:marBottom w:val="0"/>
                      <w:divBdr>
                        <w:top w:val="none" w:sz="0" w:space="0" w:color="auto"/>
                        <w:left w:val="none" w:sz="0" w:space="0" w:color="auto"/>
                        <w:bottom w:val="none" w:sz="0" w:space="0" w:color="auto"/>
                        <w:right w:val="none" w:sz="0" w:space="0" w:color="auto"/>
                      </w:divBdr>
                      <w:divsChild>
                        <w:div w:id="646016677">
                          <w:marLeft w:val="0"/>
                          <w:marRight w:val="0"/>
                          <w:marTop w:val="0"/>
                          <w:marBottom w:val="0"/>
                          <w:divBdr>
                            <w:top w:val="none" w:sz="0" w:space="0" w:color="auto"/>
                            <w:left w:val="none" w:sz="0" w:space="0" w:color="auto"/>
                            <w:bottom w:val="none" w:sz="0" w:space="0" w:color="auto"/>
                            <w:right w:val="none" w:sz="0" w:space="0" w:color="auto"/>
                          </w:divBdr>
                          <w:divsChild>
                            <w:div w:id="304313186">
                              <w:marLeft w:val="0"/>
                              <w:marRight w:val="0"/>
                              <w:marTop w:val="0"/>
                              <w:marBottom w:val="0"/>
                              <w:divBdr>
                                <w:top w:val="none" w:sz="0" w:space="0" w:color="auto"/>
                                <w:left w:val="none" w:sz="0" w:space="0" w:color="auto"/>
                                <w:bottom w:val="none" w:sz="0" w:space="0" w:color="auto"/>
                                <w:right w:val="none" w:sz="0" w:space="0" w:color="auto"/>
                              </w:divBdr>
                              <w:divsChild>
                                <w:div w:id="10896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5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oi_(identifie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oi.org/10.1016%2F0304-4076%2892%2990104-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D80B-05D1-449F-8661-2775882D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3113</TotalTime>
  <Pages>27</Pages>
  <Words>9825</Words>
  <Characters>56003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 Muhammed Raji</dc:creator>
  <cp:keywords/>
  <dc:description/>
  <cp:lastModifiedBy>qwert</cp:lastModifiedBy>
  <cp:revision>203</cp:revision>
  <dcterms:created xsi:type="dcterms:W3CDTF">2026-05-09T09:12:00Z</dcterms:created>
  <dcterms:modified xsi:type="dcterms:W3CDTF">2026-05-18T07:37:00Z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9f1c0493-a272-4b38-a913-c9d6469bcad1</vt:lpwstr>
  </property>
</Properties>
</file>