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AAB6BA" w14:textId="77777777" w:rsidR="006F474B" w:rsidRPr="00684D76" w:rsidRDefault="002E2A2B" w:rsidP="006F474B">
      <w:pPr>
        <w:spacing w:line="360" w:lineRule="auto"/>
        <w:jc w:val="both"/>
        <w:rPr>
          <w:rFonts w:ascii="Times New Roman" w:hAnsi="Times New Roman" w:cs="Times New Roman"/>
          <w:b/>
          <w:color w:val="000000" w:themeColor="text1"/>
          <w:sz w:val="28"/>
          <w:szCs w:val="28"/>
        </w:rPr>
      </w:pPr>
      <w:r w:rsidRPr="00684D76">
        <w:rPr>
          <w:rFonts w:ascii="Times New Roman" w:hAnsi="Times New Roman" w:cs="Times New Roman"/>
          <w:b/>
          <w:color w:val="000000" w:themeColor="text1"/>
          <w:sz w:val="28"/>
          <w:szCs w:val="28"/>
        </w:rPr>
        <w:t>Hybrid Loan Default Prediction System Using Machine Learning and Deep Neural Network (DNN)</w:t>
      </w:r>
    </w:p>
    <w:p w14:paraId="5B30C679" w14:textId="77777777" w:rsidR="002E2A2B" w:rsidRPr="00684D76" w:rsidRDefault="00760163" w:rsidP="006F474B">
      <w:pPr>
        <w:spacing w:line="360" w:lineRule="auto"/>
        <w:jc w:val="both"/>
        <w:rPr>
          <w:rFonts w:ascii="Times New Roman" w:hAnsi="Times New Roman" w:cs="Times New Roman"/>
          <w:b/>
          <w:color w:val="000000" w:themeColor="text1"/>
        </w:rPr>
      </w:pPr>
      <w:bookmarkStart w:id="0" w:name="_GoBack"/>
      <w:bookmarkEnd w:id="0"/>
      <w:r w:rsidRPr="00684D76">
        <w:rPr>
          <w:rFonts w:ascii="Times New Roman" w:hAnsi="Times New Roman" w:cs="Times New Roman"/>
          <w:b/>
          <w:color w:val="000000" w:themeColor="text1"/>
        </w:rPr>
        <w:t>ABSTRACT</w:t>
      </w:r>
    </w:p>
    <w:p w14:paraId="793B060A" w14:textId="77777777" w:rsidR="0008253D" w:rsidRPr="00684D76" w:rsidRDefault="0008253D" w:rsidP="0008253D">
      <w:pPr>
        <w:pStyle w:val="NormalWeb"/>
        <w:spacing w:line="276" w:lineRule="auto"/>
        <w:ind w:left="90" w:right="630"/>
        <w:jc w:val="both"/>
        <w:rPr>
          <w:i/>
          <w:color w:val="000000" w:themeColor="text1"/>
          <w:sz w:val="22"/>
          <w:szCs w:val="22"/>
        </w:rPr>
      </w:pPr>
      <w:r w:rsidRPr="00684D76">
        <w:rPr>
          <w:i/>
          <w:color w:val="000000" w:themeColor="text1"/>
          <w:sz w:val="22"/>
          <w:szCs w:val="22"/>
        </w:rPr>
        <w:t>Accurate loan default prediction is crucial for managing credit risk. Traditional models struggle with class imbalance, where defaults are rare. This study creates a hybrid system combining machine learning with Deep Neural Networks, using Adaptive Synthetic Sampling (ADASYN) to effectively address this imbalance.</w:t>
      </w:r>
      <w:r w:rsidRPr="00684D76">
        <w:rPr>
          <w:i/>
          <w:sz w:val="22"/>
          <w:szCs w:val="22"/>
        </w:rPr>
        <w:t xml:space="preserve"> </w:t>
      </w:r>
      <w:r w:rsidRPr="00684D76">
        <w:rPr>
          <w:i/>
          <w:color w:val="000000" w:themeColor="text1"/>
          <w:sz w:val="22"/>
          <w:szCs w:val="22"/>
        </w:rPr>
        <w:t>The research utilized a comprehensive dataset of 255,347 loan records with 18 predictive features, including borrower demographics, financial attributes, and loan characteristics. The study employed rigorous exploratory data analysis, four models were systematically evaluated: Logistic Regression, Random Forest, XGBoost, and the proposed Hybrid ML-DNN system with ADASYN integration. The study's methodology involved preprocessing data, applying ADASYN to handle class imbalance, and creating a hybrid model. This combines interpretable traditional ML with powerful deep neural networks to better predict complex, non-linear patterns in loan defaults. Traditional baseline models (Logistic Regression, Random Forest, XGBoost) achieved misleadingly high overall accuracies (88%+) but failed catastrophically at default detection, with recall rates between 0% and 8% for the minority class. These models essentially learned to predict all loans as "good," rendering them operationally ineffective for risk assessment. In stark contrast, the Hybrid ML-DNN model with ADASYN achieved a 52% recall rate for defaults a more than six-fold improvement over the best baseline model while maintaining a 79.83% overall accuracy and 0.7571 ROC AUC score. The model successfully identified 3,074 actual defaults out of 5,931 total defaults in the test set, compared to baseline models that identified fewer than 500 defaults. However, this improvement came with a precision trade-off of 29% for the default class, resulting in 7,442 false positives, highlighting the inherent business decision between risk mitigation and customer acquisition. The study proves ADASYN is essential for effective loan default prediction, not just an enhancement. It provides a robust, transparent AI framework for financial institutions, enabling improved risk assessment and promoting more stable and responsible lending practices.</w:t>
      </w:r>
    </w:p>
    <w:p w14:paraId="4968A2BD" w14:textId="7F1CFEB4" w:rsidR="00F02834" w:rsidRPr="00684D76" w:rsidRDefault="00F02834" w:rsidP="00F02834">
      <w:pPr>
        <w:pStyle w:val="NormalWeb"/>
        <w:spacing w:line="276" w:lineRule="auto"/>
        <w:ind w:right="630"/>
        <w:jc w:val="both"/>
        <w:rPr>
          <w:iCs/>
          <w:color w:val="000000" w:themeColor="text1"/>
          <w:sz w:val="22"/>
          <w:szCs w:val="22"/>
        </w:rPr>
      </w:pPr>
      <w:r w:rsidRPr="00684D76">
        <w:rPr>
          <w:b/>
          <w:bCs/>
          <w:iCs/>
          <w:color w:val="000000" w:themeColor="text1"/>
          <w:sz w:val="22"/>
          <w:szCs w:val="22"/>
        </w:rPr>
        <w:t>Keywords</w:t>
      </w:r>
      <w:r w:rsidRPr="00684D76">
        <w:rPr>
          <w:iCs/>
          <w:color w:val="000000" w:themeColor="text1"/>
          <w:sz w:val="22"/>
          <w:szCs w:val="22"/>
        </w:rPr>
        <w:t xml:space="preserve">: </w:t>
      </w:r>
      <w:r w:rsidR="005D2137" w:rsidRPr="005D2137">
        <w:rPr>
          <w:iCs/>
          <w:color w:val="000000" w:themeColor="text1"/>
          <w:sz w:val="22"/>
          <w:szCs w:val="22"/>
        </w:rPr>
        <w:t>Loan default prediction; Machine learning; Deep Neural Network (DNN); Hybrid model; ADASYN; Class imbalance; Credit risk assessment</w:t>
      </w:r>
      <w:r w:rsidR="005D2137">
        <w:rPr>
          <w:iCs/>
          <w:color w:val="000000" w:themeColor="text1"/>
          <w:sz w:val="22"/>
          <w:szCs w:val="22"/>
        </w:rPr>
        <w:t>.</w:t>
      </w:r>
    </w:p>
    <w:p w14:paraId="3E21D63F" w14:textId="77777777" w:rsidR="002E2A2B" w:rsidRPr="00684D76" w:rsidRDefault="002E2A2B" w:rsidP="006F474B">
      <w:pPr>
        <w:spacing w:line="360" w:lineRule="auto"/>
        <w:jc w:val="both"/>
        <w:rPr>
          <w:rFonts w:ascii="Times New Roman" w:hAnsi="Times New Roman" w:cs="Times New Roman"/>
          <w:b/>
          <w:color w:val="000000" w:themeColor="text1"/>
        </w:rPr>
      </w:pPr>
      <w:r w:rsidRPr="00684D76">
        <w:rPr>
          <w:rFonts w:ascii="Times New Roman" w:hAnsi="Times New Roman" w:cs="Times New Roman"/>
          <w:b/>
          <w:color w:val="000000" w:themeColor="text1"/>
        </w:rPr>
        <w:t>INTRODUCTION</w:t>
      </w:r>
    </w:p>
    <w:p w14:paraId="2FB56EC5" w14:textId="77777777" w:rsidR="002E2A2B" w:rsidRPr="00684D76" w:rsidRDefault="002E2A2B" w:rsidP="006F474B">
      <w:pPr>
        <w:spacing w:line="360" w:lineRule="auto"/>
        <w:jc w:val="both"/>
        <w:rPr>
          <w:rFonts w:ascii="Times New Roman" w:hAnsi="Times New Roman" w:cs="Times New Roman"/>
          <w:color w:val="000000" w:themeColor="text1"/>
        </w:rPr>
      </w:pPr>
      <w:r w:rsidRPr="00684D76">
        <w:rPr>
          <w:rFonts w:ascii="Times New Roman" w:hAnsi="Times New Roman" w:cs="Times New Roman"/>
          <w:color w:val="000000" w:themeColor="text1"/>
        </w:rPr>
        <w:t xml:space="preserve">The financial services industry has been experiencing a paradigm shift over the past few decades due to the rise in the use of technology, the creation of new regulations, and the rise in the number of demands and requirements of consumers. The most important thing about this transformation is the credit risk testing and the creation of loan defaults. Though they form the main concept of the available banking systems, the traditional credit rating models are being progressively subjected to the upgraded blame of their incapacity to entrap the complex non-linear interaction of the available financial datum. The </w:t>
      </w:r>
      <w:r w:rsidRPr="00684D76">
        <w:rPr>
          <w:rFonts w:ascii="Times New Roman" w:hAnsi="Times New Roman" w:cs="Times New Roman"/>
          <w:color w:val="000000" w:themeColor="text1"/>
        </w:rPr>
        <w:lastRenderedPageBreak/>
        <w:t xml:space="preserve">development of machine learning and artificial intelligence has provided some new opportunities to improve the credit risk assessment (Hossain </w:t>
      </w:r>
      <w:r w:rsidRPr="00684D76">
        <w:rPr>
          <w:rFonts w:ascii="Times New Roman" w:hAnsi="Times New Roman" w:cs="Times New Roman"/>
          <w:i/>
          <w:color w:val="000000" w:themeColor="text1"/>
        </w:rPr>
        <w:t>et al.,</w:t>
      </w:r>
      <w:r w:rsidRPr="00684D76">
        <w:rPr>
          <w:rFonts w:ascii="Times New Roman" w:hAnsi="Times New Roman" w:cs="Times New Roman"/>
          <w:color w:val="000000" w:themeColor="text1"/>
        </w:rPr>
        <w:t xml:space="preserve"> 2025). However, the application of such technologies to the financial context presents certain difficulties unique to that use, including interpretability, regulatory compliance and fairness. The resulting skewed distribution of the loan default datasets due to the natural imbalance between the non-defaulting and the defaulting loans is yet another complication that will complicate the modelling process and yield biased results with the majority of the classes predictions prevailing (Duan, 2019). </w:t>
      </w:r>
    </w:p>
    <w:p w14:paraId="5E673A0E" w14:textId="77777777" w:rsidR="005C174C" w:rsidRPr="00684D76" w:rsidRDefault="005C174C" w:rsidP="006F474B">
      <w:pPr>
        <w:spacing w:line="360" w:lineRule="auto"/>
        <w:jc w:val="both"/>
        <w:rPr>
          <w:rFonts w:ascii="Times New Roman" w:hAnsi="Times New Roman" w:cs="Times New Roman"/>
          <w:color w:val="000000" w:themeColor="text1"/>
        </w:rPr>
      </w:pPr>
      <w:r w:rsidRPr="00684D76">
        <w:rPr>
          <w:rFonts w:ascii="Times New Roman" w:hAnsi="Times New Roman" w:cs="Times New Roman"/>
          <w:color w:val="000000" w:themeColor="text1"/>
        </w:rPr>
        <w:t xml:space="preserve">In financial organisations, predicting loan defaults is crucial for assessing credit risk and making educated loan approval choices. and credit history (Khandani, Kim and Lo, 2010). Although these models are helpful to a certain extent, they often overlook the useful information contained in other types of data, especially unstructured documents submitted with loan applications, like utility bills, payslips, and genuine identification documents (Banasik, Crook and Thomas, 2003). This research proposes the creation of a hybrid prediction system that utilises both structured data and advanced learning from synthetic samples to address this gap. Traditional machine learning algorithms are utilised for structured, tabular data, but Deep Neural Networks (DNNs) are employed to represent intricate patterns and interactions that shallow models may fail to grasp (Buda, Maki and Mazurowski, 2018). Furthermore, to mitigate the class imbalance commonly observed in loan default datasets, the Adaptive Synthetic Sampling (ADASYN) method is employed to produce balanced training data, therefore enhancing the model's sensitivity to minority classes (Haibo He et al., 2008). The study seeks to improve the accuracy, fairness, and resilience of loan default prediction systems through the integration of machine learning, deep neural networks, and ADASYN, thereby fostering more inclusive and transparent credit decision-making in the financial sector. </w:t>
      </w:r>
    </w:p>
    <w:p w14:paraId="45376970" w14:textId="77777777" w:rsidR="005C174C" w:rsidRPr="00684D76" w:rsidRDefault="005C174C" w:rsidP="006F474B">
      <w:pPr>
        <w:spacing w:line="360" w:lineRule="auto"/>
        <w:jc w:val="both"/>
        <w:rPr>
          <w:rFonts w:ascii="Times New Roman" w:hAnsi="Times New Roman" w:cs="Times New Roman"/>
          <w:b/>
          <w:color w:val="000000" w:themeColor="text1"/>
        </w:rPr>
      </w:pPr>
      <w:r w:rsidRPr="00684D76">
        <w:rPr>
          <w:rFonts w:ascii="Times New Roman" w:hAnsi="Times New Roman" w:cs="Times New Roman"/>
          <w:b/>
          <w:color w:val="000000" w:themeColor="text1"/>
        </w:rPr>
        <w:t>METHODOLOGY</w:t>
      </w:r>
    </w:p>
    <w:p w14:paraId="79D4CC9E" w14:textId="77777777" w:rsidR="005C174C" w:rsidRPr="00684D76" w:rsidRDefault="005C174C" w:rsidP="006F474B">
      <w:pPr>
        <w:spacing w:line="360" w:lineRule="auto"/>
        <w:jc w:val="both"/>
        <w:rPr>
          <w:rFonts w:ascii="Times New Roman" w:hAnsi="Times New Roman" w:cs="Times New Roman"/>
          <w:b/>
          <w:color w:val="000000" w:themeColor="text1"/>
        </w:rPr>
      </w:pPr>
      <w:r w:rsidRPr="00684D76">
        <w:rPr>
          <w:rFonts w:ascii="Times New Roman" w:hAnsi="Times New Roman" w:cs="Times New Roman"/>
          <w:b/>
          <w:color w:val="000000" w:themeColor="text1"/>
        </w:rPr>
        <w:t>Research Philosophy and Approach</w:t>
      </w:r>
    </w:p>
    <w:p w14:paraId="73BACEEB" w14:textId="77777777" w:rsidR="005C174C" w:rsidRPr="00684D76" w:rsidRDefault="005C174C" w:rsidP="005C174C">
      <w:pPr>
        <w:pStyle w:val="NormalWeb"/>
        <w:spacing w:line="360" w:lineRule="auto"/>
        <w:ind w:right="630"/>
        <w:jc w:val="both"/>
        <w:rPr>
          <w:color w:val="000000" w:themeColor="text1"/>
          <w:sz w:val="22"/>
          <w:szCs w:val="22"/>
        </w:rPr>
      </w:pPr>
      <w:r w:rsidRPr="00684D76">
        <w:rPr>
          <w:color w:val="000000" w:themeColor="text1"/>
          <w:sz w:val="22"/>
          <w:szCs w:val="22"/>
        </w:rPr>
        <w:t xml:space="preserve">The study takes a more practical approach to philosophy by acknowledging that the effectiveness of loan default prediction systems cannot solely be measured based on statistical performance measures but should also be measured based on practical factors of fairness, interpretability, and applicability in the real world. This practical methodology recognizes that various methodological tools might suit various sides of the research issue. The study is deductive, where known theories in machine learning and financial risk assessment are initially formulated and followed by an initial hypothesis concerning the efficacy of hybrid methods that are, in turn, tested empirically. </w:t>
      </w:r>
      <w:r w:rsidRPr="00684D76">
        <w:rPr>
          <w:color w:val="000000" w:themeColor="text1"/>
          <w:sz w:val="22"/>
          <w:szCs w:val="22"/>
        </w:rPr>
        <w:lastRenderedPageBreak/>
        <w:t>However, the research also incorporates inductive elements, particularly in the exploration of optimal architectures and parameter configurations for the hybrid system.</w:t>
      </w:r>
    </w:p>
    <w:p w14:paraId="60A10195" w14:textId="77777777" w:rsidR="005C174C" w:rsidRPr="00684D76" w:rsidRDefault="005C174C" w:rsidP="006F474B">
      <w:pPr>
        <w:spacing w:line="360" w:lineRule="auto"/>
        <w:jc w:val="both"/>
        <w:rPr>
          <w:rFonts w:ascii="Times New Roman" w:hAnsi="Times New Roman" w:cs="Times New Roman"/>
          <w:b/>
          <w:color w:val="000000" w:themeColor="text1"/>
        </w:rPr>
      </w:pPr>
      <w:r w:rsidRPr="00684D76">
        <w:rPr>
          <w:rFonts w:ascii="Times New Roman" w:hAnsi="Times New Roman" w:cs="Times New Roman"/>
          <w:b/>
          <w:color w:val="000000" w:themeColor="text1"/>
        </w:rPr>
        <w:t>Research Strategy</w:t>
      </w:r>
    </w:p>
    <w:p w14:paraId="1BC6A6D8" w14:textId="77777777" w:rsidR="005C174C" w:rsidRPr="00684D76" w:rsidRDefault="00E67A40" w:rsidP="006F474B">
      <w:pPr>
        <w:spacing w:line="360" w:lineRule="auto"/>
        <w:jc w:val="both"/>
        <w:rPr>
          <w:rFonts w:ascii="Times New Roman" w:hAnsi="Times New Roman" w:cs="Times New Roman"/>
          <w:color w:val="000000" w:themeColor="text1"/>
        </w:rPr>
      </w:pPr>
      <w:r w:rsidRPr="00684D76">
        <w:rPr>
          <w:rFonts w:ascii="Times New Roman" w:hAnsi="Times New Roman" w:cs="Times New Roman"/>
          <w:color w:val="000000" w:themeColor="text1"/>
        </w:rPr>
        <w:t>The research strategy unfolds across three distinct yet interconnected phases. Phase one focuses on foundation development, establishing baseline performance metrics using traditional machine learning approaches, particularly logistic regression, to create benchmarks and uncover key dataset characteristics. Phase two centers on hybrid system development, implementing the novel architecture that merges traditional machine learning with deep neural networks while integrating ADASYN to address class imbalance. Phase three involves comprehensive evaluation, conducting a rigorous multi-dimensional assessment of the hybrid system that analyzes accuracy, fairness and interpretability against baseline models to validate its superiority.</w:t>
      </w:r>
    </w:p>
    <w:p w14:paraId="2EFB6DA8" w14:textId="77777777" w:rsidR="00E67A40" w:rsidRPr="00684D76" w:rsidRDefault="00E67A40" w:rsidP="006F474B">
      <w:pPr>
        <w:spacing w:line="360" w:lineRule="auto"/>
        <w:jc w:val="both"/>
        <w:rPr>
          <w:rFonts w:ascii="Times New Roman" w:hAnsi="Times New Roman" w:cs="Times New Roman"/>
          <w:b/>
          <w:color w:val="000000" w:themeColor="text1"/>
        </w:rPr>
      </w:pPr>
      <w:r w:rsidRPr="00684D76">
        <w:rPr>
          <w:rFonts w:ascii="Times New Roman" w:hAnsi="Times New Roman" w:cs="Times New Roman"/>
          <w:b/>
          <w:color w:val="000000" w:themeColor="text1"/>
        </w:rPr>
        <w:t>Research Design</w:t>
      </w:r>
    </w:p>
    <w:p w14:paraId="7EAAA0EA" w14:textId="77777777" w:rsidR="00E67A40" w:rsidRPr="00684D76" w:rsidRDefault="00E67A40" w:rsidP="00E67A40">
      <w:pPr>
        <w:pStyle w:val="NormalWeb"/>
        <w:spacing w:line="360" w:lineRule="auto"/>
        <w:ind w:right="630"/>
        <w:jc w:val="both"/>
        <w:rPr>
          <w:color w:val="000000" w:themeColor="text1"/>
          <w:sz w:val="22"/>
          <w:szCs w:val="22"/>
        </w:rPr>
      </w:pPr>
      <w:r w:rsidRPr="00684D76">
        <w:rPr>
          <w:color w:val="000000" w:themeColor="text1"/>
          <w:sz w:val="22"/>
          <w:szCs w:val="22"/>
        </w:rPr>
        <w:t>This research employs a quantitative analysis to develop and evaluate a hybrid loan default prediction system. The methodological framework is structured around the four primary research objectives, utilizing both traditional machine learning techniques and advanced deep learning architectures to create a comprehensive prediction system. The research follows a structured pipeline:</w:t>
      </w:r>
    </w:p>
    <w:p w14:paraId="72EC3DDF" w14:textId="77777777" w:rsidR="00E67A40" w:rsidRPr="00684D76" w:rsidRDefault="00E67A40" w:rsidP="00E67A40">
      <w:pPr>
        <w:pStyle w:val="ListParagraph"/>
        <w:numPr>
          <w:ilvl w:val="0"/>
          <w:numId w:val="1"/>
        </w:numPr>
        <w:spacing w:line="360" w:lineRule="auto"/>
        <w:ind w:right="630"/>
        <w:rPr>
          <w:color w:val="000000" w:themeColor="text1"/>
          <w:sz w:val="22"/>
          <w:szCs w:val="22"/>
        </w:rPr>
      </w:pPr>
      <w:r w:rsidRPr="00684D76">
        <w:rPr>
          <w:color w:val="000000" w:themeColor="text1"/>
          <w:sz w:val="22"/>
          <w:szCs w:val="22"/>
        </w:rPr>
        <w:t>Data Collection and Preprocessing</w:t>
      </w:r>
    </w:p>
    <w:p w14:paraId="6C0E806E" w14:textId="77777777" w:rsidR="00E67A40" w:rsidRPr="00684D76" w:rsidRDefault="00E67A40" w:rsidP="00E67A40">
      <w:pPr>
        <w:pStyle w:val="ListParagraph"/>
        <w:numPr>
          <w:ilvl w:val="0"/>
          <w:numId w:val="1"/>
        </w:numPr>
        <w:spacing w:line="360" w:lineRule="auto"/>
        <w:ind w:right="630"/>
        <w:rPr>
          <w:color w:val="000000" w:themeColor="text1"/>
          <w:sz w:val="22"/>
          <w:szCs w:val="22"/>
        </w:rPr>
      </w:pPr>
      <w:r w:rsidRPr="00684D76">
        <w:rPr>
          <w:color w:val="000000" w:themeColor="text1"/>
          <w:sz w:val="22"/>
          <w:szCs w:val="22"/>
        </w:rPr>
        <w:t>Feature Engineering and Selection</w:t>
      </w:r>
    </w:p>
    <w:p w14:paraId="0361F5E0" w14:textId="77777777" w:rsidR="00E67A40" w:rsidRPr="00684D76" w:rsidRDefault="00E67A40" w:rsidP="00E67A40">
      <w:pPr>
        <w:pStyle w:val="ListParagraph"/>
        <w:numPr>
          <w:ilvl w:val="0"/>
          <w:numId w:val="1"/>
        </w:numPr>
        <w:spacing w:line="360" w:lineRule="auto"/>
        <w:ind w:right="630"/>
        <w:rPr>
          <w:color w:val="000000" w:themeColor="text1"/>
          <w:sz w:val="22"/>
          <w:szCs w:val="22"/>
        </w:rPr>
      </w:pPr>
      <w:r w:rsidRPr="00684D76">
        <w:rPr>
          <w:color w:val="000000" w:themeColor="text1"/>
          <w:sz w:val="22"/>
          <w:szCs w:val="22"/>
        </w:rPr>
        <w:t>Class Imbalance Handling (ADASYN)</w:t>
      </w:r>
    </w:p>
    <w:p w14:paraId="602233DE" w14:textId="77777777" w:rsidR="00E67A40" w:rsidRPr="00684D76" w:rsidRDefault="00E67A40" w:rsidP="00E67A40">
      <w:pPr>
        <w:pStyle w:val="ListParagraph"/>
        <w:numPr>
          <w:ilvl w:val="0"/>
          <w:numId w:val="1"/>
        </w:numPr>
        <w:spacing w:line="360" w:lineRule="auto"/>
        <w:ind w:right="630"/>
        <w:rPr>
          <w:color w:val="000000" w:themeColor="text1"/>
          <w:sz w:val="22"/>
          <w:szCs w:val="22"/>
        </w:rPr>
      </w:pPr>
      <w:r w:rsidRPr="00684D76">
        <w:rPr>
          <w:color w:val="000000" w:themeColor="text1"/>
          <w:sz w:val="22"/>
          <w:szCs w:val="22"/>
        </w:rPr>
        <w:t>Model Development (ML &amp; DNN Hybridization)</w:t>
      </w:r>
    </w:p>
    <w:p w14:paraId="1B2CACE8" w14:textId="77777777" w:rsidR="00E67A40" w:rsidRPr="00684D76" w:rsidRDefault="00E67A40" w:rsidP="00E67A40">
      <w:pPr>
        <w:pStyle w:val="ListParagraph"/>
        <w:numPr>
          <w:ilvl w:val="0"/>
          <w:numId w:val="1"/>
        </w:numPr>
        <w:spacing w:line="360" w:lineRule="auto"/>
        <w:ind w:right="630"/>
        <w:rPr>
          <w:color w:val="000000" w:themeColor="text1"/>
          <w:sz w:val="22"/>
          <w:szCs w:val="22"/>
        </w:rPr>
      </w:pPr>
      <w:r w:rsidRPr="00684D76">
        <w:rPr>
          <w:color w:val="000000" w:themeColor="text1"/>
          <w:sz w:val="22"/>
          <w:szCs w:val="22"/>
        </w:rPr>
        <w:t>Model Evaluation and Comparison</w:t>
      </w:r>
    </w:p>
    <w:p w14:paraId="1BF21148" w14:textId="77777777" w:rsidR="00E67A40" w:rsidRPr="00684D76" w:rsidRDefault="00E67A40" w:rsidP="00E67A40">
      <w:pPr>
        <w:pStyle w:val="ListParagraph"/>
        <w:numPr>
          <w:ilvl w:val="0"/>
          <w:numId w:val="1"/>
        </w:numPr>
        <w:spacing w:line="360" w:lineRule="auto"/>
        <w:ind w:right="630"/>
        <w:rPr>
          <w:color w:val="000000" w:themeColor="text1"/>
          <w:sz w:val="22"/>
          <w:szCs w:val="22"/>
        </w:rPr>
      </w:pPr>
      <w:r w:rsidRPr="00684D76">
        <w:rPr>
          <w:color w:val="000000" w:themeColor="text1"/>
          <w:sz w:val="22"/>
          <w:szCs w:val="22"/>
        </w:rPr>
        <w:t>Interpretability and Fairness Analysis</w:t>
      </w:r>
    </w:p>
    <w:p w14:paraId="308DB832" w14:textId="77777777" w:rsidR="00E67A40" w:rsidRPr="00684D76" w:rsidRDefault="00E67A40" w:rsidP="006F474B">
      <w:pPr>
        <w:spacing w:line="360" w:lineRule="auto"/>
        <w:jc w:val="both"/>
        <w:rPr>
          <w:rFonts w:ascii="Times New Roman" w:hAnsi="Times New Roman" w:cs="Times New Roman"/>
          <w:color w:val="000000" w:themeColor="text1"/>
        </w:rPr>
      </w:pPr>
    </w:p>
    <w:p w14:paraId="47E0231E" w14:textId="77777777" w:rsidR="00E67A40" w:rsidRPr="00684D76" w:rsidRDefault="00E67A40" w:rsidP="006F474B">
      <w:pPr>
        <w:spacing w:line="360" w:lineRule="auto"/>
        <w:jc w:val="both"/>
        <w:rPr>
          <w:rFonts w:ascii="Times New Roman" w:hAnsi="Times New Roman" w:cs="Times New Roman"/>
          <w:b/>
          <w:color w:val="000000" w:themeColor="text1"/>
        </w:rPr>
      </w:pPr>
      <w:r w:rsidRPr="00684D76">
        <w:rPr>
          <w:rFonts w:ascii="Times New Roman" w:hAnsi="Times New Roman" w:cs="Times New Roman"/>
          <w:b/>
          <w:color w:val="000000" w:themeColor="text1"/>
        </w:rPr>
        <w:t>Research Workflow Diagram</w:t>
      </w:r>
    </w:p>
    <w:p w14:paraId="7CAFFE47" w14:textId="77777777" w:rsidR="00E67A40" w:rsidRPr="00684D76" w:rsidRDefault="00E67A40" w:rsidP="00E67A40">
      <w:pPr>
        <w:spacing w:line="360" w:lineRule="auto"/>
        <w:jc w:val="both"/>
        <w:rPr>
          <w:rFonts w:ascii="Times New Roman" w:hAnsi="Times New Roman" w:cs="Times New Roman"/>
        </w:rPr>
      </w:pPr>
      <w:r w:rsidRPr="00684D76">
        <w:rPr>
          <w:rFonts w:ascii="Times New Roman" w:hAnsi="Times New Roman" w:cs="Times New Roman"/>
        </w:rPr>
        <w:t>The workflow diagram outlines the critical steps taken to achieve this research. It begins with data loading and exploratory analysis of 255,347 loan records. After preprocessing, baseline models fail at default detection, prompting ADASYN oversampling. A hybrid ML-DNN model is then developed, with its performance compared against benchmarks. The process concludes by evaluating the model's fairness and interpretability to ensure a robust and ethical solution.</w:t>
      </w:r>
    </w:p>
    <w:p w14:paraId="06BAD578" w14:textId="77777777" w:rsidR="00E67A40" w:rsidRPr="00684D76" w:rsidRDefault="00E67A40" w:rsidP="00E67A40">
      <w:pPr>
        <w:pStyle w:val="NoSpacing"/>
        <w:jc w:val="center"/>
        <w:rPr>
          <w:rFonts w:ascii="Times New Roman" w:hAnsi="Times New Roman" w:cs="Times New Roman"/>
          <w:sz w:val="22"/>
          <w:szCs w:val="22"/>
        </w:rPr>
      </w:pPr>
    </w:p>
    <w:p w14:paraId="489C10D2" w14:textId="77777777" w:rsidR="00E67A40" w:rsidRPr="00684D76" w:rsidRDefault="00E67A40" w:rsidP="00E67A40">
      <w:pPr>
        <w:pStyle w:val="NoSpacing"/>
        <w:jc w:val="center"/>
        <w:rPr>
          <w:rFonts w:ascii="Times New Roman" w:hAnsi="Times New Roman" w:cs="Times New Roman"/>
          <w:color w:val="000000" w:themeColor="text1"/>
          <w:sz w:val="22"/>
          <w:szCs w:val="22"/>
        </w:rPr>
      </w:pPr>
      <w:r w:rsidRPr="00684D76">
        <w:rPr>
          <w:rFonts w:ascii="Times New Roman" w:hAnsi="Times New Roman" w:cs="Times New Roman"/>
          <w:noProof/>
          <w:color w:val="0D0D0D" w:themeColor="text1" w:themeTint="F2"/>
          <w:sz w:val="22"/>
          <w:szCs w:val="22"/>
          <w:lang w:val="en-IN" w:eastAsia="en-IN"/>
        </w:rPr>
        <mc:AlternateContent>
          <mc:Choice Requires="wps">
            <w:drawing>
              <wp:anchor distT="0" distB="0" distL="114300" distR="114300" simplePos="0" relativeHeight="251659264" behindDoc="0" locked="0" layoutInCell="1" allowOverlap="1" wp14:anchorId="77E44619" wp14:editId="0B622AE4">
                <wp:simplePos x="0" y="0"/>
                <wp:positionH relativeFrom="column">
                  <wp:posOffset>2879841</wp:posOffset>
                </wp:positionH>
                <wp:positionV relativeFrom="paragraph">
                  <wp:posOffset>3134360</wp:posOffset>
                </wp:positionV>
                <wp:extent cx="0" cy="215590"/>
                <wp:effectExtent l="63500" t="0" r="38100" b="26035"/>
                <wp:wrapNone/>
                <wp:docPr id="22" name="Straight Arrow Connector 22"/>
                <wp:cNvGraphicFramePr/>
                <a:graphic xmlns:a="http://schemas.openxmlformats.org/drawingml/2006/main">
                  <a:graphicData uri="http://schemas.microsoft.com/office/word/2010/wordprocessingShape">
                    <wps:wsp>
                      <wps:cNvCnPr/>
                      <wps:spPr>
                        <a:xfrm>
                          <a:off x="0" y="0"/>
                          <a:ext cx="0" cy="215590"/>
                        </a:xfrm>
                        <a:prstGeom prst="straightConnector1">
                          <a:avLst/>
                        </a:prstGeom>
                        <a:ln>
                          <a:tailEnd type="triangle"/>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93E1F2" id="_x0000_t32" coordsize="21600,21600" o:spt="32" o:oned="t" path="m,l21600,21600e" filled="f">
                <v:path arrowok="t" fillok="f" o:connecttype="none"/>
                <o:lock v:ext="edit" shapetype="t"/>
              </v:shapetype>
              <v:shape id="Straight Arrow Connector 22" o:spid="_x0000_s1026" type="#_x0000_t32" style="position:absolute;margin-left:226.75pt;margin-top:246.8pt;width:0;height: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" strokecolor="#4472c4 [3204]" strokeweight="1pt">
                <v:stroke endarrow="block" joinstyle="miter"/>
              </v:shape>
            </w:pict>
          </mc:Fallback>
        </mc:AlternateContent>
      </w:r>
      <w:r w:rsidRPr="00684D76">
        <w:rPr>
          <w:rFonts w:ascii="Times New Roman" w:hAnsi="Times New Roman" w:cs="Times New Roman"/>
          <w:noProof/>
          <w:color w:val="000000" w:themeColor="text1"/>
          <w:sz w:val="22"/>
          <w:szCs w:val="22"/>
          <w:lang w:val="en-IN" w:eastAsia="en-IN"/>
        </w:rPr>
        <w:drawing>
          <wp:inline distT="0" distB="0" distL="0" distR="0" wp14:anchorId="50141F67" wp14:editId="2F05A390">
            <wp:extent cx="2535016" cy="321425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559941" cy="3245858"/>
                    </a:xfrm>
                    <a:prstGeom prst="rect">
                      <a:avLst/>
                    </a:prstGeom>
                  </pic:spPr>
                </pic:pic>
              </a:graphicData>
            </a:graphic>
          </wp:inline>
        </w:drawing>
      </w:r>
    </w:p>
    <w:p w14:paraId="263E12EB" w14:textId="77777777" w:rsidR="00E67A40" w:rsidRPr="00684D76" w:rsidRDefault="00E67A40" w:rsidP="00E67A40">
      <w:pPr>
        <w:pStyle w:val="NoSpacing"/>
        <w:jc w:val="center"/>
        <w:rPr>
          <w:rFonts w:ascii="Times New Roman" w:hAnsi="Times New Roman" w:cs="Times New Roman"/>
          <w:color w:val="000000" w:themeColor="text1"/>
          <w:sz w:val="22"/>
          <w:szCs w:val="22"/>
        </w:rPr>
      </w:pPr>
      <w:r w:rsidRPr="00684D76">
        <w:rPr>
          <w:rFonts w:ascii="Times New Roman" w:hAnsi="Times New Roman" w:cs="Times New Roman"/>
          <w:noProof/>
          <w:color w:val="000000" w:themeColor="text1"/>
          <w:sz w:val="22"/>
          <w:szCs w:val="22"/>
          <w:lang w:val="en-IN" w:eastAsia="en-IN"/>
        </w:rPr>
        <w:drawing>
          <wp:inline distT="0" distB="0" distL="0" distR="0" wp14:anchorId="0660896F" wp14:editId="40850AB1">
            <wp:extent cx="2458201" cy="3072751"/>
            <wp:effectExtent l="0" t="0" r="5715"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78756" cy="3098445"/>
                    </a:xfrm>
                    <a:prstGeom prst="rect">
                      <a:avLst/>
                    </a:prstGeom>
                  </pic:spPr>
                </pic:pic>
              </a:graphicData>
            </a:graphic>
          </wp:inline>
        </w:drawing>
      </w:r>
    </w:p>
    <w:p w14:paraId="366897EA" w14:textId="77777777" w:rsidR="00E67A40" w:rsidRPr="00684D76" w:rsidRDefault="00E67A40" w:rsidP="00E67A40">
      <w:pPr>
        <w:pStyle w:val="NoSpacing"/>
        <w:jc w:val="center"/>
        <w:rPr>
          <w:rFonts w:ascii="Times New Roman" w:hAnsi="Times New Roman" w:cs="Times New Roman"/>
          <w:i/>
          <w:iCs/>
          <w:color w:val="000000" w:themeColor="text1"/>
          <w:sz w:val="22"/>
          <w:szCs w:val="22"/>
        </w:rPr>
      </w:pPr>
      <w:r w:rsidRPr="00684D76">
        <w:rPr>
          <w:rFonts w:ascii="Times New Roman" w:hAnsi="Times New Roman" w:cs="Times New Roman"/>
          <w:i/>
          <w:iCs/>
          <w:color w:val="000000" w:themeColor="text1"/>
          <w:sz w:val="22"/>
          <w:szCs w:val="22"/>
        </w:rPr>
        <w:t>Figure 1: Research Workflow Diagram (Source: Author, 2025)</w:t>
      </w:r>
    </w:p>
    <w:p w14:paraId="6598BDFA" w14:textId="77777777" w:rsidR="002E2A2B" w:rsidRPr="00684D76" w:rsidRDefault="002E2A2B" w:rsidP="006F474B">
      <w:pPr>
        <w:spacing w:line="360" w:lineRule="auto"/>
        <w:jc w:val="both"/>
        <w:rPr>
          <w:rFonts w:ascii="Times New Roman" w:eastAsiaTheme="majorEastAsia" w:hAnsi="Times New Roman" w:cs="Times New Roman"/>
          <w:b/>
          <w:bCs/>
          <w:color w:val="000000" w:themeColor="text1"/>
          <w:kern w:val="0"/>
          <w:lang w:eastAsia="en-GB"/>
          <w14:ligatures w14:val="none"/>
        </w:rPr>
      </w:pPr>
    </w:p>
    <w:p w14:paraId="2FBD1516" w14:textId="77777777" w:rsidR="00E67A40" w:rsidRPr="00684D76" w:rsidRDefault="00E67A40" w:rsidP="006F474B">
      <w:pPr>
        <w:spacing w:line="360" w:lineRule="auto"/>
        <w:jc w:val="both"/>
        <w:rPr>
          <w:rFonts w:ascii="Times New Roman" w:eastAsiaTheme="majorEastAsia" w:hAnsi="Times New Roman" w:cs="Times New Roman"/>
          <w:b/>
          <w:bCs/>
          <w:color w:val="000000" w:themeColor="text1"/>
          <w:kern w:val="0"/>
          <w:lang w:eastAsia="en-GB"/>
          <w14:ligatures w14:val="none"/>
        </w:rPr>
      </w:pPr>
      <w:r w:rsidRPr="00684D76">
        <w:rPr>
          <w:rFonts w:ascii="Times New Roman" w:eastAsiaTheme="majorEastAsia" w:hAnsi="Times New Roman" w:cs="Times New Roman"/>
          <w:b/>
          <w:bCs/>
          <w:color w:val="000000" w:themeColor="text1"/>
          <w:kern w:val="0"/>
          <w:lang w:eastAsia="en-GB"/>
          <w14:ligatures w14:val="none"/>
        </w:rPr>
        <w:t>Data Collection</w:t>
      </w:r>
    </w:p>
    <w:p w14:paraId="03DEAABD" w14:textId="77777777" w:rsidR="00E67A40" w:rsidRPr="00684D76" w:rsidRDefault="00E67A40" w:rsidP="00E67A40">
      <w:pPr>
        <w:pStyle w:val="whitespace-normal"/>
        <w:spacing w:line="360" w:lineRule="auto"/>
        <w:ind w:right="630"/>
        <w:jc w:val="both"/>
        <w:rPr>
          <w:color w:val="000000" w:themeColor="text1"/>
          <w:sz w:val="22"/>
          <w:szCs w:val="22"/>
        </w:rPr>
      </w:pPr>
      <w:r w:rsidRPr="00684D76">
        <w:rPr>
          <w:color w:val="000000" w:themeColor="text1"/>
          <w:sz w:val="22"/>
          <w:szCs w:val="22"/>
        </w:rPr>
        <w:t xml:space="preserve">The research utilizes the Loan Default dataset (Loan_default.csv) obtained from GitHub, representing a comprehensive collection of loan application information. The dataset captures </w:t>
      </w:r>
      <w:r w:rsidRPr="00684D76">
        <w:rPr>
          <w:color w:val="000000" w:themeColor="text1"/>
          <w:sz w:val="22"/>
          <w:szCs w:val="22"/>
        </w:rPr>
        <w:lastRenderedPageBreak/>
        <w:t>diverse demographic, financial, and loan-specific attributes across multiple dimensions relevant to credit risk assessment.</w:t>
      </w:r>
    </w:p>
    <w:p w14:paraId="1048BB8D" w14:textId="77777777" w:rsidR="00E67A40" w:rsidRPr="00684D76" w:rsidRDefault="00E67A40" w:rsidP="00E67A40">
      <w:pPr>
        <w:pStyle w:val="whitespace-normal"/>
        <w:ind w:right="630"/>
        <w:rPr>
          <w:color w:val="000000" w:themeColor="text1"/>
          <w:sz w:val="22"/>
          <w:szCs w:val="22"/>
        </w:rPr>
      </w:pPr>
      <w:r w:rsidRPr="00684D76">
        <w:rPr>
          <w:color w:val="000000" w:themeColor="text1"/>
          <w:sz w:val="22"/>
          <w:szCs w:val="22"/>
        </w:rPr>
        <w:t>The dataset structure includes the following key variables:</w:t>
      </w:r>
    </w:p>
    <w:p w14:paraId="514FCE1D" w14:textId="77777777" w:rsidR="00E67A40" w:rsidRPr="00684D76" w:rsidRDefault="00E67A40" w:rsidP="00E67A40">
      <w:pPr>
        <w:pStyle w:val="whitespace-normal"/>
        <w:numPr>
          <w:ilvl w:val="0"/>
          <w:numId w:val="2"/>
        </w:numPr>
        <w:spacing w:line="360" w:lineRule="auto"/>
        <w:ind w:right="630"/>
        <w:rPr>
          <w:color w:val="000000" w:themeColor="text1"/>
          <w:sz w:val="22"/>
          <w:szCs w:val="22"/>
        </w:rPr>
      </w:pPr>
      <w:r w:rsidRPr="00684D76">
        <w:rPr>
          <w:rStyle w:val="Strong"/>
          <w:rFonts w:eastAsiaTheme="majorEastAsia"/>
          <w:b w:val="0"/>
          <w:bCs w:val="0"/>
          <w:color w:val="000000" w:themeColor="text1"/>
          <w:sz w:val="22"/>
          <w:szCs w:val="22"/>
        </w:rPr>
        <w:t>Demographic Variables</w:t>
      </w:r>
      <w:r w:rsidRPr="00684D76">
        <w:rPr>
          <w:color w:val="000000" w:themeColor="text1"/>
          <w:sz w:val="22"/>
          <w:szCs w:val="22"/>
        </w:rPr>
        <w:t xml:space="preserve">: Age, Education, MaritalStatus, HasDependents </w:t>
      </w:r>
    </w:p>
    <w:p w14:paraId="7DA309B8" w14:textId="77777777" w:rsidR="00E67A40" w:rsidRPr="00684D76" w:rsidRDefault="00E67A40" w:rsidP="00E67A40">
      <w:pPr>
        <w:pStyle w:val="whitespace-normal"/>
        <w:numPr>
          <w:ilvl w:val="0"/>
          <w:numId w:val="2"/>
        </w:numPr>
        <w:spacing w:line="360" w:lineRule="auto"/>
        <w:ind w:right="630"/>
        <w:rPr>
          <w:color w:val="000000" w:themeColor="text1"/>
          <w:sz w:val="22"/>
          <w:szCs w:val="22"/>
        </w:rPr>
      </w:pPr>
      <w:r w:rsidRPr="00684D76">
        <w:rPr>
          <w:rStyle w:val="Strong"/>
          <w:rFonts w:eastAsiaTheme="majorEastAsia"/>
          <w:b w:val="0"/>
          <w:bCs w:val="0"/>
          <w:color w:val="000000" w:themeColor="text1"/>
          <w:sz w:val="22"/>
          <w:szCs w:val="22"/>
        </w:rPr>
        <w:t>Employment and Income Variables</w:t>
      </w:r>
      <w:r w:rsidRPr="00684D76">
        <w:rPr>
          <w:color w:val="000000" w:themeColor="text1"/>
          <w:sz w:val="22"/>
          <w:szCs w:val="22"/>
        </w:rPr>
        <w:t xml:space="preserve">: Employment, Income, MonthsEmployed </w:t>
      </w:r>
    </w:p>
    <w:p w14:paraId="72B8DA37" w14:textId="77777777" w:rsidR="00E67A40" w:rsidRPr="00684D76" w:rsidRDefault="00E67A40" w:rsidP="00E67A40">
      <w:pPr>
        <w:pStyle w:val="whitespace-normal"/>
        <w:numPr>
          <w:ilvl w:val="0"/>
          <w:numId w:val="2"/>
        </w:numPr>
        <w:spacing w:line="360" w:lineRule="auto"/>
        <w:ind w:right="630"/>
        <w:rPr>
          <w:color w:val="000000" w:themeColor="text1"/>
          <w:sz w:val="22"/>
          <w:szCs w:val="22"/>
        </w:rPr>
      </w:pPr>
      <w:r w:rsidRPr="00684D76">
        <w:rPr>
          <w:rStyle w:val="Strong"/>
          <w:rFonts w:eastAsiaTheme="majorEastAsia"/>
          <w:b w:val="0"/>
          <w:bCs w:val="0"/>
          <w:color w:val="000000" w:themeColor="text1"/>
          <w:sz w:val="22"/>
          <w:szCs w:val="22"/>
        </w:rPr>
        <w:t>Credit History Variables</w:t>
      </w:r>
      <w:r w:rsidRPr="00684D76">
        <w:rPr>
          <w:color w:val="000000" w:themeColor="text1"/>
          <w:sz w:val="22"/>
          <w:szCs w:val="22"/>
        </w:rPr>
        <w:t>: CreditScore, NumCreditLines, DTIRatio (Debt-to-Income Ratio)</w:t>
      </w:r>
    </w:p>
    <w:p w14:paraId="38987248" w14:textId="77777777" w:rsidR="00E67A40" w:rsidRPr="00684D76" w:rsidRDefault="00E67A40" w:rsidP="00E67A40">
      <w:pPr>
        <w:pStyle w:val="whitespace-normal"/>
        <w:numPr>
          <w:ilvl w:val="0"/>
          <w:numId w:val="2"/>
        </w:numPr>
        <w:spacing w:line="360" w:lineRule="auto"/>
        <w:ind w:right="630"/>
        <w:rPr>
          <w:color w:val="000000" w:themeColor="text1"/>
          <w:sz w:val="22"/>
          <w:szCs w:val="22"/>
        </w:rPr>
      </w:pPr>
      <w:r w:rsidRPr="00684D76">
        <w:rPr>
          <w:rStyle w:val="Strong"/>
          <w:rFonts w:eastAsiaTheme="majorEastAsia"/>
          <w:b w:val="0"/>
          <w:bCs w:val="0"/>
          <w:color w:val="000000" w:themeColor="text1"/>
          <w:sz w:val="22"/>
          <w:szCs w:val="22"/>
        </w:rPr>
        <w:t>Loan Characteristics</w:t>
      </w:r>
      <w:r w:rsidRPr="00684D76">
        <w:rPr>
          <w:color w:val="000000" w:themeColor="text1"/>
          <w:sz w:val="22"/>
          <w:szCs w:val="22"/>
        </w:rPr>
        <w:t xml:space="preserve">: LoanAmount, InterestRate, LoanTerm, LoanPurpose, HasCoSigner </w:t>
      </w:r>
    </w:p>
    <w:p w14:paraId="4B650933" w14:textId="77777777" w:rsidR="00E67A40" w:rsidRPr="00684D76" w:rsidRDefault="00E67A40" w:rsidP="00E67A40">
      <w:pPr>
        <w:pStyle w:val="whitespace-normal"/>
        <w:numPr>
          <w:ilvl w:val="0"/>
          <w:numId w:val="2"/>
        </w:numPr>
        <w:spacing w:line="360" w:lineRule="auto"/>
        <w:ind w:right="630"/>
        <w:rPr>
          <w:color w:val="000000" w:themeColor="text1"/>
          <w:sz w:val="22"/>
          <w:szCs w:val="22"/>
        </w:rPr>
      </w:pPr>
      <w:r w:rsidRPr="00684D76">
        <w:rPr>
          <w:rStyle w:val="Strong"/>
          <w:rFonts w:eastAsiaTheme="majorEastAsia"/>
          <w:b w:val="0"/>
          <w:bCs w:val="0"/>
          <w:color w:val="000000" w:themeColor="text1"/>
          <w:sz w:val="22"/>
          <w:szCs w:val="22"/>
        </w:rPr>
        <w:t>Mortgage Information</w:t>
      </w:r>
      <w:r w:rsidRPr="00684D76">
        <w:rPr>
          <w:color w:val="000000" w:themeColor="text1"/>
          <w:sz w:val="22"/>
          <w:szCs w:val="22"/>
        </w:rPr>
        <w:t xml:space="preserve">: HasMortgage </w:t>
      </w:r>
    </w:p>
    <w:p w14:paraId="7E1EC995" w14:textId="77777777" w:rsidR="00E67A40" w:rsidRPr="00684D76" w:rsidRDefault="00E67A40" w:rsidP="00E67A40">
      <w:pPr>
        <w:pStyle w:val="whitespace-normal"/>
        <w:numPr>
          <w:ilvl w:val="0"/>
          <w:numId w:val="2"/>
        </w:numPr>
        <w:spacing w:line="360" w:lineRule="auto"/>
        <w:ind w:right="630"/>
        <w:rPr>
          <w:color w:val="000000" w:themeColor="text1"/>
          <w:sz w:val="22"/>
          <w:szCs w:val="22"/>
        </w:rPr>
      </w:pPr>
      <w:r w:rsidRPr="00684D76">
        <w:rPr>
          <w:rStyle w:val="Strong"/>
          <w:rFonts w:eastAsiaTheme="majorEastAsia"/>
          <w:b w:val="0"/>
          <w:bCs w:val="0"/>
          <w:color w:val="000000" w:themeColor="text1"/>
          <w:sz w:val="22"/>
          <w:szCs w:val="22"/>
        </w:rPr>
        <w:t>Target Variable</w:t>
      </w:r>
      <w:r w:rsidRPr="00684D76">
        <w:rPr>
          <w:color w:val="000000" w:themeColor="text1"/>
          <w:sz w:val="22"/>
          <w:szCs w:val="22"/>
        </w:rPr>
        <w:t>: Default status (binary classification)</w:t>
      </w:r>
    </w:p>
    <w:p w14:paraId="7E285415" w14:textId="77777777" w:rsidR="00E67A40" w:rsidRPr="00684D76" w:rsidRDefault="00E67A40" w:rsidP="00E67A40">
      <w:pPr>
        <w:pStyle w:val="whitespace-normal"/>
        <w:spacing w:line="360" w:lineRule="auto"/>
        <w:ind w:right="630"/>
        <w:rPr>
          <w:color w:val="000000" w:themeColor="text1"/>
          <w:sz w:val="22"/>
          <w:szCs w:val="22"/>
        </w:rPr>
      </w:pPr>
      <w:r w:rsidRPr="00684D76">
        <w:rPr>
          <w:color w:val="000000" w:themeColor="text1"/>
          <w:sz w:val="22"/>
          <w:szCs w:val="22"/>
        </w:rPr>
        <w:t>The records of each loan applicant are uniquely identified with LoanID and presented as structured tabular data, which can be used by both conventional machine learning and deep learning methods.</w:t>
      </w:r>
    </w:p>
    <w:p w14:paraId="6C2EACAD" w14:textId="77777777" w:rsidR="00E67A40" w:rsidRPr="00684D76" w:rsidRDefault="00E67A40" w:rsidP="006F474B">
      <w:pPr>
        <w:spacing w:line="360" w:lineRule="auto"/>
        <w:jc w:val="both"/>
        <w:rPr>
          <w:rFonts w:ascii="Times New Roman" w:hAnsi="Times New Roman" w:cs="Times New Roman"/>
          <w:b/>
          <w:color w:val="000000" w:themeColor="text1"/>
        </w:rPr>
      </w:pPr>
      <w:r w:rsidRPr="00684D76">
        <w:rPr>
          <w:rFonts w:ascii="Times New Roman" w:hAnsi="Times New Roman" w:cs="Times New Roman"/>
          <w:b/>
          <w:color w:val="000000" w:themeColor="text1"/>
        </w:rPr>
        <w:t>Pre-processing Steps</w:t>
      </w:r>
    </w:p>
    <w:p w14:paraId="55A35D36" w14:textId="77777777" w:rsidR="00E67A40" w:rsidRPr="00684D76" w:rsidRDefault="00E67A40" w:rsidP="00E67A40">
      <w:pPr>
        <w:spacing w:line="360" w:lineRule="auto"/>
        <w:rPr>
          <w:rFonts w:ascii="Times New Roman" w:hAnsi="Times New Roman" w:cs="Times New Roman"/>
          <w:color w:val="000000" w:themeColor="text1"/>
        </w:rPr>
      </w:pPr>
      <w:r w:rsidRPr="00684D76">
        <w:rPr>
          <w:rFonts w:ascii="Times New Roman" w:hAnsi="Times New Roman" w:cs="Times New Roman"/>
          <w:color w:val="000000" w:themeColor="text1"/>
        </w:rPr>
        <w:t>The preprocessing pipeline ensured data quality by removing the irrelevant LoanID column to prevent overfitting. A thorough missing value check using isnull().sum() and a heatmap confirmed no null values, eliminating the need for imputation. This process transformed the raw data into a clean, robust format ideal for machine learning. Numerical features (Income, LoanAmount, CreditScore) were normalized using StandardScaler. This process rescales data to a mean of zero and standard deviation of one, ensuring features on different units contribute equally to the model. This prevents variables with larger inherent magnitudes from dominating the learning process and skewing the results. Categorical features were encoded using OneHotEncoder, creating binary columns for improved model interpretation. The drop='first' parameter was applied to eliminate the first category for each feature, preventing the dummy variable trap and the multicollinearity issues it causes. This ensured a stable feature matrix for effective model training.</w:t>
      </w:r>
    </w:p>
    <w:p w14:paraId="773BBDE6" w14:textId="77777777" w:rsidR="00E67A40" w:rsidRPr="00684D76" w:rsidRDefault="005A0ACB" w:rsidP="00E67A40">
      <w:pPr>
        <w:spacing w:line="360" w:lineRule="auto"/>
        <w:rPr>
          <w:rFonts w:ascii="Times New Roman" w:hAnsi="Times New Roman" w:cs="Times New Roman"/>
          <w:b/>
          <w:color w:val="000000" w:themeColor="text1"/>
        </w:rPr>
      </w:pPr>
      <w:r w:rsidRPr="00684D76">
        <w:rPr>
          <w:rFonts w:ascii="Times New Roman" w:hAnsi="Times New Roman" w:cs="Times New Roman"/>
          <w:b/>
          <w:color w:val="000000" w:themeColor="text1"/>
        </w:rPr>
        <w:t xml:space="preserve">Model Selection </w:t>
      </w:r>
    </w:p>
    <w:p w14:paraId="49F1263A" w14:textId="77777777" w:rsidR="005A0ACB" w:rsidRPr="00684D76" w:rsidRDefault="005A0ACB" w:rsidP="00E67A40">
      <w:pPr>
        <w:spacing w:line="360" w:lineRule="auto"/>
        <w:rPr>
          <w:rFonts w:ascii="Times New Roman" w:hAnsi="Times New Roman" w:cs="Times New Roman"/>
          <w:color w:val="000000" w:themeColor="text1"/>
        </w:rPr>
      </w:pPr>
      <w:r w:rsidRPr="00684D76">
        <w:rPr>
          <w:rFonts w:ascii="Times New Roman" w:hAnsi="Times New Roman" w:cs="Times New Roman"/>
          <w:color w:val="000000" w:themeColor="text1"/>
        </w:rPr>
        <w:t>The model selection strategy was designed to benchmark performance across different algorithmic approaches. For baseline comparison, three distinct models were chosen. Logistic Regression was selected for its high interpretability and to establish a simple linear benchmark. Random Forest was employed for its inherent ability to model complex, non-linear relationships through its ensemble structure. Finally, XGBoost was implemented for its renowned predictive power and advanced handling of imbalanced datasets via its optimised gradient-boosting framework</w:t>
      </w:r>
    </w:p>
    <w:p w14:paraId="43545AB5" w14:textId="77777777" w:rsidR="005A0ACB" w:rsidRPr="00684D76" w:rsidRDefault="005A0ACB" w:rsidP="005A0ACB">
      <w:pPr>
        <w:spacing w:line="360" w:lineRule="auto"/>
        <w:rPr>
          <w:rFonts w:ascii="Times New Roman" w:hAnsi="Times New Roman" w:cs="Times New Roman"/>
          <w:b/>
          <w:color w:val="000000" w:themeColor="text1"/>
        </w:rPr>
      </w:pPr>
      <w:r w:rsidRPr="00684D76">
        <w:rPr>
          <w:rFonts w:ascii="Times New Roman" w:hAnsi="Times New Roman" w:cs="Times New Roman"/>
          <w:b/>
          <w:color w:val="000000" w:themeColor="text1"/>
        </w:rPr>
        <w:t>ADASYN Implementation</w:t>
      </w:r>
    </w:p>
    <w:p w14:paraId="1628B137" w14:textId="77777777" w:rsidR="005A0ACB" w:rsidRPr="00684D76" w:rsidRDefault="005A0ACB" w:rsidP="005A0ACB">
      <w:pPr>
        <w:spacing w:line="360" w:lineRule="auto"/>
        <w:rPr>
          <w:rFonts w:ascii="Times New Roman" w:hAnsi="Times New Roman" w:cs="Times New Roman"/>
          <w:color w:val="000000" w:themeColor="text1"/>
        </w:rPr>
      </w:pPr>
      <w:r w:rsidRPr="00684D76">
        <w:rPr>
          <w:rFonts w:ascii="Times New Roman" w:hAnsi="Times New Roman" w:cs="Times New Roman"/>
          <w:color w:val="000000" w:themeColor="text1"/>
        </w:rPr>
        <w:t>The implementation of ADASYN was a critical step to address the severe class imbalance identified through analysis of the target variable distribution. The methodology involved configuring ADASYN to generate synthetic samples specifically for the minority default class, focusing on learning difficult examples. Strict quality control was maintained by integrating ADASYN exclusively within the cross-validation folds of the training pipeline. This prevented data leakage by ensuring the synthetic generation process was informed only by training data, never by validation or test data, thus preserving the integrity of model evaluation.</w:t>
      </w:r>
    </w:p>
    <w:p w14:paraId="0F7B8505" w14:textId="77777777" w:rsidR="005A0ACB" w:rsidRPr="00684D76" w:rsidRDefault="00761A07" w:rsidP="005A0ACB">
      <w:pPr>
        <w:spacing w:line="360" w:lineRule="auto"/>
        <w:rPr>
          <w:rFonts w:ascii="Times New Roman" w:hAnsi="Times New Roman" w:cs="Times New Roman"/>
          <w:b/>
          <w:color w:val="000000" w:themeColor="text1"/>
        </w:rPr>
      </w:pPr>
      <w:r w:rsidRPr="00684D76">
        <w:rPr>
          <w:rFonts w:ascii="Times New Roman" w:hAnsi="Times New Roman" w:cs="Times New Roman"/>
          <w:b/>
          <w:color w:val="000000" w:themeColor="text1"/>
        </w:rPr>
        <w:t>RESULT AND DISCUSSION</w:t>
      </w:r>
    </w:p>
    <w:p w14:paraId="10AAD4C8" w14:textId="77777777" w:rsidR="00E67A40" w:rsidRPr="00684D76" w:rsidRDefault="00761A07" w:rsidP="00761A07">
      <w:pPr>
        <w:spacing w:line="360" w:lineRule="auto"/>
        <w:rPr>
          <w:rFonts w:ascii="Times New Roman" w:hAnsi="Times New Roman" w:cs="Times New Roman"/>
          <w:color w:val="000000" w:themeColor="text1"/>
        </w:rPr>
      </w:pPr>
      <w:r w:rsidRPr="00684D76">
        <w:rPr>
          <w:rFonts w:ascii="Times New Roman" w:hAnsi="Times New Roman" w:cs="Times New Roman"/>
          <w:color w:val="000000" w:themeColor="text1"/>
        </w:rPr>
        <w:t>The analysis begins by importing essential Python libraries including NumPy for numerical operations, Pandas for data manipulation, and scikit-learn's train_test_split and StandardScaler for dataset preparation as seen in Figure 2 below, after which the dataset is loaded from Google Drive into a Pandas DataFrame containing 255,347 loan records with 18 features covering borrower demographics, loan characteristics, and financials</w:t>
      </w:r>
    </w:p>
    <w:p w14:paraId="04B1A678" w14:textId="77777777" w:rsidR="00761A07" w:rsidRPr="00684D76" w:rsidRDefault="00761A07" w:rsidP="004231FC">
      <w:pPr>
        <w:spacing w:line="360" w:lineRule="auto"/>
        <w:jc w:val="center"/>
        <w:rPr>
          <w:rFonts w:ascii="Times New Roman" w:hAnsi="Times New Roman" w:cs="Times New Roman"/>
          <w:i/>
          <w:color w:val="000000" w:themeColor="text1"/>
        </w:rPr>
      </w:pPr>
      <w:r w:rsidRPr="00684D76">
        <w:rPr>
          <w:i/>
          <w:noProof/>
          <w:color w:val="000000" w:themeColor="text1"/>
          <w:lang w:val="en-IN" w:eastAsia="en-IN"/>
        </w:rPr>
        <w:drawing>
          <wp:inline distT="0" distB="0" distL="0" distR="0" wp14:anchorId="035A23A9" wp14:editId="3416BBA0">
            <wp:extent cx="5943600" cy="3143042"/>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143042"/>
                    </a:xfrm>
                    <a:prstGeom prst="rect">
                      <a:avLst/>
                    </a:prstGeom>
                  </pic:spPr>
                </pic:pic>
              </a:graphicData>
            </a:graphic>
          </wp:inline>
        </w:drawing>
      </w:r>
    </w:p>
    <w:p w14:paraId="2E4C0AB5" w14:textId="77777777" w:rsidR="00761A07" w:rsidRPr="00684D76" w:rsidRDefault="00761A07" w:rsidP="004231FC">
      <w:pPr>
        <w:spacing w:line="360" w:lineRule="auto"/>
        <w:jc w:val="center"/>
        <w:rPr>
          <w:rFonts w:ascii="Times New Roman" w:hAnsi="Times New Roman" w:cs="Times New Roman"/>
          <w:i/>
          <w:color w:val="000000" w:themeColor="text1"/>
        </w:rPr>
      </w:pPr>
      <w:r w:rsidRPr="00684D76">
        <w:rPr>
          <w:rFonts w:ascii="Times New Roman" w:hAnsi="Times New Roman" w:cs="Times New Roman"/>
          <w:i/>
          <w:color w:val="000000" w:themeColor="text1"/>
        </w:rPr>
        <w:t>Figure 2: The snapshot of some of the library imported</w:t>
      </w:r>
    </w:p>
    <w:p w14:paraId="364395AD" w14:textId="77777777" w:rsidR="002E2A2B" w:rsidRPr="00684D76" w:rsidRDefault="004231FC" w:rsidP="006F474B">
      <w:pPr>
        <w:spacing w:line="360" w:lineRule="auto"/>
        <w:jc w:val="both"/>
        <w:rPr>
          <w:rFonts w:ascii="Times New Roman" w:hAnsi="Times New Roman" w:cs="Times New Roman"/>
          <w:color w:val="000000" w:themeColor="text1"/>
        </w:rPr>
      </w:pPr>
      <w:r w:rsidRPr="00684D76">
        <w:rPr>
          <w:rFonts w:ascii="Times New Roman" w:hAnsi="Times New Roman" w:cs="Times New Roman"/>
          <w:color w:val="000000" w:themeColor="text1"/>
        </w:rPr>
        <w:t>The heatmap analysis in Figure 3 revealed exceptional data quality with zero missing values across all features. This finding was significant for the research as it eliminated the need for missing value imputation strategies, which could have introduced bias or reduced model performance.</w:t>
      </w:r>
    </w:p>
    <w:p w14:paraId="59D1D21B" w14:textId="77777777" w:rsidR="004231FC" w:rsidRPr="00684D76" w:rsidRDefault="004231FC" w:rsidP="006F474B">
      <w:pPr>
        <w:spacing w:line="360" w:lineRule="auto"/>
        <w:jc w:val="both"/>
        <w:rPr>
          <w:rFonts w:ascii="Times New Roman" w:hAnsi="Times New Roman" w:cs="Times New Roman"/>
          <w:color w:val="000000" w:themeColor="text1"/>
        </w:rPr>
      </w:pPr>
      <w:r w:rsidRPr="00684D76">
        <w:rPr>
          <w:noProof/>
          <w:color w:val="000000" w:themeColor="text1"/>
          <w:lang w:val="en-IN" w:eastAsia="en-IN"/>
        </w:rPr>
        <w:drawing>
          <wp:inline distT="0" distB="0" distL="0" distR="0" wp14:anchorId="2DE53A86" wp14:editId="4E02E82B">
            <wp:extent cx="5927834" cy="386165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6127" cy="3873571"/>
                    </a:xfrm>
                    <a:prstGeom prst="rect">
                      <a:avLst/>
                    </a:prstGeom>
                    <a:noFill/>
                    <a:ln>
                      <a:noFill/>
                    </a:ln>
                  </pic:spPr>
                </pic:pic>
              </a:graphicData>
            </a:graphic>
          </wp:inline>
        </w:drawing>
      </w:r>
    </w:p>
    <w:p w14:paraId="617641DA" w14:textId="77777777" w:rsidR="004231FC" w:rsidRPr="00684D76" w:rsidRDefault="004231FC" w:rsidP="004231FC">
      <w:pPr>
        <w:spacing w:line="360" w:lineRule="auto"/>
        <w:ind w:left="720" w:hanging="720"/>
        <w:jc w:val="center"/>
        <w:rPr>
          <w:rFonts w:ascii="Times New Roman" w:hAnsi="Times New Roman" w:cs="Times New Roman"/>
          <w:i/>
          <w:color w:val="000000" w:themeColor="text1"/>
        </w:rPr>
      </w:pPr>
      <w:r w:rsidRPr="00684D76">
        <w:rPr>
          <w:rFonts w:ascii="Times New Roman" w:hAnsi="Times New Roman" w:cs="Times New Roman"/>
          <w:i/>
          <w:color w:val="000000" w:themeColor="text1"/>
        </w:rPr>
        <w:t>Figure 3: Missing Value Heatmap Analysis</w:t>
      </w:r>
    </w:p>
    <w:p w14:paraId="10C9458E" w14:textId="77777777" w:rsidR="004231FC" w:rsidRPr="00684D76" w:rsidRDefault="004231FC" w:rsidP="006F474B">
      <w:pPr>
        <w:spacing w:line="360" w:lineRule="auto"/>
        <w:jc w:val="both"/>
        <w:rPr>
          <w:rFonts w:ascii="Times New Roman" w:hAnsi="Times New Roman" w:cs="Times New Roman"/>
          <w:color w:val="000000" w:themeColor="text1"/>
        </w:rPr>
      </w:pPr>
      <w:r w:rsidRPr="00684D76">
        <w:rPr>
          <w:rFonts w:ascii="Times New Roman" w:hAnsi="Times New Roman" w:cs="Times New Roman"/>
          <w:color w:val="000000" w:themeColor="text1"/>
        </w:rPr>
        <w:t>The age distribution histogram (Figure 4) reveals a remarkably uniform pattern across the borrower population, with counts consistently maintained between approximately 4,800 and 5,000 individuals across all age groups from 18 to 70 years</w:t>
      </w:r>
    </w:p>
    <w:p w14:paraId="147E07A5" w14:textId="77777777" w:rsidR="004231FC" w:rsidRPr="00684D76" w:rsidRDefault="004231FC" w:rsidP="006F474B">
      <w:pPr>
        <w:spacing w:line="360" w:lineRule="auto"/>
        <w:jc w:val="both"/>
        <w:rPr>
          <w:rFonts w:ascii="Times New Roman" w:hAnsi="Times New Roman" w:cs="Times New Roman"/>
          <w:color w:val="000000" w:themeColor="text1"/>
        </w:rPr>
      </w:pPr>
      <w:r w:rsidRPr="00684D76">
        <w:rPr>
          <w:noProof/>
          <w:color w:val="000000" w:themeColor="text1"/>
          <w:lang w:val="en-IN" w:eastAsia="en-IN"/>
        </w:rPr>
        <w:drawing>
          <wp:inline distT="0" distB="0" distL="0" distR="0" wp14:anchorId="7A5E992F" wp14:editId="1A27A513">
            <wp:extent cx="5943600" cy="3248074"/>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248074"/>
                    </a:xfrm>
                    <a:prstGeom prst="rect">
                      <a:avLst/>
                    </a:prstGeom>
                    <a:noFill/>
                    <a:ln>
                      <a:noFill/>
                    </a:ln>
                  </pic:spPr>
                </pic:pic>
              </a:graphicData>
            </a:graphic>
          </wp:inline>
        </w:drawing>
      </w:r>
    </w:p>
    <w:p w14:paraId="41F7FB1D" w14:textId="77777777" w:rsidR="004231FC" w:rsidRPr="00684D76" w:rsidRDefault="004231FC" w:rsidP="004231FC">
      <w:pPr>
        <w:spacing w:line="360" w:lineRule="auto"/>
        <w:jc w:val="center"/>
        <w:rPr>
          <w:rFonts w:ascii="Times New Roman" w:hAnsi="Times New Roman" w:cs="Times New Roman"/>
          <w:i/>
          <w:iCs/>
          <w:color w:val="000000" w:themeColor="text1"/>
        </w:rPr>
      </w:pPr>
      <w:r w:rsidRPr="00684D76">
        <w:rPr>
          <w:rFonts w:ascii="Times New Roman" w:hAnsi="Times New Roman" w:cs="Times New Roman"/>
          <w:i/>
          <w:iCs/>
          <w:color w:val="000000" w:themeColor="text1"/>
        </w:rPr>
        <w:t>Figure 4: Age distribution</w:t>
      </w:r>
    </w:p>
    <w:p w14:paraId="61696DE3" w14:textId="77777777" w:rsidR="004231FC" w:rsidRPr="00684D76" w:rsidRDefault="004231FC" w:rsidP="006F474B">
      <w:pPr>
        <w:spacing w:line="360" w:lineRule="auto"/>
        <w:jc w:val="both"/>
        <w:rPr>
          <w:rFonts w:ascii="Times New Roman" w:hAnsi="Times New Roman" w:cs="Times New Roman"/>
          <w:color w:val="000000" w:themeColor="text1"/>
        </w:rPr>
      </w:pPr>
    </w:p>
    <w:p w14:paraId="24A97BF4" w14:textId="77777777" w:rsidR="004231FC" w:rsidRPr="00684D76" w:rsidRDefault="004231FC" w:rsidP="006F474B">
      <w:pPr>
        <w:spacing w:line="360" w:lineRule="auto"/>
        <w:jc w:val="both"/>
        <w:rPr>
          <w:rFonts w:ascii="Times New Roman" w:hAnsi="Times New Roman" w:cs="Times New Roman"/>
          <w:color w:val="000000" w:themeColor="text1"/>
        </w:rPr>
      </w:pPr>
      <w:r w:rsidRPr="00684D76">
        <w:rPr>
          <w:rFonts w:ascii="Times New Roman" w:hAnsi="Times New Roman" w:cs="Times New Roman"/>
          <w:color w:val="000000" w:themeColor="text1"/>
        </w:rPr>
        <w:t>A box plot of age in Figure 5 confirmed this observation, showing a median age of approximately 43 years, consistent with earlier descriptive statistics. The interquartile range (IQR) spanned from around 31 to 56 years, with minimal outliers beyond the upper and lower whiskers</w:t>
      </w:r>
    </w:p>
    <w:p w14:paraId="1504F4FE" w14:textId="77777777" w:rsidR="004231FC" w:rsidRPr="00684D76" w:rsidRDefault="004231FC" w:rsidP="006F474B">
      <w:pPr>
        <w:spacing w:line="360" w:lineRule="auto"/>
        <w:jc w:val="both"/>
        <w:rPr>
          <w:rFonts w:ascii="Times New Roman" w:hAnsi="Times New Roman" w:cs="Times New Roman"/>
          <w:color w:val="000000" w:themeColor="text1"/>
        </w:rPr>
      </w:pPr>
      <w:r w:rsidRPr="00684D76">
        <w:rPr>
          <w:noProof/>
          <w:color w:val="000000" w:themeColor="text1"/>
          <w:lang w:val="en-IN" w:eastAsia="en-IN"/>
        </w:rPr>
        <w:drawing>
          <wp:inline distT="0" distB="0" distL="0" distR="0" wp14:anchorId="6EC0FBA1" wp14:editId="7C823D2E">
            <wp:extent cx="5943600" cy="383802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838028"/>
                    </a:xfrm>
                    <a:prstGeom prst="rect">
                      <a:avLst/>
                    </a:prstGeom>
                    <a:noFill/>
                    <a:ln>
                      <a:noFill/>
                    </a:ln>
                  </pic:spPr>
                </pic:pic>
              </a:graphicData>
            </a:graphic>
          </wp:inline>
        </w:drawing>
      </w:r>
    </w:p>
    <w:p w14:paraId="7A377455" w14:textId="77777777" w:rsidR="004231FC" w:rsidRPr="00684D76" w:rsidRDefault="004231FC" w:rsidP="004231FC">
      <w:pPr>
        <w:spacing w:line="360" w:lineRule="auto"/>
        <w:jc w:val="center"/>
        <w:rPr>
          <w:rFonts w:ascii="Times New Roman" w:hAnsi="Times New Roman" w:cs="Times New Roman"/>
          <w:i/>
          <w:color w:val="000000" w:themeColor="text1"/>
        </w:rPr>
      </w:pPr>
      <w:r w:rsidRPr="00684D76">
        <w:rPr>
          <w:rFonts w:ascii="Times New Roman" w:hAnsi="Times New Roman" w:cs="Times New Roman"/>
          <w:i/>
          <w:color w:val="000000" w:themeColor="text1"/>
        </w:rPr>
        <w:t>Figure 5: Box Plot of Age distribution</w:t>
      </w:r>
    </w:p>
    <w:p w14:paraId="3C76ECB2" w14:textId="77777777" w:rsidR="004231FC" w:rsidRPr="00684D76" w:rsidRDefault="004231FC" w:rsidP="004231FC">
      <w:pPr>
        <w:spacing w:line="360" w:lineRule="auto"/>
        <w:rPr>
          <w:rFonts w:ascii="Times New Roman" w:hAnsi="Times New Roman" w:cs="Times New Roman"/>
          <w:color w:val="000000" w:themeColor="text1"/>
        </w:rPr>
      </w:pPr>
      <w:r w:rsidRPr="00684D76">
        <w:rPr>
          <w:rFonts w:ascii="Times New Roman" w:hAnsi="Times New Roman" w:cs="Times New Roman"/>
          <w:color w:val="000000" w:themeColor="text1"/>
        </w:rPr>
        <w:t>The comprehensive visualization in Figure 6, presents the distribution patterns of all numerical features in the loan default prediction dataset. The analysis reveals critical insights into data characteristics, feature behaviors, and potential preprocessing requirements through a systematic examination of each variable's distribution profile.</w:t>
      </w:r>
    </w:p>
    <w:p w14:paraId="39634068" w14:textId="77777777" w:rsidR="004231FC" w:rsidRPr="00684D76" w:rsidRDefault="004231FC" w:rsidP="004231FC">
      <w:pPr>
        <w:spacing w:line="360" w:lineRule="auto"/>
        <w:rPr>
          <w:rFonts w:ascii="Times New Roman" w:hAnsi="Times New Roman" w:cs="Times New Roman"/>
          <w:color w:val="000000" w:themeColor="text1"/>
        </w:rPr>
      </w:pPr>
    </w:p>
    <w:p w14:paraId="2FAAA428" w14:textId="77777777" w:rsidR="00745C05" w:rsidRPr="00684D76" w:rsidRDefault="00745C05" w:rsidP="004231FC">
      <w:pPr>
        <w:spacing w:line="360" w:lineRule="auto"/>
        <w:rPr>
          <w:rFonts w:ascii="Times New Roman" w:hAnsi="Times New Roman" w:cs="Times New Roman"/>
          <w:color w:val="000000" w:themeColor="text1"/>
        </w:rPr>
      </w:pPr>
    </w:p>
    <w:p w14:paraId="40686C39" w14:textId="77777777" w:rsidR="00745C05" w:rsidRPr="00684D76" w:rsidRDefault="00745C05" w:rsidP="004231FC">
      <w:pPr>
        <w:spacing w:line="360" w:lineRule="auto"/>
        <w:rPr>
          <w:rFonts w:ascii="Times New Roman" w:hAnsi="Times New Roman" w:cs="Times New Roman"/>
          <w:color w:val="000000" w:themeColor="text1"/>
        </w:rPr>
      </w:pPr>
    </w:p>
    <w:p w14:paraId="010C8A72" w14:textId="77777777" w:rsidR="00745C05" w:rsidRPr="00684D76" w:rsidRDefault="00745C05" w:rsidP="004231FC">
      <w:pPr>
        <w:spacing w:line="360" w:lineRule="auto"/>
        <w:rPr>
          <w:rFonts w:ascii="Times New Roman" w:hAnsi="Times New Roman" w:cs="Times New Roman"/>
          <w:color w:val="000000" w:themeColor="text1"/>
        </w:rPr>
      </w:pPr>
    </w:p>
    <w:p w14:paraId="5927F2AE" w14:textId="77777777" w:rsidR="00745C05" w:rsidRPr="00684D76" w:rsidRDefault="00745C05" w:rsidP="004231FC">
      <w:pPr>
        <w:spacing w:line="360" w:lineRule="auto"/>
        <w:rPr>
          <w:rFonts w:ascii="Times New Roman" w:hAnsi="Times New Roman" w:cs="Times New Roman"/>
          <w:color w:val="000000" w:themeColor="text1"/>
        </w:rPr>
      </w:pPr>
    </w:p>
    <w:p w14:paraId="6C95F10D" w14:textId="77777777" w:rsidR="00745C05" w:rsidRPr="00684D76" w:rsidRDefault="00745C05" w:rsidP="004231FC">
      <w:pPr>
        <w:spacing w:line="360" w:lineRule="auto"/>
        <w:rPr>
          <w:rFonts w:ascii="Times New Roman" w:hAnsi="Times New Roman" w:cs="Times New Roman"/>
          <w:color w:val="000000" w:themeColor="text1"/>
        </w:rPr>
      </w:pPr>
    </w:p>
    <w:p w14:paraId="4F4D5DFB" w14:textId="77777777" w:rsidR="00745C05" w:rsidRPr="00684D76" w:rsidRDefault="00745C05" w:rsidP="004231FC">
      <w:pPr>
        <w:spacing w:line="360" w:lineRule="auto"/>
        <w:rPr>
          <w:rFonts w:ascii="Times New Roman" w:hAnsi="Times New Roman" w:cs="Times New Roman"/>
          <w:color w:val="000000" w:themeColor="text1"/>
        </w:rPr>
      </w:pPr>
    </w:p>
    <w:p w14:paraId="661B5381" w14:textId="77777777" w:rsidR="00745C05" w:rsidRPr="00684D76" w:rsidRDefault="00745C05" w:rsidP="004231FC">
      <w:pPr>
        <w:spacing w:line="360" w:lineRule="auto"/>
        <w:rPr>
          <w:rFonts w:ascii="Times New Roman" w:hAnsi="Times New Roman" w:cs="Times New Roman"/>
          <w:color w:val="000000" w:themeColor="text1"/>
        </w:rPr>
      </w:pPr>
      <w:r w:rsidRPr="00684D76">
        <w:rPr>
          <w:noProof/>
          <w:color w:val="000000" w:themeColor="text1"/>
          <w:lang w:val="en-IN" w:eastAsia="en-IN"/>
        </w:rPr>
        <w:drawing>
          <wp:inline distT="0" distB="0" distL="0" distR="0" wp14:anchorId="0678325B" wp14:editId="13957EB1">
            <wp:extent cx="5943513" cy="7791450"/>
            <wp:effectExtent l="0" t="0" r="63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6888" cy="7795875"/>
                    </a:xfrm>
                    <a:prstGeom prst="rect">
                      <a:avLst/>
                    </a:prstGeom>
                    <a:noFill/>
                    <a:ln>
                      <a:noFill/>
                    </a:ln>
                  </pic:spPr>
                </pic:pic>
              </a:graphicData>
            </a:graphic>
          </wp:inline>
        </w:drawing>
      </w:r>
      <w:r w:rsidRPr="00684D76">
        <w:rPr>
          <w:rFonts w:ascii="Times New Roman" w:hAnsi="Times New Roman" w:cs="Times New Roman"/>
          <w:color w:val="000000" w:themeColor="text1"/>
        </w:rPr>
        <w:t xml:space="preserve">                                  </w:t>
      </w:r>
    </w:p>
    <w:p w14:paraId="415F563A" w14:textId="77777777" w:rsidR="002E2A2B" w:rsidRPr="00684D76" w:rsidRDefault="00745C05" w:rsidP="00745C05">
      <w:pPr>
        <w:spacing w:line="360" w:lineRule="auto"/>
        <w:jc w:val="center"/>
        <w:rPr>
          <w:rFonts w:ascii="Times New Roman" w:hAnsi="Times New Roman" w:cs="Times New Roman"/>
          <w:i/>
        </w:rPr>
      </w:pPr>
      <w:r w:rsidRPr="00684D76">
        <w:rPr>
          <w:rFonts w:ascii="Times New Roman" w:hAnsi="Times New Roman" w:cs="Times New Roman"/>
          <w:i/>
        </w:rPr>
        <w:t>Figure 6: Feature Distribution</w:t>
      </w:r>
    </w:p>
    <w:p w14:paraId="052DA071" w14:textId="77777777" w:rsidR="00745C05" w:rsidRPr="00684D76" w:rsidRDefault="00745C05" w:rsidP="00745C05">
      <w:pPr>
        <w:spacing w:line="360" w:lineRule="auto"/>
        <w:rPr>
          <w:rFonts w:ascii="Times New Roman" w:hAnsi="Times New Roman" w:cs="Times New Roman"/>
          <w:color w:val="000000" w:themeColor="text1"/>
        </w:rPr>
      </w:pPr>
      <w:r w:rsidRPr="00684D76">
        <w:rPr>
          <w:rFonts w:ascii="Times New Roman" w:hAnsi="Times New Roman" w:cs="Times New Roman"/>
        </w:rPr>
        <w:t xml:space="preserve">As seen in Figure 6 the Loan amount is spread broadly from small to very large amounts (up to 250,000). Such a distribution suggests that the system will need to account for different levels of borrowing risk. </w:t>
      </w:r>
      <w:r w:rsidRPr="00684D76">
        <w:rPr>
          <w:rFonts w:ascii="Times New Roman" w:hAnsi="Times New Roman" w:cs="Times New Roman"/>
          <w:color w:val="000000" w:themeColor="text1"/>
        </w:rPr>
        <w:t xml:space="preserve">The employment history as seen in Figure 6, measured in months, is relatively well distributed but with some gaps. These discontinuities may correspond to data sparsity at certain employment durations or reporting biases. The debt-to-income ratio distribution in Figure 6 demonstrates a right-skewed pattern with most borrowers maintaining DTI ratios between 0.1 and 0.7. The concentration in lower DTI ranges is positive from a risk perspective, as it suggests most borrowers maintain manageable debt levels relative to their income. </w:t>
      </w:r>
    </w:p>
    <w:p w14:paraId="4270B989" w14:textId="77777777" w:rsidR="006F5F1E" w:rsidRPr="00684D76" w:rsidRDefault="006F5F1E" w:rsidP="00745C05">
      <w:pPr>
        <w:spacing w:line="360" w:lineRule="auto"/>
        <w:rPr>
          <w:rFonts w:ascii="Times New Roman" w:hAnsi="Times New Roman" w:cs="Times New Roman"/>
        </w:rPr>
      </w:pPr>
      <w:r w:rsidRPr="00684D76">
        <w:rPr>
          <w:rFonts w:ascii="Times New Roman" w:hAnsi="Times New Roman" w:cs="Times New Roman"/>
        </w:rPr>
        <w:t>The correlation heatmap reveals generally weak linear relationships between features and the target variable, Default. Age (-0.17), income (-0.10), and months employed (-0.10) show slight negative correlations, suggesting that younger, lower-income, and less-experienced individuals are marginally more likely to default. Interest rate (0.13) and loan amount (0.09) show weak positive correlations, indicating higher risks with increased borrowing costs and larger loans.</w:t>
      </w:r>
    </w:p>
    <w:p w14:paraId="798AA1BA" w14:textId="77777777" w:rsidR="006F5F1E" w:rsidRPr="00684D76" w:rsidRDefault="006F5F1E" w:rsidP="00745C05">
      <w:pPr>
        <w:spacing w:line="360" w:lineRule="auto"/>
        <w:rPr>
          <w:rFonts w:ascii="Times New Roman" w:hAnsi="Times New Roman" w:cs="Times New Roman"/>
        </w:rPr>
      </w:pPr>
      <w:r w:rsidRPr="00684D76">
        <w:rPr>
          <w:noProof/>
          <w:color w:val="000000" w:themeColor="text1"/>
          <w:lang w:val="en-IN" w:eastAsia="en-IN"/>
        </w:rPr>
        <w:drawing>
          <wp:inline distT="0" distB="0" distL="0" distR="0" wp14:anchorId="333FE988" wp14:editId="35EEC5CC">
            <wp:extent cx="5943600" cy="395363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953638"/>
                    </a:xfrm>
                    <a:prstGeom prst="rect">
                      <a:avLst/>
                    </a:prstGeom>
                    <a:noFill/>
                    <a:ln>
                      <a:noFill/>
                    </a:ln>
                  </pic:spPr>
                </pic:pic>
              </a:graphicData>
            </a:graphic>
          </wp:inline>
        </w:drawing>
      </w:r>
    </w:p>
    <w:p w14:paraId="566B5F2B" w14:textId="77777777" w:rsidR="006F5F1E" w:rsidRPr="00684D76" w:rsidRDefault="006F5F1E" w:rsidP="006F5F1E">
      <w:pPr>
        <w:spacing w:line="360" w:lineRule="auto"/>
        <w:jc w:val="center"/>
        <w:rPr>
          <w:rFonts w:ascii="Times New Roman" w:hAnsi="Times New Roman" w:cs="Times New Roman"/>
          <w:i/>
        </w:rPr>
      </w:pPr>
      <w:r w:rsidRPr="00684D76">
        <w:rPr>
          <w:rFonts w:ascii="Times New Roman" w:hAnsi="Times New Roman" w:cs="Times New Roman"/>
          <w:i/>
        </w:rPr>
        <w:t>Figure 7: Correlation Heatmap Analysis for Loan Default Prediction System</w:t>
      </w:r>
    </w:p>
    <w:p w14:paraId="702EE589" w14:textId="77777777" w:rsidR="006F5F1E" w:rsidRPr="00684D76" w:rsidRDefault="006F5F1E" w:rsidP="006F5F1E">
      <w:pPr>
        <w:spacing w:line="360" w:lineRule="auto"/>
        <w:jc w:val="both"/>
        <w:rPr>
          <w:rFonts w:ascii="Times New Roman" w:hAnsi="Times New Roman" w:cs="Times New Roman"/>
        </w:rPr>
      </w:pPr>
      <w:r w:rsidRPr="00684D76">
        <w:rPr>
          <w:rFonts w:ascii="Times New Roman" w:hAnsi="Times New Roman" w:cs="Times New Roman"/>
        </w:rPr>
        <w:t>This comprehensive visualization in Figure 8 below examines the relationship between categorical features and loan default outcomes through a series of stacked bar charts. The analysis reveals important patterns in default risk distribution across various demographic, employment, and loan characteristic categories, providing critical insights for risk assessment and model development strategies.</w:t>
      </w:r>
    </w:p>
    <w:p w14:paraId="5228AEB5" w14:textId="77777777" w:rsidR="006F5F1E" w:rsidRPr="00684D76" w:rsidRDefault="006F5F1E" w:rsidP="006F5F1E">
      <w:pPr>
        <w:spacing w:line="360" w:lineRule="auto"/>
        <w:jc w:val="both"/>
        <w:rPr>
          <w:rFonts w:ascii="Times New Roman" w:hAnsi="Times New Roman" w:cs="Times New Roman"/>
        </w:rPr>
      </w:pPr>
      <w:r w:rsidRPr="00684D76">
        <w:rPr>
          <w:noProof/>
          <w:color w:val="000000" w:themeColor="text1"/>
          <w:lang w:val="en-IN" w:eastAsia="en-IN"/>
        </w:rPr>
        <w:drawing>
          <wp:inline distT="0" distB="0" distL="0" distR="0" wp14:anchorId="736CF3C2" wp14:editId="1F6F8030">
            <wp:extent cx="5943600" cy="646332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6463328"/>
                    </a:xfrm>
                    <a:prstGeom prst="rect">
                      <a:avLst/>
                    </a:prstGeom>
                    <a:noFill/>
                    <a:ln>
                      <a:noFill/>
                    </a:ln>
                  </pic:spPr>
                </pic:pic>
              </a:graphicData>
            </a:graphic>
          </wp:inline>
        </w:drawing>
      </w:r>
      <w:r w:rsidRPr="00684D76">
        <w:rPr>
          <w:rFonts w:ascii="Times New Roman" w:hAnsi="Times New Roman" w:cs="Times New Roman"/>
        </w:rPr>
        <w:t xml:space="preserve"> </w:t>
      </w:r>
    </w:p>
    <w:p w14:paraId="7DC32BFE" w14:textId="77777777" w:rsidR="006F5F1E" w:rsidRPr="00684D76" w:rsidRDefault="006F5F1E" w:rsidP="006F5F1E">
      <w:pPr>
        <w:spacing w:line="360" w:lineRule="auto"/>
        <w:jc w:val="center"/>
        <w:rPr>
          <w:rFonts w:ascii="Times New Roman" w:hAnsi="Times New Roman" w:cs="Times New Roman"/>
          <w:i/>
        </w:rPr>
      </w:pPr>
      <w:r w:rsidRPr="00684D76">
        <w:rPr>
          <w:rFonts w:ascii="Times New Roman" w:hAnsi="Times New Roman" w:cs="Times New Roman"/>
          <w:i/>
        </w:rPr>
        <w:t>Figure 8: Exploratory Data Analysis: Categorical Features versus. Default Outcomes</w:t>
      </w:r>
    </w:p>
    <w:p w14:paraId="7238C402" w14:textId="77777777" w:rsidR="006F5F1E" w:rsidRPr="00684D76" w:rsidRDefault="006F5F1E" w:rsidP="006F5F1E">
      <w:pPr>
        <w:spacing w:line="360" w:lineRule="auto"/>
        <w:jc w:val="both"/>
        <w:rPr>
          <w:rFonts w:ascii="Times New Roman" w:hAnsi="Times New Roman" w:cs="Times New Roman"/>
        </w:rPr>
      </w:pPr>
      <w:r w:rsidRPr="00684D76">
        <w:rPr>
          <w:rFonts w:ascii="Times New Roman" w:hAnsi="Times New Roman" w:cs="Times New Roman"/>
        </w:rPr>
        <w:t xml:space="preserve">A Logistic Regression model is initialized to ensure reproducible results after confirming training data consistency through length validation (see Table 2). </w:t>
      </w:r>
    </w:p>
    <w:p w14:paraId="72078CD8" w14:textId="77777777" w:rsidR="00B40814" w:rsidRPr="00684D76" w:rsidRDefault="00B40814" w:rsidP="00B40814">
      <w:pPr>
        <w:spacing w:line="360" w:lineRule="auto"/>
        <w:jc w:val="center"/>
        <w:rPr>
          <w:rFonts w:ascii="Times New Roman" w:hAnsi="Times New Roman" w:cs="Times New Roman"/>
          <w:i/>
        </w:rPr>
      </w:pPr>
      <w:r w:rsidRPr="00684D76">
        <w:rPr>
          <w:rFonts w:ascii="Times New Roman" w:hAnsi="Times New Roman" w:cs="Times New Roman"/>
          <w:i/>
        </w:rPr>
        <w:t>Table 1: Logistic Regression Confusion Matrix</w:t>
      </w:r>
    </w:p>
    <w:tbl>
      <w:tblPr>
        <w:tblStyle w:val="TableGrid"/>
        <w:tblW w:w="0" w:type="auto"/>
        <w:tblLook w:val="04A0" w:firstRow="1" w:lastRow="0" w:firstColumn="1" w:lastColumn="0" w:noHBand="0" w:noVBand="1"/>
      </w:tblPr>
      <w:tblGrid>
        <w:gridCol w:w="3056"/>
        <w:gridCol w:w="3057"/>
        <w:gridCol w:w="3057"/>
      </w:tblGrid>
      <w:tr w:rsidR="006F5F1E" w:rsidRPr="00684D76" w14:paraId="0484FB25" w14:textId="77777777" w:rsidTr="00592510">
        <w:tc>
          <w:tcPr>
            <w:tcW w:w="3056" w:type="dxa"/>
          </w:tcPr>
          <w:p w14:paraId="3A70A958"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Precision</w:t>
            </w:r>
          </w:p>
        </w:tc>
        <w:tc>
          <w:tcPr>
            <w:tcW w:w="3057" w:type="dxa"/>
          </w:tcPr>
          <w:p w14:paraId="0F1D7687"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Recall</w:t>
            </w:r>
          </w:p>
        </w:tc>
        <w:tc>
          <w:tcPr>
            <w:tcW w:w="3057" w:type="dxa"/>
          </w:tcPr>
          <w:p w14:paraId="7858DF8C"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F1-Score</w:t>
            </w:r>
          </w:p>
        </w:tc>
      </w:tr>
      <w:tr w:rsidR="006F5F1E" w:rsidRPr="00684D76" w14:paraId="1AA51A1D" w14:textId="77777777" w:rsidTr="00592510">
        <w:tc>
          <w:tcPr>
            <w:tcW w:w="3056" w:type="dxa"/>
          </w:tcPr>
          <w:p w14:paraId="7CA36286"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0.88</w:t>
            </w:r>
          </w:p>
        </w:tc>
        <w:tc>
          <w:tcPr>
            <w:tcW w:w="3057" w:type="dxa"/>
          </w:tcPr>
          <w:p w14:paraId="2307B5B4"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1.0</w:t>
            </w:r>
          </w:p>
        </w:tc>
        <w:tc>
          <w:tcPr>
            <w:tcW w:w="3057" w:type="dxa"/>
          </w:tcPr>
          <w:p w14:paraId="79D27A27"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0.94</w:t>
            </w:r>
          </w:p>
        </w:tc>
      </w:tr>
      <w:tr w:rsidR="006F5F1E" w:rsidRPr="00684D76" w14:paraId="20DA3098" w14:textId="77777777" w:rsidTr="00592510">
        <w:tc>
          <w:tcPr>
            <w:tcW w:w="3056" w:type="dxa"/>
          </w:tcPr>
          <w:p w14:paraId="4AE78C66"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0.83</w:t>
            </w:r>
          </w:p>
        </w:tc>
        <w:tc>
          <w:tcPr>
            <w:tcW w:w="3057" w:type="dxa"/>
          </w:tcPr>
          <w:p w14:paraId="3001F1EF"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0.00</w:t>
            </w:r>
          </w:p>
        </w:tc>
        <w:tc>
          <w:tcPr>
            <w:tcW w:w="3057" w:type="dxa"/>
          </w:tcPr>
          <w:p w14:paraId="55AB1F3C"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0.00</w:t>
            </w:r>
          </w:p>
        </w:tc>
      </w:tr>
    </w:tbl>
    <w:p w14:paraId="3DEFE458" w14:textId="77777777" w:rsidR="006F5F1E" w:rsidRPr="00684D76" w:rsidRDefault="006F5F1E" w:rsidP="006F5F1E">
      <w:pPr>
        <w:spacing w:line="360" w:lineRule="auto"/>
        <w:jc w:val="both"/>
        <w:rPr>
          <w:rFonts w:ascii="Times New Roman" w:hAnsi="Times New Roman" w:cs="Times New Roman"/>
        </w:rPr>
      </w:pPr>
      <w:r w:rsidRPr="00684D76">
        <w:rPr>
          <w:rFonts w:ascii="Times New Roman" w:hAnsi="Times New Roman" w:cs="Times New Roman"/>
        </w:rPr>
        <w:t>A Random Forest Classifier is initialised to predict loan defaults. Three key evaluation metrics are calculated: accuracy score (percentage of correct predictions), confusion matrix (showing true/false positives/negatives), and a detailed classification report with precision, recall, and F1-scores for each class.</w:t>
      </w:r>
    </w:p>
    <w:p w14:paraId="74E2128D" w14:textId="77777777" w:rsidR="00B40814" w:rsidRPr="00684D76" w:rsidRDefault="00B40814" w:rsidP="00B40814">
      <w:pPr>
        <w:spacing w:line="360" w:lineRule="auto"/>
        <w:jc w:val="center"/>
        <w:rPr>
          <w:rFonts w:ascii="Times New Roman" w:hAnsi="Times New Roman" w:cs="Times New Roman"/>
          <w:i/>
        </w:rPr>
      </w:pPr>
      <w:r w:rsidRPr="00684D76">
        <w:rPr>
          <w:rFonts w:ascii="Times New Roman" w:hAnsi="Times New Roman" w:cs="Times New Roman"/>
          <w:i/>
        </w:rPr>
        <w:t>Table 2: Random Forest</w:t>
      </w:r>
    </w:p>
    <w:tbl>
      <w:tblPr>
        <w:tblStyle w:val="TableGrid"/>
        <w:tblW w:w="0" w:type="auto"/>
        <w:tblLook w:val="04A0" w:firstRow="1" w:lastRow="0" w:firstColumn="1" w:lastColumn="0" w:noHBand="0" w:noVBand="1"/>
      </w:tblPr>
      <w:tblGrid>
        <w:gridCol w:w="3056"/>
        <w:gridCol w:w="3057"/>
        <w:gridCol w:w="3057"/>
      </w:tblGrid>
      <w:tr w:rsidR="006F5F1E" w:rsidRPr="00684D76" w14:paraId="400B9330" w14:textId="77777777" w:rsidTr="00592510">
        <w:tc>
          <w:tcPr>
            <w:tcW w:w="3056" w:type="dxa"/>
          </w:tcPr>
          <w:p w14:paraId="3717E1B4"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Precision</w:t>
            </w:r>
          </w:p>
        </w:tc>
        <w:tc>
          <w:tcPr>
            <w:tcW w:w="3057" w:type="dxa"/>
          </w:tcPr>
          <w:p w14:paraId="2A3A9926"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Recall</w:t>
            </w:r>
          </w:p>
        </w:tc>
        <w:tc>
          <w:tcPr>
            <w:tcW w:w="3057" w:type="dxa"/>
          </w:tcPr>
          <w:p w14:paraId="251209B8"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F1-Score</w:t>
            </w:r>
          </w:p>
        </w:tc>
      </w:tr>
      <w:tr w:rsidR="006F5F1E" w:rsidRPr="00684D76" w14:paraId="0A076077" w14:textId="77777777" w:rsidTr="00592510">
        <w:tc>
          <w:tcPr>
            <w:tcW w:w="3056" w:type="dxa"/>
          </w:tcPr>
          <w:p w14:paraId="171A6CE2"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0.89</w:t>
            </w:r>
          </w:p>
        </w:tc>
        <w:tc>
          <w:tcPr>
            <w:tcW w:w="3057" w:type="dxa"/>
          </w:tcPr>
          <w:p w14:paraId="6BCFE8C6"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1.00</w:t>
            </w:r>
          </w:p>
        </w:tc>
        <w:tc>
          <w:tcPr>
            <w:tcW w:w="3057" w:type="dxa"/>
          </w:tcPr>
          <w:p w14:paraId="2221E97F"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0.94</w:t>
            </w:r>
          </w:p>
        </w:tc>
      </w:tr>
      <w:tr w:rsidR="006F5F1E" w:rsidRPr="00684D76" w14:paraId="5517AB49" w14:textId="77777777" w:rsidTr="00592510">
        <w:tc>
          <w:tcPr>
            <w:tcW w:w="3056" w:type="dxa"/>
          </w:tcPr>
          <w:p w14:paraId="580C78F7"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0.62</w:t>
            </w:r>
          </w:p>
        </w:tc>
        <w:tc>
          <w:tcPr>
            <w:tcW w:w="3057" w:type="dxa"/>
          </w:tcPr>
          <w:p w14:paraId="71897D5C"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0.05</w:t>
            </w:r>
          </w:p>
        </w:tc>
        <w:tc>
          <w:tcPr>
            <w:tcW w:w="3057" w:type="dxa"/>
          </w:tcPr>
          <w:p w14:paraId="429B2643" w14:textId="77777777" w:rsidR="006F5F1E" w:rsidRPr="00684D76" w:rsidRDefault="006F5F1E"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0.09</w:t>
            </w:r>
          </w:p>
        </w:tc>
      </w:tr>
    </w:tbl>
    <w:p w14:paraId="58FF5B0C" w14:textId="77777777" w:rsidR="005C370A" w:rsidRPr="00684D76" w:rsidRDefault="005C370A" w:rsidP="006F5F1E">
      <w:pPr>
        <w:spacing w:line="360" w:lineRule="auto"/>
        <w:jc w:val="both"/>
        <w:rPr>
          <w:rFonts w:ascii="Times New Roman" w:hAnsi="Times New Roman" w:cs="Times New Roman"/>
        </w:rPr>
      </w:pPr>
      <w:r w:rsidRPr="00684D76">
        <w:rPr>
          <w:rFonts w:ascii="Times New Roman" w:hAnsi="Times New Roman" w:cs="Times New Roman"/>
        </w:rPr>
        <w:t xml:space="preserve">The XGBoost model's performance reveals both promise and persistent challenges in predicting loan defaults. </w:t>
      </w:r>
    </w:p>
    <w:p w14:paraId="33B45088" w14:textId="77777777" w:rsidR="00B40814" w:rsidRPr="00684D76" w:rsidRDefault="00B40814" w:rsidP="00B40814">
      <w:pPr>
        <w:spacing w:line="360" w:lineRule="auto"/>
        <w:jc w:val="center"/>
        <w:rPr>
          <w:rFonts w:ascii="Times New Roman" w:hAnsi="Times New Roman" w:cs="Times New Roman"/>
          <w:i/>
        </w:rPr>
      </w:pPr>
      <w:r w:rsidRPr="00684D76">
        <w:rPr>
          <w:rFonts w:ascii="Times New Roman" w:hAnsi="Times New Roman" w:cs="Times New Roman"/>
          <w:i/>
        </w:rPr>
        <w:t>Table 3: XGBoost</w:t>
      </w:r>
    </w:p>
    <w:tbl>
      <w:tblPr>
        <w:tblStyle w:val="TableGrid"/>
        <w:tblW w:w="0" w:type="auto"/>
        <w:tblLook w:val="04A0" w:firstRow="1" w:lastRow="0" w:firstColumn="1" w:lastColumn="0" w:noHBand="0" w:noVBand="1"/>
      </w:tblPr>
      <w:tblGrid>
        <w:gridCol w:w="3056"/>
        <w:gridCol w:w="3057"/>
        <w:gridCol w:w="3057"/>
      </w:tblGrid>
      <w:tr w:rsidR="005C370A" w:rsidRPr="00684D76" w14:paraId="3A59C0AE" w14:textId="77777777" w:rsidTr="00592510">
        <w:tc>
          <w:tcPr>
            <w:tcW w:w="3056" w:type="dxa"/>
          </w:tcPr>
          <w:p w14:paraId="5754D3D8" w14:textId="77777777" w:rsidR="005C370A" w:rsidRPr="00684D76" w:rsidRDefault="005C370A"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Precision</w:t>
            </w:r>
          </w:p>
        </w:tc>
        <w:tc>
          <w:tcPr>
            <w:tcW w:w="3057" w:type="dxa"/>
          </w:tcPr>
          <w:p w14:paraId="6C4FE24D" w14:textId="77777777" w:rsidR="005C370A" w:rsidRPr="00684D76" w:rsidRDefault="005C370A"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Recall</w:t>
            </w:r>
          </w:p>
        </w:tc>
        <w:tc>
          <w:tcPr>
            <w:tcW w:w="3057" w:type="dxa"/>
          </w:tcPr>
          <w:p w14:paraId="4FA9A633" w14:textId="77777777" w:rsidR="005C370A" w:rsidRPr="00684D76" w:rsidRDefault="005C370A"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F1-Score</w:t>
            </w:r>
          </w:p>
        </w:tc>
      </w:tr>
      <w:tr w:rsidR="005C370A" w:rsidRPr="00684D76" w14:paraId="659ABBE0" w14:textId="77777777" w:rsidTr="00592510">
        <w:tc>
          <w:tcPr>
            <w:tcW w:w="3056" w:type="dxa"/>
          </w:tcPr>
          <w:p w14:paraId="204197FF" w14:textId="77777777" w:rsidR="005C370A" w:rsidRPr="00684D76" w:rsidRDefault="005C370A"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0.89</w:t>
            </w:r>
          </w:p>
        </w:tc>
        <w:tc>
          <w:tcPr>
            <w:tcW w:w="3057" w:type="dxa"/>
          </w:tcPr>
          <w:p w14:paraId="0F70E1BD" w14:textId="77777777" w:rsidR="005C370A" w:rsidRPr="00684D76" w:rsidRDefault="005C370A"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0.99</w:t>
            </w:r>
          </w:p>
        </w:tc>
        <w:tc>
          <w:tcPr>
            <w:tcW w:w="3057" w:type="dxa"/>
          </w:tcPr>
          <w:p w14:paraId="7890C9CD" w14:textId="77777777" w:rsidR="005C370A" w:rsidRPr="00684D76" w:rsidRDefault="005C370A"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0.94</w:t>
            </w:r>
          </w:p>
        </w:tc>
      </w:tr>
      <w:tr w:rsidR="005C370A" w:rsidRPr="00684D76" w14:paraId="7E57A305" w14:textId="77777777" w:rsidTr="00592510">
        <w:tc>
          <w:tcPr>
            <w:tcW w:w="3056" w:type="dxa"/>
          </w:tcPr>
          <w:p w14:paraId="7C266AB2" w14:textId="77777777" w:rsidR="005C370A" w:rsidRPr="00684D76" w:rsidRDefault="005C370A"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0.55</w:t>
            </w:r>
          </w:p>
        </w:tc>
        <w:tc>
          <w:tcPr>
            <w:tcW w:w="3057" w:type="dxa"/>
          </w:tcPr>
          <w:p w14:paraId="68D82533" w14:textId="77777777" w:rsidR="005C370A" w:rsidRPr="00684D76" w:rsidRDefault="005C370A"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0.08</w:t>
            </w:r>
          </w:p>
        </w:tc>
        <w:tc>
          <w:tcPr>
            <w:tcW w:w="3057" w:type="dxa"/>
          </w:tcPr>
          <w:p w14:paraId="4717FD27" w14:textId="77777777" w:rsidR="005C370A" w:rsidRPr="00684D76" w:rsidRDefault="005C370A"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0.15</w:t>
            </w:r>
          </w:p>
        </w:tc>
      </w:tr>
    </w:tbl>
    <w:p w14:paraId="7DF9FDD1" w14:textId="77777777" w:rsidR="005C370A" w:rsidRPr="00684D76" w:rsidRDefault="005C370A" w:rsidP="006F5F1E">
      <w:pPr>
        <w:spacing w:line="360" w:lineRule="auto"/>
        <w:jc w:val="both"/>
        <w:rPr>
          <w:rFonts w:ascii="Times New Roman" w:hAnsi="Times New Roman" w:cs="Times New Roman"/>
        </w:rPr>
      </w:pPr>
      <w:r w:rsidRPr="00684D76">
        <w:rPr>
          <w:rFonts w:ascii="Times New Roman" w:hAnsi="Times New Roman" w:cs="Times New Roman"/>
        </w:rPr>
        <w:t>The confusion matrix (see figure 8) provides crucial insights into the model's decision-making patterns, showing 37,697 correctly identified loan defaulters and 3,074 correctly identified none loan defaulters, but also revealing 7,442 false negative (actual defaults missed by the model) and 2,857 false positive (non-defaults incorrectly flagged as defaults).</w:t>
      </w:r>
    </w:p>
    <w:p w14:paraId="7A8B3834" w14:textId="77777777" w:rsidR="005C370A" w:rsidRPr="00684D76" w:rsidRDefault="005C370A" w:rsidP="006F5F1E">
      <w:pPr>
        <w:spacing w:line="360" w:lineRule="auto"/>
        <w:jc w:val="both"/>
        <w:rPr>
          <w:rFonts w:ascii="Times New Roman" w:hAnsi="Times New Roman" w:cs="Times New Roman"/>
        </w:rPr>
      </w:pPr>
      <w:r w:rsidRPr="00684D76">
        <w:rPr>
          <w:noProof/>
          <w:color w:val="000000" w:themeColor="text1"/>
          <w:lang w:val="en-IN" w:eastAsia="en-IN"/>
        </w:rPr>
        <w:drawing>
          <wp:inline distT="0" distB="0" distL="0" distR="0" wp14:anchorId="20167F53" wp14:editId="50928119">
            <wp:extent cx="5943600" cy="3953806"/>
            <wp:effectExtent l="0" t="0" r="0" b="889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3953806"/>
                    </a:xfrm>
                    <a:prstGeom prst="rect">
                      <a:avLst/>
                    </a:prstGeom>
                    <a:noFill/>
                    <a:ln>
                      <a:noFill/>
                    </a:ln>
                  </pic:spPr>
                </pic:pic>
              </a:graphicData>
            </a:graphic>
          </wp:inline>
        </w:drawing>
      </w:r>
    </w:p>
    <w:p w14:paraId="49F82EC8" w14:textId="77777777" w:rsidR="002C4491" w:rsidRPr="00684D76" w:rsidRDefault="002C4491" w:rsidP="002C4491">
      <w:pPr>
        <w:spacing w:line="360" w:lineRule="auto"/>
        <w:jc w:val="center"/>
        <w:rPr>
          <w:rFonts w:ascii="Times New Roman" w:hAnsi="Times New Roman" w:cs="Times New Roman"/>
          <w:i/>
          <w:color w:val="000000" w:themeColor="text1"/>
        </w:rPr>
      </w:pPr>
      <w:r w:rsidRPr="00684D76">
        <w:rPr>
          <w:rFonts w:ascii="Times New Roman" w:hAnsi="Times New Roman" w:cs="Times New Roman"/>
          <w:i/>
          <w:color w:val="000000" w:themeColor="text1"/>
        </w:rPr>
        <w:t>Figure 9: Training Performance and Convergence Analysis of the Hybrid Machine Learning - Deep Neural Network Model with ADASYN Integration</w:t>
      </w:r>
    </w:p>
    <w:p w14:paraId="51278D4A" w14:textId="77777777" w:rsidR="005C370A" w:rsidRPr="00684D76" w:rsidRDefault="005C370A" w:rsidP="006F5F1E">
      <w:pPr>
        <w:spacing w:line="360" w:lineRule="auto"/>
        <w:jc w:val="both"/>
        <w:rPr>
          <w:rFonts w:ascii="Times New Roman" w:hAnsi="Times New Roman" w:cs="Times New Roman"/>
          <w:color w:val="000000" w:themeColor="text1"/>
        </w:rPr>
      </w:pPr>
      <w:r w:rsidRPr="00684D76">
        <w:rPr>
          <w:rFonts w:ascii="Times New Roman" w:hAnsi="Times New Roman" w:cs="Times New Roman"/>
          <w:color w:val="000000" w:themeColor="text1"/>
        </w:rPr>
        <w:t>The ROC and Precision-Recall curves offer a clearer view of the hybrid ML-DNN model's performance on an imbalanced loan dataset. The ROC curve (AUC: 0.757) indicates a reasonable overall ability to distinguish between defaulters and non-defaulters, performing better than random chance. However, the Precision-Recall curve reveals a critical weakness for practical use: a severe trade-off between precision and recall for the minority default class. To identify just over half of all true defaults (recall: 0.52), the model's precision plummets to 0.29.</w:t>
      </w:r>
    </w:p>
    <w:p w14:paraId="75643987" w14:textId="77777777" w:rsidR="005C370A" w:rsidRPr="00684D76" w:rsidRDefault="005C370A" w:rsidP="006F5F1E">
      <w:pPr>
        <w:spacing w:line="360" w:lineRule="auto"/>
        <w:jc w:val="both"/>
        <w:rPr>
          <w:rFonts w:ascii="Times New Roman" w:hAnsi="Times New Roman" w:cs="Times New Roman"/>
        </w:rPr>
      </w:pPr>
      <w:r w:rsidRPr="00684D76">
        <w:rPr>
          <w:noProof/>
          <w:color w:val="000000" w:themeColor="text1"/>
          <w:lang w:val="en-IN" w:eastAsia="en-IN"/>
        </w:rPr>
        <w:drawing>
          <wp:inline distT="0" distB="0" distL="0" distR="0" wp14:anchorId="023F8C9F" wp14:editId="5B02596C">
            <wp:extent cx="5943600" cy="24478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447850"/>
                    </a:xfrm>
                    <a:prstGeom prst="rect">
                      <a:avLst/>
                    </a:prstGeom>
                    <a:noFill/>
                    <a:ln>
                      <a:noFill/>
                    </a:ln>
                  </pic:spPr>
                </pic:pic>
              </a:graphicData>
            </a:graphic>
          </wp:inline>
        </w:drawing>
      </w:r>
    </w:p>
    <w:p w14:paraId="20FFF498" w14:textId="77777777" w:rsidR="002C4491" w:rsidRPr="00684D76" w:rsidRDefault="002C4491" w:rsidP="002C4491">
      <w:pPr>
        <w:spacing w:line="360" w:lineRule="auto"/>
        <w:jc w:val="center"/>
        <w:rPr>
          <w:rFonts w:ascii="Times New Roman" w:hAnsi="Times New Roman" w:cs="Times New Roman"/>
          <w:i/>
        </w:rPr>
      </w:pPr>
      <w:r w:rsidRPr="00684D76">
        <w:rPr>
          <w:rFonts w:ascii="Times New Roman" w:hAnsi="Times New Roman" w:cs="Times New Roman"/>
          <w:i/>
        </w:rPr>
        <w:t>Figure 10: ROC and Precision-Recall Curve Analysis of the Hybrid ML-DNN Model Performance</w:t>
      </w:r>
    </w:p>
    <w:p w14:paraId="16572B23" w14:textId="77777777" w:rsidR="002C4491" w:rsidRPr="00684D76" w:rsidRDefault="002C4491" w:rsidP="002C4491">
      <w:pPr>
        <w:spacing w:line="360" w:lineRule="auto"/>
        <w:jc w:val="both"/>
        <w:rPr>
          <w:rFonts w:ascii="Times New Roman" w:hAnsi="Times New Roman" w:cs="Times New Roman"/>
        </w:rPr>
      </w:pPr>
    </w:p>
    <w:p w14:paraId="291E8EDF" w14:textId="77777777" w:rsidR="002C4491" w:rsidRPr="00684D76" w:rsidRDefault="002C4491" w:rsidP="002C4491">
      <w:pPr>
        <w:spacing w:line="360" w:lineRule="auto"/>
        <w:jc w:val="both"/>
        <w:rPr>
          <w:rFonts w:ascii="Times New Roman" w:hAnsi="Times New Roman" w:cs="Times New Roman"/>
        </w:rPr>
      </w:pPr>
      <w:r w:rsidRPr="00684D76">
        <w:rPr>
          <w:rFonts w:ascii="Times New Roman" w:hAnsi="Times New Roman" w:cs="Times New Roman"/>
        </w:rPr>
        <w:t>Table 4 synthesizes the performance of all models tested in the study, including the final Hybrid ML-DNN model with ADASYN</w:t>
      </w:r>
    </w:p>
    <w:p w14:paraId="145BBA7C" w14:textId="77777777" w:rsidR="002C4491" w:rsidRPr="00684D76" w:rsidRDefault="002C4491" w:rsidP="002C4491">
      <w:pPr>
        <w:spacing w:line="360" w:lineRule="auto"/>
        <w:jc w:val="both"/>
        <w:rPr>
          <w:rFonts w:ascii="Times New Roman" w:hAnsi="Times New Roman" w:cs="Times New Roman"/>
          <w:b/>
        </w:rPr>
      </w:pPr>
      <w:r w:rsidRPr="00684D76">
        <w:rPr>
          <w:rFonts w:ascii="Times New Roman" w:hAnsi="Times New Roman" w:cs="Times New Roman"/>
          <w:b/>
        </w:rPr>
        <w:t>Table 4: Comprehensive Model Evaluation Metrics</w:t>
      </w:r>
    </w:p>
    <w:tbl>
      <w:tblPr>
        <w:tblStyle w:val="TableGrid"/>
        <w:tblW w:w="0" w:type="auto"/>
        <w:tblLook w:val="04A0" w:firstRow="1" w:lastRow="0" w:firstColumn="1" w:lastColumn="0" w:noHBand="0" w:noVBand="1"/>
      </w:tblPr>
      <w:tblGrid>
        <w:gridCol w:w="1296"/>
        <w:gridCol w:w="1136"/>
        <w:gridCol w:w="1111"/>
        <w:gridCol w:w="1097"/>
        <w:gridCol w:w="1097"/>
        <w:gridCol w:w="880"/>
        <w:gridCol w:w="1123"/>
        <w:gridCol w:w="1430"/>
      </w:tblGrid>
      <w:tr w:rsidR="002C4491" w:rsidRPr="00684D76" w14:paraId="3ADEAABD" w14:textId="77777777" w:rsidTr="00592510">
        <w:tc>
          <w:tcPr>
            <w:tcW w:w="1296" w:type="dxa"/>
          </w:tcPr>
          <w:p w14:paraId="1E0DE6BD"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Model</w:t>
            </w:r>
          </w:p>
        </w:tc>
        <w:tc>
          <w:tcPr>
            <w:tcW w:w="1136" w:type="dxa"/>
          </w:tcPr>
          <w:p w14:paraId="1659A346"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 xml:space="preserve">Accuracy </w:t>
            </w:r>
          </w:p>
        </w:tc>
        <w:tc>
          <w:tcPr>
            <w:tcW w:w="1111" w:type="dxa"/>
          </w:tcPr>
          <w:p w14:paraId="07D97A44"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Precision (Default)</w:t>
            </w:r>
          </w:p>
        </w:tc>
        <w:tc>
          <w:tcPr>
            <w:tcW w:w="1097" w:type="dxa"/>
          </w:tcPr>
          <w:p w14:paraId="3D344145"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Recall (Default)</w:t>
            </w:r>
          </w:p>
        </w:tc>
        <w:tc>
          <w:tcPr>
            <w:tcW w:w="1097" w:type="dxa"/>
          </w:tcPr>
          <w:p w14:paraId="18B8C13F"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F1-score (Default)</w:t>
            </w:r>
          </w:p>
        </w:tc>
        <w:tc>
          <w:tcPr>
            <w:tcW w:w="880" w:type="dxa"/>
          </w:tcPr>
          <w:p w14:paraId="02DA44D0"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ROC AUC</w:t>
            </w:r>
          </w:p>
        </w:tc>
        <w:tc>
          <w:tcPr>
            <w:tcW w:w="1123" w:type="dxa"/>
          </w:tcPr>
          <w:p w14:paraId="0A8E9883"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Key Strength</w:t>
            </w:r>
          </w:p>
        </w:tc>
        <w:tc>
          <w:tcPr>
            <w:tcW w:w="1430" w:type="dxa"/>
          </w:tcPr>
          <w:p w14:paraId="1B7D8EDE"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Key Weakness</w:t>
            </w:r>
          </w:p>
        </w:tc>
      </w:tr>
      <w:tr w:rsidR="002C4491" w:rsidRPr="00684D76" w14:paraId="7A9FD188" w14:textId="77777777" w:rsidTr="00592510">
        <w:tc>
          <w:tcPr>
            <w:tcW w:w="1296" w:type="dxa"/>
          </w:tcPr>
          <w:p w14:paraId="0B48E5EC"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Logistic Regression</w:t>
            </w:r>
          </w:p>
        </w:tc>
        <w:tc>
          <w:tcPr>
            <w:tcW w:w="1136" w:type="dxa"/>
          </w:tcPr>
          <w:p w14:paraId="06A95505"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88.00%</w:t>
            </w:r>
          </w:p>
        </w:tc>
        <w:tc>
          <w:tcPr>
            <w:tcW w:w="1111" w:type="dxa"/>
          </w:tcPr>
          <w:p w14:paraId="292F62D4"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0.83</w:t>
            </w:r>
          </w:p>
        </w:tc>
        <w:tc>
          <w:tcPr>
            <w:tcW w:w="1097" w:type="dxa"/>
          </w:tcPr>
          <w:p w14:paraId="19EF39D5"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0.00</w:t>
            </w:r>
          </w:p>
        </w:tc>
        <w:tc>
          <w:tcPr>
            <w:tcW w:w="1097" w:type="dxa"/>
          </w:tcPr>
          <w:p w14:paraId="098A598E"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0.00</w:t>
            </w:r>
          </w:p>
        </w:tc>
        <w:tc>
          <w:tcPr>
            <w:tcW w:w="880" w:type="dxa"/>
          </w:tcPr>
          <w:p w14:paraId="1B9A4067"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N/A</w:t>
            </w:r>
          </w:p>
        </w:tc>
        <w:tc>
          <w:tcPr>
            <w:tcW w:w="1123" w:type="dxa"/>
          </w:tcPr>
          <w:p w14:paraId="07A58284"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Perfectly identifies good loans.</w:t>
            </w:r>
          </w:p>
        </w:tc>
        <w:tc>
          <w:tcPr>
            <w:tcW w:w="1430" w:type="dxa"/>
          </w:tcPr>
          <w:p w14:paraId="738CC649"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Catastrophic failure, identifies 0% of actual defaults.</w:t>
            </w:r>
          </w:p>
        </w:tc>
      </w:tr>
      <w:tr w:rsidR="002C4491" w:rsidRPr="00684D76" w14:paraId="046EEC0F" w14:textId="77777777" w:rsidTr="00592510">
        <w:tc>
          <w:tcPr>
            <w:tcW w:w="1296" w:type="dxa"/>
          </w:tcPr>
          <w:p w14:paraId="603647B7"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Random Forest</w:t>
            </w:r>
          </w:p>
        </w:tc>
        <w:tc>
          <w:tcPr>
            <w:tcW w:w="1136" w:type="dxa"/>
          </w:tcPr>
          <w:p w14:paraId="1D6A1452"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88.67%</w:t>
            </w:r>
          </w:p>
        </w:tc>
        <w:tc>
          <w:tcPr>
            <w:tcW w:w="1111" w:type="dxa"/>
          </w:tcPr>
          <w:p w14:paraId="099A434B"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0.62</w:t>
            </w:r>
          </w:p>
        </w:tc>
        <w:tc>
          <w:tcPr>
            <w:tcW w:w="1097" w:type="dxa"/>
          </w:tcPr>
          <w:p w14:paraId="7E143BE1"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0.05</w:t>
            </w:r>
          </w:p>
        </w:tc>
        <w:tc>
          <w:tcPr>
            <w:tcW w:w="1097" w:type="dxa"/>
          </w:tcPr>
          <w:p w14:paraId="694A2A4F"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0.09</w:t>
            </w:r>
          </w:p>
        </w:tc>
        <w:tc>
          <w:tcPr>
            <w:tcW w:w="880" w:type="dxa"/>
          </w:tcPr>
          <w:p w14:paraId="5D461767"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N/A</w:t>
            </w:r>
          </w:p>
        </w:tc>
        <w:tc>
          <w:tcPr>
            <w:tcW w:w="1123" w:type="dxa"/>
          </w:tcPr>
          <w:p w14:paraId="64FCAA2D"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Better precision than XGBoost when it predicts default.</w:t>
            </w:r>
          </w:p>
        </w:tc>
        <w:tc>
          <w:tcPr>
            <w:tcW w:w="1430" w:type="dxa"/>
          </w:tcPr>
          <w:p w14:paraId="4C195F6E"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Very poor recall (5%), misses 95% of defaults.</w:t>
            </w:r>
          </w:p>
        </w:tc>
      </w:tr>
      <w:tr w:rsidR="002C4491" w:rsidRPr="00684D76" w14:paraId="14BC02BE" w14:textId="77777777" w:rsidTr="00592510">
        <w:tc>
          <w:tcPr>
            <w:tcW w:w="1296" w:type="dxa"/>
          </w:tcPr>
          <w:p w14:paraId="2E62C0E9"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XGBoost</w:t>
            </w:r>
          </w:p>
        </w:tc>
        <w:tc>
          <w:tcPr>
            <w:tcW w:w="1136" w:type="dxa"/>
          </w:tcPr>
          <w:p w14:paraId="1D8F6CBC"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88.61%</w:t>
            </w:r>
          </w:p>
        </w:tc>
        <w:tc>
          <w:tcPr>
            <w:tcW w:w="1111" w:type="dxa"/>
          </w:tcPr>
          <w:p w14:paraId="224B23B8"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0.55</w:t>
            </w:r>
          </w:p>
        </w:tc>
        <w:tc>
          <w:tcPr>
            <w:tcW w:w="1097" w:type="dxa"/>
          </w:tcPr>
          <w:p w14:paraId="37A5FEE5"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0.08</w:t>
            </w:r>
          </w:p>
        </w:tc>
        <w:tc>
          <w:tcPr>
            <w:tcW w:w="1097" w:type="dxa"/>
          </w:tcPr>
          <w:p w14:paraId="763061BE"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0.15</w:t>
            </w:r>
          </w:p>
        </w:tc>
        <w:tc>
          <w:tcPr>
            <w:tcW w:w="880" w:type="dxa"/>
          </w:tcPr>
          <w:p w14:paraId="3922ABF6"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0.7436</w:t>
            </w:r>
          </w:p>
        </w:tc>
        <w:tc>
          <w:tcPr>
            <w:tcW w:w="1123" w:type="dxa"/>
          </w:tcPr>
          <w:p w14:paraId="022BD29D"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Best ROC AUC among baseline models.</w:t>
            </w:r>
          </w:p>
        </w:tc>
        <w:tc>
          <w:tcPr>
            <w:tcW w:w="1430" w:type="dxa"/>
          </w:tcPr>
          <w:p w14:paraId="663B8722"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Still very poor recall (8%), misses 92% of defaults.</w:t>
            </w:r>
          </w:p>
        </w:tc>
      </w:tr>
      <w:tr w:rsidR="002C4491" w:rsidRPr="00684D76" w14:paraId="229C0D00" w14:textId="77777777" w:rsidTr="00592510">
        <w:tc>
          <w:tcPr>
            <w:tcW w:w="1296" w:type="dxa"/>
          </w:tcPr>
          <w:p w14:paraId="0BC1DFE9"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Hybrid ML-DNN (with ADASYN)</w:t>
            </w:r>
          </w:p>
        </w:tc>
        <w:tc>
          <w:tcPr>
            <w:tcW w:w="1136" w:type="dxa"/>
          </w:tcPr>
          <w:p w14:paraId="27B7998E"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79.83%</w:t>
            </w:r>
          </w:p>
        </w:tc>
        <w:tc>
          <w:tcPr>
            <w:tcW w:w="1111" w:type="dxa"/>
          </w:tcPr>
          <w:p w14:paraId="498AA0FF"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0.29</w:t>
            </w:r>
          </w:p>
        </w:tc>
        <w:tc>
          <w:tcPr>
            <w:tcW w:w="1097" w:type="dxa"/>
          </w:tcPr>
          <w:p w14:paraId="664F2A41"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0.52</w:t>
            </w:r>
          </w:p>
        </w:tc>
        <w:tc>
          <w:tcPr>
            <w:tcW w:w="1097" w:type="dxa"/>
          </w:tcPr>
          <w:p w14:paraId="0614F4BB"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0.37</w:t>
            </w:r>
          </w:p>
        </w:tc>
        <w:tc>
          <w:tcPr>
            <w:tcW w:w="880" w:type="dxa"/>
          </w:tcPr>
          <w:p w14:paraId="6CFD59BC"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0.7571</w:t>
            </w:r>
          </w:p>
        </w:tc>
        <w:tc>
          <w:tcPr>
            <w:tcW w:w="1123" w:type="dxa"/>
          </w:tcPr>
          <w:p w14:paraId="4E687D27"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r w:rsidRPr="00684D76">
              <w:rPr>
                <w:rFonts w:ascii="Times New Roman" w:hAnsi="Times New Roman" w:cs="Times New Roman"/>
                <w:sz w:val="22"/>
                <w:szCs w:val="22"/>
              </w:rPr>
              <w:t>Best recall by far (52%); identifies over half of the defaults.</w:t>
            </w:r>
          </w:p>
        </w:tc>
        <w:tc>
          <w:tcPr>
            <w:tcW w:w="1430" w:type="dxa"/>
          </w:tcPr>
          <w:p w14:paraId="199624C0" w14:textId="77777777" w:rsidR="002C4491" w:rsidRPr="00684D76" w:rsidRDefault="002C4491" w:rsidP="00592510">
            <w:pPr>
              <w:spacing w:line="360" w:lineRule="auto"/>
              <w:jc w:val="both"/>
              <w:rPr>
                <w:rFonts w:ascii="Times New Roman" w:hAnsi="Times New Roman" w:cs="Times New Roman"/>
                <w:sz w:val="22"/>
                <w:szCs w:val="22"/>
              </w:rPr>
            </w:pPr>
            <w:r w:rsidRPr="00684D76">
              <w:rPr>
                <w:rFonts w:ascii="Times New Roman" w:hAnsi="Times New Roman" w:cs="Times New Roman"/>
                <w:sz w:val="22"/>
                <w:szCs w:val="22"/>
              </w:rPr>
              <w:t>Low precision (29%), high false positive rate.</w:t>
            </w:r>
          </w:p>
          <w:p w14:paraId="300C9C96" w14:textId="77777777" w:rsidR="002C4491" w:rsidRPr="00684D76" w:rsidRDefault="002C4491" w:rsidP="00592510">
            <w:pPr>
              <w:spacing w:line="360" w:lineRule="auto"/>
              <w:jc w:val="both"/>
              <w:rPr>
                <w:rFonts w:ascii="Times New Roman" w:hAnsi="Times New Roman" w:cs="Times New Roman"/>
                <w:color w:val="000000" w:themeColor="text1"/>
                <w:sz w:val="22"/>
                <w:szCs w:val="22"/>
              </w:rPr>
            </w:pPr>
          </w:p>
          <w:p w14:paraId="6EE0013A" w14:textId="77777777" w:rsidR="002C4491" w:rsidRPr="00684D76" w:rsidRDefault="002C4491" w:rsidP="00592510">
            <w:pPr>
              <w:spacing w:line="360" w:lineRule="auto"/>
              <w:rPr>
                <w:rFonts w:ascii="Times New Roman" w:hAnsi="Times New Roman" w:cs="Times New Roman"/>
                <w:color w:val="000000" w:themeColor="text1"/>
                <w:sz w:val="22"/>
                <w:szCs w:val="22"/>
              </w:rPr>
            </w:pPr>
            <w:r w:rsidRPr="00684D76">
              <w:rPr>
                <w:rFonts w:ascii="Times New Roman" w:hAnsi="Times New Roman" w:cs="Times New Roman"/>
                <w:color w:val="000000" w:themeColor="text1"/>
                <w:sz w:val="22"/>
                <w:szCs w:val="22"/>
              </w:rPr>
              <w:t>The hybrid model's low precision means it frequently rejects good customers while trying to catch risky ones.</w:t>
            </w:r>
          </w:p>
        </w:tc>
      </w:tr>
    </w:tbl>
    <w:p w14:paraId="57AB8773" w14:textId="77777777" w:rsidR="002C4491" w:rsidRPr="00684D76" w:rsidRDefault="002C4491" w:rsidP="002C4491">
      <w:pPr>
        <w:spacing w:line="360" w:lineRule="auto"/>
        <w:jc w:val="center"/>
        <w:rPr>
          <w:color w:val="000000" w:themeColor="text1"/>
        </w:rPr>
      </w:pPr>
    </w:p>
    <w:p w14:paraId="6A78276F" w14:textId="77777777" w:rsidR="002C4491" w:rsidRPr="00684D76" w:rsidRDefault="00204CB2" w:rsidP="00204CB2">
      <w:pPr>
        <w:spacing w:line="360" w:lineRule="auto"/>
        <w:jc w:val="both"/>
        <w:rPr>
          <w:rFonts w:ascii="Times New Roman" w:hAnsi="Times New Roman" w:cs="Times New Roman"/>
          <w:color w:val="000000" w:themeColor="text1"/>
        </w:rPr>
      </w:pPr>
      <w:r w:rsidRPr="00684D76">
        <w:rPr>
          <w:rFonts w:ascii="Times New Roman" w:hAnsi="Times New Roman" w:cs="Times New Roman"/>
          <w:color w:val="000000" w:themeColor="text1"/>
        </w:rPr>
        <w:t>The provided SHAP (SHapley Additive exPlanations) summary plot in figure 11 below offers a powerful visual interpretation of your hybrid model's decision-making process, revealing that Age is the most critical feature in predicting loan default, with older applicants consistently receiving a lower risk score, thereby directly reducing the model's prediction of default. Following closely, a high InterestRate exerts the strongest positive push towards a default prediction, logically indicating that costly loans are riskier, while a longer history of being MonthsEmployed significantly lowers an applicant's perceived risk, highlighting the model's grasp of financial stability.</w:t>
      </w:r>
    </w:p>
    <w:p w14:paraId="1E8DB34E" w14:textId="77777777" w:rsidR="00204CB2" w:rsidRPr="00684D76" w:rsidRDefault="00204CB2" w:rsidP="00204CB2">
      <w:pPr>
        <w:spacing w:line="360" w:lineRule="auto"/>
        <w:jc w:val="both"/>
        <w:rPr>
          <w:rFonts w:ascii="Times New Roman" w:hAnsi="Times New Roman" w:cs="Times New Roman"/>
        </w:rPr>
      </w:pPr>
      <w:r w:rsidRPr="00684D76">
        <w:rPr>
          <w:noProof/>
          <w:color w:val="000000" w:themeColor="text1"/>
          <w:lang w:val="en-IN" w:eastAsia="en-IN"/>
        </w:rPr>
        <w:drawing>
          <wp:inline distT="0" distB="0" distL="0" distR="0" wp14:anchorId="6FE0740F" wp14:editId="10D14A41">
            <wp:extent cx="5034309" cy="5967248"/>
            <wp:effectExtent l="0" t="0" r="0" b="190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2847" cy="6001075"/>
                    </a:xfrm>
                    <a:prstGeom prst="rect">
                      <a:avLst/>
                    </a:prstGeom>
                    <a:noFill/>
                    <a:ln>
                      <a:noFill/>
                    </a:ln>
                  </pic:spPr>
                </pic:pic>
              </a:graphicData>
            </a:graphic>
          </wp:inline>
        </w:drawing>
      </w:r>
    </w:p>
    <w:p w14:paraId="3D2472FB" w14:textId="77777777" w:rsidR="00204CB2" w:rsidRPr="00684D76" w:rsidRDefault="00204CB2" w:rsidP="00204CB2">
      <w:pPr>
        <w:spacing w:line="360" w:lineRule="auto"/>
        <w:jc w:val="both"/>
        <w:rPr>
          <w:rFonts w:ascii="Times New Roman" w:hAnsi="Times New Roman" w:cs="Times New Roman"/>
          <w:i/>
          <w:iCs/>
          <w:color w:val="000000" w:themeColor="text1"/>
        </w:rPr>
      </w:pPr>
      <w:r w:rsidRPr="00684D76">
        <w:rPr>
          <w:rFonts w:ascii="Times New Roman" w:hAnsi="Times New Roman" w:cs="Times New Roman"/>
          <w:i/>
          <w:iCs/>
          <w:color w:val="000000" w:themeColor="text1"/>
        </w:rPr>
        <w:t xml:space="preserve">                                   Figure 11: SHAP Summary Plot of Feature Importance</w:t>
      </w:r>
    </w:p>
    <w:p w14:paraId="3A5BD123" w14:textId="77777777" w:rsidR="00204CB2" w:rsidRPr="00684D76" w:rsidRDefault="00204CB2" w:rsidP="00204CB2">
      <w:pPr>
        <w:spacing w:line="360" w:lineRule="auto"/>
        <w:jc w:val="both"/>
        <w:rPr>
          <w:rFonts w:ascii="Times New Roman" w:hAnsi="Times New Roman" w:cs="Times New Roman"/>
          <w:i/>
          <w:iCs/>
          <w:color w:val="000000" w:themeColor="text1"/>
        </w:rPr>
      </w:pPr>
    </w:p>
    <w:p w14:paraId="6F731044" w14:textId="77777777" w:rsidR="00204CB2" w:rsidRPr="00684D76" w:rsidRDefault="00204CB2" w:rsidP="00204CB2">
      <w:pPr>
        <w:spacing w:line="360" w:lineRule="auto"/>
        <w:jc w:val="both"/>
        <w:rPr>
          <w:rFonts w:ascii="Times New Roman" w:hAnsi="Times New Roman" w:cs="Times New Roman"/>
        </w:rPr>
      </w:pPr>
      <w:r w:rsidRPr="00684D76">
        <w:rPr>
          <w:noProof/>
          <w:color w:val="000000" w:themeColor="text1"/>
          <w:lang w:val="en-IN" w:eastAsia="en-IN"/>
        </w:rPr>
        <w:drawing>
          <wp:inline distT="0" distB="0" distL="0" distR="0" wp14:anchorId="49E16FAC" wp14:editId="6885EEC0">
            <wp:extent cx="5717133" cy="369701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2159" cy="3706730"/>
                    </a:xfrm>
                    <a:prstGeom prst="rect">
                      <a:avLst/>
                    </a:prstGeom>
                    <a:noFill/>
                    <a:ln>
                      <a:noFill/>
                    </a:ln>
                  </pic:spPr>
                </pic:pic>
              </a:graphicData>
            </a:graphic>
          </wp:inline>
        </w:drawing>
      </w:r>
    </w:p>
    <w:p w14:paraId="2C43F7C4" w14:textId="77777777" w:rsidR="00204CB2" w:rsidRPr="00684D76" w:rsidRDefault="00204CB2" w:rsidP="00204CB2">
      <w:pPr>
        <w:spacing w:line="360" w:lineRule="auto"/>
        <w:jc w:val="center"/>
        <w:rPr>
          <w:rFonts w:ascii="Times New Roman" w:hAnsi="Times New Roman" w:cs="Times New Roman"/>
          <w:i/>
        </w:rPr>
      </w:pPr>
      <w:r w:rsidRPr="00684D76">
        <w:rPr>
          <w:rFonts w:ascii="Times New Roman" w:hAnsi="Times New Roman" w:cs="Times New Roman"/>
          <w:i/>
        </w:rPr>
        <w:t>Figure 12: SHAP Dependence Plot for Age</w:t>
      </w:r>
    </w:p>
    <w:p w14:paraId="4F56B149" w14:textId="77777777" w:rsidR="00204CB2" w:rsidRPr="00684D76" w:rsidRDefault="00204CB2" w:rsidP="00204CB2">
      <w:pPr>
        <w:spacing w:line="360" w:lineRule="auto"/>
        <w:rPr>
          <w:rFonts w:ascii="Times New Roman" w:hAnsi="Times New Roman" w:cs="Times New Roman"/>
          <w:b/>
        </w:rPr>
      </w:pPr>
      <w:r w:rsidRPr="00684D76">
        <w:rPr>
          <w:rFonts w:ascii="Times New Roman" w:hAnsi="Times New Roman" w:cs="Times New Roman"/>
          <w:b/>
        </w:rPr>
        <w:t>DISCUSSION</w:t>
      </w:r>
    </w:p>
    <w:p w14:paraId="4BDC115D" w14:textId="77777777" w:rsidR="00204CB2" w:rsidRPr="00684D76" w:rsidRDefault="00204CB2" w:rsidP="00204CB2">
      <w:pPr>
        <w:spacing w:line="360" w:lineRule="auto"/>
        <w:rPr>
          <w:rFonts w:ascii="Times New Roman" w:hAnsi="Times New Roman" w:cs="Times New Roman"/>
        </w:rPr>
      </w:pPr>
      <w:r w:rsidRPr="00684D76">
        <w:rPr>
          <w:rFonts w:ascii="Times New Roman" w:hAnsi="Times New Roman" w:cs="Times New Roman"/>
        </w:rPr>
        <w:t>The study demonstrated the foundational role of rigorous exploratory data analysis (EDA) in understanding the dataset's characteristics and inherent challenges. The initial analysis revealed a high-quality, complete dataset of 255,347 records with no missing values (Figure 3), providing a robust foundation for modeling. The descriptive statistics and distribution analyses (Figures 4, 5, 6) painted a picture of a realistic lending portfolio, a normal age distribution peaking among middle-aged borrowers, right-skewed income patterns, and loan terms clustered around standard industry offerings (12, 24, 36, 48, 60 months).</w:t>
      </w:r>
    </w:p>
    <w:p w14:paraId="54930070" w14:textId="77777777" w:rsidR="00204CB2" w:rsidRPr="00684D76" w:rsidRDefault="00204CB2" w:rsidP="00204CB2">
      <w:pPr>
        <w:spacing w:line="360" w:lineRule="auto"/>
        <w:rPr>
          <w:rFonts w:ascii="Times New Roman" w:hAnsi="Times New Roman" w:cs="Times New Roman"/>
        </w:rPr>
      </w:pPr>
      <w:r w:rsidRPr="00684D76">
        <w:rPr>
          <w:rFonts w:ascii="Times New Roman" w:hAnsi="Times New Roman" w:cs="Times New Roman"/>
        </w:rPr>
        <w:t>However, a critical finding emerged from this EDA: a severe class imbalance, with the minority default class (11.6%) being vastly outnumbered by non-defaults. This imbalance was not merely a statistical footnote but the central challenge determining the success or failure of the predictive models. The correlation heatmap (Figure 7) further contextualized this challenge, revealing only weak linear relationships between features and the target variable (Default). This indicated that simple, linear models would be insufficient and that complex, non-linear patterns the very kind DNNs are designed to capture would be essential for accurate prediction.</w:t>
      </w:r>
    </w:p>
    <w:p w14:paraId="2684B8DB" w14:textId="77777777" w:rsidR="00204CB2" w:rsidRPr="00684D76" w:rsidRDefault="00204CB2" w:rsidP="00204CB2">
      <w:pPr>
        <w:spacing w:line="360" w:lineRule="auto"/>
        <w:rPr>
          <w:rFonts w:ascii="Times New Roman" w:hAnsi="Times New Roman" w:cs="Times New Roman"/>
        </w:rPr>
      </w:pPr>
      <w:r w:rsidRPr="00684D76">
        <w:rPr>
          <w:rFonts w:ascii="Times New Roman" w:hAnsi="Times New Roman" w:cs="Times New Roman"/>
        </w:rPr>
        <w:t>The most critical methodological step was the handling of class imbalance through the integration of ADASYN. The performance of the baseline models (Logistic Regression, Random Forest, XGBoost) served as a stark warning: without intervention, models achieve deceptively high accuracy (88%+) by blindly predicting the majority class, resulting in a catastrophic 0-8% recall for defaults. This rendered them operationally ineffective for risk assessment. The application of ADASYN was not merely an enhancement but an absolute necessity, transforming the modeling landscape by synthetically balancing the class distribution and enabling the algorithms to learn the characteristics of the minority class. The results unequivocally demonstrate that for imbalanced financial datasets, addressing class disparity is a prerequisite for any meaningful model development.</w:t>
      </w:r>
    </w:p>
    <w:p w14:paraId="4CB4802D" w14:textId="77777777" w:rsidR="00204CB2" w:rsidRPr="00684D76" w:rsidRDefault="00204CB2" w:rsidP="00204CB2">
      <w:pPr>
        <w:spacing w:line="360" w:lineRule="auto"/>
        <w:rPr>
          <w:rFonts w:ascii="Times New Roman" w:hAnsi="Times New Roman" w:cs="Times New Roman"/>
        </w:rPr>
      </w:pPr>
      <w:r w:rsidRPr="00684D76">
        <w:rPr>
          <w:rFonts w:ascii="Times New Roman" w:hAnsi="Times New Roman" w:cs="Times New Roman"/>
        </w:rPr>
        <w:t>The sequential modelling process provided a clear benchmark for the hybrid approach. The baseline models, while accurate overall, failed catastrophically in their primary task of default detection, as detailed by their confusion matrices and classification reports (Tables 2, 3, 4). Their near-zero recall for the default class confirmed their tendency to exploit the class imbalance, prioritizing accuracy over utility.</w:t>
      </w:r>
    </w:p>
    <w:p w14:paraId="55D83CA9" w14:textId="77777777" w:rsidR="00204CB2" w:rsidRPr="00684D76" w:rsidRDefault="00204CB2" w:rsidP="00204CB2">
      <w:pPr>
        <w:spacing w:line="360" w:lineRule="auto"/>
        <w:rPr>
          <w:rFonts w:ascii="Times New Roman" w:hAnsi="Times New Roman" w:cs="Times New Roman"/>
        </w:rPr>
      </w:pPr>
      <w:r w:rsidRPr="00684D76">
        <w:rPr>
          <w:rFonts w:ascii="Times New Roman" w:hAnsi="Times New Roman" w:cs="Times New Roman"/>
        </w:rPr>
        <w:t>In contrast, the Hybrid ML-DNN model with ADASYN emerged as the only practically viable solution. Its performance profile demonstrates a critical trade-off mastered: it sacrificed overall accuracy (79.83%) to achieve a 52% recall for defaults—the highest among all models by a significant margin. This means it correctly identified over half of the truly risky applicants, a capability entirely absent in other models. This directly fulfills Research Objective 3 (improving overall accuracy), though it is crucial to note that "accuracy" here is defined by the ability to correctly identify both classes, not just the majority one. However, this capability came at a cost: low precision (29%) for the default class. This precision-recall trade-off, vividly illustrated in the curves (Figure 10), is the central business dilemma of this model. A high false positive rate means many creditworthy applicants are incorrectly flagged as risky, potentially leading to rejected loans and customer dissatisfaction. Yet, from a risk management perspective, a model that misses 95% of defaults (like the baselines) is far more dangerous than one that generates many false alarms but catches 52% of true defaults. The Hybrid model's superior ROC AUC (0.7571) further confirms its better overall discrimination ability between the two classes.</w:t>
      </w:r>
    </w:p>
    <w:p w14:paraId="639C03DF" w14:textId="77777777" w:rsidR="00204CB2" w:rsidRPr="00684D76" w:rsidRDefault="00204CB2" w:rsidP="00204CB2">
      <w:pPr>
        <w:spacing w:line="360" w:lineRule="auto"/>
        <w:rPr>
          <w:rFonts w:ascii="Times New Roman" w:hAnsi="Times New Roman" w:cs="Times New Roman"/>
        </w:rPr>
      </w:pPr>
      <w:r w:rsidRPr="00684D76">
        <w:rPr>
          <w:rFonts w:ascii="Times New Roman" w:hAnsi="Times New Roman" w:cs="Times New Roman"/>
        </w:rPr>
        <w:t>The confusion matrix for the Hybrid model (Figure 9) translates this trade-off into actionable business intelligence. The model correctly identified 3,074 defaults (True Posatives, preventing loss) but missed 2,857 (False Negatives, remaining risk). It correctly approved 37,697 good applicants (True Negatives) but wrongly rejected 7,442 (False Positives, potential customer dissatisfaction and lost revenue). This output does not provide a single "correct" answer but rather equips decision-makers with clear information to strategically tune the model based on institutional risk appetite. A conservative lender focused on loss avoidance might accept the high False Positive (FP) rate. In contrast, a growth-focused lender might adjust the prediction threshold to lower FPs (improving approval rates) at the expense of catching fewer defaults (lower recall).</w:t>
      </w:r>
    </w:p>
    <w:p w14:paraId="734D721A" w14:textId="77777777" w:rsidR="00204CB2" w:rsidRPr="00684D76" w:rsidRDefault="00204CB2" w:rsidP="00204CB2">
      <w:pPr>
        <w:spacing w:line="360" w:lineRule="auto"/>
        <w:rPr>
          <w:rFonts w:ascii="Times New Roman" w:hAnsi="Times New Roman" w:cs="Times New Roman"/>
        </w:rPr>
      </w:pPr>
      <w:r w:rsidRPr="00684D76">
        <w:rPr>
          <w:rFonts w:ascii="Times New Roman" w:hAnsi="Times New Roman" w:cs="Times New Roman"/>
        </w:rPr>
        <w:t>This study successfully bridges the gap between a black-box model and actionable insight by framing results in this business context. The finding that traditional categorical variables were poor predictors shifts the focus towards more nuanced, continuous risk factors and their interactions, which can be further explored using explainable AI (XAI) techniques like SHAP in future work to provide even greater transparency.</w:t>
      </w:r>
    </w:p>
    <w:p w14:paraId="7D1F4574" w14:textId="77777777" w:rsidR="00204CB2" w:rsidRPr="00684D76" w:rsidRDefault="00204CB2" w:rsidP="00204CB2">
      <w:pPr>
        <w:spacing w:line="360" w:lineRule="auto"/>
        <w:rPr>
          <w:rFonts w:ascii="Times New Roman" w:hAnsi="Times New Roman" w:cs="Times New Roman"/>
        </w:rPr>
      </w:pPr>
      <w:r w:rsidRPr="00684D76">
        <w:rPr>
          <w:rFonts w:ascii="Times New Roman" w:hAnsi="Times New Roman" w:cs="Times New Roman"/>
        </w:rPr>
        <w:t>The summary plot (Figure 11) fulfills the interpretability requirement by demystifying the model's overall logic, creating a transparent hierarchy of feature importance that allows stakeholders to immediately see that the model prioritizes financially intuitive factors like employment stability and interest rates, thereby building trust that its decisions are not based on obscure or spurious correlations. This global interpretability is the first, essential step in fairness assessment, as it allows auditors to quickly identify if an obviously problematic feature (e.g., zip code or gender) is exerting an inappropriate influence.</w:t>
      </w:r>
    </w:p>
    <w:p w14:paraId="33B876A4" w14:textId="77777777" w:rsidR="00204CB2" w:rsidRPr="00684D76" w:rsidRDefault="00204CB2" w:rsidP="00204CB2">
      <w:pPr>
        <w:spacing w:line="360" w:lineRule="auto"/>
        <w:rPr>
          <w:rFonts w:ascii="Times New Roman" w:hAnsi="Times New Roman" w:cs="Times New Roman"/>
        </w:rPr>
      </w:pPr>
      <w:r w:rsidRPr="00684D76">
        <w:rPr>
          <w:rFonts w:ascii="Times New Roman" w:hAnsi="Times New Roman" w:cs="Times New Roman"/>
        </w:rPr>
        <w:t>Complementing this, the dependence plot for Age specifically tackles the fairness component by moving beyond a simple positive/negative impact and revealing a complex, U-shaped relationship between age and risk. This nuance is critical; it allows regulators and model validators to probe for potential discrimination. For instance, they can now investigate whether the increased risk score for older applicants is driven by legitimate financial factors (e.g., fixed incomes, shorter credit horizons) or if it constitutes an unfair bias that could lead to the systematic exclusion of a protected age group. This level of granular insight is precisely what is needed to audit the model's logic thoroughly and ensure its decisions are inclusive and justifiable, moving transparency from a abstract concept to a tangible, actionable audit trail.</w:t>
      </w:r>
    </w:p>
    <w:p w14:paraId="59942807" w14:textId="77777777" w:rsidR="00204CB2" w:rsidRPr="00684D76" w:rsidRDefault="00204CB2" w:rsidP="00204CB2">
      <w:pPr>
        <w:spacing w:line="360" w:lineRule="auto"/>
        <w:rPr>
          <w:rFonts w:ascii="Times New Roman" w:hAnsi="Times New Roman" w:cs="Times New Roman"/>
          <w:b/>
        </w:rPr>
      </w:pPr>
      <w:r w:rsidRPr="00684D76">
        <w:rPr>
          <w:rFonts w:ascii="Times New Roman" w:hAnsi="Times New Roman" w:cs="Times New Roman"/>
          <w:b/>
        </w:rPr>
        <w:t>CONCLUSION</w:t>
      </w:r>
    </w:p>
    <w:p w14:paraId="23D06F22" w14:textId="77777777" w:rsidR="00204CB2" w:rsidRPr="00684D76" w:rsidRDefault="00204CB2" w:rsidP="00204CB2">
      <w:pPr>
        <w:spacing w:line="360" w:lineRule="auto"/>
        <w:rPr>
          <w:rFonts w:ascii="Times New Roman" w:hAnsi="Times New Roman" w:cs="Times New Roman"/>
        </w:rPr>
      </w:pPr>
      <w:r w:rsidRPr="00684D76">
        <w:rPr>
          <w:rFonts w:ascii="Times New Roman" w:hAnsi="Times New Roman" w:cs="Times New Roman"/>
        </w:rPr>
        <w:t>This study validates the critical role of addressing class imbalance as a prerequisite for any effective loan default prediction system. It demonstrates that sophisticated algorithms are futile without first correcting the fundamental skew in the data landscape. The Hybrid ML-DNN model with ADASYN was the only approach that delivered material value, transforming an ineffective prediction system into a functional risk assessment tool capable of identifying 52% of defaulting borrowers. The research systematically benchmarks multiple algorithms, revealing a critical precision-recall trade-off that defines the practical utility of such systems. It proves that a model's worth is not determined by its accuracy but by its alignment with business objectives—in this case, maximizing the detection of risky loans. By moving beyond accuracy to analyze recall, precision, and the concrete business outcomes embedded in the confusion matrix, this study provides a blueprint for developing responsible, effective, and transparent AI-driven credit scoring systems that can genuinely enhance financial decision-making.</w:t>
      </w:r>
    </w:p>
    <w:p w14:paraId="2CBA675C" w14:textId="77777777" w:rsidR="00760163" w:rsidRPr="00684D76" w:rsidRDefault="00760163" w:rsidP="00204CB2">
      <w:pPr>
        <w:spacing w:line="360" w:lineRule="auto"/>
        <w:rPr>
          <w:rFonts w:ascii="Times New Roman" w:hAnsi="Times New Roman" w:cs="Times New Roman"/>
          <w:b/>
          <w:bCs/>
        </w:rPr>
      </w:pPr>
      <w:r w:rsidRPr="00684D76">
        <w:rPr>
          <w:rFonts w:ascii="Times New Roman" w:hAnsi="Times New Roman" w:cs="Times New Roman"/>
          <w:b/>
          <w:bCs/>
        </w:rPr>
        <w:t xml:space="preserve">REFERENCES </w:t>
      </w:r>
    </w:p>
    <w:p w14:paraId="061BF0F8" w14:textId="77777777" w:rsidR="00760163" w:rsidRPr="00684D76" w:rsidRDefault="00760163" w:rsidP="00760163">
      <w:pPr>
        <w:spacing w:line="360" w:lineRule="auto"/>
        <w:ind w:left="720" w:hanging="720"/>
        <w:jc w:val="both"/>
        <w:rPr>
          <w:rFonts w:ascii="Times New Roman" w:hAnsi="Times New Roman" w:cs="Times New Roman"/>
        </w:rPr>
      </w:pPr>
      <w:r w:rsidRPr="00684D76">
        <w:rPr>
          <w:rFonts w:ascii="Times New Roman" w:hAnsi="Times New Roman" w:cs="Times New Roman"/>
        </w:rPr>
        <w:t>Banasik, J., Crook, J. and Thomas, L. (2003). Sample selection bias in credit scoring models. Journal of the Operational Research Society, 54(8), pp.822–832. doi:https://doi.org/10.1057/palgrave.jors.2601578.</w:t>
      </w:r>
    </w:p>
    <w:p w14:paraId="78F81B94" w14:textId="77777777" w:rsidR="00760163" w:rsidRPr="00684D76" w:rsidRDefault="00760163" w:rsidP="00760163">
      <w:pPr>
        <w:spacing w:line="360" w:lineRule="auto"/>
        <w:ind w:left="720" w:hanging="720"/>
        <w:jc w:val="both"/>
        <w:rPr>
          <w:rFonts w:ascii="Times New Roman" w:hAnsi="Times New Roman" w:cs="Times New Roman"/>
        </w:rPr>
      </w:pPr>
      <w:r w:rsidRPr="00684D76">
        <w:rPr>
          <w:rFonts w:ascii="Times New Roman" w:hAnsi="Times New Roman" w:cs="Times New Roman"/>
        </w:rPr>
        <w:t>Buda, M., Maki, A. and Mazurowski, M.A. (2018). A systematic study of the class imbalance problem in convolutional neural networks. Neural Networks, 106, pp.249–259. doi:https://doi.org/10.1016/j.neunet.2018.07.011.</w:t>
      </w:r>
    </w:p>
    <w:p w14:paraId="6146F386" w14:textId="77777777" w:rsidR="00760163" w:rsidRPr="00684D76" w:rsidRDefault="00760163" w:rsidP="00760163">
      <w:pPr>
        <w:spacing w:line="360" w:lineRule="auto"/>
        <w:ind w:left="720" w:hanging="720"/>
        <w:jc w:val="both"/>
        <w:rPr>
          <w:rFonts w:ascii="Times New Roman" w:hAnsi="Times New Roman" w:cs="Times New Roman"/>
        </w:rPr>
      </w:pPr>
      <w:r w:rsidRPr="00684D76">
        <w:rPr>
          <w:rFonts w:ascii="Times New Roman" w:hAnsi="Times New Roman" w:cs="Times New Roman"/>
        </w:rPr>
        <w:t xml:space="preserve">Duan, J. (2019). Financial system modeling using deep neural networks (DNNs) for effective risk assessment and prediction. Journal of the Franklin Institute, 356(8), pp. 4716–4731. </w:t>
      </w:r>
      <w:hyperlink r:id="rId21" w:history="1">
        <w:r w:rsidRPr="00684D76">
          <w:rPr>
            <w:rStyle w:val="Hyperlink"/>
            <w:rFonts w:ascii="Times New Roman" w:hAnsi="Times New Roman" w:cs="Times New Roman"/>
          </w:rPr>
          <w:t>https://doi.org/10.1016/j.jfranklin.2019.01.046</w:t>
        </w:r>
      </w:hyperlink>
      <w:r w:rsidRPr="00684D76">
        <w:rPr>
          <w:rFonts w:ascii="Times New Roman" w:hAnsi="Times New Roman" w:cs="Times New Roman"/>
        </w:rPr>
        <w:t>.</w:t>
      </w:r>
    </w:p>
    <w:p w14:paraId="79F95822" w14:textId="77777777" w:rsidR="00760163" w:rsidRPr="00684D76" w:rsidRDefault="00760163" w:rsidP="00760163">
      <w:pPr>
        <w:spacing w:line="360" w:lineRule="auto"/>
        <w:ind w:left="720" w:hanging="720"/>
        <w:jc w:val="both"/>
        <w:rPr>
          <w:rFonts w:ascii="Times New Roman" w:hAnsi="Times New Roman" w:cs="Times New Roman"/>
        </w:rPr>
      </w:pPr>
      <w:r w:rsidRPr="00684D76">
        <w:rPr>
          <w:rFonts w:ascii="Times New Roman" w:hAnsi="Times New Roman" w:cs="Times New Roman"/>
        </w:rPr>
        <w:t>Haibo He, Yang Bai, Garcia, E.A. and Shutao Li (2008). ADASYN: Adaptive synthetic sampling approach for imbalanced learning. [online] IEEE Xplore. doi:https://doi.org/10.1109/IJCNN.2008.4633969.</w:t>
      </w:r>
    </w:p>
    <w:p w14:paraId="6DB7053D" w14:textId="77777777" w:rsidR="00760163" w:rsidRPr="00684D76" w:rsidRDefault="00760163" w:rsidP="00760163">
      <w:pPr>
        <w:spacing w:line="360" w:lineRule="auto"/>
        <w:ind w:left="720" w:hanging="720"/>
        <w:jc w:val="both"/>
        <w:rPr>
          <w:rFonts w:ascii="Times New Roman" w:hAnsi="Times New Roman" w:cs="Times New Roman"/>
        </w:rPr>
      </w:pPr>
      <w:r w:rsidRPr="00684D76">
        <w:rPr>
          <w:rFonts w:ascii="Times New Roman" w:hAnsi="Times New Roman" w:cs="Times New Roman"/>
        </w:rPr>
        <w:t xml:space="preserve">Hossain, M.R. et al. (2025). Enhancing Credit Scoring with Multimodal Deep Learning: A Hybrid Neural Network Approach Using Structured and Unstructured Financial Data, International Interdisciplinary Business Economics Advancement Journal, 06(07), pp. 09–22. </w:t>
      </w:r>
      <w:hyperlink r:id="rId22" w:history="1">
        <w:r w:rsidRPr="00684D76">
          <w:rPr>
            <w:rStyle w:val="Hyperlink"/>
            <w:rFonts w:ascii="Times New Roman" w:hAnsi="Times New Roman" w:cs="Times New Roman"/>
          </w:rPr>
          <w:t>https://doi.org/10.55640/business/volume06issue07-02</w:t>
        </w:r>
      </w:hyperlink>
      <w:r w:rsidRPr="00684D76">
        <w:rPr>
          <w:rFonts w:ascii="Times New Roman" w:hAnsi="Times New Roman" w:cs="Times New Roman"/>
        </w:rPr>
        <w:t>.</w:t>
      </w:r>
    </w:p>
    <w:p w14:paraId="2150DCCA" w14:textId="77777777" w:rsidR="00760163" w:rsidRPr="00684D76" w:rsidRDefault="00760163" w:rsidP="00760163">
      <w:pPr>
        <w:spacing w:line="360" w:lineRule="auto"/>
        <w:ind w:left="720" w:hanging="720"/>
        <w:jc w:val="both"/>
        <w:rPr>
          <w:rFonts w:ascii="Times New Roman" w:hAnsi="Times New Roman" w:cs="Times New Roman"/>
        </w:rPr>
      </w:pPr>
      <w:r w:rsidRPr="00684D76">
        <w:rPr>
          <w:rFonts w:ascii="Times New Roman" w:hAnsi="Times New Roman" w:cs="Times New Roman"/>
        </w:rPr>
        <w:t xml:space="preserve">Khandani, A.E., Kim, A.J. and Lo, A.W. (2010). Consumer credit-risk models via machine-learning algorithms. Journal of Banking &amp; Finance, 34(11), pp.2767–2787. doi:https://doi.org/10.1016/j.jbankfin.2010.06.001. </w:t>
      </w:r>
    </w:p>
    <w:sectPr w:rsidR="00760163" w:rsidRPr="00684D76">
      <w:footerReference w:type="default" r:id="rId2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DB8BB9" w14:textId="77777777" w:rsidR="00195F05" w:rsidRDefault="00195F05" w:rsidP="00F02834">
      <w:pPr>
        <w:spacing w:after="0" w:line="240" w:lineRule="auto"/>
      </w:pPr>
      <w:r>
        <w:separator/>
      </w:r>
    </w:p>
  </w:endnote>
  <w:endnote w:type="continuationSeparator" w:id="0">
    <w:p w14:paraId="6B0420D8" w14:textId="77777777" w:rsidR="00195F05" w:rsidRDefault="00195F05" w:rsidP="00F028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12268088"/>
      <w:docPartObj>
        <w:docPartGallery w:val="Page Numbers (Bottom of Page)"/>
        <w:docPartUnique/>
      </w:docPartObj>
    </w:sdtPr>
    <w:sdtEndPr>
      <w:rPr>
        <w:noProof/>
      </w:rPr>
    </w:sdtEndPr>
    <w:sdtContent>
      <w:p w14:paraId="5B5FBC07" w14:textId="302C5FAA" w:rsidR="00F02834" w:rsidRDefault="00F02834">
        <w:pPr>
          <w:pStyle w:val="Footer"/>
          <w:jc w:val="center"/>
        </w:pPr>
        <w:r>
          <w:fldChar w:fldCharType="begin"/>
        </w:r>
        <w:r>
          <w:instrText xml:space="preserve"> PAGE   \* MERGEFORMAT </w:instrText>
        </w:r>
        <w:r>
          <w:fldChar w:fldCharType="separate"/>
        </w:r>
        <w:r w:rsidR="003B2681">
          <w:rPr>
            <w:noProof/>
          </w:rPr>
          <w:t>4</w:t>
        </w:r>
        <w:r>
          <w:rPr>
            <w:noProof/>
          </w:rPr>
          <w:fldChar w:fldCharType="end"/>
        </w:r>
      </w:p>
    </w:sdtContent>
  </w:sdt>
  <w:p w14:paraId="0E102E68" w14:textId="77777777" w:rsidR="00F02834" w:rsidRDefault="00F0283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3ABD89" w14:textId="77777777" w:rsidR="00195F05" w:rsidRDefault="00195F05" w:rsidP="00F02834">
      <w:pPr>
        <w:spacing w:after="0" w:line="240" w:lineRule="auto"/>
      </w:pPr>
      <w:r>
        <w:separator/>
      </w:r>
    </w:p>
  </w:footnote>
  <w:footnote w:type="continuationSeparator" w:id="0">
    <w:p w14:paraId="4E639619" w14:textId="77777777" w:rsidR="00195F05" w:rsidRDefault="00195F05" w:rsidP="00F028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205A"/>
    <w:multiLevelType w:val="hybridMultilevel"/>
    <w:tmpl w:val="9842AE9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87B3B85"/>
    <w:multiLevelType w:val="hybridMultilevel"/>
    <w:tmpl w:val="4C98D890"/>
    <w:lvl w:ilvl="0" w:tplc="08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1BC5"/>
    <w:rsid w:val="0008253D"/>
    <w:rsid w:val="000C4B90"/>
    <w:rsid w:val="001005D2"/>
    <w:rsid w:val="00195F05"/>
    <w:rsid w:val="00204CB2"/>
    <w:rsid w:val="002C4491"/>
    <w:rsid w:val="002E2A2B"/>
    <w:rsid w:val="003B2681"/>
    <w:rsid w:val="004231FC"/>
    <w:rsid w:val="00476496"/>
    <w:rsid w:val="005A0ACB"/>
    <w:rsid w:val="005C174C"/>
    <w:rsid w:val="005C370A"/>
    <w:rsid w:val="005D2137"/>
    <w:rsid w:val="00623219"/>
    <w:rsid w:val="006537C4"/>
    <w:rsid w:val="00684D76"/>
    <w:rsid w:val="006D5A4B"/>
    <w:rsid w:val="006F474B"/>
    <w:rsid w:val="006F5F1E"/>
    <w:rsid w:val="007141CF"/>
    <w:rsid w:val="00731BC5"/>
    <w:rsid w:val="00745C05"/>
    <w:rsid w:val="00760163"/>
    <w:rsid w:val="00761A07"/>
    <w:rsid w:val="00826050"/>
    <w:rsid w:val="00837826"/>
    <w:rsid w:val="008D5C4E"/>
    <w:rsid w:val="008E771C"/>
    <w:rsid w:val="009B432E"/>
    <w:rsid w:val="00B15F1F"/>
    <w:rsid w:val="00B40814"/>
    <w:rsid w:val="00BC5BF5"/>
    <w:rsid w:val="00E67A40"/>
    <w:rsid w:val="00F02834"/>
    <w:rsid w:val="00F429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7D6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67A40"/>
    <w:pPr>
      <w:keepNext/>
      <w:keepLines/>
      <w:spacing w:before="360" w:after="80" w:line="240" w:lineRule="auto"/>
      <w:outlineLvl w:val="0"/>
    </w:pPr>
    <w:rPr>
      <w:rFonts w:asciiTheme="majorHAnsi" w:eastAsiaTheme="majorEastAsia" w:hAnsiTheme="majorHAnsi" w:cstheme="majorBidi"/>
      <w:color w:val="2F5496" w:themeColor="accent1" w:themeShade="BF"/>
      <w:kern w:val="0"/>
      <w:sz w:val="40"/>
      <w:szCs w:val="4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1BC5"/>
    <w:rPr>
      <w:color w:val="0563C1" w:themeColor="hyperlink"/>
      <w:u w:val="single"/>
    </w:rPr>
  </w:style>
  <w:style w:type="paragraph" w:styleId="NormalWeb">
    <w:name w:val="Normal (Web)"/>
    <w:basedOn w:val="Normal"/>
    <w:uiPriority w:val="99"/>
    <w:unhideWhenUsed/>
    <w:rsid w:val="005C174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qFormat/>
    <w:rsid w:val="00E67A40"/>
    <w:pPr>
      <w:spacing w:after="0" w:line="240" w:lineRule="auto"/>
      <w:ind w:left="720"/>
      <w:contextualSpacing/>
    </w:pPr>
    <w:rPr>
      <w:rFonts w:ascii="Times New Roman" w:eastAsia="Times New Roman" w:hAnsi="Times New Roman" w:cs="Times New Roman"/>
      <w:kern w:val="0"/>
      <w:sz w:val="24"/>
      <w:szCs w:val="24"/>
      <w:lang w:eastAsia="en-GB"/>
      <w14:ligatures w14:val="none"/>
    </w:rPr>
  </w:style>
  <w:style w:type="character" w:customStyle="1" w:styleId="Heading1Char">
    <w:name w:val="Heading 1 Char"/>
    <w:basedOn w:val="DefaultParagraphFont"/>
    <w:link w:val="Heading1"/>
    <w:uiPriority w:val="9"/>
    <w:rsid w:val="00E67A40"/>
    <w:rPr>
      <w:rFonts w:asciiTheme="majorHAnsi" w:eastAsiaTheme="majorEastAsia" w:hAnsiTheme="majorHAnsi" w:cstheme="majorBidi"/>
      <w:color w:val="2F5496" w:themeColor="accent1" w:themeShade="BF"/>
      <w:kern w:val="0"/>
      <w:sz w:val="40"/>
      <w:szCs w:val="40"/>
      <w:lang w:eastAsia="en-GB"/>
      <w14:ligatures w14:val="none"/>
    </w:rPr>
  </w:style>
  <w:style w:type="paragraph" w:styleId="NoSpacing">
    <w:name w:val="No Spacing"/>
    <w:uiPriority w:val="1"/>
    <w:qFormat/>
    <w:rsid w:val="00E67A40"/>
    <w:pPr>
      <w:spacing w:after="0" w:line="240" w:lineRule="auto"/>
    </w:pPr>
    <w:rPr>
      <w:sz w:val="24"/>
      <w:szCs w:val="24"/>
      <w:lang w:val="en-GB"/>
    </w:rPr>
  </w:style>
  <w:style w:type="character" w:styleId="Strong">
    <w:name w:val="Strong"/>
    <w:basedOn w:val="DefaultParagraphFont"/>
    <w:uiPriority w:val="22"/>
    <w:qFormat/>
    <w:rsid w:val="00E67A40"/>
    <w:rPr>
      <w:b/>
      <w:bCs/>
    </w:rPr>
  </w:style>
  <w:style w:type="paragraph" w:customStyle="1" w:styleId="whitespace-normal">
    <w:name w:val="whitespace-normal"/>
    <w:basedOn w:val="Normal"/>
    <w:rsid w:val="00E67A4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qFormat/>
    <w:rsid w:val="006F5F1E"/>
    <w:pPr>
      <w:spacing w:after="0" w:line="240" w:lineRule="auto"/>
    </w:pPr>
    <w:rPr>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028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834"/>
  </w:style>
  <w:style w:type="paragraph" w:styleId="Footer">
    <w:name w:val="footer"/>
    <w:basedOn w:val="Normal"/>
    <w:link w:val="FooterChar"/>
    <w:uiPriority w:val="99"/>
    <w:unhideWhenUsed/>
    <w:rsid w:val="00F028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8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67A40"/>
    <w:pPr>
      <w:keepNext/>
      <w:keepLines/>
      <w:spacing w:before="360" w:after="80" w:line="240" w:lineRule="auto"/>
      <w:outlineLvl w:val="0"/>
    </w:pPr>
    <w:rPr>
      <w:rFonts w:asciiTheme="majorHAnsi" w:eastAsiaTheme="majorEastAsia" w:hAnsiTheme="majorHAnsi" w:cstheme="majorBidi"/>
      <w:color w:val="2F5496" w:themeColor="accent1" w:themeShade="BF"/>
      <w:kern w:val="0"/>
      <w:sz w:val="40"/>
      <w:szCs w:val="4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31BC5"/>
    <w:rPr>
      <w:color w:val="0563C1" w:themeColor="hyperlink"/>
      <w:u w:val="single"/>
    </w:rPr>
  </w:style>
  <w:style w:type="paragraph" w:styleId="NormalWeb">
    <w:name w:val="Normal (Web)"/>
    <w:basedOn w:val="Normal"/>
    <w:uiPriority w:val="99"/>
    <w:unhideWhenUsed/>
    <w:rsid w:val="005C174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ListParagraph">
    <w:name w:val="List Paragraph"/>
    <w:basedOn w:val="Normal"/>
    <w:qFormat/>
    <w:rsid w:val="00E67A40"/>
    <w:pPr>
      <w:spacing w:after="0" w:line="240" w:lineRule="auto"/>
      <w:ind w:left="720"/>
      <w:contextualSpacing/>
    </w:pPr>
    <w:rPr>
      <w:rFonts w:ascii="Times New Roman" w:eastAsia="Times New Roman" w:hAnsi="Times New Roman" w:cs="Times New Roman"/>
      <w:kern w:val="0"/>
      <w:sz w:val="24"/>
      <w:szCs w:val="24"/>
      <w:lang w:eastAsia="en-GB"/>
      <w14:ligatures w14:val="none"/>
    </w:rPr>
  </w:style>
  <w:style w:type="character" w:customStyle="1" w:styleId="Heading1Char">
    <w:name w:val="Heading 1 Char"/>
    <w:basedOn w:val="DefaultParagraphFont"/>
    <w:link w:val="Heading1"/>
    <w:uiPriority w:val="9"/>
    <w:rsid w:val="00E67A40"/>
    <w:rPr>
      <w:rFonts w:asciiTheme="majorHAnsi" w:eastAsiaTheme="majorEastAsia" w:hAnsiTheme="majorHAnsi" w:cstheme="majorBidi"/>
      <w:color w:val="2F5496" w:themeColor="accent1" w:themeShade="BF"/>
      <w:kern w:val="0"/>
      <w:sz w:val="40"/>
      <w:szCs w:val="40"/>
      <w:lang w:eastAsia="en-GB"/>
      <w14:ligatures w14:val="none"/>
    </w:rPr>
  </w:style>
  <w:style w:type="paragraph" w:styleId="NoSpacing">
    <w:name w:val="No Spacing"/>
    <w:uiPriority w:val="1"/>
    <w:qFormat/>
    <w:rsid w:val="00E67A40"/>
    <w:pPr>
      <w:spacing w:after="0" w:line="240" w:lineRule="auto"/>
    </w:pPr>
    <w:rPr>
      <w:sz w:val="24"/>
      <w:szCs w:val="24"/>
      <w:lang w:val="en-GB"/>
    </w:rPr>
  </w:style>
  <w:style w:type="character" w:styleId="Strong">
    <w:name w:val="Strong"/>
    <w:basedOn w:val="DefaultParagraphFont"/>
    <w:uiPriority w:val="22"/>
    <w:qFormat/>
    <w:rsid w:val="00E67A40"/>
    <w:rPr>
      <w:b/>
      <w:bCs/>
    </w:rPr>
  </w:style>
  <w:style w:type="paragraph" w:customStyle="1" w:styleId="whitespace-normal">
    <w:name w:val="whitespace-normal"/>
    <w:basedOn w:val="Normal"/>
    <w:rsid w:val="00E67A40"/>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table" w:styleId="TableGrid">
    <w:name w:val="Table Grid"/>
    <w:basedOn w:val="TableNormal"/>
    <w:qFormat/>
    <w:rsid w:val="006F5F1E"/>
    <w:pPr>
      <w:spacing w:after="0" w:line="240" w:lineRule="auto"/>
    </w:pPr>
    <w:rPr>
      <w:kern w:val="0"/>
      <w:sz w:val="24"/>
      <w:szCs w:val="24"/>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F028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F02834"/>
  </w:style>
  <w:style w:type="paragraph" w:styleId="Footer">
    <w:name w:val="footer"/>
    <w:basedOn w:val="Normal"/>
    <w:link w:val="FooterChar"/>
    <w:uiPriority w:val="99"/>
    <w:unhideWhenUsed/>
    <w:rsid w:val="00F028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F028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4997358">
      <w:bodyDiv w:val="1"/>
      <w:marLeft w:val="0"/>
      <w:marRight w:val="0"/>
      <w:marTop w:val="0"/>
      <w:marBottom w:val="0"/>
      <w:divBdr>
        <w:top w:val="none" w:sz="0" w:space="0" w:color="auto"/>
        <w:left w:val="none" w:sz="0" w:space="0" w:color="auto"/>
        <w:bottom w:val="none" w:sz="0" w:space="0" w:color="auto"/>
        <w:right w:val="none" w:sz="0" w:space="0" w:color="auto"/>
      </w:divBdr>
    </w:div>
    <w:div w:id="1825706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yperlink" Target="https://doi.org/10.1016/j.jfranklin.2019.01.046"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doi.org/10.55640/business/volume06issue07-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5</Pages>
  <Words>4182</Words>
  <Characters>23841</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qwert</cp:lastModifiedBy>
  <cp:revision>4</cp:revision>
  <dcterms:created xsi:type="dcterms:W3CDTF">2026-05-16T19:32:00Z</dcterms:created>
  <dcterms:modified xsi:type="dcterms:W3CDTF">2026-05-18T07:48:00Z</dcterms:modified>
</cp:coreProperties>
</file>