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DE" w:rsidRDefault="00DC2725" w:rsidP="00DC2725">
      <w:pPr>
        <w:jc w:val="center"/>
        <w:rPr>
          <w:rFonts w:ascii="Times New Roman" w:hAnsi="Times New Roman" w:cs="Times New Roman"/>
          <w:b/>
          <w:sz w:val="32"/>
          <w:szCs w:val="32"/>
        </w:rPr>
      </w:pPr>
      <w:r w:rsidRPr="008F34FA">
        <w:rPr>
          <w:rFonts w:ascii="Times New Roman" w:hAnsi="Times New Roman" w:cs="Times New Roman"/>
          <w:b/>
          <w:sz w:val="32"/>
          <w:szCs w:val="32"/>
        </w:rPr>
        <w:t>Private Security Governance in Kenya: Accountability Challenges and the Role of International Norms and Best Practices</w:t>
      </w:r>
    </w:p>
    <w:p w:rsidR="00DC2725" w:rsidRPr="008F34FA" w:rsidRDefault="00DC2725" w:rsidP="00DC2725">
      <w:pPr>
        <w:jc w:val="both"/>
        <w:rPr>
          <w:rFonts w:ascii="Times New Roman" w:hAnsi="Times New Roman" w:cs="Times New Roman"/>
          <w:b/>
          <w:sz w:val="32"/>
          <w:szCs w:val="32"/>
        </w:rPr>
      </w:pPr>
      <w:bookmarkStart w:id="0" w:name="_GoBack"/>
      <w:bookmarkEnd w:id="0"/>
    </w:p>
    <w:p w:rsidR="00DC2725" w:rsidRPr="00DC2725" w:rsidRDefault="00DC2725" w:rsidP="0088481E">
      <w:pPr>
        <w:spacing w:before="100" w:beforeAutospacing="1" w:after="100" w:afterAutospacing="1" w:line="240" w:lineRule="auto"/>
        <w:ind w:firstLine="0"/>
        <w:contextualSpacing/>
        <w:outlineLvl w:val="1"/>
        <w:rPr>
          <w:rFonts w:ascii="Times New Roman" w:eastAsia="Times New Roman" w:hAnsi="Times New Roman" w:cs="Times New Roman"/>
          <w:b/>
          <w:bCs/>
          <w:sz w:val="28"/>
          <w:szCs w:val="28"/>
        </w:rPr>
      </w:pPr>
      <w:r w:rsidRPr="00DC2725">
        <w:rPr>
          <w:rFonts w:ascii="Times New Roman" w:eastAsia="Times New Roman" w:hAnsi="Times New Roman" w:cs="Times New Roman"/>
          <w:b/>
          <w:bCs/>
          <w:sz w:val="28"/>
          <w:szCs w:val="28"/>
        </w:rPr>
        <w:t>Abstract</w:t>
      </w:r>
    </w:p>
    <w:p w:rsidR="00DC2725" w:rsidRPr="008F34FA" w:rsidRDefault="00DC2725" w:rsidP="0088481E">
      <w:pPr>
        <w:spacing w:before="100" w:beforeAutospacing="1" w:after="100" w:afterAutospacing="1" w:line="240" w:lineRule="auto"/>
        <w:ind w:firstLine="0"/>
        <w:contextualSpacing/>
        <w:jc w:val="both"/>
        <w:rPr>
          <w:rFonts w:ascii="Times New Roman" w:eastAsia="Times New Roman" w:hAnsi="Times New Roman" w:cs="Times New Roman"/>
          <w:sz w:val="24"/>
          <w:szCs w:val="24"/>
        </w:rPr>
      </w:pPr>
      <w:r w:rsidRPr="00DC2725">
        <w:rPr>
          <w:rFonts w:ascii="Times New Roman" w:eastAsia="Times New Roman" w:hAnsi="Times New Roman" w:cs="Times New Roman"/>
          <w:sz w:val="24"/>
          <w:szCs w:val="24"/>
        </w:rPr>
        <w:t xml:space="preserve">Kenya’s private security industry has experienced rapid growth, emerging as one of the largest in Africa and playing a pivotal role in supplementing state security functions. </w:t>
      </w:r>
      <w:r w:rsidR="00A32594">
        <w:rPr>
          <w:rFonts w:ascii="Times New Roman" w:eastAsia="Times New Roman" w:hAnsi="Times New Roman" w:cs="Times New Roman"/>
          <w:sz w:val="24"/>
          <w:szCs w:val="24"/>
        </w:rPr>
        <w:t>However</w:t>
      </w:r>
      <w:r w:rsidRPr="00DC2725">
        <w:rPr>
          <w:rFonts w:ascii="Times New Roman" w:eastAsia="Times New Roman" w:hAnsi="Times New Roman" w:cs="Times New Roman"/>
          <w:sz w:val="24"/>
          <w:szCs w:val="24"/>
        </w:rPr>
        <w:t>, this expansion has not been matched by effective governance and accountability mechanisms. Oversight remains fragmented, with overlapping mandates between regulatory agencies, weak enforcement capacity, and limited transparency. These accountability gaps raise pressing concerns about professionalism, human rights compliance, and the legitimacy of private security providers within Kenya’s broader security architecture.</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This study investigates the governance challenges confronting Kenya’s private security sector and evaluates the relevance of international norms and best practices as frameworks for reform. Methodologically, the research adopts a qualitative design, combining policy analysis, document review, and semi-structured interviews with regulators, private security firms, and civil society actors. Comparative case studies from South Africa and Nigeria provide a regional lens for situating Kenya’s experience within broader African trends.</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The analysis is grounded in governance and accountability theory, drawing on institutionalism and global norm diffusion to assess how international frameworks—specifically the Montreux Document (2008) and the International Code of Conduct for Private Security Providers (</w:t>
      </w:r>
      <w:proofErr w:type="spellStart"/>
      <w:r w:rsidRPr="00DC2725">
        <w:rPr>
          <w:rFonts w:ascii="Times New Roman" w:eastAsia="Times New Roman" w:hAnsi="Times New Roman" w:cs="Times New Roman"/>
          <w:sz w:val="24"/>
          <w:szCs w:val="24"/>
        </w:rPr>
        <w:t>ICoCA</w:t>
      </w:r>
      <w:proofErr w:type="spellEnd"/>
      <w:r w:rsidRPr="00DC2725">
        <w:rPr>
          <w:rFonts w:ascii="Times New Roman" w:eastAsia="Times New Roman" w:hAnsi="Times New Roman" w:cs="Times New Roman"/>
          <w:sz w:val="24"/>
          <w:szCs w:val="24"/>
        </w:rPr>
        <w:t>, 2010)—can inform domestic regulation. Findings reveal persistent accountability gaps in Kenya’s private security governance, including weak oversight by the Private Security Regulatory Authority (PSRA), inadequate coordination with public security agencies, and limited mechanisms for monitoring compliance with human rights standards. While international norms offer valuable guidance, Kenya’s adoption remains partial, constrained by institutional weaknesses and political inertia.</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The study concludes that integrating international norms and best practices into Kenya’s regulatory framework is essential for bridging accountability gaps and enhancing the legitimacy of private security governance. Strengthening institutional coordination, embedding human rights safeguards, and aligning domestic regulation with global standards would not only improve accountability but also position Kenya as a regional leader in private security governance.</w:t>
      </w:r>
    </w:p>
    <w:p w:rsidR="00DC2725" w:rsidRPr="008F34FA" w:rsidRDefault="00DC2725" w:rsidP="0088481E">
      <w:pPr>
        <w:pStyle w:val="NormalWeb"/>
        <w:contextualSpacing/>
        <w:rPr>
          <w:i/>
        </w:rPr>
      </w:pPr>
      <w:r w:rsidRPr="008F34FA">
        <w:rPr>
          <w:b/>
        </w:rPr>
        <w:t>Key Words</w:t>
      </w:r>
      <w:r w:rsidRPr="008F34FA">
        <w:t xml:space="preserve">:  </w:t>
      </w:r>
      <w:r w:rsidRPr="008F34FA">
        <w:rPr>
          <w:i/>
        </w:rPr>
        <w:t xml:space="preserve">Private Security </w:t>
      </w:r>
      <w:r w:rsidR="000C0C50" w:rsidRPr="008F34FA">
        <w:rPr>
          <w:i/>
        </w:rPr>
        <w:t>Governance, Accountability, Human</w:t>
      </w:r>
      <w:r w:rsidRPr="008F34FA">
        <w:rPr>
          <w:i/>
        </w:rPr>
        <w:t xml:space="preserve"> </w:t>
      </w:r>
      <w:r w:rsidR="000C0C50" w:rsidRPr="008F34FA">
        <w:rPr>
          <w:i/>
        </w:rPr>
        <w:t>Rights, International</w:t>
      </w:r>
      <w:r w:rsidRPr="008F34FA">
        <w:rPr>
          <w:i/>
        </w:rPr>
        <w:t xml:space="preserve"> </w:t>
      </w:r>
      <w:r w:rsidR="000C0C50" w:rsidRPr="008F34FA">
        <w:rPr>
          <w:i/>
        </w:rPr>
        <w:t>Norms</w:t>
      </w:r>
    </w:p>
    <w:p w:rsidR="0018330C" w:rsidRPr="0018330C" w:rsidRDefault="0018330C" w:rsidP="0018330C">
      <w:pPr>
        <w:spacing w:after="0" w:line="240" w:lineRule="auto"/>
        <w:contextualSpacing/>
        <w:jc w:val="both"/>
        <w:rPr>
          <w:rFonts w:ascii="Times New Roman" w:eastAsia="Times New Roman" w:hAnsi="Times New Roman" w:cs="Times New Roman"/>
          <w:sz w:val="24"/>
          <w:szCs w:val="24"/>
        </w:rPr>
      </w:pPr>
    </w:p>
    <w:p w:rsidR="0018330C" w:rsidRPr="0018330C" w:rsidRDefault="0018330C" w:rsidP="0018330C">
      <w:pPr>
        <w:spacing w:after="0" w:line="240" w:lineRule="auto"/>
        <w:contextualSpacing/>
        <w:jc w:val="both"/>
        <w:rPr>
          <w:rFonts w:ascii="Times New Roman" w:eastAsia="Times New Roman" w:hAnsi="Times New Roman" w:cs="Times New Roman"/>
          <w:sz w:val="24"/>
          <w:szCs w:val="24"/>
        </w:rPr>
      </w:pPr>
    </w:p>
    <w:p w:rsidR="0018330C" w:rsidRPr="0018330C" w:rsidRDefault="0018330C" w:rsidP="0018330C">
      <w:pPr>
        <w:spacing w:before="100" w:beforeAutospacing="1" w:after="100" w:afterAutospacing="1" w:line="240" w:lineRule="auto"/>
        <w:contextualSpacing/>
        <w:jc w:val="both"/>
        <w:outlineLvl w:val="2"/>
        <w:rPr>
          <w:rFonts w:ascii="Times New Roman" w:eastAsia="Times New Roman" w:hAnsi="Times New Roman" w:cs="Times New Roman"/>
          <w:b/>
          <w:bCs/>
          <w:sz w:val="27"/>
          <w:szCs w:val="27"/>
        </w:rPr>
      </w:pPr>
      <w:r w:rsidRPr="0018330C">
        <w:rPr>
          <w:rFonts w:ascii="Times New Roman" w:eastAsia="Times New Roman" w:hAnsi="Times New Roman" w:cs="Times New Roman"/>
          <w:b/>
          <w:bCs/>
          <w:sz w:val="27"/>
          <w:szCs w:val="27"/>
        </w:rPr>
        <w:t xml:space="preserve">Introduction </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The governance of private security has become a critical issue in contemporary security studies, particularly in states where rapid industry expansion has outpaced regulatory oversight. Kenya exemplifies this dynamic. With a workforce exceeding half a million, the sector supplements state security functions yet operates in a fragmented regulatory environment characterized by overlapping mandates, weak enforcement, and limited transparency (Abrahamsen &amp; Williams, 2011; Mkutu, 2020). These governance gaps undermine accountability and heighten risks of human rights violations, raising pressing concerns about professionalism and legitimacy within Kenya’s broader security architecture (Krahmann, 2017; Mutahi, 2021).</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 xml:space="preserve">The Private Security Regulatory Authority (PSRA), established to provide oversight, has struggled with institutional weakness, limited resources, and contested legitimacy. As a result, private security providers operate in conditions of regulatory ambiguity, creating opportunities for abuse and eroding public trust. These challenges have manifested in concrete violations: during the </w:t>
      </w:r>
      <w:r w:rsidRPr="0018330C">
        <w:rPr>
          <w:rFonts w:ascii="Times New Roman" w:eastAsia="Times New Roman" w:hAnsi="Times New Roman" w:cs="Times New Roman"/>
          <w:sz w:val="24"/>
          <w:szCs w:val="24"/>
        </w:rPr>
        <w:lastRenderedPageBreak/>
        <w:t>2024 “Gen Z” protests, contracted private actors were implicated in unlawful killings and arbitrary arrests, while civil society organizations documented enforced disappearances and extrajudicial executions linked to counterterrorism operations (Human Rights Watch, 2024; Amnesty International, 2023). Such incidents underscore the urgent need for stronger governance structures and effective accountability mechanisms to safeguard human rights.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At the international level, frameworks such as the Montreux Document (2008) and the International Code of Conduct for Private Security Providers (ICoCA, 2010) emphasize accountability, transparency, and rights protection, offering guidance for aligning domestic regulation with global best practices (Cockayne, 2016). Kenya’s partial engagement with these instruments provides an opportunity to assess how international norms can be localized to strengthen governance and accountability. Comparative experiences from South Africa and Nigeria further highlight the stakes: South Africa has pursued deliberate reforms to regulate its private security industry, while Nigeria has faced persistent allegations of collusion between private providers and state forces in suppressing community protests (Agbiboa, 2019; Berg &amp; Howell, 2017). These cases illustrate both the risks of weak oversight and the potential of international norms to reinforce accountability and human rights protections.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Against this backdrop, the study seeks to achieve several interrelated objectives. It examines the accountability challenges that undermine effective regulation of private security providers in Kenya and evaluates the role of the PSRA in addressing governance gaps and promoting oversight. It further assesses the applicability of international frameworks—most notably the Montreux Document and ICoCA—in strengthening accountability and embedding human rights safeguards within Kenya’s regulatory landscape. To enrich this analysis, the study draws comparative lessons from South Africa and Nigeria, situating Kenya’s experience within broader African debates on security governance. Ultimately, the research aims to propose actionable recommendations for aligning Kenya’s domestic regulation with international best practices, thereby enhancing accountability, safeguarding human rights, and positioning Kenya as a regional leader in private security governance.</w:t>
      </w:r>
    </w:p>
    <w:p w:rsidR="004930E4" w:rsidRPr="00BC09E7" w:rsidRDefault="004930E4" w:rsidP="004930E4">
      <w:pPr>
        <w:spacing w:before="100" w:beforeAutospacing="1" w:after="100" w:afterAutospacing="1" w:line="240" w:lineRule="auto"/>
        <w:contextualSpacing/>
        <w:jc w:val="both"/>
        <w:outlineLvl w:val="2"/>
        <w:rPr>
          <w:rFonts w:ascii="Times New Roman" w:eastAsia="Times New Roman" w:hAnsi="Times New Roman" w:cs="Times New Roman"/>
          <w:b/>
          <w:bCs/>
          <w:sz w:val="27"/>
          <w:szCs w:val="27"/>
        </w:rPr>
      </w:pPr>
      <w:r w:rsidRPr="00BC09E7">
        <w:rPr>
          <w:rFonts w:ascii="Times New Roman" w:eastAsia="Times New Roman" w:hAnsi="Times New Roman" w:cs="Times New Roman"/>
          <w:b/>
          <w:bCs/>
          <w:sz w:val="27"/>
          <w:szCs w:val="27"/>
        </w:rPr>
        <w:t xml:space="preserve">Literature Review </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The privatization of security has reconfigured state authority and introduced complex governance challenges, particularly in contexts where regulatory frameworks remain weak (Avant, 2005; Abrahamsen &amp; Williams, 2011). Across Africa, the rapid expansion of private security industries has been driven by urbanization, rising crime, and overstretched state institutions, yet oversight mechanisms have lagged behind (Mkutu, 2020). This governance deficit has created conditions where accountability is fragile and human rights protections are precarious. Krahmann (2017) underscores how fragmented mandates and limited institutional capacity undermine effective regulation, while Mutahi (2021) highlights the persistence of institutional constraints in Kenya’s oversight structures.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Comparative scholarship demonstrates that these challenges are not unique to Kenya but reflect broader regional struggles. In Nigeria, private security providers have colluded with state forces to suppress community protests, raising questions about legitimacy and accountability (Agbiboa, 2019). In the Democratic Republic of Congo, companies guarding mining operations have been implicated in intimidation and excessive force, illustrating the dangers of unregulated private security in fragile governance contexts (Global Witness, 2020). South Africa, by contrast, has pursued more deliberate reforms to regulate its private security industry, though enforcement and compliance remain uneven (Berg &amp; Howell, 2017). These cases highlight how governance failures translate into accountability deficits and human rights risks, reinforcing the need for robust oversight frameworks across the continent.</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 xml:space="preserve">International norms have been advanced as corrective instruments to address these governance and accountability gaps. The Montreux Document (2008) and the International Code of Conduct for Private Security Providers (ICoCA, 2010) emphasize transparency, accountability, and </w:t>
      </w:r>
      <w:r w:rsidRPr="0018330C">
        <w:rPr>
          <w:rFonts w:ascii="Times New Roman" w:eastAsia="Times New Roman" w:hAnsi="Times New Roman" w:cs="Times New Roman"/>
          <w:sz w:val="24"/>
          <w:szCs w:val="24"/>
        </w:rPr>
        <w:lastRenderedPageBreak/>
        <w:t>rights protection, offering states guidance for aligning domestic regulation with global standards (Cockayne, 2016). While voluntary, these frameworks represent significant attempts to establish normative benchmarks for private security governance. Kenya’s partial engagement demonstrates both the promise and limitations of norm diffusion: global frameworks provide a blueprint for reform, but their localization requires political will, institutional capacity, and stakeholder buy-in (Mutahi, 2021).</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rPr>
      </w:pPr>
      <w:r w:rsidRPr="0018330C">
        <w:rPr>
          <w:rFonts w:ascii="Times New Roman" w:eastAsia="Times New Roman" w:hAnsi="Times New Roman" w:cs="Times New Roman"/>
          <w:sz w:val="24"/>
          <w:szCs w:val="24"/>
        </w:rPr>
        <w:t>Taken together, the literature converges on three critical insights. First, governance deficits weaken oversight and create regulatory ambiguity. Second, accountability failures enable abuses that erode legitimacy and public trust. Third, human rights risks are intrinsic to weakly regulated private security sectors, underscoring the importance of embedding international norms into domestic frameworks. Kenya’s case remains underexplored in this regard, particularly in terms of how global standards might be adapted to strengthen accountability and reinforce governance. By situating Kenya’s experience within comparative African contexts, this study seeks to fill that gap and assess the potential of international norms to safeguard rights and enhance regulatory legitimacy.</w:t>
      </w:r>
    </w:p>
    <w:p w:rsidR="001C56D3" w:rsidRPr="001C56D3" w:rsidRDefault="001C56D3" w:rsidP="001C56D3">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1C56D3">
        <w:rPr>
          <w:rFonts w:ascii="Times New Roman" w:eastAsia="Times New Roman" w:hAnsi="Times New Roman" w:cs="Times New Roman"/>
          <w:b/>
          <w:bCs/>
          <w:sz w:val="28"/>
          <w:szCs w:val="28"/>
        </w:rPr>
        <w:t>Theoretical Framework</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sz w:val="24"/>
          <w:szCs w:val="24"/>
        </w:rPr>
        <w:t xml:space="preserve">This study is anchored in two complementary theoretical lenses: </w:t>
      </w:r>
      <w:r w:rsidRPr="001C56D3">
        <w:rPr>
          <w:rFonts w:ascii="Times New Roman" w:eastAsia="Times New Roman" w:hAnsi="Times New Roman" w:cs="Times New Roman"/>
          <w:bCs/>
          <w:sz w:val="24"/>
          <w:szCs w:val="24"/>
        </w:rPr>
        <w:t>accountability theory</w:t>
      </w:r>
      <w:r w:rsidRPr="001C56D3">
        <w:rPr>
          <w:rFonts w:ascii="Times New Roman" w:eastAsia="Times New Roman" w:hAnsi="Times New Roman" w:cs="Times New Roman"/>
          <w:sz w:val="24"/>
          <w:szCs w:val="24"/>
        </w:rPr>
        <w:t xml:space="preserve"> and </w:t>
      </w:r>
      <w:r w:rsidRPr="001C56D3">
        <w:rPr>
          <w:rFonts w:ascii="Times New Roman" w:eastAsia="Times New Roman" w:hAnsi="Times New Roman" w:cs="Times New Roman"/>
          <w:bCs/>
          <w:sz w:val="24"/>
          <w:szCs w:val="24"/>
        </w:rPr>
        <w:t>norm diffusion theory</w:t>
      </w:r>
      <w:r w:rsidRPr="001C56D3">
        <w:rPr>
          <w:rFonts w:ascii="Times New Roman" w:eastAsia="Times New Roman" w:hAnsi="Times New Roman" w:cs="Times New Roman"/>
          <w:sz w:val="24"/>
          <w:szCs w:val="24"/>
        </w:rPr>
        <w:t>. Together, they provide a robust framework for interrogating the governance of private security in Kenya and situating it within broader comparative debates in international security.</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bCs/>
          <w:sz w:val="24"/>
          <w:szCs w:val="24"/>
        </w:rPr>
        <w:t>Accountability theory</w:t>
      </w:r>
      <w:r w:rsidRPr="001C56D3">
        <w:rPr>
          <w:rFonts w:ascii="Times New Roman" w:eastAsia="Times New Roman" w:hAnsi="Times New Roman" w:cs="Times New Roman"/>
          <w:sz w:val="24"/>
          <w:szCs w:val="24"/>
        </w:rPr>
        <w:t xml:space="preserve"> emphasizes the mechanisms through which actors are held responsible for their actions, particularly in contexts where authority is delegated and oversight is fragmented. In the case of private security, accountability involves not only compliance with domestic regulation but also adherence to professional standards and respect for human rights. Scholars argue that accountability requires clear institutional mandates, transparency in operations, and effective enforcement mechanisms to ensure that private actors do not undermine public trust or democratic governance (Krahmann, 2017). Applied to Kenya, this lens highlights how weak oversight, overlapping mandates, and limited enforcement capacity create accountability deficits that compromise the legitimacy of private security providers. The persistence of abuses—such as excessive use of force during protests, arbitrary arrests, and collusion with state agencies in counterterrorism operations—illustrates how accountability gaps translate into tangible human rights violations and erode public confidence in both private and state security institutions.</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bCs/>
          <w:sz w:val="24"/>
          <w:szCs w:val="24"/>
        </w:rPr>
        <w:t>Norm diffusion theory</w:t>
      </w:r>
      <w:r w:rsidRPr="001C56D3">
        <w:rPr>
          <w:rFonts w:ascii="Times New Roman" w:eastAsia="Times New Roman" w:hAnsi="Times New Roman" w:cs="Times New Roman"/>
          <w:sz w:val="24"/>
          <w:szCs w:val="24"/>
        </w:rPr>
        <w:t xml:space="preserve"> complements this analysis by explaining how international standards and practices are transmitted across borders and embedded within domestic governance structures. Norm diffusion emphasizes the processes through which global frameworks—such as the Montreux Document (2008) and the International Code of Conduct for Private Security Providers (ICoCA, 2010)—gain traction within national contexts. These norms establish expectations of accountability, transparency, and human rights compliance, but their adoption depends on domestic institutional capacity, political will, and the alignment of local interests with international standards (Finnemore &amp; Sikkink, 1998). In Kenya, partial engagement with these frameworks illustrates both the opportunities and challenges of norm diffusion. While international norms provide guidance, their localization requires adaptation to Kenya’s regulatory environment and socio-political realities, including resource constraints, contested legitimacy of oversight bodies, and resistance from entrenched industry actors.</w:t>
      </w:r>
    </w:p>
    <w:p w:rsidR="001C56D3" w:rsidRPr="001C56D3" w:rsidRDefault="001C56D3" w:rsidP="00405627">
      <w:pPr>
        <w:spacing w:before="100" w:beforeAutospacing="1" w:after="100" w:afterAutospacing="1" w:line="240" w:lineRule="auto"/>
        <w:contextualSpacing/>
        <w:jc w:val="both"/>
      </w:pPr>
      <w:r w:rsidRPr="001C56D3">
        <w:rPr>
          <w:rFonts w:ascii="Times New Roman" w:eastAsia="Times New Roman" w:hAnsi="Times New Roman" w:cs="Times New Roman"/>
          <w:sz w:val="24"/>
          <w:szCs w:val="24"/>
        </w:rPr>
        <w:t xml:space="preserve">By integrating accountability theory and norm diffusion, this conceptual framework provides a dual lens for analyzing Kenya’s private security governance. Accountability theory foregrounds the institutional weaknesses and oversight challenges that undermine effective regulation, while norm diffusion highlights the relevance of international standards and the pathways through which they can shape domestic governance. Together, these perspectives enable a comprehensive analysis of how Kenya can strengthen accountability in its private security sector by aligning domestic regulation with global best practices. This framework also situates Kenya within broader </w:t>
      </w:r>
      <w:r w:rsidRPr="001C56D3">
        <w:rPr>
          <w:rFonts w:ascii="Times New Roman" w:eastAsia="Times New Roman" w:hAnsi="Times New Roman" w:cs="Times New Roman"/>
          <w:sz w:val="24"/>
          <w:szCs w:val="24"/>
        </w:rPr>
        <w:lastRenderedPageBreak/>
        <w:t>comparative debates, demonstrating how local governance challenges intersect with international normative pressures in shaping security governance in Africa.</w:t>
      </w:r>
    </w:p>
    <w:p w:rsidR="00566E29" w:rsidRDefault="00566E29" w:rsidP="0088481E">
      <w:pPr>
        <w:spacing w:before="100" w:beforeAutospacing="1" w:after="100" w:afterAutospacing="1" w:line="240" w:lineRule="auto"/>
        <w:contextualSpacing/>
        <w:jc w:val="both"/>
        <w:rPr>
          <w:rFonts w:ascii="Times New Roman" w:eastAsia="Times New Roman" w:hAnsi="Times New Roman" w:cs="Times New Roman"/>
          <w:b/>
          <w:sz w:val="28"/>
          <w:szCs w:val="28"/>
        </w:rPr>
      </w:pPr>
      <w:r w:rsidRPr="008F34FA">
        <w:rPr>
          <w:rFonts w:ascii="Times New Roman" w:eastAsia="Times New Roman" w:hAnsi="Times New Roman" w:cs="Times New Roman"/>
          <w:b/>
          <w:sz w:val="28"/>
          <w:szCs w:val="28"/>
        </w:rPr>
        <w:t>Conceptual Framework</w:t>
      </w:r>
    </w:p>
    <w:p w:rsidR="00766B58" w:rsidRPr="00766B58" w:rsidRDefault="00766B58" w:rsidP="00766B58">
      <w:pPr>
        <w:spacing w:before="100" w:beforeAutospacing="1" w:after="100" w:afterAutospacing="1" w:line="240" w:lineRule="auto"/>
        <w:contextualSpacing/>
        <w:jc w:val="both"/>
        <w:rPr>
          <w:rFonts w:ascii="Times New Roman" w:eastAsia="Times New Roman" w:hAnsi="Times New Roman" w:cs="Times New Roman"/>
          <w:sz w:val="24"/>
          <w:szCs w:val="24"/>
        </w:rPr>
      </w:pPr>
      <w:r w:rsidRPr="00766B58">
        <w:rPr>
          <w:rFonts w:ascii="Times New Roman" w:eastAsia="Times New Roman" w:hAnsi="Times New Roman" w:cs="Times New Roman"/>
          <w:sz w:val="24"/>
          <w:szCs w:val="24"/>
        </w:rPr>
        <w:t xml:space="preserve">This study conceptualizes Kenya’s private security governance through a </w:t>
      </w:r>
      <w:r w:rsidRPr="00766B58">
        <w:rPr>
          <w:rFonts w:ascii="Times New Roman" w:eastAsia="Times New Roman" w:hAnsi="Times New Roman" w:cs="Times New Roman"/>
          <w:bCs/>
          <w:sz w:val="24"/>
          <w:szCs w:val="24"/>
        </w:rPr>
        <w:t>triangular model</w:t>
      </w:r>
      <w:r w:rsidRPr="00766B58">
        <w:rPr>
          <w:rFonts w:ascii="Times New Roman" w:eastAsia="Times New Roman" w:hAnsi="Times New Roman" w:cs="Times New Roman"/>
          <w:sz w:val="24"/>
          <w:szCs w:val="24"/>
        </w:rPr>
        <w:t xml:space="preserve"> that integrates three interconnected dimensions: </w:t>
      </w:r>
      <w:r w:rsidRPr="00766B58">
        <w:rPr>
          <w:rFonts w:ascii="Times New Roman" w:eastAsia="Times New Roman" w:hAnsi="Times New Roman" w:cs="Times New Roman"/>
          <w:bCs/>
          <w:sz w:val="24"/>
          <w:szCs w:val="24"/>
        </w:rPr>
        <w:t>domestic accountability mechanisms, international normative frameworks, and comparative regional experiences</w:t>
      </w:r>
      <w:r w:rsidRPr="00766B58">
        <w:rPr>
          <w:rFonts w:ascii="Times New Roman" w:eastAsia="Times New Roman" w:hAnsi="Times New Roman" w:cs="Times New Roman"/>
          <w:sz w:val="24"/>
          <w:szCs w:val="24"/>
        </w:rPr>
        <w:t>. Together, these dimensions provide the analytical lens through which governance outcomes are assessed.</w:t>
      </w:r>
    </w:p>
    <w:p w:rsidR="00766B58" w:rsidRPr="00766B58" w:rsidRDefault="00766B58" w:rsidP="0088481E">
      <w:pPr>
        <w:spacing w:before="100" w:beforeAutospacing="1" w:after="100" w:afterAutospacing="1" w:line="240" w:lineRule="auto"/>
        <w:contextualSpacing/>
        <w:jc w:val="both"/>
        <w:rPr>
          <w:rFonts w:ascii="Times New Roman" w:eastAsia="Times New Roman" w:hAnsi="Times New Roman" w:cs="Times New Roman"/>
          <w:sz w:val="28"/>
          <w:szCs w:val="28"/>
        </w:rPr>
      </w:pPr>
    </w:p>
    <w:p w:rsidR="005C749D" w:rsidRPr="008F34FA" w:rsidRDefault="009255D3" w:rsidP="0088481E">
      <w:pPr>
        <w:spacing w:after="0" w:line="240" w:lineRule="auto"/>
        <w:contextualSpacing/>
        <w:jc w:val="center"/>
        <w:rPr>
          <w:rFonts w:ascii="Times New Roman" w:eastAsia="Times New Roman" w:hAnsi="Times New Roman" w:cs="Times New Roman"/>
          <w:sz w:val="24"/>
          <w:szCs w:val="24"/>
        </w:rPr>
      </w:pPr>
      <w:r w:rsidRPr="008F34FA">
        <w:rPr>
          <w:rFonts w:ascii="Times New Roman" w:eastAsia="Times New Roman" w:hAnsi="Times New Roman" w:cs="Times New Roman"/>
          <w:noProof/>
          <w:sz w:val="24"/>
          <w:szCs w:val="24"/>
          <w:lang w:val="en-IN" w:eastAsia="en-IN"/>
        </w:rPr>
        <w:drawing>
          <wp:inline distT="0" distB="0" distL="0" distR="0" wp14:anchorId="7D7B131B">
            <wp:extent cx="5116195" cy="341079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7255" cy="3411504"/>
                    </a:xfrm>
                    <a:prstGeom prst="rect">
                      <a:avLst/>
                    </a:prstGeom>
                    <a:noFill/>
                  </pic:spPr>
                </pic:pic>
              </a:graphicData>
            </a:graphic>
          </wp:inline>
        </w:drawing>
      </w:r>
    </w:p>
    <w:p w:rsidR="00405627" w:rsidRPr="00405627" w:rsidRDefault="00405627" w:rsidP="00B70E81">
      <w:pPr>
        <w:spacing w:before="100" w:beforeAutospacing="1" w:after="100" w:afterAutospacing="1" w:line="240" w:lineRule="auto"/>
        <w:ind w:firstLine="0"/>
        <w:jc w:val="both"/>
        <w:rPr>
          <w:rFonts w:ascii="Times New Roman" w:eastAsia="Times New Roman" w:hAnsi="Times New Roman" w:cs="Times New Roman"/>
          <w:sz w:val="24"/>
          <w:szCs w:val="24"/>
        </w:rPr>
      </w:pPr>
      <w:r w:rsidRPr="00405627">
        <w:rPr>
          <w:rFonts w:ascii="Times New Roman" w:eastAsia="Times New Roman" w:hAnsi="Times New Roman" w:cs="Times New Roman"/>
          <w:b/>
          <w:i/>
          <w:iCs/>
          <w:sz w:val="24"/>
          <w:szCs w:val="24"/>
        </w:rPr>
        <w:t>Figure 1.</w:t>
      </w:r>
      <w:r w:rsidRPr="00405627">
        <w:rPr>
          <w:rFonts w:ascii="Times New Roman" w:eastAsia="Times New Roman" w:hAnsi="Times New Roman" w:cs="Times New Roman"/>
          <w:i/>
          <w:iCs/>
          <w:sz w:val="24"/>
          <w:szCs w:val="24"/>
        </w:rPr>
        <w:t xml:space="preserve"> Conceptual framework of private security governance in Kenya, illustrating the interaction between domestic accountability mechanisms, international normative frameworks, and comparative regional experiences. The model integrates accountability theory and norm diffusion to explain how local institutional weaknesses intersect with global normative pressures and regional lessons to shape governance outcomes.</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 xml:space="preserve">At the </w:t>
      </w:r>
      <w:r w:rsidRPr="00405627">
        <w:rPr>
          <w:rFonts w:ascii="Times New Roman" w:eastAsia="Times New Roman" w:hAnsi="Times New Roman" w:cs="Times New Roman"/>
          <w:bCs/>
          <w:sz w:val="24"/>
          <w:szCs w:val="24"/>
        </w:rPr>
        <w:t>international level</w:t>
      </w:r>
      <w:r w:rsidRPr="00405627">
        <w:rPr>
          <w:rFonts w:ascii="Times New Roman" w:eastAsia="Times New Roman" w:hAnsi="Times New Roman" w:cs="Times New Roman"/>
          <w:sz w:val="24"/>
          <w:szCs w:val="24"/>
        </w:rPr>
        <w:t>, norm diffusion explains how global standards, particularly the Montreux Document (2008) and the International Code of Conduct for Private Security Providers (ICoCA, 2010), exert pressure on states to adopt accountability, transparency, and human rights safeguards. These norms form the second node of the framework. Their influence depends on Kenya’s institutional capacity, political will, and the ability to embed international standards within domestic regulation (Finnemore &amp; Sikkink, 1998). Partial engagement with these frameworks demonstrates both the opportunities for reform and the challenges of localization, as global norms must be adapted to Kenya’s socio-political realities.</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 xml:space="preserve">The </w:t>
      </w:r>
      <w:r w:rsidRPr="00405627">
        <w:rPr>
          <w:rFonts w:ascii="Times New Roman" w:eastAsia="Times New Roman" w:hAnsi="Times New Roman" w:cs="Times New Roman"/>
          <w:bCs/>
          <w:sz w:val="24"/>
          <w:szCs w:val="24"/>
        </w:rPr>
        <w:t>regional comparative dimension</w:t>
      </w:r>
      <w:r w:rsidRPr="00405627">
        <w:rPr>
          <w:rFonts w:ascii="Times New Roman" w:eastAsia="Times New Roman" w:hAnsi="Times New Roman" w:cs="Times New Roman"/>
          <w:sz w:val="24"/>
          <w:szCs w:val="24"/>
        </w:rPr>
        <w:t xml:space="preserve"> constitutes the third node. Experiences from South Africa and Nigeria illustrate how African states have responded differently to the challenges of private security governance. South Africa’s relatively stronger regulatory institutions demonstrate the potential of accountability mechanisms, while Nigeria’s weaker frameworks highlight risks of parallel security structures and human rights abuses (Berg &amp; Howell, 2017; Agbiboa, 2019). These cases provide lessons for Kenya, reinforcing the importance of adapting international norms to local realities and situating Kenya’s reform trajectory within a broader African policy environment.</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lastRenderedPageBreak/>
        <w:t>The arrows connecting these three nodes represent the dynamic interplay between theory and practice. Domestic accountability mechanisms are influenced by international norms, while comparative experiences provide contextual lessons that inform reform. Conversely, weak domestic accountability can hinder the effective diffusion of international norms, while successful regional models can accelerate adoption. The framework thus illustrates a feedback loop: accountability deficits drive the need for international guidance, while norm diffusion and comparative lessons provide pathways for reform.</w:t>
      </w:r>
    </w:p>
    <w:p w:rsidR="00B70E81"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In sum, the conceptual framework positions Kenya’s private security governance at the intersection of accountability theory (domestic oversight and legitimacy) and norm diffusion (international standards and regional adaptation). This dual lens enables a comprehensive analysis of how Kenya can strengthen accountability by aligning domestic regulation with global best practices, while learning from regional experiences to ensure reforms are contextually grounded.</w:t>
      </w:r>
      <w:r>
        <w:rPr>
          <w:rFonts w:ascii="Times New Roman" w:eastAsia="Times New Roman" w:hAnsi="Times New Roman" w:cs="Times New Roman"/>
          <w:sz w:val="24"/>
          <w:szCs w:val="24"/>
        </w:rPr>
        <w:t xml:space="preserve"> </w:t>
      </w:r>
    </w:p>
    <w:p w:rsidR="00405627" w:rsidRPr="00C9298B"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C9298B">
        <w:rPr>
          <w:rFonts w:ascii="Times New Roman" w:eastAsia="Times New Roman" w:hAnsi="Times New Roman" w:cs="Times New Roman"/>
          <w:sz w:val="24"/>
          <w:szCs w:val="24"/>
        </w:rPr>
        <w:t>Building on this conceptual framework, the study’s methodology operationalizes these theoretical lenses by employing qualitative approaches—policy analysis, document review, and semi</w:t>
      </w:r>
      <w:r w:rsidRPr="00C9298B">
        <w:rPr>
          <w:rFonts w:ascii="Times New Roman" w:eastAsia="Times New Roman" w:hAnsi="Times New Roman" w:cs="Times New Roman"/>
          <w:sz w:val="24"/>
          <w:szCs w:val="24"/>
        </w:rPr>
        <w:noBreakHyphen/>
        <w:t>structured interviews—supplemented by comparative case studies from South Africa and Nigeria. This design ensures that theoretical insights are systematically connected to empirical investigation, allowing the study to bridge conceptual debates with practical policy relevance.</w:t>
      </w:r>
    </w:p>
    <w:p w:rsidR="00E25538"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Methodology</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Building on the governance, accountability, and human rights challenges identified in the literature, this study adopts a qualitative research design to interrogate Kenya’s private security governance and evaluate the relevance of international norms as frameworks for reform. A qualitative approach is particularly suited to unpacking complex institutional dynamics, regulatory frameworks, and normative influences, as it allows for in</w:t>
      </w:r>
      <w:r w:rsidRPr="00080522">
        <w:rPr>
          <w:rFonts w:ascii="Times New Roman" w:eastAsia="Times New Roman" w:hAnsi="Times New Roman" w:cs="Times New Roman"/>
          <w:sz w:val="24"/>
          <w:szCs w:val="24"/>
        </w:rPr>
        <w:noBreakHyphen/>
        <w:t>depth exploration of processes, perceptions, and contextual realities that cannot be adequately captured through quantitative measures (Creswell &amp; Poth, 2018).</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 xml:space="preserve">The research design integrates three complementary strategies: </w:t>
      </w:r>
      <w:r w:rsidRPr="00080522">
        <w:rPr>
          <w:rFonts w:ascii="Times New Roman" w:eastAsia="Times New Roman" w:hAnsi="Times New Roman" w:cs="Times New Roman"/>
          <w:b/>
          <w:bCs/>
          <w:sz w:val="24"/>
          <w:szCs w:val="24"/>
        </w:rPr>
        <w:t>policy analysis, document review, and semi</w:t>
      </w:r>
      <w:r w:rsidRPr="00080522">
        <w:rPr>
          <w:rFonts w:ascii="Times New Roman" w:eastAsia="Times New Roman" w:hAnsi="Times New Roman" w:cs="Times New Roman"/>
          <w:b/>
          <w:bCs/>
          <w:sz w:val="24"/>
          <w:szCs w:val="24"/>
        </w:rPr>
        <w:noBreakHyphen/>
        <w:t>structured interviews</w:t>
      </w:r>
      <w:r w:rsidRPr="00080522">
        <w:rPr>
          <w:rFonts w:ascii="Times New Roman" w:eastAsia="Times New Roman" w:hAnsi="Times New Roman" w:cs="Times New Roman"/>
          <w:sz w:val="24"/>
          <w:szCs w:val="24"/>
        </w:rPr>
        <w:t>. Policy analysis enables systematic examination of Kenya’s regulatory instruments, including the Private Security Regulation Act and the operational mandate of the Private Security Regulatory Authority (PSRA), to assess their effectiveness in promoting accountability and safeguarding rights. Document review supplements this analysis by drawing on government reports, parliamentary debates, civil society publications, and industry guidelines, thereby providing a comprehensive picture of the regulatory environment (Bowen, 2009). Semi</w:t>
      </w:r>
      <w:r w:rsidRPr="00080522">
        <w:rPr>
          <w:rFonts w:ascii="Times New Roman" w:eastAsia="Times New Roman" w:hAnsi="Times New Roman" w:cs="Times New Roman"/>
          <w:sz w:val="24"/>
          <w:szCs w:val="24"/>
        </w:rPr>
        <w:noBreakHyphen/>
        <w:t>structured interviews with key stakeholders—including regulators, private security firms, and civil society actors—offer firsthand insights into accountability challenges, institutional practices, and perceptions of international norms (Kvale &amp; Brinkmann, 2015).</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 xml:space="preserve">To situate Kenya’s experience within a broader African context, the study employs </w:t>
      </w:r>
      <w:r w:rsidRPr="00080522">
        <w:rPr>
          <w:rFonts w:ascii="Times New Roman" w:eastAsia="Times New Roman" w:hAnsi="Times New Roman" w:cs="Times New Roman"/>
          <w:b/>
          <w:bCs/>
          <w:sz w:val="24"/>
          <w:szCs w:val="24"/>
        </w:rPr>
        <w:t>comparative case studies of South Africa and Nigeria</w:t>
      </w:r>
      <w:r w:rsidRPr="00080522">
        <w:rPr>
          <w:rFonts w:ascii="Times New Roman" w:eastAsia="Times New Roman" w:hAnsi="Times New Roman" w:cs="Times New Roman"/>
          <w:sz w:val="24"/>
          <w:szCs w:val="24"/>
        </w:rPr>
        <w:t>. South Africa represents one of the most advanced regulatory environments for private security in Africa, with licensing regimes, training standards, and oversight mechanisms that provide a useful benchmark for accountability (Buur, 2015). Nigeria, by contrast, illustrates the risks of weak regulation, where private security firms often operate in parallel to state agencies with limited oversight and accountability (Hills, 2000). These contrasting trajectories enrich the analysis by highlighting both the opportunities and constraints of embedding international norms into domestic governance structures.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Data collection</w:t>
      </w:r>
      <w:r w:rsidRPr="00080522">
        <w:rPr>
          <w:rFonts w:ascii="Times New Roman" w:eastAsia="Times New Roman" w:hAnsi="Times New Roman" w:cs="Times New Roman"/>
          <w:sz w:val="24"/>
          <w:szCs w:val="24"/>
        </w:rPr>
        <w:t xml:space="preserve"> proceeded in three stages. First, policy and legislative documents were systematically reviewed to identify accountability provisions and regulatory gaps. Second, secondary sources—including academic literature, civil society reports, and international guidelines—were analyzed to trace the diffusion of global norms into Kenya’s governance structures (Abrahamsen &amp; Williams, 2011; Cockayne, 2016). Third, semi</w:t>
      </w:r>
      <w:r w:rsidRPr="00080522">
        <w:rPr>
          <w:rFonts w:ascii="Times New Roman" w:eastAsia="Times New Roman" w:hAnsi="Times New Roman" w:cs="Times New Roman"/>
          <w:sz w:val="24"/>
          <w:szCs w:val="24"/>
        </w:rPr>
        <w:noBreakHyphen/>
        <w:t>structured interviews were conducted with a purposive sample of stakeholders, ensuring representation from regulatory authorities, private security providers, and advocacy organizations. Interviews were guided by open</w:t>
      </w:r>
      <w:r w:rsidRPr="00080522">
        <w:rPr>
          <w:rFonts w:ascii="Times New Roman" w:eastAsia="Times New Roman" w:hAnsi="Times New Roman" w:cs="Times New Roman"/>
          <w:sz w:val="24"/>
          <w:szCs w:val="24"/>
        </w:rPr>
        <w:noBreakHyphen/>
        <w:t xml:space="preserve">ended questions </w:t>
      </w:r>
      <w:r w:rsidRPr="00080522">
        <w:rPr>
          <w:rFonts w:ascii="Times New Roman" w:eastAsia="Times New Roman" w:hAnsi="Times New Roman" w:cs="Times New Roman"/>
          <w:sz w:val="24"/>
          <w:szCs w:val="24"/>
        </w:rPr>
        <w:lastRenderedPageBreak/>
        <w:t>aligned with the study’s objectives, allowing participants to elaborate on institutional challenges, normative influences, and reform prospects.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Data analysis</w:t>
      </w:r>
      <w:r w:rsidRPr="00080522">
        <w:rPr>
          <w:rFonts w:ascii="Times New Roman" w:eastAsia="Times New Roman" w:hAnsi="Times New Roman" w:cs="Times New Roman"/>
          <w:sz w:val="24"/>
          <w:szCs w:val="24"/>
        </w:rPr>
        <w:t xml:space="preserve"> followed a thematic approach, guided by the conceptual framework. Accountability theory provided categories for examining oversight mechanisms, enforcement capacity, and legitimacy (Krahmann, 2017), while norm diffusion informed analysis of how international standards are localized within Kenya’s regulatory environment (Finnemore &amp; Sikkink, 1998). Comparative insights from South Africa and Nigeria were used to triangulate findings, highlighting similarities, divergences, and lessons for Kenya. Coding was conducted manually, with themes iteratively refined to ensure alignment with the research questions and objectives.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Ethical integrity</w:t>
      </w:r>
      <w:r w:rsidRPr="00080522">
        <w:rPr>
          <w:rFonts w:ascii="Times New Roman" w:eastAsia="Times New Roman" w:hAnsi="Times New Roman" w:cs="Times New Roman"/>
          <w:sz w:val="24"/>
          <w:szCs w:val="24"/>
        </w:rPr>
        <w:t xml:space="preserve"> was maintained throughout the research process. Informed consent was obtained from all interview participants, and confidentiality was assured by anonymizing responses. The study adhered to institutional ethical guidelines, ensuring that data collection and analysis respected participants’ rights and minimized potential risks (Israel &amp; Hay, 2006).</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b/>
          <w:bCs/>
          <w:sz w:val="24"/>
          <w:szCs w:val="24"/>
        </w:rPr>
        <w:t>Methodological limitations</w:t>
      </w:r>
      <w:r w:rsidRPr="00080522">
        <w:rPr>
          <w:rFonts w:ascii="Times New Roman" w:eastAsia="Times New Roman" w:hAnsi="Times New Roman" w:cs="Times New Roman"/>
          <w:sz w:val="24"/>
          <w:szCs w:val="24"/>
        </w:rPr>
        <w:t xml:space="preserve"> must also be acknowledged. Reliance on qualitative methods means that findings are interpretive rather than statistically generalizable (Creswell &amp; Poth, 2018). Access to data was constrained by the sensitivity of security issues and the restricted availability of official records, necessitating reliance on secondary sources and stakeholder perspectives, which may introduce bias despite efforts at triangulation. The comparative case studies of South Africa and Nigeria, while illustrative, cannot capture the full diversity of private security governance across Africa. Finally, interviews were conducted with a purposive sample of stakeholders, which, although appropriate for qualitative inquiry, may not encompass the full range of perspectives within the sector.</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rPr>
      </w:pPr>
      <w:r w:rsidRPr="00080522">
        <w:rPr>
          <w:rFonts w:ascii="Times New Roman" w:eastAsia="Times New Roman" w:hAnsi="Times New Roman" w:cs="Times New Roman"/>
          <w:sz w:val="24"/>
          <w:szCs w:val="24"/>
        </w:rPr>
        <w:t>Despite these limitations, the study mitigated potential weaknesses through triangulation of multiple data sources, careful thematic coding, and adherence to ethical standards. The findings should therefore be understood as analytically robust within the scope of the research design, while also pointing to areas for further empirical investigation.</w:t>
      </w:r>
    </w:p>
    <w:p w:rsidR="00080522" w:rsidRPr="00080522" w:rsidRDefault="00080522" w:rsidP="00080522">
      <w:pPr>
        <w:contextualSpacing/>
        <w:jc w:val="both"/>
      </w:pP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8F34FA">
        <w:rPr>
          <w:rFonts w:ascii="Times New Roman" w:eastAsia="Times New Roman" w:hAnsi="Times New Roman" w:cs="Times New Roman"/>
          <w:b/>
          <w:bCs/>
          <w:sz w:val="28"/>
          <w:szCs w:val="28"/>
        </w:rPr>
        <w:t>Case Study Analysis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Kenya’s private security sector has expanded rapidly, with personnel now outnumbering state police forces by a significant margin (</w:t>
      </w:r>
      <w:proofErr w:type="spellStart"/>
      <w:r w:rsidRPr="008F34FA">
        <w:rPr>
          <w:rFonts w:ascii="Times New Roman" w:eastAsia="Times New Roman" w:hAnsi="Times New Roman" w:cs="Times New Roman"/>
          <w:sz w:val="24"/>
          <w:szCs w:val="24"/>
        </w:rPr>
        <w:t>Mkutu</w:t>
      </w:r>
      <w:proofErr w:type="spellEnd"/>
      <w:r w:rsidRPr="008F34FA">
        <w:rPr>
          <w:rFonts w:ascii="Times New Roman" w:eastAsia="Times New Roman" w:hAnsi="Times New Roman" w:cs="Times New Roman"/>
          <w:sz w:val="24"/>
          <w:szCs w:val="24"/>
        </w:rPr>
        <w:t xml:space="preserve">, 2020). The </w:t>
      </w:r>
      <w:r w:rsidRPr="008F34FA">
        <w:rPr>
          <w:rFonts w:ascii="Times New Roman" w:eastAsia="Times New Roman" w:hAnsi="Times New Roman" w:cs="Times New Roman"/>
          <w:i/>
          <w:iCs/>
          <w:sz w:val="24"/>
          <w:szCs w:val="24"/>
        </w:rPr>
        <w:t>Private Security Regulation Act</w:t>
      </w:r>
      <w:r w:rsidRPr="008F34FA">
        <w:rPr>
          <w:rFonts w:ascii="Times New Roman" w:eastAsia="Times New Roman" w:hAnsi="Times New Roman" w:cs="Times New Roman"/>
          <w:sz w:val="24"/>
          <w:szCs w:val="24"/>
        </w:rPr>
        <w:t xml:space="preserve"> established the Private Security Regulatory Authority (PSRA) to oversee licensing, training, and compliance. Despite this formal framework, accountability challenges persist due to weak enforcement, overlapping mandates, and limited transparency (</w:t>
      </w:r>
      <w:proofErr w:type="spellStart"/>
      <w:r w:rsidRPr="008F34FA">
        <w:rPr>
          <w:rFonts w:ascii="Times New Roman" w:eastAsia="Times New Roman" w:hAnsi="Times New Roman" w:cs="Times New Roman"/>
          <w:sz w:val="24"/>
          <w:szCs w:val="24"/>
        </w:rPr>
        <w:t>Mutahi</w:t>
      </w:r>
      <w:proofErr w:type="spellEnd"/>
      <w:r w:rsidRPr="008F34FA">
        <w:rPr>
          <w:rFonts w:ascii="Times New Roman" w:eastAsia="Times New Roman" w:hAnsi="Times New Roman" w:cs="Times New Roman"/>
          <w:sz w:val="24"/>
          <w:szCs w:val="24"/>
        </w:rPr>
        <w:t>, 2021). Civil society reports have raised concerns about human rights abuses and the absence of standardized professional practices, particularly in contexts where private security intersects with counterterrorism and community policing (</w:t>
      </w:r>
      <w:proofErr w:type="spellStart"/>
      <w:r w:rsidRPr="008F34FA">
        <w:rPr>
          <w:rFonts w:ascii="Times New Roman" w:eastAsia="Times New Roman" w:hAnsi="Times New Roman" w:cs="Times New Roman"/>
          <w:sz w:val="24"/>
          <w:szCs w:val="24"/>
        </w:rPr>
        <w:t>Ramadhan</w:t>
      </w:r>
      <w:proofErr w:type="spellEnd"/>
      <w:r w:rsidRPr="008F34FA">
        <w:rPr>
          <w:rFonts w:ascii="Times New Roman" w:eastAsia="Times New Roman" w:hAnsi="Times New Roman" w:cs="Times New Roman"/>
          <w:sz w:val="24"/>
          <w:szCs w:val="24"/>
        </w:rPr>
        <w:t xml:space="preserve">, </w:t>
      </w:r>
      <w:proofErr w:type="spellStart"/>
      <w:r w:rsidRPr="008F34FA">
        <w:rPr>
          <w:rFonts w:ascii="Times New Roman" w:eastAsia="Times New Roman" w:hAnsi="Times New Roman" w:cs="Times New Roman"/>
          <w:sz w:val="24"/>
          <w:szCs w:val="24"/>
        </w:rPr>
        <w:t>Ouma</w:t>
      </w:r>
      <w:proofErr w:type="spellEnd"/>
      <w:r w:rsidRPr="008F34FA">
        <w:rPr>
          <w:rFonts w:ascii="Times New Roman" w:eastAsia="Times New Roman" w:hAnsi="Times New Roman" w:cs="Times New Roman"/>
          <w:sz w:val="24"/>
          <w:szCs w:val="24"/>
        </w:rPr>
        <w:t xml:space="preserve">, </w:t>
      </w:r>
      <w:proofErr w:type="spellStart"/>
      <w:r w:rsidRPr="008F34FA">
        <w:rPr>
          <w:rFonts w:ascii="Times New Roman" w:eastAsia="Times New Roman" w:hAnsi="Times New Roman" w:cs="Times New Roman"/>
          <w:sz w:val="24"/>
          <w:szCs w:val="24"/>
        </w:rPr>
        <w:t>Mutahi</w:t>
      </w:r>
      <w:proofErr w:type="spellEnd"/>
      <w:r w:rsidRPr="008F34FA">
        <w:rPr>
          <w:rFonts w:ascii="Times New Roman" w:eastAsia="Times New Roman" w:hAnsi="Times New Roman" w:cs="Times New Roman"/>
          <w:sz w:val="24"/>
          <w:szCs w:val="24"/>
        </w:rPr>
        <w:t xml:space="preserve">, &amp; </w:t>
      </w:r>
      <w:proofErr w:type="spellStart"/>
      <w:r w:rsidRPr="008F34FA">
        <w:rPr>
          <w:rFonts w:ascii="Times New Roman" w:eastAsia="Times New Roman" w:hAnsi="Times New Roman" w:cs="Times New Roman"/>
          <w:sz w:val="24"/>
          <w:szCs w:val="24"/>
        </w:rPr>
        <w:t>Ruteere</w:t>
      </w:r>
      <w:proofErr w:type="spellEnd"/>
      <w:r w:rsidRPr="008F34FA">
        <w:rPr>
          <w:rFonts w:ascii="Times New Roman" w:eastAsia="Times New Roman" w:hAnsi="Times New Roman" w:cs="Times New Roman"/>
          <w:sz w:val="24"/>
          <w:szCs w:val="24"/>
        </w:rPr>
        <w:t>, 2021). Kenya’s partial engagement with international frameworks such as the Montreux Document and the International Code of Conduct for Private Security Providers (</w:t>
      </w:r>
      <w:proofErr w:type="spellStart"/>
      <w:r w:rsidRPr="008F34FA">
        <w:rPr>
          <w:rFonts w:ascii="Times New Roman" w:eastAsia="Times New Roman" w:hAnsi="Times New Roman" w:cs="Times New Roman"/>
          <w:sz w:val="24"/>
          <w:szCs w:val="24"/>
        </w:rPr>
        <w:t>ICoCA</w:t>
      </w:r>
      <w:proofErr w:type="spellEnd"/>
      <w:r w:rsidRPr="008F34FA">
        <w:rPr>
          <w:rFonts w:ascii="Times New Roman" w:eastAsia="Times New Roman" w:hAnsi="Times New Roman" w:cs="Times New Roman"/>
          <w:sz w:val="24"/>
          <w:szCs w:val="24"/>
        </w:rPr>
        <w:t>) demonstrates normative awareness but limited institutionalization, reflecting both opportunities and constraints in norm diffusion.</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South Africa represents one of the most advanced regulatory environments in Africa. The Private Security Industry Regulatory Authority (PSIRA) enforces licensing, training standards, and compliance mechanisms, making accountability more institutionalized than in Kenya (</w:t>
      </w:r>
      <w:proofErr w:type="spellStart"/>
      <w:r w:rsidRPr="008F34FA">
        <w:rPr>
          <w:rFonts w:ascii="Times New Roman" w:eastAsia="Times New Roman" w:hAnsi="Times New Roman" w:cs="Times New Roman"/>
          <w:sz w:val="24"/>
          <w:szCs w:val="24"/>
        </w:rPr>
        <w:t>Buur</w:t>
      </w:r>
      <w:proofErr w:type="spellEnd"/>
      <w:r w:rsidRPr="008F34FA">
        <w:rPr>
          <w:rFonts w:ascii="Times New Roman" w:eastAsia="Times New Roman" w:hAnsi="Times New Roman" w:cs="Times New Roman"/>
          <w:sz w:val="24"/>
          <w:szCs w:val="24"/>
        </w:rPr>
        <w:t>, 2015). Nonetheless, enforcement challenges remain, particularly in monitoring smaller firms and ensuring compliance across a vast industry. South Africa’s experience demonstrates the potential of strong regulatory institutions to enhance professionalism and legitimacy, while also highlighting the need for continuous oversight and adaptation. For Kenya, South Africa provides a benchmark for how accountability mechanisms can be institutionalized, even in a rapidly expanding sector.</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 xml:space="preserve">Nigeria, by contrast, illustrates the risks of weak regulation in a context of high demand for private security. Private firms often operate in parallel to state agencies, with limited oversight and accountability (Hills, 2000). This fragmented governance structure has generated concerns about </w:t>
      </w:r>
      <w:r w:rsidRPr="008F34FA">
        <w:rPr>
          <w:rFonts w:ascii="Times New Roman" w:eastAsia="Times New Roman" w:hAnsi="Times New Roman" w:cs="Times New Roman"/>
          <w:sz w:val="24"/>
          <w:szCs w:val="24"/>
        </w:rPr>
        <w:lastRenderedPageBreak/>
        <w:t>legitimacy, professionalism, and the potential for abuse. Nigeria’s case underscores how accountability deficits can exacerbate insecurity rather than mitigate it. For Kenya, Nigeria serves as a cautionary example of how weak institutional frameworks can undermine both state authority and public trust in private security providers.</w:t>
      </w:r>
    </w:p>
    <w:p w:rsidR="008F34FA" w:rsidRPr="008F34FA" w:rsidRDefault="008F34FA"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Taken together, the comparative analysis reveals three key insights. Kenya’s regulatory framework is more developed than Nigeria’s but less institutionalized than South Africa’s, situating it between these two trajectories. South Africa demonstrates the potential of accountability mechanisms when supported by strong institutions, while Nigeria highlights the risks of weak oversight. Kenya’s partial adoption of international norms reflects both the influence of global standards and the challenges of localization. These insights underscore the study’s theoretical argument: accountability theory explains Kenya’s institutional weaknesses, while norm diffusion highlights the pathways through which international standards can shape domestic governance.</w:t>
      </w: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8F34FA">
        <w:rPr>
          <w:rFonts w:ascii="Times New Roman" w:eastAsia="Times New Roman" w:hAnsi="Times New Roman" w:cs="Times New Roman"/>
          <w:b/>
          <w:bCs/>
          <w:sz w:val="28"/>
          <w:szCs w:val="28"/>
        </w:rPr>
        <w:t>Findings</w:t>
      </w: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 xml:space="preserve">The comparative analysis of Kenya, South Africa, and Nigeria reveals several thematic conclusions that illuminate the governance of private security in Kenya and its positioning within broader African and international contexts. Kenya’s private security sector has expanded rapidly, yet regulatory oversight remains weak. Although the </w:t>
      </w:r>
      <w:r w:rsidRPr="008F34FA">
        <w:rPr>
          <w:rFonts w:ascii="Times New Roman" w:eastAsia="Times New Roman" w:hAnsi="Times New Roman" w:cs="Times New Roman"/>
          <w:i/>
          <w:iCs/>
          <w:sz w:val="24"/>
          <w:szCs w:val="24"/>
        </w:rPr>
        <w:t>Private Security Regulation Act</w:t>
      </w:r>
      <w:r w:rsidRPr="008F34FA">
        <w:rPr>
          <w:rFonts w:ascii="Times New Roman" w:eastAsia="Times New Roman" w:hAnsi="Times New Roman" w:cs="Times New Roman"/>
          <w:sz w:val="24"/>
          <w:szCs w:val="24"/>
        </w:rPr>
        <w:t xml:space="preserve"> and the PSRA provide a formal framework, enforcement is inconsistent and professional standards are unevenly applied. Interviews with stakeholders underscored concerns about fragmented mandates and limited transparency, which undermine legitimacy. This finding resonates with accountability theory, which emphasizes the importance of clear institutional mechanisms to ensure compliance and build public trust.</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Regional comparisons further highlight the lessons Kenya can draw from its neighbors. South Africa demonstrates the potential of institutionalized accountability mechanisms, with licensing and training standards enforced by PSIRA that enhance professionalism and legitimacy despite persistent enforcement challenges. Nigeria, by contrast, illustrates the risks of weak regulation, where private firms operate in parallel to state agencies with minimal oversight, exacerbating insecurity and eroding public trust. Kenya’s trajectory lies between these two extremes, suggesting that strengthening institutional capacity could move it closer to South Africa’s model while avoiding Nigeria’s pitfalls.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Kenya’s engagement with international frameworks such as the Montreux Document and the International Code of Conduct for Private Security Providers (</w:t>
      </w:r>
      <w:proofErr w:type="spellStart"/>
      <w:r w:rsidRPr="008F34FA">
        <w:rPr>
          <w:rFonts w:ascii="Times New Roman" w:eastAsia="Times New Roman" w:hAnsi="Times New Roman" w:cs="Times New Roman"/>
          <w:sz w:val="24"/>
          <w:szCs w:val="24"/>
        </w:rPr>
        <w:t>ICoCA</w:t>
      </w:r>
      <w:proofErr w:type="spellEnd"/>
      <w:r w:rsidRPr="008F34FA">
        <w:rPr>
          <w:rFonts w:ascii="Times New Roman" w:eastAsia="Times New Roman" w:hAnsi="Times New Roman" w:cs="Times New Roman"/>
          <w:sz w:val="24"/>
          <w:szCs w:val="24"/>
        </w:rPr>
        <w:t>) reflects awareness of global standards but limited institutionalization. Stakeholders noted that while these norms provide valuable guidance, their localization is constrained by political will and institutional capacity. This finding illustrates norm diffusion theory, which posits that global standards exert pressure but their adoption depends on domestic contexts. Kenya’s partial adoption highlights both opportunities for reform and the challenges of embedding international norms in local governance structures.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The findings also underscore the dynamic interplay between domestic accountability mechanisms and international normative influences. Weak domestic oversight creates accountability deficits that drive the need for international guidance, while global norms provide pathways for reform. Comparative lessons from South Africa and Nigeria reinforce this process, offering models of both success and failure. This feedback loop illustrates how accountability theory and norm diffusion converge to explain Kenya’s governance challenges and reform opportunities.</w:t>
      </w:r>
    </w:p>
    <w:p w:rsidR="0088481E" w:rsidRPr="008F34FA" w:rsidRDefault="008F34FA"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Taken together, the synthesis of case insights suggests that Kenya’s reform trajectory requires a dual strategy: strengthening domestic accountability mechanisms while deepening engagement with international norms. Institutional capacity building, enhanced enforcement, and standardized training are critical to addressing accountability deficits. At the same time, embedding global standards into domestic regulation can enhance legitimacy and align Kenya with international best practices. Regional lessons provide practical guidance, demonstrating both the potential of strong institutions and the risks of weak oversight.</w:t>
      </w:r>
    </w:p>
    <w:p w:rsidR="00A127B4" w:rsidRPr="00A127B4"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lastRenderedPageBreak/>
        <w:t>Discussion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The findings of this study underscore the centrality of accountability theory and norm diffusion in explaining the governance challenges and reform opportunities within Kenya’s private security sector. Accountability theory highlights how weak oversight, fragmented mandates, and limited transparency undermine legitimacy and professionalism. Kenya’s regulatory framework, while formally established through the </w:t>
      </w:r>
      <w:r w:rsidRPr="00A127B4">
        <w:rPr>
          <w:rFonts w:ascii="Times New Roman" w:eastAsia="Times New Roman" w:hAnsi="Times New Roman" w:cs="Times New Roman"/>
          <w:i/>
          <w:iCs/>
          <w:sz w:val="24"/>
          <w:szCs w:val="24"/>
        </w:rPr>
        <w:t>Private Security Regulation Act</w:t>
      </w:r>
      <w:r w:rsidRPr="00A127B4">
        <w:rPr>
          <w:rFonts w:ascii="Times New Roman" w:eastAsia="Times New Roman" w:hAnsi="Times New Roman" w:cs="Times New Roman"/>
          <w:sz w:val="24"/>
          <w:szCs w:val="24"/>
        </w:rPr>
        <w:t xml:space="preserve"> and the PSRA, remains constrained by enforcement deficits. This reflects the theoretical argument that accountability requires not only institutional design but also effective implementation and monitoring (</w:t>
      </w:r>
      <w:proofErr w:type="spellStart"/>
      <w:r w:rsidRPr="00A127B4">
        <w:rPr>
          <w:rFonts w:ascii="Times New Roman" w:eastAsia="Times New Roman" w:hAnsi="Times New Roman" w:cs="Times New Roman"/>
          <w:sz w:val="24"/>
          <w:szCs w:val="24"/>
        </w:rPr>
        <w:t>Krahmann</w:t>
      </w:r>
      <w:proofErr w:type="spellEnd"/>
      <w:r w:rsidRPr="00A127B4">
        <w:rPr>
          <w:rFonts w:ascii="Times New Roman" w:eastAsia="Times New Roman" w:hAnsi="Times New Roman" w:cs="Times New Roman"/>
          <w:sz w:val="24"/>
          <w:szCs w:val="24"/>
        </w:rPr>
        <w:t>, 2017).</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Norm diffusion provides a complementary lens, illustrating how international standards such as the </w:t>
      </w:r>
      <w:proofErr w:type="spellStart"/>
      <w:r w:rsidRPr="00A127B4">
        <w:rPr>
          <w:rFonts w:ascii="Times New Roman" w:eastAsia="Times New Roman" w:hAnsi="Times New Roman" w:cs="Times New Roman"/>
          <w:sz w:val="24"/>
          <w:szCs w:val="24"/>
        </w:rPr>
        <w:t>Montreux</w:t>
      </w:r>
      <w:proofErr w:type="spellEnd"/>
      <w:r w:rsidRPr="00A127B4">
        <w:rPr>
          <w:rFonts w:ascii="Times New Roman" w:eastAsia="Times New Roman" w:hAnsi="Times New Roman" w:cs="Times New Roman"/>
          <w:sz w:val="24"/>
          <w:szCs w:val="24"/>
        </w:rPr>
        <w:t xml:space="preserve"> Document and </w:t>
      </w:r>
      <w:proofErr w:type="spellStart"/>
      <w:r w:rsidRPr="00A127B4">
        <w:rPr>
          <w:rFonts w:ascii="Times New Roman" w:eastAsia="Times New Roman" w:hAnsi="Times New Roman" w:cs="Times New Roman"/>
          <w:sz w:val="24"/>
          <w:szCs w:val="24"/>
        </w:rPr>
        <w:t>ICoCA</w:t>
      </w:r>
      <w:proofErr w:type="spellEnd"/>
      <w:r w:rsidRPr="00A127B4">
        <w:rPr>
          <w:rFonts w:ascii="Times New Roman" w:eastAsia="Times New Roman" w:hAnsi="Times New Roman" w:cs="Times New Roman"/>
          <w:sz w:val="24"/>
          <w:szCs w:val="24"/>
        </w:rPr>
        <w:t xml:space="preserve"> exert normative pressure on Kenya to adopt transparency and human rights safeguards. However, the findings reveal that Kenya’s engagement with these frameworks remains partial, constrained by institutional capacity and political will. This aligns with </w:t>
      </w:r>
      <w:proofErr w:type="spellStart"/>
      <w:r w:rsidRPr="00A127B4">
        <w:rPr>
          <w:rFonts w:ascii="Times New Roman" w:eastAsia="Times New Roman" w:hAnsi="Times New Roman" w:cs="Times New Roman"/>
          <w:sz w:val="24"/>
          <w:szCs w:val="24"/>
        </w:rPr>
        <w:t>Finnemore</w:t>
      </w:r>
      <w:proofErr w:type="spellEnd"/>
      <w:r w:rsidRPr="00A127B4">
        <w:rPr>
          <w:rFonts w:ascii="Times New Roman" w:eastAsia="Times New Roman" w:hAnsi="Times New Roman" w:cs="Times New Roman"/>
          <w:sz w:val="24"/>
          <w:szCs w:val="24"/>
        </w:rPr>
        <w:t xml:space="preserve"> and </w:t>
      </w:r>
      <w:proofErr w:type="spellStart"/>
      <w:r w:rsidRPr="00A127B4">
        <w:rPr>
          <w:rFonts w:ascii="Times New Roman" w:eastAsia="Times New Roman" w:hAnsi="Times New Roman" w:cs="Times New Roman"/>
          <w:sz w:val="24"/>
          <w:szCs w:val="24"/>
        </w:rPr>
        <w:t>Sikkink’s</w:t>
      </w:r>
      <w:proofErr w:type="spellEnd"/>
      <w:r w:rsidRPr="00A127B4">
        <w:rPr>
          <w:rFonts w:ascii="Times New Roman" w:eastAsia="Times New Roman" w:hAnsi="Times New Roman" w:cs="Times New Roman"/>
          <w:sz w:val="24"/>
          <w:szCs w:val="24"/>
        </w:rPr>
        <w:t xml:space="preserve"> (1998) observation that norm adoption is contingent on domestic contexts and actor incentives. Kenya’s case demonstrates that diffusion is not automatic; it requires deliberate localization and adaptation to national realities.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comparative insights from South Africa and Nigeria reinforce these theoretical perspectives. South Africa exemplifies how institutionalized accountability mechanisms can enhance professionalism and legitimacy, even amid enforcement challenges. Nigeria, conversely, illustrates the risks of weak regulation, where private firms operate in parallel to state agencies with minimal oversight. Kenya’s positioning between these two trajectories highlights both the potential for reform and the risks of stagnation. The comparative lens thus situates Kenya within a spectrum of African experiences, demonstrating how regional lessons can inform domestic reform while also contributing to broader debates on security governance in Africa.</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study’s findings contribute to global debates on the privatization of security by illustrating how domestic accountability deficits intersect with international normative pressures. Kenya’s partial adoption of global standards reflects a broader challenge in global security governance: the uneven localization of norms across diverse contexts. This underscores the need for international frameworks to be adaptable and responsive to local institutional realities, rather than prescriptive in ways that may be difficult to implement. The Kenyan case also demonstrates the importance of regional comparative analysis in understanding how global norms are diffused and localized within specific African contexts.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For Kenya, the findings suggest that reform must be pursued through a dual strategy. First, strengthening domestic accountability mechanisms—through enhanced enforcement, standardized training, and clearer institutional mandates—is essential to address legitimacy deficits. Second, deepening engagement with international frameworks can enhance transparency and align Kenya with global best practices. Regional lessons provide practical guidance: South Africa demonstrates the benefits of institutionalized regulation, while Nigeria highlights the risks of weak oversight. By situating reform within both domestic and international contexts, Kenya can position itself as a regional leader in private security governance, contributing to both national security and global normative debates.</w:t>
      </w:r>
    </w:p>
    <w:p w:rsidR="00A127B4" w:rsidRPr="00A127B4"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Conclusion and Policy Recommendations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This study has shown that Kenya’s private security governance is situated at the intersection of accountability theory and norm diffusion. The findings reveal that while Kenya has established a formal regulatory framework through the </w:t>
      </w:r>
      <w:r w:rsidRPr="00A127B4">
        <w:rPr>
          <w:rFonts w:ascii="Times New Roman" w:eastAsia="Times New Roman" w:hAnsi="Times New Roman" w:cs="Times New Roman"/>
          <w:i/>
          <w:iCs/>
          <w:sz w:val="24"/>
          <w:szCs w:val="24"/>
        </w:rPr>
        <w:t>Private Security Regulation Act</w:t>
      </w:r>
      <w:r w:rsidRPr="00A127B4">
        <w:rPr>
          <w:rFonts w:ascii="Times New Roman" w:eastAsia="Times New Roman" w:hAnsi="Times New Roman" w:cs="Times New Roman"/>
          <w:sz w:val="24"/>
          <w:szCs w:val="24"/>
        </w:rPr>
        <w:t xml:space="preserve"> and the Private Security Regulatory Authority (PSRA), enforcement remains weak, mandates are fragmented, and transparency is limited. These accountability deficits undermine legitimacy and professionalism, confirming the theoretical argument that effective governance requires not only institutional design but also robust implementation. At the same time, Kenya’s partial engagement with international frameworks such as the Montreux Document and the International Code of Conduct for Private </w:t>
      </w:r>
      <w:r w:rsidRPr="00A127B4">
        <w:rPr>
          <w:rFonts w:ascii="Times New Roman" w:eastAsia="Times New Roman" w:hAnsi="Times New Roman" w:cs="Times New Roman"/>
          <w:sz w:val="24"/>
          <w:szCs w:val="24"/>
        </w:rPr>
        <w:lastRenderedPageBreak/>
        <w:t>Security Providers (</w:t>
      </w:r>
      <w:proofErr w:type="spellStart"/>
      <w:r w:rsidRPr="00A127B4">
        <w:rPr>
          <w:rFonts w:ascii="Times New Roman" w:eastAsia="Times New Roman" w:hAnsi="Times New Roman" w:cs="Times New Roman"/>
          <w:sz w:val="24"/>
          <w:szCs w:val="24"/>
        </w:rPr>
        <w:t>ICoCA</w:t>
      </w:r>
      <w:proofErr w:type="spellEnd"/>
      <w:r w:rsidRPr="00A127B4">
        <w:rPr>
          <w:rFonts w:ascii="Times New Roman" w:eastAsia="Times New Roman" w:hAnsi="Times New Roman" w:cs="Times New Roman"/>
          <w:sz w:val="24"/>
          <w:szCs w:val="24"/>
        </w:rPr>
        <w:t>) demonstrates normative awareness but limited institutionalization. This reflects the dynamics of norm diffusion, where global standards exert pressure but their adoption depends on domestic political will and institutional capacity. Comparative insights from South Africa and Nigeria further enrich the analysis: South Africa illustrates the potential of institutionalized accountability mechanisms, while Nigeria highlights the risks of weak oversight and fragmented governance. Kenya’s positioning between these two trajectories underscores both the opportunities for reform and the risks of stagnation.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broader implication is that Kenya’s experience contributes to global debates on the privatization of security by showing how domestic accountability structures mediate the localization of international norms. It also demonstrates the value of regional comparative analysis in understanding reform pathways across Africa. For Kenya, the challenge is to strengthen its domestic institutions while embedding international standards in ways that are contextually grounded and politically feasible.</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Policy reform should therefore proceed along several interrelated lines. First, domestic accountability mechanisms must be reinforced through enhanced enforcement capacity, standardized licensing and training, and clearer oversight mandates. Second, Kenya should deepen its engagement with international frameworks by institutionalizing global standards within its regulatory system and promoting awareness among private security providers. Third, regional lessons should be leveraged: South Africa’s experience offers a model for institutionalized regulation, while Nigeria’s trajectory provides a cautionary example of the consequences of weak oversight. Fourth, transparency and public trust must be prioritized through civil society oversight, anti</w:t>
      </w:r>
      <w:r w:rsidRPr="00A127B4">
        <w:rPr>
          <w:rFonts w:ascii="Times New Roman" w:eastAsia="Times New Roman" w:hAnsi="Times New Roman" w:cs="Times New Roman"/>
          <w:sz w:val="24"/>
          <w:szCs w:val="24"/>
        </w:rPr>
        <w:noBreakHyphen/>
        <w:t>corruption safeguards, and community engagement. Finally, private security governance should be explicitly linked to Kenya’s broader national security strategy, ensuring that regulation supports sovereignty objectives and strengthens the state’s authority over security provision.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In conclusion, Kenya’s reform trajectory requires a dual strategy that combines domestic accountability with international norm localization. By pursuing this path, Kenya can enhance legitimacy, align with global best practices, and position itself as a regional leader in private security governance. This study thus contributes both to scholarly debates on accountability and norm diffusion and to policy discussions on how African states can assert sovereignty while engaging constructively with global security governance.</w:t>
      </w:r>
    </w:p>
    <w:p w:rsidR="00A127B4" w:rsidRPr="00A127B4" w:rsidRDefault="00A127B4" w:rsidP="00A127B4">
      <w:pPr>
        <w:spacing w:after="0" w:line="240" w:lineRule="auto"/>
        <w:ind w:firstLine="0"/>
        <w:rPr>
          <w:rFonts w:ascii="Times New Roman" w:eastAsia="Times New Roman" w:hAnsi="Times New Roman" w:cs="Times New Roman"/>
          <w:sz w:val="24"/>
          <w:szCs w:val="24"/>
        </w:rPr>
      </w:pPr>
    </w:p>
    <w:p w:rsidR="00A127B4" w:rsidRPr="00BA5F72" w:rsidRDefault="00A127B4" w:rsidP="00A127B4">
      <w:pPr>
        <w:spacing w:before="100" w:beforeAutospacing="1" w:after="100" w:afterAutospacing="1" w:line="240" w:lineRule="auto"/>
        <w:ind w:firstLine="0"/>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References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Abrahamsen, R., &amp; Williams, M. C. (2011). </w:t>
      </w:r>
      <w:r w:rsidRPr="00BA5F72">
        <w:rPr>
          <w:rFonts w:ascii="Times New Roman" w:eastAsia="Times New Roman" w:hAnsi="Times New Roman" w:cs="Times New Roman"/>
          <w:i/>
          <w:iCs/>
          <w:sz w:val="24"/>
          <w:szCs w:val="24"/>
        </w:rPr>
        <w:t>Security beyond the state: Private security in international politics</w:t>
      </w:r>
      <w:r w:rsidRPr="00BA5F72">
        <w:rPr>
          <w:rFonts w:ascii="Times New Roman" w:eastAsia="Times New Roman" w:hAnsi="Times New Roman" w:cs="Times New Roman"/>
          <w:sz w:val="24"/>
          <w:szCs w:val="24"/>
        </w:rPr>
        <w:t>. Cambridge University Press.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Bowen, G. A. (2009). Document analysis as a qualitative research method. </w:t>
      </w:r>
      <w:r w:rsidRPr="00BA5F72">
        <w:rPr>
          <w:rFonts w:ascii="Times New Roman" w:eastAsia="Times New Roman" w:hAnsi="Times New Roman" w:cs="Times New Roman"/>
          <w:i/>
          <w:iCs/>
          <w:sz w:val="24"/>
          <w:szCs w:val="24"/>
        </w:rPr>
        <w:t>Qualitative Research Journal, 9</w:t>
      </w:r>
      <w:r w:rsidRPr="00BA5F72">
        <w:rPr>
          <w:rFonts w:ascii="Times New Roman" w:eastAsia="Times New Roman" w:hAnsi="Times New Roman" w:cs="Times New Roman"/>
          <w:sz w:val="24"/>
          <w:szCs w:val="24"/>
        </w:rPr>
        <w:t xml:space="preserve">(2), 27–40. </w:t>
      </w:r>
      <w:hyperlink r:id="rId9" w:history="1">
        <w:r w:rsidRPr="00BA5F72">
          <w:rPr>
            <w:rFonts w:ascii="Times New Roman" w:eastAsia="Times New Roman" w:hAnsi="Times New Roman" w:cs="Times New Roman"/>
            <w:color w:val="0000FF"/>
            <w:sz w:val="24"/>
            <w:szCs w:val="24"/>
            <w:u w:val="single"/>
          </w:rPr>
          <w:t>https://doi.org/10.3316/QRJ0902027</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Buur, L. (2015). Private security and the South African state. </w:t>
      </w:r>
      <w:r w:rsidRPr="00BA5F72">
        <w:rPr>
          <w:rFonts w:ascii="Times New Roman" w:eastAsia="Times New Roman" w:hAnsi="Times New Roman" w:cs="Times New Roman"/>
          <w:i/>
          <w:iCs/>
          <w:sz w:val="24"/>
          <w:szCs w:val="24"/>
        </w:rPr>
        <w:t>African Affairs, 114</w:t>
      </w:r>
      <w:r w:rsidRPr="00BA5F72">
        <w:rPr>
          <w:rFonts w:ascii="Times New Roman" w:eastAsia="Times New Roman" w:hAnsi="Times New Roman" w:cs="Times New Roman"/>
          <w:sz w:val="24"/>
          <w:szCs w:val="24"/>
        </w:rPr>
        <w:t xml:space="preserve">(456), 1–23. </w:t>
      </w:r>
      <w:hyperlink r:id="rId10" w:history="1">
        <w:r w:rsidRPr="00BA5F72">
          <w:rPr>
            <w:rFonts w:ascii="Times New Roman" w:eastAsia="Times New Roman" w:hAnsi="Times New Roman" w:cs="Times New Roman"/>
            <w:color w:val="0000FF"/>
            <w:sz w:val="24"/>
            <w:szCs w:val="24"/>
            <w:u w:val="single"/>
          </w:rPr>
          <w:t>https://doi.org/10.1093/afraf/adu083</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Cockayne, J. (2016). </w:t>
      </w:r>
      <w:r w:rsidRPr="00BA5F72">
        <w:rPr>
          <w:rFonts w:ascii="Times New Roman" w:eastAsia="Times New Roman" w:hAnsi="Times New Roman" w:cs="Times New Roman"/>
          <w:i/>
          <w:iCs/>
          <w:sz w:val="24"/>
          <w:szCs w:val="24"/>
        </w:rPr>
        <w:t>Private military and security companies: A framework for regulation</w:t>
      </w:r>
      <w:r w:rsidRPr="00BA5F72">
        <w:rPr>
          <w:rFonts w:ascii="Times New Roman" w:eastAsia="Times New Roman" w:hAnsi="Times New Roman" w:cs="Times New Roman"/>
          <w:sz w:val="24"/>
          <w:szCs w:val="24"/>
        </w:rPr>
        <w:t>. Geneva Centre for the Democratic Control of Armed Forces (DCAF).</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Creswell, J. W., &amp; Poth, C. N. (2018). </w:t>
      </w:r>
      <w:r w:rsidRPr="00BA5F72">
        <w:rPr>
          <w:rFonts w:ascii="Times New Roman" w:eastAsia="Times New Roman" w:hAnsi="Times New Roman" w:cs="Times New Roman"/>
          <w:i/>
          <w:iCs/>
          <w:sz w:val="24"/>
          <w:szCs w:val="24"/>
        </w:rPr>
        <w:t>Qualitative inquiry and research design: Choosing among five approaches</w:t>
      </w:r>
      <w:r w:rsidRPr="00BA5F72">
        <w:rPr>
          <w:rFonts w:ascii="Times New Roman" w:eastAsia="Times New Roman" w:hAnsi="Times New Roman" w:cs="Times New Roman"/>
          <w:sz w:val="24"/>
          <w:szCs w:val="24"/>
        </w:rPr>
        <w:t xml:space="preserve"> (4th ed.).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Finnemore, M., &amp; Sikkink, K. (1998). International norm dynamics and political change. </w:t>
      </w:r>
      <w:r w:rsidRPr="00BA5F72">
        <w:rPr>
          <w:rFonts w:ascii="Times New Roman" w:eastAsia="Times New Roman" w:hAnsi="Times New Roman" w:cs="Times New Roman"/>
          <w:i/>
          <w:iCs/>
          <w:sz w:val="24"/>
          <w:szCs w:val="24"/>
        </w:rPr>
        <w:t>International Organization, 52</w:t>
      </w:r>
      <w:r w:rsidRPr="00BA5F72">
        <w:rPr>
          <w:rFonts w:ascii="Times New Roman" w:eastAsia="Times New Roman" w:hAnsi="Times New Roman" w:cs="Times New Roman"/>
          <w:sz w:val="24"/>
          <w:szCs w:val="24"/>
        </w:rPr>
        <w:t xml:space="preserve">(4), 887–917. </w:t>
      </w:r>
      <w:hyperlink r:id="rId11" w:history="1">
        <w:r w:rsidRPr="00BA5F72">
          <w:rPr>
            <w:rFonts w:ascii="Times New Roman" w:eastAsia="Times New Roman" w:hAnsi="Times New Roman" w:cs="Times New Roman"/>
            <w:color w:val="0000FF"/>
            <w:sz w:val="24"/>
            <w:szCs w:val="24"/>
            <w:u w:val="single"/>
          </w:rPr>
          <w:t>https://doi.org/10.1162/002081898550789</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Hills, A. (2000). Policing Africa: Internal security and the limits of liberalization. </w:t>
      </w:r>
      <w:r w:rsidRPr="00BA5F72">
        <w:rPr>
          <w:rFonts w:ascii="Times New Roman" w:eastAsia="Times New Roman" w:hAnsi="Times New Roman" w:cs="Times New Roman"/>
          <w:i/>
          <w:iCs/>
          <w:sz w:val="24"/>
          <w:szCs w:val="24"/>
        </w:rPr>
        <w:t>African Affairs, 99</w:t>
      </w:r>
      <w:r w:rsidRPr="00BA5F72">
        <w:rPr>
          <w:rFonts w:ascii="Times New Roman" w:eastAsia="Times New Roman" w:hAnsi="Times New Roman" w:cs="Times New Roman"/>
          <w:sz w:val="24"/>
          <w:szCs w:val="24"/>
        </w:rPr>
        <w:t xml:space="preserve">(395), 201–222. </w:t>
      </w:r>
      <w:hyperlink r:id="rId12" w:history="1">
        <w:r w:rsidRPr="00BA5F72">
          <w:rPr>
            <w:rFonts w:ascii="Times New Roman" w:eastAsia="Times New Roman" w:hAnsi="Times New Roman" w:cs="Times New Roman"/>
            <w:color w:val="0000FF"/>
            <w:sz w:val="24"/>
            <w:szCs w:val="24"/>
            <w:u w:val="single"/>
          </w:rPr>
          <w:t>https://doi.org/10.1093/oxfordjournals.afraf.a038389</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Israel, M., &amp; Hay, I. (2006). </w:t>
      </w:r>
      <w:r w:rsidRPr="00BA5F72">
        <w:rPr>
          <w:rFonts w:ascii="Times New Roman" w:eastAsia="Times New Roman" w:hAnsi="Times New Roman" w:cs="Times New Roman"/>
          <w:i/>
          <w:iCs/>
          <w:sz w:val="24"/>
          <w:szCs w:val="24"/>
        </w:rPr>
        <w:t>Research ethics for social scientists</w:t>
      </w:r>
      <w:r w:rsidRPr="00BA5F72">
        <w:rPr>
          <w:rFonts w:ascii="Times New Roman" w:eastAsia="Times New Roman" w:hAnsi="Times New Roman" w:cs="Times New Roman"/>
          <w:sz w:val="24"/>
          <w:szCs w:val="24"/>
        </w:rPr>
        <w:t>.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lastRenderedPageBreak/>
        <w:t xml:space="preserve">Krahmann, E. (2017). Legitimacy and private security: Theories and practices. </w:t>
      </w:r>
      <w:r w:rsidRPr="00BA5F72">
        <w:rPr>
          <w:rFonts w:ascii="Times New Roman" w:eastAsia="Times New Roman" w:hAnsi="Times New Roman" w:cs="Times New Roman"/>
          <w:i/>
          <w:iCs/>
          <w:sz w:val="24"/>
          <w:szCs w:val="24"/>
        </w:rPr>
        <w:t>Security Dialogue, 48</w:t>
      </w:r>
      <w:r w:rsidRPr="00BA5F72">
        <w:rPr>
          <w:rFonts w:ascii="Times New Roman" w:eastAsia="Times New Roman" w:hAnsi="Times New Roman" w:cs="Times New Roman"/>
          <w:sz w:val="24"/>
          <w:szCs w:val="24"/>
        </w:rPr>
        <w:t xml:space="preserve">(4), 345–361. </w:t>
      </w:r>
      <w:hyperlink r:id="rId13" w:history="1">
        <w:r w:rsidRPr="00BA5F72">
          <w:rPr>
            <w:rFonts w:ascii="Times New Roman" w:eastAsia="Times New Roman" w:hAnsi="Times New Roman" w:cs="Times New Roman"/>
            <w:color w:val="0000FF"/>
            <w:sz w:val="24"/>
            <w:szCs w:val="24"/>
            <w:u w:val="single"/>
          </w:rPr>
          <w:t>https://doi.org/10.1177/0967010617714060</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Kvale, S., &amp; Brinkmann, S. (2015). </w:t>
      </w:r>
      <w:r w:rsidRPr="00BA5F72">
        <w:rPr>
          <w:rFonts w:ascii="Times New Roman" w:eastAsia="Times New Roman" w:hAnsi="Times New Roman" w:cs="Times New Roman"/>
          <w:i/>
          <w:iCs/>
          <w:sz w:val="24"/>
          <w:szCs w:val="24"/>
        </w:rPr>
        <w:t>Interviews: Learning the craft of qualitative research interviewing</w:t>
      </w:r>
      <w:r w:rsidRPr="00BA5F72">
        <w:rPr>
          <w:rFonts w:ascii="Times New Roman" w:eastAsia="Times New Roman" w:hAnsi="Times New Roman" w:cs="Times New Roman"/>
          <w:sz w:val="24"/>
          <w:szCs w:val="24"/>
        </w:rPr>
        <w:t xml:space="preserve"> (3rd ed.).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Mkutu, K. (2020). The growth of private security in Kenya: Implications for governance. </w:t>
      </w:r>
      <w:r w:rsidRPr="00BA5F72">
        <w:rPr>
          <w:rFonts w:ascii="Times New Roman" w:eastAsia="Times New Roman" w:hAnsi="Times New Roman" w:cs="Times New Roman"/>
          <w:i/>
          <w:iCs/>
          <w:sz w:val="24"/>
          <w:szCs w:val="24"/>
        </w:rPr>
        <w:t>African Security Review, 29</w:t>
      </w:r>
      <w:r w:rsidRPr="00BA5F72">
        <w:rPr>
          <w:rFonts w:ascii="Times New Roman" w:eastAsia="Times New Roman" w:hAnsi="Times New Roman" w:cs="Times New Roman"/>
          <w:sz w:val="24"/>
          <w:szCs w:val="24"/>
        </w:rPr>
        <w:t xml:space="preserve">(2), 123–140. </w:t>
      </w:r>
      <w:hyperlink r:id="rId14" w:history="1">
        <w:r w:rsidRPr="00BA5F72">
          <w:rPr>
            <w:rFonts w:ascii="Times New Roman" w:eastAsia="Times New Roman" w:hAnsi="Times New Roman" w:cs="Times New Roman"/>
            <w:color w:val="0000FF"/>
            <w:sz w:val="24"/>
            <w:szCs w:val="24"/>
            <w:u w:val="single"/>
          </w:rPr>
          <w:t>https://doi.org/10.1080/10246029.2020.1769804</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Mutahi, P. (2021). Private security and accountability in Kenya. </w:t>
      </w:r>
      <w:r w:rsidRPr="00BA5F72">
        <w:rPr>
          <w:rFonts w:ascii="Times New Roman" w:eastAsia="Times New Roman" w:hAnsi="Times New Roman" w:cs="Times New Roman"/>
          <w:i/>
          <w:iCs/>
          <w:sz w:val="24"/>
          <w:szCs w:val="24"/>
        </w:rPr>
        <w:t>Journal of African Security Studies, 17</w:t>
      </w:r>
      <w:r w:rsidRPr="00BA5F72">
        <w:rPr>
          <w:rFonts w:ascii="Times New Roman" w:eastAsia="Times New Roman" w:hAnsi="Times New Roman" w:cs="Times New Roman"/>
          <w:sz w:val="24"/>
          <w:szCs w:val="24"/>
        </w:rPr>
        <w:t>(3), 45–62.</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Ramadhan, R., Ouma, L., Mutahi, P., &amp; Ruteere, M. (2021). </w:t>
      </w:r>
      <w:r w:rsidRPr="00BA5F72">
        <w:rPr>
          <w:rFonts w:ascii="Times New Roman" w:eastAsia="Times New Roman" w:hAnsi="Times New Roman" w:cs="Times New Roman"/>
          <w:i/>
          <w:iCs/>
          <w:sz w:val="24"/>
          <w:szCs w:val="24"/>
        </w:rPr>
        <w:t>Role and accountability of private security in countering violent extremism in Kenya</w:t>
      </w:r>
      <w:r w:rsidRPr="00BA5F72">
        <w:rPr>
          <w:rFonts w:ascii="Times New Roman" w:eastAsia="Times New Roman" w:hAnsi="Times New Roman" w:cs="Times New Roman"/>
          <w:sz w:val="24"/>
          <w:szCs w:val="24"/>
        </w:rPr>
        <w:t>. Centre for Human Rights and Policy Studies.</w:t>
      </w:r>
    </w:p>
    <w:p w:rsidR="00BA5F72" w:rsidRPr="00A127B4" w:rsidRDefault="00BA5F72" w:rsidP="00BA5F72">
      <w:pPr>
        <w:spacing w:before="100" w:beforeAutospacing="1" w:after="100" w:afterAutospacing="1" w:line="240" w:lineRule="auto"/>
        <w:ind w:firstLine="0"/>
        <w:jc w:val="both"/>
        <w:outlineLvl w:val="1"/>
        <w:rPr>
          <w:rFonts w:ascii="Times New Roman" w:eastAsia="Times New Roman" w:hAnsi="Times New Roman" w:cs="Times New Roman"/>
          <w:bCs/>
          <w:sz w:val="24"/>
          <w:szCs w:val="24"/>
        </w:rPr>
      </w:pPr>
    </w:p>
    <w:sectPr w:rsidR="00BA5F72" w:rsidRPr="00A127B4" w:rsidSect="00DC2725">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7B" w:rsidRDefault="009B227B" w:rsidP="009255D3">
      <w:pPr>
        <w:spacing w:after="0" w:line="240" w:lineRule="auto"/>
      </w:pPr>
      <w:r>
        <w:separator/>
      </w:r>
    </w:p>
  </w:endnote>
  <w:endnote w:type="continuationSeparator" w:id="0">
    <w:p w:rsidR="009B227B" w:rsidRDefault="009B227B" w:rsidP="0092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559623"/>
      <w:docPartObj>
        <w:docPartGallery w:val="Page Numbers (Bottom of Page)"/>
        <w:docPartUnique/>
      </w:docPartObj>
    </w:sdtPr>
    <w:sdtEndPr>
      <w:rPr>
        <w:noProof/>
      </w:rPr>
    </w:sdtEndPr>
    <w:sdtContent>
      <w:p w:rsidR="009255D3" w:rsidRDefault="009255D3">
        <w:pPr>
          <w:pStyle w:val="Footer"/>
          <w:jc w:val="center"/>
        </w:pPr>
        <w:r>
          <w:fldChar w:fldCharType="begin"/>
        </w:r>
        <w:r>
          <w:instrText xml:space="preserve"> PAGE   \* MERGEFORMAT </w:instrText>
        </w:r>
        <w:r>
          <w:fldChar w:fldCharType="separate"/>
        </w:r>
        <w:r w:rsidR="008B3D09">
          <w:rPr>
            <w:noProof/>
          </w:rPr>
          <w:t>10</w:t>
        </w:r>
        <w:r>
          <w:rPr>
            <w:noProof/>
          </w:rPr>
          <w:fldChar w:fldCharType="end"/>
        </w:r>
      </w:p>
    </w:sdtContent>
  </w:sdt>
  <w:p w:rsidR="009255D3" w:rsidRDefault="00925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7B" w:rsidRDefault="009B227B" w:rsidP="009255D3">
      <w:pPr>
        <w:spacing w:after="0" w:line="240" w:lineRule="auto"/>
      </w:pPr>
      <w:r>
        <w:separator/>
      </w:r>
    </w:p>
  </w:footnote>
  <w:footnote w:type="continuationSeparator" w:id="0">
    <w:p w:rsidR="009B227B" w:rsidRDefault="009B227B" w:rsidP="00925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DDE"/>
    <w:multiLevelType w:val="multilevel"/>
    <w:tmpl w:val="82DE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A544D"/>
    <w:multiLevelType w:val="multilevel"/>
    <w:tmpl w:val="BE0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7425E"/>
    <w:multiLevelType w:val="multilevel"/>
    <w:tmpl w:val="97F4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961D8"/>
    <w:multiLevelType w:val="multilevel"/>
    <w:tmpl w:val="D02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A64785"/>
    <w:multiLevelType w:val="multilevel"/>
    <w:tmpl w:val="E79C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3B55C4"/>
    <w:multiLevelType w:val="multilevel"/>
    <w:tmpl w:val="F3D6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440D46"/>
    <w:multiLevelType w:val="multilevel"/>
    <w:tmpl w:val="C3B6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55DC1"/>
    <w:multiLevelType w:val="multilevel"/>
    <w:tmpl w:val="1F4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EE63E5"/>
    <w:multiLevelType w:val="multilevel"/>
    <w:tmpl w:val="238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8"/>
  </w:num>
  <w:num w:numId="5">
    <w:abstractNumId w:val="1"/>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25"/>
    <w:rsid w:val="00080522"/>
    <w:rsid w:val="000C0C50"/>
    <w:rsid w:val="001736C1"/>
    <w:rsid w:val="0018330C"/>
    <w:rsid w:val="001C56D3"/>
    <w:rsid w:val="00234834"/>
    <w:rsid w:val="0023715C"/>
    <w:rsid w:val="0040188F"/>
    <w:rsid w:val="00405627"/>
    <w:rsid w:val="00423CBD"/>
    <w:rsid w:val="00456371"/>
    <w:rsid w:val="004930E4"/>
    <w:rsid w:val="00566E29"/>
    <w:rsid w:val="005C749D"/>
    <w:rsid w:val="00624916"/>
    <w:rsid w:val="006323AC"/>
    <w:rsid w:val="00766B58"/>
    <w:rsid w:val="007E1F6C"/>
    <w:rsid w:val="00802A43"/>
    <w:rsid w:val="0088481E"/>
    <w:rsid w:val="00891A6D"/>
    <w:rsid w:val="008B3D09"/>
    <w:rsid w:val="008F34FA"/>
    <w:rsid w:val="009255D3"/>
    <w:rsid w:val="009B227B"/>
    <w:rsid w:val="009D637E"/>
    <w:rsid w:val="00A127B4"/>
    <w:rsid w:val="00A32594"/>
    <w:rsid w:val="00A60051"/>
    <w:rsid w:val="00B044DE"/>
    <w:rsid w:val="00B70E81"/>
    <w:rsid w:val="00BA5F72"/>
    <w:rsid w:val="00DC2725"/>
    <w:rsid w:val="00E25538"/>
    <w:rsid w:val="00E42DEA"/>
    <w:rsid w:val="00F76DE4"/>
    <w:rsid w:val="00FA6A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25"/>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5D3"/>
    <w:rPr>
      <w:lang w:val="en-US"/>
    </w:rPr>
  </w:style>
  <w:style w:type="paragraph" w:styleId="Footer">
    <w:name w:val="footer"/>
    <w:basedOn w:val="Normal"/>
    <w:link w:val="FooterChar"/>
    <w:uiPriority w:val="99"/>
    <w:unhideWhenUsed/>
    <w:rsid w:val="00925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5D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25"/>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5D3"/>
    <w:rPr>
      <w:lang w:val="en-US"/>
    </w:rPr>
  </w:style>
  <w:style w:type="paragraph" w:styleId="Footer">
    <w:name w:val="footer"/>
    <w:basedOn w:val="Normal"/>
    <w:link w:val="FooterChar"/>
    <w:uiPriority w:val="99"/>
    <w:unhideWhenUsed/>
    <w:rsid w:val="00925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5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985">
      <w:bodyDiv w:val="1"/>
      <w:marLeft w:val="0"/>
      <w:marRight w:val="0"/>
      <w:marTop w:val="0"/>
      <w:marBottom w:val="0"/>
      <w:divBdr>
        <w:top w:val="none" w:sz="0" w:space="0" w:color="auto"/>
        <w:left w:val="none" w:sz="0" w:space="0" w:color="auto"/>
        <w:bottom w:val="none" w:sz="0" w:space="0" w:color="auto"/>
        <w:right w:val="none" w:sz="0" w:space="0" w:color="auto"/>
      </w:divBdr>
    </w:div>
    <w:div w:id="66349358">
      <w:bodyDiv w:val="1"/>
      <w:marLeft w:val="0"/>
      <w:marRight w:val="0"/>
      <w:marTop w:val="0"/>
      <w:marBottom w:val="0"/>
      <w:divBdr>
        <w:top w:val="none" w:sz="0" w:space="0" w:color="auto"/>
        <w:left w:val="none" w:sz="0" w:space="0" w:color="auto"/>
        <w:bottom w:val="none" w:sz="0" w:space="0" w:color="auto"/>
        <w:right w:val="none" w:sz="0" w:space="0" w:color="auto"/>
      </w:divBdr>
    </w:div>
    <w:div w:id="278533015">
      <w:bodyDiv w:val="1"/>
      <w:marLeft w:val="0"/>
      <w:marRight w:val="0"/>
      <w:marTop w:val="0"/>
      <w:marBottom w:val="0"/>
      <w:divBdr>
        <w:top w:val="none" w:sz="0" w:space="0" w:color="auto"/>
        <w:left w:val="none" w:sz="0" w:space="0" w:color="auto"/>
        <w:bottom w:val="none" w:sz="0" w:space="0" w:color="auto"/>
        <w:right w:val="none" w:sz="0" w:space="0" w:color="auto"/>
      </w:divBdr>
    </w:div>
    <w:div w:id="298922004">
      <w:bodyDiv w:val="1"/>
      <w:marLeft w:val="0"/>
      <w:marRight w:val="0"/>
      <w:marTop w:val="0"/>
      <w:marBottom w:val="0"/>
      <w:divBdr>
        <w:top w:val="none" w:sz="0" w:space="0" w:color="auto"/>
        <w:left w:val="none" w:sz="0" w:space="0" w:color="auto"/>
        <w:bottom w:val="none" w:sz="0" w:space="0" w:color="auto"/>
        <w:right w:val="none" w:sz="0" w:space="0" w:color="auto"/>
      </w:divBdr>
    </w:div>
    <w:div w:id="321856668">
      <w:bodyDiv w:val="1"/>
      <w:marLeft w:val="0"/>
      <w:marRight w:val="0"/>
      <w:marTop w:val="0"/>
      <w:marBottom w:val="0"/>
      <w:divBdr>
        <w:top w:val="none" w:sz="0" w:space="0" w:color="auto"/>
        <w:left w:val="none" w:sz="0" w:space="0" w:color="auto"/>
        <w:bottom w:val="none" w:sz="0" w:space="0" w:color="auto"/>
        <w:right w:val="none" w:sz="0" w:space="0" w:color="auto"/>
      </w:divBdr>
    </w:div>
    <w:div w:id="424115078">
      <w:bodyDiv w:val="1"/>
      <w:marLeft w:val="0"/>
      <w:marRight w:val="0"/>
      <w:marTop w:val="0"/>
      <w:marBottom w:val="0"/>
      <w:divBdr>
        <w:top w:val="none" w:sz="0" w:space="0" w:color="auto"/>
        <w:left w:val="none" w:sz="0" w:space="0" w:color="auto"/>
        <w:bottom w:val="none" w:sz="0" w:space="0" w:color="auto"/>
        <w:right w:val="none" w:sz="0" w:space="0" w:color="auto"/>
      </w:divBdr>
    </w:div>
    <w:div w:id="426317562">
      <w:bodyDiv w:val="1"/>
      <w:marLeft w:val="0"/>
      <w:marRight w:val="0"/>
      <w:marTop w:val="0"/>
      <w:marBottom w:val="0"/>
      <w:divBdr>
        <w:top w:val="none" w:sz="0" w:space="0" w:color="auto"/>
        <w:left w:val="none" w:sz="0" w:space="0" w:color="auto"/>
        <w:bottom w:val="none" w:sz="0" w:space="0" w:color="auto"/>
        <w:right w:val="none" w:sz="0" w:space="0" w:color="auto"/>
      </w:divBdr>
    </w:div>
    <w:div w:id="574557329">
      <w:bodyDiv w:val="1"/>
      <w:marLeft w:val="0"/>
      <w:marRight w:val="0"/>
      <w:marTop w:val="0"/>
      <w:marBottom w:val="0"/>
      <w:divBdr>
        <w:top w:val="none" w:sz="0" w:space="0" w:color="auto"/>
        <w:left w:val="none" w:sz="0" w:space="0" w:color="auto"/>
        <w:bottom w:val="none" w:sz="0" w:space="0" w:color="auto"/>
        <w:right w:val="none" w:sz="0" w:space="0" w:color="auto"/>
      </w:divBdr>
    </w:div>
    <w:div w:id="575477168">
      <w:bodyDiv w:val="1"/>
      <w:marLeft w:val="0"/>
      <w:marRight w:val="0"/>
      <w:marTop w:val="0"/>
      <w:marBottom w:val="0"/>
      <w:divBdr>
        <w:top w:val="none" w:sz="0" w:space="0" w:color="auto"/>
        <w:left w:val="none" w:sz="0" w:space="0" w:color="auto"/>
        <w:bottom w:val="none" w:sz="0" w:space="0" w:color="auto"/>
        <w:right w:val="none" w:sz="0" w:space="0" w:color="auto"/>
      </w:divBdr>
    </w:div>
    <w:div w:id="581138946">
      <w:bodyDiv w:val="1"/>
      <w:marLeft w:val="0"/>
      <w:marRight w:val="0"/>
      <w:marTop w:val="0"/>
      <w:marBottom w:val="0"/>
      <w:divBdr>
        <w:top w:val="none" w:sz="0" w:space="0" w:color="auto"/>
        <w:left w:val="none" w:sz="0" w:space="0" w:color="auto"/>
        <w:bottom w:val="none" w:sz="0" w:space="0" w:color="auto"/>
        <w:right w:val="none" w:sz="0" w:space="0" w:color="auto"/>
      </w:divBdr>
    </w:div>
    <w:div w:id="613175677">
      <w:bodyDiv w:val="1"/>
      <w:marLeft w:val="0"/>
      <w:marRight w:val="0"/>
      <w:marTop w:val="0"/>
      <w:marBottom w:val="0"/>
      <w:divBdr>
        <w:top w:val="none" w:sz="0" w:space="0" w:color="auto"/>
        <w:left w:val="none" w:sz="0" w:space="0" w:color="auto"/>
        <w:bottom w:val="none" w:sz="0" w:space="0" w:color="auto"/>
        <w:right w:val="none" w:sz="0" w:space="0" w:color="auto"/>
      </w:divBdr>
    </w:div>
    <w:div w:id="983048411">
      <w:bodyDiv w:val="1"/>
      <w:marLeft w:val="0"/>
      <w:marRight w:val="0"/>
      <w:marTop w:val="0"/>
      <w:marBottom w:val="0"/>
      <w:divBdr>
        <w:top w:val="none" w:sz="0" w:space="0" w:color="auto"/>
        <w:left w:val="none" w:sz="0" w:space="0" w:color="auto"/>
        <w:bottom w:val="none" w:sz="0" w:space="0" w:color="auto"/>
        <w:right w:val="none" w:sz="0" w:space="0" w:color="auto"/>
      </w:divBdr>
    </w:div>
    <w:div w:id="1226835042">
      <w:bodyDiv w:val="1"/>
      <w:marLeft w:val="0"/>
      <w:marRight w:val="0"/>
      <w:marTop w:val="0"/>
      <w:marBottom w:val="0"/>
      <w:divBdr>
        <w:top w:val="none" w:sz="0" w:space="0" w:color="auto"/>
        <w:left w:val="none" w:sz="0" w:space="0" w:color="auto"/>
        <w:bottom w:val="none" w:sz="0" w:space="0" w:color="auto"/>
        <w:right w:val="none" w:sz="0" w:space="0" w:color="auto"/>
      </w:divBdr>
    </w:div>
    <w:div w:id="1229531341">
      <w:bodyDiv w:val="1"/>
      <w:marLeft w:val="0"/>
      <w:marRight w:val="0"/>
      <w:marTop w:val="0"/>
      <w:marBottom w:val="0"/>
      <w:divBdr>
        <w:top w:val="none" w:sz="0" w:space="0" w:color="auto"/>
        <w:left w:val="none" w:sz="0" w:space="0" w:color="auto"/>
        <w:bottom w:val="none" w:sz="0" w:space="0" w:color="auto"/>
        <w:right w:val="none" w:sz="0" w:space="0" w:color="auto"/>
      </w:divBdr>
    </w:div>
    <w:div w:id="1344433104">
      <w:bodyDiv w:val="1"/>
      <w:marLeft w:val="0"/>
      <w:marRight w:val="0"/>
      <w:marTop w:val="0"/>
      <w:marBottom w:val="0"/>
      <w:divBdr>
        <w:top w:val="none" w:sz="0" w:space="0" w:color="auto"/>
        <w:left w:val="none" w:sz="0" w:space="0" w:color="auto"/>
        <w:bottom w:val="none" w:sz="0" w:space="0" w:color="auto"/>
        <w:right w:val="none" w:sz="0" w:space="0" w:color="auto"/>
      </w:divBdr>
    </w:div>
    <w:div w:id="1405253644">
      <w:bodyDiv w:val="1"/>
      <w:marLeft w:val="0"/>
      <w:marRight w:val="0"/>
      <w:marTop w:val="0"/>
      <w:marBottom w:val="0"/>
      <w:divBdr>
        <w:top w:val="none" w:sz="0" w:space="0" w:color="auto"/>
        <w:left w:val="none" w:sz="0" w:space="0" w:color="auto"/>
        <w:bottom w:val="none" w:sz="0" w:space="0" w:color="auto"/>
        <w:right w:val="none" w:sz="0" w:space="0" w:color="auto"/>
      </w:divBdr>
    </w:div>
    <w:div w:id="1431009507">
      <w:bodyDiv w:val="1"/>
      <w:marLeft w:val="0"/>
      <w:marRight w:val="0"/>
      <w:marTop w:val="0"/>
      <w:marBottom w:val="0"/>
      <w:divBdr>
        <w:top w:val="none" w:sz="0" w:space="0" w:color="auto"/>
        <w:left w:val="none" w:sz="0" w:space="0" w:color="auto"/>
        <w:bottom w:val="none" w:sz="0" w:space="0" w:color="auto"/>
        <w:right w:val="none" w:sz="0" w:space="0" w:color="auto"/>
      </w:divBdr>
    </w:div>
    <w:div w:id="1539076706">
      <w:bodyDiv w:val="1"/>
      <w:marLeft w:val="0"/>
      <w:marRight w:val="0"/>
      <w:marTop w:val="0"/>
      <w:marBottom w:val="0"/>
      <w:divBdr>
        <w:top w:val="none" w:sz="0" w:space="0" w:color="auto"/>
        <w:left w:val="none" w:sz="0" w:space="0" w:color="auto"/>
        <w:bottom w:val="none" w:sz="0" w:space="0" w:color="auto"/>
        <w:right w:val="none" w:sz="0" w:space="0" w:color="auto"/>
      </w:divBdr>
    </w:div>
    <w:div w:id="1580869090">
      <w:bodyDiv w:val="1"/>
      <w:marLeft w:val="0"/>
      <w:marRight w:val="0"/>
      <w:marTop w:val="0"/>
      <w:marBottom w:val="0"/>
      <w:divBdr>
        <w:top w:val="none" w:sz="0" w:space="0" w:color="auto"/>
        <w:left w:val="none" w:sz="0" w:space="0" w:color="auto"/>
        <w:bottom w:val="none" w:sz="0" w:space="0" w:color="auto"/>
        <w:right w:val="none" w:sz="0" w:space="0" w:color="auto"/>
      </w:divBdr>
    </w:div>
    <w:div w:id="1695422362">
      <w:bodyDiv w:val="1"/>
      <w:marLeft w:val="0"/>
      <w:marRight w:val="0"/>
      <w:marTop w:val="0"/>
      <w:marBottom w:val="0"/>
      <w:divBdr>
        <w:top w:val="none" w:sz="0" w:space="0" w:color="auto"/>
        <w:left w:val="none" w:sz="0" w:space="0" w:color="auto"/>
        <w:bottom w:val="none" w:sz="0" w:space="0" w:color="auto"/>
        <w:right w:val="none" w:sz="0" w:space="0" w:color="auto"/>
      </w:divBdr>
    </w:div>
    <w:div w:id="1720519468">
      <w:bodyDiv w:val="1"/>
      <w:marLeft w:val="0"/>
      <w:marRight w:val="0"/>
      <w:marTop w:val="0"/>
      <w:marBottom w:val="0"/>
      <w:divBdr>
        <w:top w:val="none" w:sz="0" w:space="0" w:color="auto"/>
        <w:left w:val="none" w:sz="0" w:space="0" w:color="auto"/>
        <w:bottom w:val="none" w:sz="0" w:space="0" w:color="auto"/>
        <w:right w:val="none" w:sz="0" w:space="0" w:color="auto"/>
      </w:divBdr>
    </w:div>
    <w:div w:id="18918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9670106177140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93/oxfordjournals.afraf.a0383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62/0020818985507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93/afraf/adu083" TargetMode="External"/><Relationship Id="rId4" Type="http://schemas.openxmlformats.org/officeDocument/2006/relationships/settings" Target="settings.xml"/><Relationship Id="rId9" Type="http://schemas.openxmlformats.org/officeDocument/2006/relationships/hyperlink" Target="https://doi.org/10.3316/QRJ0902027" TargetMode="External"/><Relationship Id="rId14" Type="http://schemas.openxmlformats.org/officeDocument/2006/relationships/hyperlink" Target="https://doi.org/10.1080/10246029.2020.1769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10</Pages>
  <Words>5601</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19</cp:revision>
  <dcterms:created xsi:type="dcterms:W3CDTF">2026-05-18T14:45:00Z</dcterms:created>
  <dcterms:modified xsi:type="dcterms:W3CDTF">2026-05-19T12:03:00Z</dcterms:modified>
</cp:coreProperties>
</file>