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5F9" w:rsidRPr="008F75F9" w:rsidRDefault="008F75F9" w:rsidP="00D07AD7">
      <w:pPr>
        <w:spacing w:before="120" w:after="80"/>
        <w:jc w:val="center"/>
        <w:rPr>
          <w:rFonts w:ascii="Times New Roman" w:hAnsi="Times New Roman" w:cs="Times New Roman"/>
          <w:sz w:val="36"/>
        </w:rPr>
      </w:pPr>
      <w:r w:rsidRPr="008F75F9">
        <w:rPr>
          <w:rFonts w:ascii="Times New Roman" w:hAnsi="Times New Roman" w:cs="Times New Roman"/>
          <w:sz w:val="32"/>
        </w:rPr>
        <w:t>Branding–Measurement Integration in the Digital Era: An Empirical Study of Adobe’s AI-Driven Marketing Ecosystem</w:t>
      </w:r>
    </w:p>
    <w:p w:rsidR="000425A3" w:rsidRDefault="000425A3" w:rsidP="00036717">
      <w:pPr>
        <w:pStyle w:val="Heading1"/>
        <w:spacing w:before="360" w:after="120" w:line="276" w:lineRule="auto"/>
      </w:pPr>
      <w:bookmarkStart w:id="0" w:name="_GoBack"/>
      <w:bookmarkEnd w:id="0"/>
      <w:r>
        <w:t>Abstract</w:t>
      </w:r>
    </w:p>
    <w:p w:rsidR="00EC733E" w:rsidRDefault="00EC733E" w:rsidP="00036717">
      <w:pPr>
        <w:spacing w:line="276" w:lineRule="auto"/>
        <w:jc w:val="both"/>
        <w:rPr>
          <w:rFonts w:ascii="Times New Roman" w:hAnsi="Times New Roman" w:cs="Times New Roman"/>
          <w:sz w:val="24"/>
        </w:rPr>
      </w:pPr>
      <w:r w:rsidRPr="00EC733E">
        <w:rPr>
          <w:rFonts w:ascii="Times New Roman" w:hAnsi="Times New Roman" w:cs="Times New Roman"/>
          <w:sz w:val="24"/>
        </w:rPr>
        <w:t>Organizations operating in today's digital business world must realize that brand-building and measuring marketing performance are two functions that are intuitively dependent upon each other. When companies invest in creating brands but do not implement brand-measuring techniques, they lack the level of accountability that these types of brands provide. Likewise, organizations focusing only on metrics without maintaining a cohesive brand to measure against cannot generate enough consistent signals to allow evaluation to occur. Adobe, Inc. is a prime example of an organization that uses an integrated suite of digital tools for creating brand content and measuring the performance of that content — i.e., when you look at how Adobe's ecosystem of creative, documents, and analytics tools (Adobe Express, Photoshop, Illustrator, Acrobat, Adobe Analytics, and Adobe Firefly) provide a cohesive technology platform to create product brands and measure the performance of product brands from a unified standpoint. This paper includes a review of how Adobe's digital tools can enable businesses to create effective product brands and measure the marketing performance of those products. The original research project involved collecting primary data from 120 participants across various institutional types in Madhya Pradesh, India; the research design is descriptive quantitative in nature, with the questionnaire consisting of a structured Likert-type scale. Data indicate that respondents generally agree that Adobe tools contribute to visual consistency for a brand (M=4.07), professional campaigns (M=4.08) and build institutional reliability (M=4.15). Respondents also positively view analytics-supported decision making (M=3.90) and clarity of return on investment for use of analytic tools (M=3.76); however, these outcomes have been reported to be further behind in development than the previous measures. This research maps the Adobe tool ecosystem onto the dual needs of a brand (branding and measurement) and identifies the implementation hurdles organizations face, and presents a multi-phase implementation framework for maximizing brand and measurement benefits. Findings provide theoretical contributions to the literature on digital marketing capabilities, brand management technology, and the integration of creative and analytical functions within a company's digital business ecosystem.</w:t>
      </w:r>
    </w:p>
    <w:p w:rsidR="00EC733E" w:rsidRDefault="00EC733E" w:rsidP="00036717">
      <w:pPr>
        <w:spacing w:line="276" w:lineRule="auto"/>
        <w:jc w:val="both"/>
        <w:rPr>
          <w:rFonts w:ascii="Times New Roman" w:hAnsi="Times New Roman" w:cs="Times New Roman"/>
          <w:sz w:val="24"/>
        </w:rPr>
      </w:pPr>
    </w:p>
    <w:p w:rsidR="00EC733E" w:rsidRDefault="00EC733E" w:rsidP="00036717">
      <w:pPr>
        <w:spacing w:before="80" w:after="100" w:line="276" w:lineRule="auto"/>
        <w:jc w:val="both"/>
        <w:rPr>
          <w:rFonts w:ascii="Times New Roman" w:hAnsi="Times New Roman" w:cs="Times New Roman"/>
          <w:iCs/>
          <w:sz w:val="24"/>
        </w:rPr>
      </w:pPr>
      <w:r w:rsidRPr="00EC733E">
        <w:rPr>
          <w:rFonts w:ascii="Times New Roman" w:hAnsi="Times New Roman" w:cs="Times New Roman"/>
          <w:b/>
          <w:bCs/>
        </w:rPr>
        <w:t>Keywords:</w:t>
      </w:r>
      <w:r>
        <w:rPr>
          <w:b/>
          <w:bCs/>
        </w:rPr>
        <w:t xml:space="preserve"> </w:t>
      </w:r>
      <w:r w:rsidRPr="00EC733E">
        <w:rPr>
          <w:rFonts w:ascii="Times New Roman" w:hAnsi="Times New Roman" w:cs="Times New Roman"/>
          <w:iCs/>
          <w:sz w:val="24"/>
        </w:rPr>
        <w:t>Adobe digital tools; product branding; performance measurement; digital marketing; brand consistency; content analytics; marketing technology; B2B communication; brand governance</w:t>
      </w:r>
      <w:r>
        <w:rPr>
          <w:rFonts w:ascii="Times New Roman" w:hAnsi="Times New Roman" w:cs="Times New Roman"/>
          <w:iCs/>
          <w:sz w:val="24"/>
        </w:rPr>
        <w:t>.</w:t>
      </w:r>
    </w:p>
    <w:p w:rsidR="00EC733E" w:rsidRDefault="00EC733E" w:rsidP="00036717">
      <w:pPr>
        <w:spacing w:before="80" w:after="100" w:line="276" w:lineRule="auto"/>
        <w:jc w:val="both"/>
        <w:rPr>
          <w:rFonts w:ascii="Times New Roman" w:hAnsi="Times New Roman" w:cs="Times New Roman"/>
          <w:b/>
          <w:iCs/>
          <w:sz w:val="28"/>
        </w:rPr>
      </w:pPr>
      <w:r w:rsidRPr="00EC733E">
        <w:rPr>
          <w:rFonts w:ascii="Times New Roman" w:hAnsi="Times New Roman" w:cs="Times New Roman"/>
          <w:b/>
          <w:iCs/>
          <w:sz w:val="28"/>
        </w:rPr>
        <w:t xml:space="preserve">Introduction- </w:t>
      </w:r>
    </w:p>
    <w:p w:rsidR="00C60CD3" w:rsidRDefault="00C60CD3" w:rsidP="00036717">
      <w:pPr>
        <w:spacing w:before="80" w:after="100" w:line="276" w:lineRule="auto"/>
        <w:jc w:val="both"/>
        <w:rPr>
          <w:rFonts w:ascii="Times New Roman" w:hAnsi="Times New Roman" w:cs="Times New Roman"/>
          <w:b/>
          <w:iCs/>
          <w:sz w:val="28"/>
        </w:rPr>
      </w:pPr>
      <w:r w:rsidRPr="00C60CD3">
        <w:rPr>
          <w:rFonts w:ascii="Times New Roman" w:hAnsi="Times New Roman" w:cs="Times New Roman"/>
          <w:sz w:val="24"/>
        </w:rPr>
        <w:t xml:space="preserve">Even though traditional branding (i.e., logo, color and tag line) was viewed as primarily a creative/aesthetic function/discipline in the past; branding (i.e., the process of digital marketing and creating brands) now has multi-dimensional, strategic, and (i.e., having both physical and digital components) elements associated with them (Keller 2013; Chaffey &amp; Ellis-Chadwick 2019), and every product catalog, proposal, post on social media, email </w:t>
      </w:r>
      <w:r w:rsidRPr="00C60CD3">
        <w:rPr>
          <w:rFonts w:ascii="Times New Roman" w:hAnsi="Times New Roman" w:cs="Times New Roman"/>
          <w:sz w:val="24"/>
        </w:rPr>
        <w:lastRenderedPageBreak/>
        <w:t>template and advertisement are 'branding moments' for the business that either reaffirm or weaken the brand; therefore, it is very challenging for an organization to manage 'branding moments' at such a large scale while creating consistency, efficiency and (i.e., organizations need to be able to assign measurable accountability to their branding activities) through branding, (Kotler &amp; Keller 2016); thus, organizations are under increasing pressure to demonstrate their branding investments provide measurable economic value (Rust, Lemon and Zeithaml 2004).</w:t>
      </w:r>
    </w:p>
    <w:p w:rsidR="00C60CD3" w:rsidRPr="00C60CD3" w:rsidRDefault="00C60CD3" w:rsidP="00036717">
      <w:pPr>
        <w:spacing w:before="80" w:after="100" w:line="276" w:lineRule="auto"/>
        <w:jc w:val="both"/>
        <w:rPr>
          <w:rFonts w:ascii="Times New Roman" w:hAnsi="Times New Roman" w:cs="Times New Roman"/>
          <w:sz w:val="24"/>
        </w:rPr>
      </w:pPr>
      <w:r w:rsidRPr="00C60CD3">
        <w:rPr>
          <w:rFonts w:ascii="Times New Roman" w:hAnsi="Times New Roman" w:cs="Times New Roman"/>
          <w:sz w:val="24"/>
        </w:rPr>
        <w:t>The emergence of digital analytics has drastically changed the way we measure brand performance from traditional forms of assessment (e.g., sales analytics; consumer surveys) to rapid, real-time assessment using data-driven assessment mechanisms (Wedel &amp; Kannan, 2016). Measuring the performance of a brand campaign is now possible at the asset level, while the effectiveness of content can be measured through average dwell time, click-through rates (CTR) and conversion paths. Additionally, AI-enhanced analysis tools provide a means for brand sentiment assessments across many different digital channels (Tiago &amp; Veríssimo, 2014). Moreover, the merging of brand creation functions with measurement has resulted in the modification of marketing organizational structures, as the previously different functions of creativity and analysis that were once supported by different teams using disparate tools are now coming together into a single digital marketing ecosystem (Holliman &amp; Rowley, 2014).</w:t>
      </w:r>
    </w:p>
    <w:p w:rsidR="00C60CD3" w:rsidRPr="00C60CD3" w:rsidRDefault="00C60CD3" w:rsidP="00036717">
      <w:pPr>
        <w:spacing w:before="80" w:after="100" w:line="276" w:lineRule="auto"/>
        <w:jc w:val="both"/>
        <w:rPr>
          <w:rFonts w:ascii="Times New Roman" w:hAnsi="Times New Roman" w:cs="Times New Roman"/>
          <w:sz w:val="24"/>
        </w:rPr>
      </w:pPr>
      <w:r w:rsidRPr="00C60CD3">
        <w:rPr>
          <w:rFonts w:ascii="Times New Roman" w:hAnsi="Times New Roman" w:cs="Times New Roman"/>
          <w:sz w:val="24"/>
        </w:rPr>
        <w:t>This integration is spearheaded by Adobe Inc., which has created a well-rounded understanding of the connections made from many years of developing various software programs and obtaining other software developers as well as creating an Enterprise Solutions Marketing strategy that creates an unlimited range of tools that can assist in creating all types of layouts for the way a brand or corporation enga</w:t>
      </w:r>
      <w:r>
        <w:rPr>
          <w:rFonts w:ascii="Times New Roman" w:hAnsi="Times New Roman" w:cs="Times New Roman"/>
          <w:sz w:val="24"/>
        </w:rPr>
        <w:t xml:space="preserve">ges with their target audience. </w:t>
      </w:r>
      <w:r w:rsidRPr="00C60CD3">
        <w:rPr>
          <w:rFonts w:ascii="Times New Roman" w:hAnsi="Times New Roman" w:cs="Times New Roman"/>
          <w:sz w:val="24"/>
        </w:rPr>
        <w:t>The tools that Adobe provides in the ways of traditional creative applications to create visual content would include Adobe Photoshop, Adobe Illustrator, Adobe Express, and Adobe Firefly; creating documents and creating efficiencies in the workflow for producing those documents through Adobe Acrobat and Adobe InDesign; and finally, developing advanced analytics platforms for evaluating customer experience, customer journey, and assessing the effectiveness of any content created by an organization, such as Adobe Analytics, Customer Journey Analytics, and Content Analytics. There is no other company that can provide you with the same type of integrated platform between creativity and analytics related to brand management through the use of enterprise class software applications (Adobe, 2024).</w:t>
      </w:r>
    </w:p>
    <w:p w:rsidR="00C60CD3" w:rsidRPr="00EC733E" w:rsidRDefault="00C60CD3" w:rsidP="00036717">
      <w:pPr>
        <w:spacing w:before="80" w:after="100" w:line="276" w:lineRule="auto"/>
        <w:jc w:val="both"/>
        <w:rPr>
          <w:rFonts w:ascii="Times New Roman" w:hAnsi="Times New Roman" w:cs="Times New Roman"/>
          <w:b/>
          <w:sz w:val="28"/>
        </w:rPr>
      </w:pPr>
      <w:r w:rsidRPr="00C60CD3">
        <w:rPr>
          <w:rFonts w:ascii="Times New Roman" w:hAnsi="Times New Roman" w:cs="Times New Roman"/>
          <w:sz w:val="24"/>
        </w:rPr>
        <w:t xml:space="preserve">This study analyzes how Adobe's digital tools enhance the effectiveness of branding and measuring marketing performance by looking at three aspects: (1) Adobe Creative Tools provide a consistent and professional looking product for your branded content (2) Adobe Document and Workflow Tools provide scalable/standardized communication of your branded message, while (3) Adobe Analytics provides evidence that your content is having an effect and allowing you to manage your brand's performance. The researcher are also studying challenges to implement Adobe Digital Tools and make recommendations for a phased approach to maximize the dual benefits of creating brands and evaluating brand performance. This research contributes to the literature on digital marketing capabilities, the adoption of marketing technologies and the integration of creative and analytical functions in </w:t>
      </w:r>
      <w:r w:rsidRPr="00C60CD3">
        <w:rPr>
          <w:rFonts w:ascii="Times New Roman" w:hAnsi="Times New Roman" w:cs="Times New Roman"/>
          <w:sz w:val="24"/>
        </w:rPr>
        <w:lastRenderedPageBreak/>
        <w:t>the strategic management of brands within the context of the transformation of digital marketing (Kaplan &amp; Haenlein, 2010; Verhoef et al., 2021). To conduct this research, the researcher conducted a survey of 120 respondents from an institution in Madhya Pradesh, using a mix of the scholarly literature available published by Adobe and multiple industry surveys.</w:t>
      </w:r>
    </w:p>
    <w:p w:rsidR="00B1192A" w:rsidRPr="007567E9" w:rsidRDefault="00B1192A" w:rsidP="00036717">
      <w:pPr>
        <w:pStyle w:val="Heading1"/>
        <w:spacing w:line="276" w:lineRule="auto"/>
      </w:pPr>
      <w:r w:rsidRPr="007567E9">
        <w:rPr>
          <w:rFonts w:eastAsia="Arial"/>
          <w:color w:val="1B3A6B"/>
          <w:sz w:val="30"/>
          <w:szCs w:val="30"/>
        </w:rPr>
        <w:t>Literature Review</w:t>
      </w:r>
    </w:p>
    <w:p w:rsidR="00B1192A" w:rsidRPr="007567E9" w:rsidRDefault="00B1192A" w:rsidP="00036717">
      <w:pPr>
        <w:pStyle w:val="Heading2"/>
        <w:spacing w:line="276" w:lineRule="auto"/>
        <w:rPr>
          <w:rFonts w:ascii="Times New Roman" w:eastAsia="Arial" w:hAnsi="Times New Roman" w:cs="Times New Roman"/>
          <w:color w:val="2E6DA4"/>
          <w:sz w:val="28"/>
          <w:szCs w:val="24"/>
        </w:rPr>
      </w:pPr>
      <w:r w:rsidRPr="007567E9">
        <w:rPr>
          <w:rFonts w:ascii="Times New Roman" w:eastAsia="Arial" w:hAnsi="Times New Roman" w:cs="Times New Roman"/>
          <w:color w:val="2E6DA4"/>
          <w:sz w:val="28"/>
          <w:szCs w:val="24"/>
        </w:rPr>
        <w:t>Product Branding in the Digital Era</w:t>
      </w:r>
    </w:p>
    <w:p w:rsidR="00B1192A" w:rsidRPr="007567E9" w:rsidRDefault="00B1192A" w:rsidP="00036717">
      <w:pPr>
        <w:spacing w:line="276" w:lineRule="auto"/>
        <w:jc w:val="both"/>
        <w:rPr>
          <w:rFonts w:ascii="Times New Roman" w:hAnsi="Times New Roman" w:cs="Times New Roman"/>
          <w:sz w:val="24"/>
        </w:rPr>
      </w:pPr>
    </w:p>
    <w:p w:rsidR="00B1192A" w:rsidRPr="00B1192A" w:rsidRDefault="00B1192A" w:rsidP="00036717">
      <w:pPr>
        <w:spacing w:line="276" w:lineRule="auto"/>
        <w:jc w:val="both"/>
        <w:rPr>
          <w:rFonts w:ascii="Times New Roman" w:hAnsi="Times New Roman" w:cs="Times New Roman"/>
          <w:sz w:val="24"/>
        </w:rPr>
      </w:pPr>
      <w:r w:rsidRPr="00B1192A">
        <w:rPr>
          <w:rFonts w:ascii="Times New Roman" w:hAnsi="Times New Roman" w:cs="Times New Roman"/>
          <w:sz w:val="24"/>
        </w:rPr>
        <w:t>Branding for products in a digital environment is managed in a qualitatively different manner than in an analogue, or physical world. Kapferer (2012), showed that the brand identity of a company is communicated by a network of combined visual, verbal and behavioural signals used consistently across all points of interaction between the company and the its customers. As the number and type of digital points of interaction between companies and their customers has increased dramatically, maintaining an even greater focus on consistency across these points without the assistance of technology has become increasingly challenging.</w:t>
      </w:r>
    </w:p>
    <w:p w:rsidR="00B1192A" w:rsidRDefault="00B1192A" w:rsidP="00036717">
      <w:pPr>
        <w:spacing w:line="276" w:lineRule="auto"/>
        <w:jc w:val="both"/>
        <w:rPr>
          <w:rFonts w:ascii="Times New Roman" w:hAnsi="Times New Roman" w:cs="Times New Roman"/>
          <w:sz w:val="24"/>
        </w:rPr>
      </w:pPr>
      <w:r w:rsidRPr="00B1192A">
        <w:rPr>
          <w:rFonts w:ascii="Times New Roman" w:hAnsi="Times New Roman" w:cs="Times New Roman"/>
          <w:sz w:val="24"/>
        </w:rPr>
        <w:t>The study conducted by Homburg, Schwemmle and Kuehnl (2022) provides one of the most extensive analyses into the relationships that exist between digital marketing capability and the financial performance of an organisation, showing that organisations with a higher digital marketing capability have more profitable companies than their lower capability counterparts, based upon traditional forms of marketing capability alone. Their capability-based approach serves as a valuable theoretical foundation upon which to investigate the use of Adobe tools as tools of an organisation's digital branding architecture and not simply as software products, but rather, as strategic resources whose value is created through their purposeful application.</w:t>
      </w:r>
      <w:r w:rsidRPr="00B1192A">
        <w:t xml:space="preserve"> </w:t>
      </w:r>
      <w:r w:rsidRPr="00B1192A">
        <w:rPr>
          <w:rFonts w:ascii="Times New Roman" w:hAnsi="Times New Roman" w:cs="Times New Roman"/>
          <w:sz w:val="24"/>
        </w:rPr>
        <w:t>In their paper “The Evolution of Digital Brand Equity: An Examination of the Conceptual Framework” France, Davcik &amp; Kazandjian (2025) proposed that traditional measures of brand equity are inadequate for measuring the impact of brands in today’s digital world and that new measures will need to be developed that incorporate components such as share of search, awareness and positive digital sentiment in order to quantify value creation through the internet. This conceptual framework clearly positions product branding as both an intellectual creation and an economic asset; a concept that can be directly supported by Adobe’s analytical platform.</w:t>
      </w:r>
    </w:p>
    <w:p w:rsidR="00B1192A" w:rsidRPr="007567E9" w:rsidRDefault="00B1192A" w:rsidP="00036717">
      <w:pPr>
        <w:pStyle w:val="Heading2"/>
        <w:spacing w:line="276" w:lineRule="auto"/>
        <w:rPr>
          <w:rFonts w:ascii="Times New Roman" w:eastAsia="Arial" w:hAnsi="Times New Roman" w:cs="Times New Roman"/>
          <w:color w:val="2E6DA4"/>
          <w:sz w:val="28"/>
          <w:szCs w:val="24"/>
        </w:rPr>
      </w:pPr>
      <w:r w:rsidRPr="007567E9">
        <w:rPr>
          <w:rFonts w:ascii="Times New Roman" w:eastAsia="Arial" w:hAnsi="Times New Roman" w:cs="Times New Roman"/>
          <w:color w:val="2E6DA4"/>
          <w:sz w:val="28"/>
          <w:szCs w:val="24"/>
        </w:rPr>
        <w:t xml:space="preserve"> Performance Measurement in Digital Marketing</w:t>
      </w:r>
    </w:p>
    <w:p w:rsidR="00B1192A" w:rsidRPr="00B1192A" w:rsidRDefault="00B1192A" w:rsidP="00036717">
      <w:pPr>
        <w:spacing w:line="276" w:lineRule="auto"/>
      </w:pPr>
    </w:p>
    <w:p w:rsidR="00B1192A" w:rsidRDefault="00B1192A" w:rsidP="00036717">
      <w:pPr>
        <w:spacing w:line="276" w:lineRule="auto"/>
        <w:jc w:val="both"/>
        <w:rPr>
          <w:rFonts w:ascii="Times New Roman" w:hAnsi="Times New Roman" w:cs="Times New Roman"/>
          <w:sz w:val="24"/>
        </w:rPr>
      </w:pPr>
      <w:r w:rsidRPr="00B1192A">
        <w:rPr>
          <w:rFonts w:ascii="Times New Roman" w:hAnsi="Times New Roman" w:cs="Times New Roman"/>
          <w:sz w:val="24"/>
        </w:rPr>
        <w:t xml:space="preserve">The work by Järvinen and Karjaluoto (2015) makes a significant contribution to our understanding of how digital marketing performance can be measured. They established that the value derived from web analytics is dependent upon an organisation’s ability to align its performance indicators with its strategic direction, and then utilise these indicators for its decision making at an operational level. Their results show that merely having access to measurement tools does not immediately provide an organisation with managerially useful insights, and that developing a capability for using analytical data strategically must occur at the same time the tools are being developed. Evidence of the need for improved social media </w:t>
      </w:r>
      <w:r w:rsidRPr="00B1192A">
        <w:rPr>
          <w:rFonts w:ascii="Times New Roman" w:hAnsi="Times New Roman" w:cs="Times New Roman"/>
          <w:sz w:val="24"/>
        </w:rPr>
        <w:lastRenderedPageBreak/>
        <w:t>engagement metrics comes from Trunfio and Rossi (2021), who completeda systematic review of the literature regarding social media engagement and determined that there are many more dimensions to measuring a brand’s digital interactions than simplistic engagement metrics. They suggest that a comprehensive measurement framework must include content relevance, repeat interactions, time spent on an asset, and downstream behavioural indicators. This finding is relevant for developing an effective performance measurement framework with Adobe Analytics, as Adobe Analytics provides both content and journey level granularity, whereas basic engagement metrics do not.</w:t>
      </w:r>
      <w:r w:rsidRPr="00B1192A">
        <w:t xml:space="preserve"> </w:t>
      </w:r>
      <w:r w:rsidRPr="00B1192A">
        <w:rPr>
          <w:rFonts w:ascii="Times New Roman" w:hAnsi="Times New Roman" w:cs="Times New Roman"/>
          <w:sz w:val="24"/>
        </w:rPr>
        <w:t>Ascani, Cassia and Magno (2026) add that content creation processes (along with template standardization, approval processes, dashboards and asset analytics) should all be considered together as a single system and not separate systems. The Adobe ecosystem is uniquely designed to enable us to achieve this vision of creating a holistic system that encompasses creation, workflow and analytics.</w:t>
      </w:r>
    </w:p>
    <w:p w:rsidR="00B1192A" w:rsidRPr="007567E9" w:rsidRDefault="00B1192A" w:rsidP="00036717">
      <w:pPr>
        <w:pStyle w:val="Heading2"/>
        <w:spacing w:line="276" w:lineRule="auto"/>
        <w:rPr>
          <w:rFonts w:ascii="Times New Roman" w:hAnsi="Times New Roman" w:cs="Times New Roman"/>
          <w:sz w:val="28"/>
        </w:rPr>
      </w:pPr>
      <w:r w:rsidRPr="007567E9">
        <w:rPr>
          <w:rFonts w:ascii="Times New Roman" w:eastAsia="Arial" w:hAnsi="Times New Roman" w:cs="Times New Roman"/>
          <w:color w:val="2E6DA4"/>
          <w:sz w:val="28"/>
          <w:szCs w:val="24"/>
        </w:rPr>
        <w:t xml:space="preserve"> Adobe's Ecosystem: Research and Industry Evidence</w:t>
      </w:r>
    </w:p>
    <w:p w:rsidR="00B1192A" w:rsidRDefault="00B1192A" w:rsidP="00036717">
      <w:pPr>
        <w:spacing w:line="276" w:lineRule="auto"/>
        <w:jc w:val="both"/>
        <w:rPr>
          <w:rFonts w:ascii="Times New Roman" w:hAnsi="Times New Roman" w:cs="Times New Roman"/>
          <w:sz w:val="24"/>
        </w:rPr>
      </w:pPr>
    </w:p>
    <w:p w:rsidR="003065B6" w:rsidRDefault="00B1192A" w:rsidP="003065B6">
      <w:pPr>
        <w:spacing w:line="276" w:lineRule="auto"/>
        <w:jc w:val="both"/>
        <w:rPr>
          <w:rFonts w:ascii="Times New Roman" w:hAnsi="Times New Roman" w:cs="Times New Roman"/>
          <w:sz w:val="24"/>
        </w:rPr>
      </w:pPr>
      <w:r w:rsidRPr="00B1192A">
        <w:rPr>
          <w:rFonts w:ascii="Times New Roman" w:hAnsi="Times New Roman" w:cs="Times New Roman"/>
          <w:sz w:val="24"/>
        </w:rPr>
        <w:t>Adobe’s 2026 report highlights that generative and agentic AI are changing the way that organisations manage customer experience. However, most businesses fall into the transitional stage of organisational readiness. As such, AI-enabled gains cannot be realised due to limiting factors surrounding workflows, shared assets, and disciplined measurement methods as opposed to simple access to digital tools.</w:t>
      </w:r>
      <w:r w:rsidR="007567E9">
        <w:rPr>
          <w:rFonts w:ascii="Times New Roman" w:hAnsi="Times New Roman" w:cs="Times New Roman"/>
          <w:sz w:val="24"/>
        </w:rPr>
        <w:t xml:space="preserve"> </w:t>
      </w:r>
      <w:r w:rsidRPr="00B1192A">
        <w:rPr>
          <w:rFonts w:ascii="Times New Roman" w:hAnsi="Times New Roman" w:cs="Times New Roman"/>
          <w:sz w:val="24"/>
        </w:rPr>
        <w:t>According to Adobe’s 2025 B2B Marketing Report, high-performing marketers are increasingly leveraging AI-supported content adaptation mechanisms, personalised engagement with customers through structured frameworks, and measuring content between different pieces based upon establishing performances. Furthermore, it also indicates that branding has moved from using logos by themselves or as part of an isolated campaign toward developing a consistent set of institutional touchpoints using Adobe’s integrated platform.</w:t>
      </w:r>
      <w:r w:rsidR="00036717">
        <w:rPr>
          <w:rFonts w:ascii="Times New Roman" w:hAnsi="Times New Roman" w:cs="Times New Roman"/>
          <w:sz w:val="24"/>
        </w:rPr>
        <w:t xml:space="preserve"> </w:t>
      </w:r>
      <w:r w:rsidRPr="00B1192A">
        <w:rPr>
          <w:rFonts w:ascii="Times New Roman" w:hAnsi="Times New Roman" w:cs="Times New Roman"/>
          <w:sz w:val="24"/>
        </w:rPr>
        <w:t>Sharabati et al.'s (2024) findings illustrated that digital marketing tools can influence an organisation's performance through factors such as enhancing the quality of advertising, ensuring content is consistent, and providing responsive interaction to customers. In doing so, the researchers emphasise that digital tools provide organisations with force multiplication capabilities by allowing them to establish standardised forms of communication while competing on the basis of branding professionalism and delivering quality content.</w:t>
      </w:r>
    </w:p>
    <w:p w:rsidR="003065B6" w:rsidRDefault="003065B6" w:rsidP="003065B6">
      <w:pPr>
        <w:spacing w:line="276" w:lineRule="auto"/>
        <w:jc w:val="both"/>
        <w:rPr>
          <w:rFonts w:ascii="Times New Roman" w:hAnsi="Times New Roman" w:cs="Times New Roman"/>
          <w:sz w:val="24"/>
        </w:rPr>
      </w:pPr>
    </w:p>
    <w:p w:rsidR="003065B6" w:rsidRPr="003065B6" w:rsidRDefault="00B1192A" w:rsidP="003065B6">
      <w:pPr>
        <w:spacing w:line="276" w:lineRule="auto"/>
        <w:jc w:val="both"/>
        <w:rPr>
          <w:rFonts w:ascii="Times New Roman" w:hAnsi="Times New Roman" w:cs="Times New Roman"/>
          <w:b/>
          <w:bCs/>
          <w:color w:val="2E6DA4"/>
          <w:sz w:val="28"/>
          <w:szCs w:val="24"/>
        </w:rPr>
      </w:pPr>
      <w:r w:rsidRPr="003065B6">
        <w:rPr>
          <w:rFonts w:ascii="Times New Roman" w:hAnsi="Times New Roman" w:cs="Times New Roman"/>
          <w:b/>
          <w:bCs/>
          <w:color w:val="2E6DA4"/>
          <w:sz w:val="28"/>
          <w:szCs w:val="24"/>
        </w:rPr>
        <w:t>AI, Brand Governance, and Content Integrity</w:t>
      </w:r>
    </w:p>
    <w:p w:rsidR="003065B6" w:rsidRDefault="003065B6" w:rsidP="003065B6">
      <w:pPr>
        <w:spacing w:line="276" w:lineRule="auto"/>
        <w:jc w:val="both"/>
        <w:rPr>
          <w:rFonts w:ascii="Times New Roman" w:hAnsi="Times New Roman" w:cs="Times New Roman"/>
          <w:color w:val="2E6DA4"/>
          <w:sz w:val="28"/>
          <w:szCs w:val="24"/>
        </w:rPr>
      </w:pPr>
    </w:p>
    <w:p w:rsidR="00B1192A" w:rsidRDefault="00CA2321" w:rsidP="003065B6">
      <w:pPr>
        <w:spacing w:line="276" w:lineRule="auto"/>
        <w:jc w:val="both"/>
        <w:rPr>
          <w:rFonts w:ascii="Times New Roman" w:hAnsi="Times New Roman" w:cs="Times New Roman"/>
          <w:b/>
          <w:color w:val="000000" w:themeColor="text1"/>
          <w:sz w:val="24"/>
          <w:szCs w:val="24"/>
        </w:rPr>
      </w:pPr>
      <w:r w:rsidRPr="00CA2321">
        <w:rPr>
          <w:rFonts w:ascii="Times New Roman" w:hAnsi="Times New Roman" w:cs="Times New Roman"/>
          <w:color w:val="000000" w:themeColor="text1"/>
          <w:sz w:val="24"/>
          <w:szCs w:val="24"/>
        </w:rPr>
        <w:t xml:space="preserve">In a study by Hartmann, et al., (2025), findings indicate that AI produced marketing images have the potential to compete with other marketing images based upon visually based quality measures, yet they also present an inherent tension rooted in brand governance, brand transparency, and brand authenticity. This tension would be directly applicable to Adobe's Family of AI tools (in particular Adobe Firefly and GenStudio for Performance Marketing) given their design to generate brand compliant content on a massive scale while embedding specific brand governance processes (e.g., Content Credentials, Approval Workflow, and </w:t>
      </w:r>
      <w:r w:rsidRPr="00CA2321">
        <w:rPr>
          <w:rFonts w:ascii="Times New Roman" w:hAnsi="Times New Roman" w:cs="Times New Roman"/>
          <w:color w:val="000000" w:themeColor="text1"/>
          <w:sz w:val="24"/>
          <w:szCs w:val="24"/>
        </w:rPr>
        <w:lastRenderedPageBreak/>
        <w:t>Brand Kit Enforcement). The commercial viability of the incremental productivity benefit provided by these AI driven tools are fully realized when they are applied through properly structured brand governance systems of the type referenced above.</w:t>
      </w:r>
      <w:r w:rsidR="00036717">
        <w:rPr>
          <w:rFonts w:ascii="Times New Roman" w:hAnsi="Times New Roman" w:cs="Times New Roman"/>
          <w:color w:val="000000" w:themeColor="text1"/>
          <w:sz w:val="24"/>
          <w:szCs w:val="24"/>
        </w:rPr>
        <w:t xml:space="preserve"> </w:t>
      </w:r>
      <w:r w:rsidRPr="00CA2321">
        <w:rPr>
          <w:rFonts w:ascii="Times New Roman" w:hAnsi="Times New Roman" w:cs="Times New Roman"/>
          <w:color w:val="000000" w:themeColor="text1"/>
          <w:sz w:val="24"/>
          <w:szCs w:val="24"/>
        </w:rPr>
        <w:t>Amin, Gohar &amp; Ali (2025) clarified the importance of contextual dimensions through a set of empirical research results indicating that the outcome of Digital Transformation and Social Media Marketing on Performance Mediated by Organizational Readiness, as well as Market Conditions, can significantly influencethe effectiveness of Digital Transformation &amp; Social Media Marketing on performance. This finding supports our earlier point regarding that the value provided by Adobe tools will depend upon the purposeful &amp; proper adoption, level of managerial competence, and structured implementation, and supports the fact that the Adoption Framework put forth in this paper expressly addresses these dimensions.</w:t>
      </w:r>
    </w:p>
    <w:p w:rsidR="006C7D33" w:rsidRPr="006C7D33" w:rsidRDefault="006C7D33" w:rsidP="006C7D33">
      <w:pPr>
        <w:pStyle w:val="Heading1"/>
      </w:pPr>
      <w:r w:rsidRPr="006C7D33">
        <w:rPr>
          <w:rFonts w:eastAsia="Arial"/>
          <w:color w:val="1B3A6B"/>
          <w:sz w:val="30"/>
          <w:szCs w:val="30"/>
        </w:rPr>
        <w:t>Adobe Digital Tools as Enablers of Product Branding</w:t>
      </w:r>
    </w:p>
    <w:p w:rsidR="006C7D33" w:rsidRPr="006C7D33" w:rsidRDefault="006C7D33" w:rsidP="006C7D33">
      <w:pPr>
        <w:pStyle w:val="Heading2"/>
        <w:rPr>
          <w:rFonts w:ascii="Times New Roman" w:hAnsi="Times New Roman" w:cs="Times New Roman"/>
          <w:sz w:val="28"/>
        </w:rPr>
      </w:pPr>
      <w:r w:rsidRPr="006C7D33">
        <w:rPr>
          <w:rFonts w:ascii="Times New Roman" w:eastAsia="Arial" w:hAnsi="Times New Roman" w:cs="Times New Roman"/>
          <w:color w:val="2E6DA4"/>
          <w:sz w:val="28"/>
          <w:szCs w:val="24"/>
        </w:rPr>
        <w:t>Visual Brand Identity: Photoshop, Illustrator, and Adobe Express</w:t>
      </w:r>
    </w:p>
    <w:p w:rsidR="006C7D33" w:rsidRDefault="006C7D33" w:rsidP="006C7D33"/>
    <w:p w:rsidR="006C7D33" w:rsidRPr="006C7D33" w:rsidRDefault="006C7D33" w:rsidP="006C7D33">
      <w:pPr>
        <w:spacing w:line="276" w:lineRule="auto"/>
        <w:jc w:val="both"/>
        <w:rPr>
          <w:rFonts w:ascii="Times New Roman" w:hAnsi="Times New Roman" w:cs="Times New Roman"/>
          <w:sz w:val="24"/>
        </w:rPr>
      </w:pPr>
      <w:r w:rsidRPr="006C7D33">
        <w:rPr>
          <w:rFonts w:ascii="Times New Roman" w:hAnsi="Times New Roman" w:cs="Times New Roman"/>
          <w:sz w:val="24"/>
        </w:rPr>
        <w:t>The most direct and recognized aspect of product branding is visual brand identity, which includes logo design, color scheme, typeface, imagery style, and graphic language. Adobe's creative applications provide the full suite of professional tools needed to create, define, and implement these visual elements in a consistent manner across all points of interaction with consumers and other stakeholders. Adobe Photoshop continues to be the industry standard for editing pixel-based images, and therefore serves as the foundation for the creation of photorealistic product images, branded campaign visuals, retouched photographs, and sophisticated composite graphics. Specifically for product branding, Photoshop also allows companies to create marketing assets that meet or exceed the visual quality of competing products for both consumer and institutional markets, allowing the transition of product from functional documentation to brand communication.</w:t>
      </w:r>
    </w:p>
    <w:p w:rsidR="006C7D33" w:rsidRPr="006C7D33" w:rsidRDefault="006C7D33" w:rsidP="006C7D33">
      <w:pPr>
        <w:spacing w:line="276" w:lineRule="auto"/>
        <w:jc w:val="both"/>
        <w:rPr>
          <w:rFonts w:ascii="Times New Roman" w:hAnsi="Times New Roman" w:cs="Times New Roman"/>
          <w:sz w:val="24"/>
        </w:rPr>
      </w:pPr>
    </w:p>
    <w:p w:rsidR="006C7D33" w:rsidRDefault="006C7D33" w:rsidP="006C7D33">
      <w:pPr>
        <w:spacing w:line="276" w:lineRule="auto"/>
        <w:jc w:val="both"/>
        <w:rPr>
          <w:rFonts w:ascii="Times New Roman" w:hAnsi="Times New Roman" w:cs="Times New Roman"/>
          <w:sz w:val="24"/>
        </w:rPr>
      </w:pPr>
      <w:r w:rsidRPr="006C7D33">
        <w:rPr>
          <w:rFonts w:ascii="Times New Roman" w:hAnsi="Times New Roman" w:cs="Times New Roman"/>
          <w:sz w:val="24"/>
        </w:rPr>
        <w:t>Adobe Illustrator is the primary vector-based designing tool for logo creation and brand mark development, as well as to create icons and any other mark or element that may need to be infinitely reproduced in both print and digital formats. The vector-based architecture used for the elements created in Illustrator allows for the maintenance of precision and clarity at all reproduction sizes from business cards to billboards, regardless of the type or condition of still or moving images depicted. Thus, the vector-based design tools offer a fundamental requirement of a successful visual corporate brand identity management system.</w:t>
      </w:r>
    </w:p>
    <w:p w:rsidR="006C7D33" w:rsidRDefault="006C7D33" w:rsidP="006C7D33">
      <w:pPr>
        <w:spacing w:line="276" w:lineRule="auto"/>
        <w:jc w:val="both"/>
        <w:rPr>
          <w:rFonts w:ascii="Times New Roman" w:hAnsi="Times New Roman" w:cs="Times New Roman"/>
          <w:sz w:val="24"/>
        </w:rPr>
      </w:pPr>
      <w:r w:rsidRPr="006C7D33">
        <w:rPr>
          <w:rFonts w:ascii="Times New Roman" w:hAnsi="Times New Roman" w:cs="Times New Roman"/>
          <w:sz w:val="24"/>
        </w:rPr>
        <w:t xml:space="preserve">Adobe Express makes creating a professional brand accessible to everyone through an easy-to-use interface with templates and allows non-design team members to create branded content even if they haven't had advanced design training. The Brand Kit feature allows businesses to encode their brand identity (including logo files, colour schemes, typography and design templates) into one easily-accessible central location where every member of the organisation can create a brand-compliant material. This addresses one of the biggest issues facing organisations with branding - employees without a formal background in design applying branding standards inconsistently. By controlling creative limitations within </w:t>
      </w:r>
      <w:r w:rsidRPr="006C7D33">
        <w:rPr>
          <w:rFonts w:ascii="Times New Roman" w:hAnsi="Times New Roman" w:cs="Times New Roman"/>
          <w:sz w:val="24"/>
        </w:rPr>
        <w:lastRenderedPageBreak/>
        <w:t>approved parameters, Adobe Express takes the concept of brand consistency from a specialised area of expertise to an organisational process.</w:t>
      </w:r>
    </w:p>
    <w:p w:rsidR="006C7D33" w:rsidRPr="006C7D33" w:rsidRDefault="006C7D33" w:rsidP="006C7D33">
      <w:pPr>
        <w:pStyle w:val="Heading2"/>
        <w:rPr>
          <w:rFonts w:ascii="Times New Roman" w:hAnsi="Times New Roman" w:cs="Times New Roman"/>
          <w:sz w:val="28"/>
        </w:rPr>
      </w:pPr>
      <w:r w:rsidRPr="006C7D33">
        <w:rPr>
          <w:rFonts w:ascii="Times New Roman" w:eastAsia="Arial" w:hAnsi="Times New Roman" w:cs="Times New Roman"/>
          <w:color w:val="2E6DA4"/>
          <w:sz w:val="28"/>
          <w:szCs w:val="24"/>
        </w:rPr>
        <w:t>Document Branding and Professional Communication: Acrobat and InDesign</w:t>
      </w:r>
    </w:p>
    <w:p w:rsidR="006C7D33" w:rsidRDefault="006C7D33" w:rsidP="006C7D33">
      <w:pPr>
        <w:spacing w:line="276" w:lineRule="auto"/>
        <w:jc w:val="both"/>
        <w:rPr>
          <w:rFonts w:ascii="Times New Roman" w:hAnsi="Times New Roman" w:cs="Times New Roman"/>
          <w:sz w:val="28"/>
        </w:rPr>
      </w:pPr>
    </w:p>
    <w:p w:rsidR="00453205" w:rsidRDefault="00453205" w:rsidP="00453205">
      <w:pPr>
        <w:spacing w:line="276" w:lineRule="auto"/>
        <w:jc w:val="both"/>
        <w:rPr>
          <w:rFonts w:ascii="Times New Roman" w:hAnsi="Times New Roman" w:cs="Times New Roman"/>
          <w:sz w:val="24"/>
        </w:rPr>
      </w:pPr>
      <w:r w:rsidRPr="00453205">
        <w:rPr>
          <w:rFonts w:ascii="Times New Roman" w:hAnsi="Times New Roman" w:cs="Times New Roman"/>
          <w:sz w:val="24"/>
        </w:rPr>
        <w:t>When it comes to B2B and institutional markets, product branding is much more than simply an advertising function — it encompasses all types of professional written communications (proposals, product catalogs, specifications, service agreements, reports, and client presentations). These professional documents are, in essence, brand artefacts. They communicate the professionalism of the supplier, the discipline of the company's operations, and the quality of the company's thinking. The tools for managing this aspect of branding are Adobe Acrobat and Adobe InDesign.</w:t>
      </w:r>
      <w:r w:rsidR="003065B6">
        <w:rPr>
          <w:rFonts w:ascii="Times New Roman" w:hAnsi="Times New Roman" w:cs="Times New Roman"/>
          <w:sz w:val="24"/>
        </w:rPr>
        <w:t xml:space="preserve"> </w:t>
      </w:r>
      <w:r w:rsidRPr="00453205">
        <w:rPr>
          <w:rFonts w:ascii="Times New Roman" w:hAnsi="Times New Roman" w:cs="Times New Roman"/>
          <w:sz w:val="24"/>
        </w:rPr>
        <w:t>Adobe InDesign provides the necessary typographic and layout infrastructure to create branded multi-page documents that have the quality of professional publishing. Because product catalogs produced in InDesign employ brand typography, image treatment, colour values, and grid structures consistently across all pages, they create an overall visual experience that reinforces brand identity with regard to the design of the document. Acrobat is the tool that extends brand coherence through document workflow and delivery. Brand professional documents produced in Acrobat can include branded PDF templates, interactive proposal documents, digitally signed agreements, and standardised forms; all of these documents communicate the professional nature of the brand at an operational level. For organisations with professional documents as the primary contact points for their brand, the role of Acrobat in the communication of their brand is as strategically important as that of any of the creative design tools used to build the brand.</w:t>
      </w:r>
    </w:p>
    <w:p w:rsidR="00453205" w:rsidRPr="00453205" w:rsidRDefault="00453205" w:rsidP="00453205">
      <w:pPr>
        <w:pStyle w:val="Heading2"/>
        <w:rPr>
          <w:rFonts w:ascii="Times New Roman" w:hAnsi="Times New Roman" w:cs="Times New Roman"/>
          <w:sz w:val="28"/>
        </w:rPr>
      </w:pPr>
      <w:r w:rsidRPr="00453205">
        <w:rPr>
          <w:rFonts w:ascii="Times New Roman" w:eastAsia="Arial" w:hAnsi="Times New Roman" w:cs="Times New Roman"/>
          <w:color w:val="2E6DA4"/>
          <w:sz w:val="28"/>
          <w:szCs w:val="24"/>
        </w:rPr>
        <w:t>Brand Governance at Scale: Brand Kits, GenStudio, and Firefly</w:t>
      </w:r>
    </w:p>
    <w:p w:rsidR="00453205" w:rsidRDefault="00453205" w:rsidP="00453205">
      <w:pPr>
        <w:spacing w:line="276" w:lineRule="auto"/>
        <w:jc w:val="both"/>
        <w:rPr>
          <w:rFonts w:ascii="Times New Roman" w:hAnsi="Times New Roman" w:cs="Times New Roman"/>
          <w:sz w:val="24"/>
        </w:rPr>
      </w:pPr>
    </w:p>
    <w:p w:rsidR="00453205" w:rsidRPr="00453205" w:rsidRDefault="00453205" w:rsidP="00453205">
      <w:pPr>
        <w:spacing w:line="276" w:lineRule="auto"/>
        <w:jc w:val="both"/>
        <w:rPr>
          <w:rFonts w:ascii="Times New Roman" w:hAnsi="Times New Roman" w:cs="Times New Roman"/>
          <w:sz w:val="24"/>
        </w:rPr>
      </w:pPr>
      <w:r w:rsidRPr="00453205">
        <w:rPr>
          <w:rFonts w:ascii="Times New Roman" w:hAnsi="Times New Roman" w:cs="Times New Roman"/>
          <w:sz w:val="24"/>
        </w:rPr>
        <w:t>The growth of content production in an organization’s operation will create a complex structure and require commitment from all of its resources (e.g., personnel, assets, policies, etc.). These challenges will be primarily dependent upon how well each type of resource is used, namely through one or a small number of tools which will not solve the problem of how to properly govern the use of the brand with regard to the content being produced.</w:t>
      </w:r>
      <w:r>
        <w:rPr>
          <w:rFonts w:ascii="Times New Roman" w:hAnsi="Times New Roman" w:cs="Times New Roman"/>
          <w:sz w:val="24"/>
        </w:rPr>
        <w:t xml:space="preserve"> </w:t>
      </w:r>
      <w:r w:rsidRPr="00453205">
        <w:rPr>
          <w:rFonts w:ascii="Times New Roman" w:hAnsi="Times New Roman" w:cs="Times New Roman"/>
          <w:sz w:val="24"/>
        </w:rPr>
        <w:t>To address these challenges, Adobe has created an environment of tools to provide brand governance for all types of resources used to produce (as noted above) brand-compliant materials. Adobe's GenStudio for Performance Marketing solution enables marketing teams to quickly generate brand-compliant content variations, utilizing AI adaptations of core brand assets, which are pre-validated against established brand guidelines (e.g., product branding to multiple channels and audience segments should be expressed in format-appropriate variations of the same message while maintaining visual consistency).</w:t>
      </w:r>
    </w:p>
    <w:p w:rsidR="00453205" w:rsidRDefault="00453205" w:rsidP="00453205">
      <w:pPr>
        <w:spacing w:line="276" w:lineRule="auto"/>
        <w:jc w:val="both"/>
        <w:rPr>
          <w:rFonts w:ascii="Times New Roman" w:hAnsi="Times New Roman" w:cs="Times New Roman"/>
          <w:sz w:val="24"/>
        </w:rPr>
      </w:pPr>
      <w:r w:rsidRPr="00453205">
        <w:rPr>
          <w:rFonts w:ascii="Times New Roman" w:hAnsi="Times New Roman" w:cs="Times New Roman"/>
          <w:sz w:val="24"/>
        </w:rPr>
        <w:t>Additionally, GenStudio provides an integrated workflow to approve brand use, perform version-control on produced content, and track performance/results for produced content/output using one system — thus providing a complete and accurate data set to close the loop from the creation of the brand through the evaluation of the brand.</w:t>
      </w:r>
      <w:r w:rsidRPr="00453205">
        <w:t xml:space="preserve"> </w:t>
      </w:r>
      <w:r w:rsidRPr="00453205">
        <w:rPr>
          <w:rFonts w:ascii="Times New Roman" w:hAnsi="Times New Roman" w:cs="Times New Roman"/>
          <w:sz w:val="24"/>
        </w:rPr>
        <w:t xml:space="preserve">The Adobe Firefly generative AI Content Engine makes it easy to create high volumes of branded and </w:t>
      </w:r>
      <w:r w:rsidRPr="00453205">
        <w:rPr>
          <w:rFonts w:ascii="Times New Roman" w:hAnsi="Times New Roman" w:cs="Times New Roman"/>
          <w:sz w:val="24"/>
        </w:rPr>
        <w:lastRenderedPageBreak/>
        <w:t>compliant Visual Content quickly and easily, utilizing secure, licensed content using models trained on licensed/copyrighted images. Adobe Firefly is now integrated with Photoshop, Illustrator, and Adobe Express, which gives Creatives the ability to quickly generate Imagery, Backgrounds, and Graphic Elements that are within the Brand Guidelines, thereby increasing the speed of content creation while also providing a level of Brand Safety because AI Generated Imagery produced by other vendors is not guaranteed to conform to the respective Brand Standards. In addition, the Adobe Content Credentials function also provides organisations with the ability to attach Provenance and Authenticity Metadata directly to Brand Assets, allowing them to verify the origin and modification history of every piece of content produced- which will become increasingly important as the number of AI Imagery increase.</w:t>
      </w:r>
    </w:p>
    <w:p w:rsidR="00453205" w:rsidRPr="00453205" w:rsidRDefault="00453205" w:rsidP="00453205">
      <w:pPr>
        <w:pStyle w:val="Heading2"/>
        <w:rPr>
          <w:rFonts w:ascii="Times New Roman" w:hAnsi="Times New Roman" w:cs="Times New Roman"/>
          <w:sz w:val="28"/>
        </w:rPr>
      </w:pPr>
      <w:r w:rsidRPr="00453205">
        <w:rPr>
          <w:rFonts w:ascii="Times New Roman" w:eastAsia="Arial" w:hAnsi="Times New Roman" w:cs="Times New Roman"/>
          <w:color w:val="2E6DA4"/>
          <w:sz w:val="28"/>
          <w:szCs w:val="24"/>
        </w:rPr>
        <w:t>Survey Evidence: Adobe Tools and Brand Perception</w:t>
      </w:r>
    </w:p>
    <w:p w:rsidR="00453205" w:rsidRDefault="00453205" w:rsidP="00453205">
      <w:pPr>
        <w:spacing w:line="276" w:lineRule="auto"/>
        <w:jc w:val="both"/>
        <w:rPr>
          <w:rFonts w:ascii="Times New Roman" w:hAnsi="Times New Roman" w:cs="Times New Roman"/>
          <w:sz w:val="24"/>
        </w:rPr>
      </w:pPr>
    </w:p>
    <w:p w:rsidR="00453205" w:rsidRDefault="00453205" w:rsidP="00453205">
      <w:pPr>
        <w:spacing w:line="276" w:lineRule="auto"/>
        <w:jc w:val="both"/>
        <w:rPr>
          <w:rFonts w:ascii="Times New Roman" w:hAnsi="Times New Roman" w:cs="Times New Roman"/>
          <w:sz w:val="24"/>
        </w:rPr>
      </w:pPr>
      <w:r w:rsidRPr="00453205">
        <w:rPr>
          <w:rFonts w:ascii="Times New Roman" w:hAnsi="Times New Roman" w:cs="Times New Roman"/>
          <w:sz w:val="24"/>
        </w:rPr>
        <w:t>Based on the survey conducted on institutional sectors where 120 respondents provided their input, strong evidence has been found showing that Adobe's Software Tools act as Enablers to Effective Product Branding. The weighted mean scores for identified Branding-related Perception statements are represented in Table 1 below.</w:t>
      </w:r>
    </w:p>
    <w:tbl>
      <w:tblPr>
        <w:tblW w:w="9360"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248"/>
        <w:gridCol w:w="1365"/>
        <w:gridCol w:w="1747"/>
      </w:tblGrid>
      <w:tr w:rsidR="00453205" w:rsidRPr="00453205" w:rsidTr="001224FD">
        <w:trPr>
          <w:tblHeader/>
        </w:trPr>
        <w:tc>
          <w:tcPr>
            <w:tcW w:w="6560" w:type="dxa"/>
            <w:tcBorders>
              <w:top w:val="single" w:sz="1" w:space="0" w:color="CCCCCC"/>
              <w:left w:val="single" w:sz="1" w:space="0" w:color="CCCCCC"/>
              <w:bottom w:val="single" w:sz="1" w:space="0" w:color="CCCCCC"/>
              <w:right w:val="single" w:sz="1" w:space="0" w:color="CCCCCC"/>
            </w:tcBorders>
            <w:shd w:val="clear" w:color="auto" w:fill="1B3A6B"/>
            <w:tcMar>
              <w:top w:w="100" w:type="dxa"/>
              <w:left w:w="140" w:type="dxa"/>
              <w:bottom w:w="100" w:type="dxa"/>
              <w:right w:w="140" w:type="dxa"/>
            </w:tcMar>
            <w:vAlign w:val="center"/>
          </w:tcPr>
          <w:p w:rsidR="00453205" w:rsidRPr="00453205" w:rsidRDefault="00453205" w:rsidP="001224FD">
            <w:pPr>
              <w:jc w:val="center"/>
              <w:rPr>
                <w:rFonts w:ascii="Times New Roman" w:hAnsi="Times New Roman" w:cs="Times New Roman"/>
                <w:sz w:val="24"/>
              </w:rPr>
            </w:pPr>
            <w:r w:rsidRPr="00453205">
              <w:rPr>
                <w:rFonts w:ascii="Times New Roman" w:hAnsi="Times New Roman" w:cs="Times New Roman"/>
                <w:b/>
                <w:bCs/>
                <w:color w:val="FFFFFF"/>
                <w:sz w:val="24"/>
                <w:szCs w:val="20"/>
              </w:rPr>
              <w:t>Branding Perception Statement</w:t>
            </w:r>
          </w:p>
        </w:tc>
        <w:tc>
          <w:tcPr>
            <w:tcW w:w="1400" w:type="dxa"/>
            <w:tcBorders>
              <w:top w:val="single" w:sz="1" w:space="0" w:color="CCCCCC"/>
              <w:left w:val="single" w:sz="1" w:space="0" w:color="CCCCCC"/>
              <w:bottom w:val="single" w:sz="1" w:space="0" w:color="CCCCCC"/>
              <w:right w:val="single" w:sz="1" w:space="0" w:color="CCCCCC"/>
            </w:tcBorders>
            <w:shd w:val="clear" w:color="auto" w:fill="1B3A6B"/>
            <w:tcMar>
              <w:top w:w="100" w:type="dxa"/>
              <w:left w:w="140" w:type="dxa"/>
              <w:bottom w:w="100" w:type="dxa"/>
              <w:right w:w="140" w:type="dxa"/>
            </w:tcMar>
            <w:vAlign w:val="center"/>
          </w:tcPr>
          <w:p w:rsidR="00453205" w:rsidRPr="00453205" w:rsidRDefault="00453205" w:rsidP="001224FD">
            <w:pPr>
              <w:jc w:val="center"/>
              <w:rPr>
                <w:rFonts w:ascii="Times New Roman" w:hAnsi="Times New Roman" w:cs="Times New Roman"/>
                <w:sz w:val="24"/>
              </w:rPr>
            </w:pPr>
            <w:r w:rsidRPr="00453205">
              <w:rPr>
                <w:rFonts w:ascii="Times New Roman" w:hAnsi="Times New Roman" w:cs="Times New Roman"/>
                <w:b/>
                <w:bCs/>
                <w:color w:val="FFFFFF"/>
                <w:sz w:val="24"/>
                <w:szCs w:val="20"/>
              </w:rPr>
              <w:t>Mean Score</w:t>
            </w:r>
          </w:p>
        </w:tc>
        <w:tc>
          <w:tcPr>
            <w:tcW w:w="1400" w:type="dxa"/>
            <w:tcBorders>
              <w:top w:val="single" w:sz="1" w:space="0" w:color="CCCCCC"/>
              <w:left w:val="single" w:sz="1" w:space="0" w:color="CCCCCC"/>
              <w:bottom w:val="single" w:sz="1" w:space="0" w:color="CCCCCC"/>
              <w:right w:val="single" w:sz="1" w:space="0" w:color="CCCCCC"/>
            </w:tcBorders>
            <w:shd w:val="clear" w:color="auto" w:fill="1B3A6B"/>
            <w:tcMar>
              <w:top w:w="100" w:type="dxa"/>
              <w:left w:w="140" w:type="dxa"/>
              <w:bottom w:w="100" w:type="dxa"/>
              <w:right w:w="140" w:type="dxa"/>
            </w:tcMar>
            <w:vAlign w:val="center"/>
          </w:tcPr>
          <w:p w:rsidR="00453205" w:rsidRPr="00453205" w:rsidRDefault="00453205" w:rsidP="001224FD">
            <w:pPr>
              <w:jc w:val="center"/>
              <w:rPr>
                <w:rFonts w:ascii="Times New Roman" w:hAnsi="Times New Roman" w:cs="Times New Roman"/>
                <w:sz w:val="24"/>
              </w:rPr>
            </w:pPr>
            <w:r w:rsidRPr="00453205">
              <w:rPr>
                <w:rFonts w:ascii="Times New Roman" w:hAnsi="Times New Roman" w:cs="Times New Roman"/>
                <w:b/>
                <w:bCs/>
                <w:color w:val="FFFFFF"/>
                <w:sz w:val="24"/>
                <w:szCs w:val="20"/>
              </w:rPr>
              <w:t>Interpretation</w:t>
            </w:r>
          </w:p>
        </w:tc>
      </w:tr>
      <w:tr w:rsidR="00453205" w:rsidRPr="00453205" w:rsidTr="001224FD">
        <w:tc>
          <w:tcPr>
            <w:tcW w:w="656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453205" w:rsidRPr="00453205" w:rsidRDefault="00453205" w:rsidP="001224FD">
            <w:pPr>
              <w:rPr>
                <w:rFonts w:ascii="Times New Roman" w:hAnsi="Times New Roman" w:cs="Times New Roman"/>
                <w:sz w:val="24"/>
              </w:rPr>
            </w:pPr>
            <w:r w:rsidRPr="00453205">
              <w:rPr>
                <w:rFonts w:ascii="Times New Roman" w:hAnsi="Times New Roman" w:cs="Times New Roman"/>
                <w:sz w:val="24"/>
                <w:szCs w:val="20"/>
              </w:rPr>
              <w:t>Digital branding is strategically important in product markets</w:t>
            </w:r>
          </w:p>
        </w:tc>
        <w:tc>
          <w:tcPr>
            <w:tcW w:w="14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453205" w:rsidRPr="00453205" w:rsidRDefault="00453205" w:rsidP="001224FD">
            <w:pPr>
              <w:jc w:val="center"/>
              <w:rPr>
                <w:rFonts w:ascii="Times New Roman" w:hAnsi="Times New Roman" w:cs="Times New Roman"/>
                <w:sz w:val="24"/>
              </w:rPr>
            </w:pPr>
            <w:r w:rsidRPr="00453205">
              <w:rPr>
                <w:rFonts w:ascii="Times New Roman" w:hAnsi="Times New Roman" w:cs="Times New Roman"/>
                <w:b/>
                <w:bCs/>
                <w:sz w:val="24"/>
                <w:szCs w:val="20"/>
              </w:rPr>
              <w:t>4.22</w:t>
            </w:r>
          </w:p>
        </w:tc>
        <w:tc>
          <w:tcPr>
            <w:tcW w:w="14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453205" w:rsidRPr="00453205" w:rsidRDefault="00453205" w:rsidP="001224FD">
            <w:pPr>
              <w:jc w:val="center"/>
              <w:rPr>
                <w:rFonts w:ascii="Times New Roman" w:hAnsi="Times New Roman" w:cs="Times New Roman"/>
                <w:sz w:val="24"/>
              </w:rPr>
            </w:pPr>
            <w:r w:rsidRPr="00453205">
              <w:rPr>
                <w:rFonts w:ascii="Times New Roman" w:hAnsi="Times New Roman" w:cs="Times New Roman"/>
                <w:sz w:val="24"/>
                <w:szCs w:val="20"/>
              </w:rPr>
              <w:t>Strong Agreement</w:t>
            </w:r>
          </w:p>
        </w:tc>
      </w:tr>
      <w:tr w:rsidR="00453205" w:rsidRPr="00453205" w:rsidTr="001224FD">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453205" w:rsidRPr="00453205" w:rsidRDefault="00453205" w:rsidP="001224FD">
            <w:pPr>
              <w:rPr>
                <w:rFonts w:ascii="Times New Roman" w:hAnsi="Times New Roman" w:cs="Times New Roman"/>
                <w:sz w:val="24"/>
              </w:rPr>
            </w:pPr>
            <w:r w:rsidRPr="00453205">
              <w:rPr>
                <w:rFonts w:ascii="Times New Roman" w:hAnsi="Times New Roman" w:cs="Times New Roman"/>
                <w:sz w:val="24"/>
                <w:szCs w:val="20"/>
              </w:rPr>
              <w:t>On-brand content improves institutional and buyer trust</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453205" w:rsidRPr="00453205" w:rsidRDefault="00453205" w:rsidP="001224FD">
            <w:pPr>
              <w:jc w:val="center"/>
              <w:rPr>
                <w:rFonts w:ascii="Times New Roman" w:hAnsi="Times New Roman" w:cs="Times New Roman"/>
                <w:sz w:val="24"/>
              </w:rPr>
            </w:pPr>
            <w:r w:rsidRPr="00453205">
              <w:rPr>
                <w:rFonts w:ascii="Times New Roman" w:hAnsi="Times New Roman" w:cs="Times New Roman"/>
                <w:b/>
                <w:bCs/>
                <w:sz w:val="24"/>
                <w:szCs w:val="20"/>
              </w:rPr>
              <w:t>4.15</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453205" w:rsidRPr="00453205" w:rsidRDefault="00453205" w:rsidP="001224FD">
            <w:pPr>
              <w:jc w:val="center"/>
              <w:rPr>
                <w:rFonts w:ascii="Times New Roman" w:hAnsi="Times New Roman" w:cs="Times New Roman"/>
                <w:sz w:val="24"/>
              </w:rPr>
            </w:pPr>
            <w:r w:rsidRPr="00453205">
              <w:rPr>
                <w:rFonts w:ascii="Times New Roman" w:hAnsi="Times New Roman" w:cs="Times New Roman"/>
                <w:sz w:val="24"/>
                <w:szCs w:val="20"/>
              </w:rPr>
              <w:t>Strong Agreement</w:t>
            </w:r>
          </w:p>
        </w:tc>
      </w:tr>
      <w:tr w:rsidR="00453205" w:rsidRPr="00453205" w:rsidTr="001224FD">
        <w:tc>
          <w:tcPr>
            <w:tcW w:w="656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453205" w:rsidRPr="00453205" w:rsidRDefault="00453205" w:rsidP="001224FD">
            <w:pPr>
              <w:rPr>
                <w:rFonts w:ascii="Times New Roman" w:hAnsi="Times New Roman" w:cs="Times New Roman"/>
                <w:sz w:val="24"/>
              </w:rPr>
            </w:pPr>
            <w:r w:rsidRPr="00453205">
              <w:rPr>
                <w:rFonts w:ascii="Times New Roman" w:hAnsi="Times New Roman" w:cs="Times New Roman"/>
                <w:sz w:val="24"/>
                <w:szCs w:val="20"/>
              </w:rPr>
              <w:t>Adobe tools improve campaign professionalism and presentation quality</w:t>
            </w:r>
          </w:p>
        </w:tc>
        <w:tc>
          <w:tcPr>
            <w:tcW w:w="14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453205" w:rsidRPr="00453205" w:rsidRDefault="00453205" w:rsidP="001224FD">
            <w:pPr>
              <w:jc w:val="center"/>
              <w:rPr>
                <w:rFonts w:ascii="Times New Roman" w:hAnsi="Times New Roman" w:cs="Times New Roman"/>
                <w:sz w:val="24"/>
              </w:rPr>
            </w:pPr>
            <w:r w:rsidRPr="00453205">
              <w:rPr>
                <w:rFonts w:ascii="Times New Roman" w:hAnsi="Times New Roman" w:cs="Times New Roman"/>
                <w:b/>
                <w:bCs/>
                <w:sz w:val="24"/>
                <w:szCs w:val="20"/>
              </w:rPr>
              <w:t>4.08</w:t>
            </w:r>
          </w:p>
        </w:tc>
        <w:tc>
          <w:tcPr>
            <w:tcW w:w="14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453205" w:rsidRPr="00453205" w:rsidRDefault="00453205" w:rsidP="001224FD">
            <w:pPr>
              <w:jc w:val="center"/>
              <w:rPr>
                <w:rFonts w:ascii="Times New Roman" w:hAnsi="Times New Roman" w:cs="Times New Roman"/>
                <w:sz w:val="24"/>
              </w:rPr>
            </w:pPr>
            <w:r w:rsidRPr="00453205">
              <w:rPr>
                <w:rFonts w:ascii="Times New Roman" w:hAnsi="Times New Roman" w:cs="Times New Roman"/>
                <w:sz w:val="24"/>
                <w:szCs w:val="20"/>
              </w:rPr>
              <w:t>Strong Agreement</w:t>
            </w:r>
          </w:p>
        </w:tc>
      </w:tr>
      <w:tr w:rsidR="00453205" w:rsidRPr="00453205" w:rsidTr="001224FD">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453205" w:rsidRPr="00453205" w:rsidRDefault="00453205" w:rsidP="001224FD">
            <w:pPr>
              <w:rPr>
                <w:rFonts w:ascii="Times New Roman" w:hAnsi="Times New Roman" w:cs="Times New Roman"/>
                <w:sz w:val="24"/>
              </w:rPr>
            </w:pPr>
            <w:r w:rsidRPr="00453205">
              <w:rPr>
                <w:rFonts w:ascii="Times New Roman" w:hAnsi="Times New Roman" w:cs="Times New Roman"/>
                <w:sz w:val="24"/>
                <w:szCs w:val="20"/>
              </w:rPr>
              <w:t>Adobe tools improve visual brand consistency across touchpoints</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453205" w:rsidRPr="00453205" w:rsidRDefault="00453205" w:rsidP="001224FD">
            <w:pPr>
              <w:jc w:val="center"/>
              <w:rPr>
                <w:rFonts w:ascii="Times New Roman" w:hAnsi="Times New Roman" w:cs="Times New Roman"/>
                <w:sz w:val="24"/>
              </w:rPr>
            </w:pPr>
            <w:r w:rsidRPr="00453205">
              <w:rPr>
                <w:rFonts w:ascii="Times New Roman" w:hAnsi="Times New Roman" w:cs="Times New Roman"/>
                <w:b/>
                <w:bCs/>
                <w:sz w:val="24"/>
                <w:szCs w:val="20"/>
              </w:rPr>
              <w:t>4.07</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453205" w:rsidRPr="00453205" w:rsidRDefault="00453205" w:rsidP="001224FD">
            <w:pPr>
              <w:jc w:val="center"/>
              <w:rPr>
                <w:rFonts w:ascii="Times New Roman" w:hAnsi="Times New Roman" w:cs="Times New Roman"/>
                <w:sz w:val="24"/>
              </w:rPr>
            </w:pPr>
            <w:r w:rsidRPr="00453205">
              <w:rPr>
                <w:rFonts w:ascii="Times New Roman" w:hAnsi="Times New Roman" w:cs="Times New Roman"/>
                <w:sz w:val="24"/>
                <w:szCs w:val="20"/>
              </w:rPr>
              <w:t>Strong Agreement</w:t>
            </w:r>
          </w:p>
        </w:tc>
      </w:tr>
      <w:tr w:rsidR="00453205" w:rsidRPr="00453205" w:rsidTr="001224FD">
        <w:tc>
          <w:tcPr>
            <w:tcW w:w="656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453205" w:rsidRPr="00453205" w:rsidRDefault="00453205" w:rsidP="001224FD">
            <w:pPr>
              <w:rPr>
                <w:rFonts w:ascii="Times New Roman" w:hAnsi="Times New Roman" w:cs="Times New Roman"/>
                <w:sz w:val="24"/>
              </w:rPr>
            </w:pPr>
            <w:r w:rsidRPr="00453205">
              <w:rPr>
                <w:rFonts w:ascii="Times New Roman" w:hAnsi="Times New Roman" w:cs="Times New Roman"/>
                <w:sz w:val="24"/>
                <w:szCs w:val="20"/>
              </w:rPr>
              <w:t>Adobe tools support the creation of effective sales enablement materials</w:t>
            </w:r>
          </w:p>
        </w:tc>
        <w:tc>
          <w:tcPr>
            <w:tcW w:w="14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453205" w:rsidRPr="00453205" w:rsidRDefault="00453205" w:rsidP="001224FD">
            <w:pPr>
              <w:jc w:val="center"/>
              <w:rPr>
                <w:rFonts w:ascii="Times New Roman" w:hAnsi="Times New Roman" w:cs="Times New Roman"/>
                <w:sz w:val="24"/>
              </w:rPr>
            </w:pPr>
            <w:r w:rsidRPr="00453205">
              <w:rPr>
                <w:rFonts w:ascii="Times New Roman" w:hAnsi="Times New Roman" w:cs="Times New Roman"/>
                <w:b/>
                <w:bCs/>
                <w:sz w:val="24"/>
                <w:szCs w:val="20"/>
              </w:rPr>
              <w:t>3.99</w:t>
            </w:r>
          </w:p>
        </w:tc>
        <w:tc>
          <w:tcPr>
            <w:tcW w:w="14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453205" w:rsidRPr="00453205" w:rsidRDefault="00453205" w:rsidP="001224FD">
            <w:pPr>
              <w:jc w:val="center"/>
              <w:rPr>
                <w:rFonts w:ascii="Times New Roman" w:hAnsi="Times New Roman" w:cs="Times New Roman"/>
                <w:sz w:val="24"/>
              </w:rPr>
            </w:pPr>
            <w:r w:rsidRPr="00453205">
              <w:rPr>
                <w:rFonts w:ascii="Times New Roman" w:hAnsi="Times New Roman" w:cs="Times New Roman"/>
                <w:sz w:val="24"/>
                <w:szCs w:val="20"/>
              </w:rPr>
              <w:t>Positive Agreement</w:t>
            </w:r>
          </w:p>
        </w:tc>
      </w:tr>
      <w:tr w:rsidR="00453205" w:rsidRPr="00453205" w:rsidTr="001224FD">
        <w:tc>
          <w:tcPr>
            <w:tcW w:w="6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453205" w:rsidRPr="00453205" w:rsidRDefault="00453205" w:rsidP="001224FD">
            <w:pPr>
              <w:rPr>
                <w:rFonts w:ascii="Times New Roman" w:hAnsi="Times New Roman" w:cs="Times New Roman"/>
                <w:sz w:val="24"/>
              </w:rPr>
            </w:pPr>
            <w:r w:rsidRPr="00453205">
              <w:rPr>
                <w:rFonts w:ascii="Times New Roman" w:hAnsi="Times New Roman" w:cs="Times New Roman"/>
                <w:sz w:val="24"/>
                <w:szCs w:val="20"/>
              </w:rPr>
              <w:t>Adobe-enabled content improves customer engagement with brand materials</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453205" w:rsidRPr="00453205" w:rsidRDefault="00453205" w:rsidP="001224FD">
            <w:pPr>
              <w:jc w:val="center"/>
              <w:rPr>
                <w:rFonts w:ascii="Times New Roman" w:hAnsi="Times New Roman" w:cs="Times New Roman"/>
                <w:sz w:val="24"/>
              </w:rPr>
            </w:pPr>
            <w:r w:rsidRPr="00453205">
              <w:rPr>
                <w:rFonts w:ascii="Times New Roman" w:hAnsi="Times New Roman" w:cs="Times New Roman"/>
                <w:b/>
                <w:bCs/>
                <w:sz w:val="24"/>
                <w:szCs w:val="20"/>
              </w:rPr>
              <w:t>3.77</w:t>
            </w:r>
          </w:p>
        </w:tc>
        <w:tc>
          <w:tcPr>
            <w:tcW w:w="1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453205" w:rsidRPr="00453205" w:rsidRDefault="00453205" w:rsidP="001224FD">
            <w:pPr>
              <w:jc w:val="center"/>
              <w:rPr>
                <w:rFonts w:ascii="Times New Roman" w:hAnsi="Times New Roman" w:cs="Times New Roman"/>
                <w:sz w:val="24"/>
              </w:rPr>
            </w:pPr>
            <w:r w:rsidRPr="00453205">
              <w:rPr>
                <w:rFonts w:ascii="Times New Roman" w:hAnsi="Times New Roman" w:cs="Times New Roman"/>
                <w:sz w:val="24"/>
                <w:szCs w:val="20"/>
              </w:rPr>
              <w:t>Positive Agreement</w:t>
            </w:r>
          </w:p>
        </w:tc>
      </w:tr>
    </w:tbl>
    <w:p w:rsidR="00453205" w:rsidRDefault="00453205" w:rsidP="00453205">
      <w:pPr>
        <w:spacing w:line="276" w:lineRule="auto"/>
        <w:jc w:val="both"/>
        <w:rPr>
          <w:rFonts w:ascii="Times New Roman" w:hAnsi="Times New Roman" w:cs="Times New Roman"/>
          <w:sz w:val="24"/>
        </w:rPr>
      </w:pPr>
    </w:p>
    <w:p w:rsidR="00453205" w:rsidRPr="00453205" w:rsidRDefault="00453205" w:rsidP="00453205">
      <w:pPr>
        <w:spacing w:before="80" w:after="160"/>
        <w:jc w:val="center"/>
        <w:rPr>
          <w:rFonts w:ascii="Times New Roman" w:hAnsi="Times New Roman" w:cs="Times New Roman"/>
        </w:rPr>
      </w:pPr>
      <w:r w:rsidRPr="00453205">
        <w:rPr>
          <w:rFonts w:ascii="Times New Roman" w:hAnsi="Times New Roman" w:cs="Times New Roman"/>
          <w:iCs/>
          <w:color w:val="555555"/>
          <w:sz w:val="20"/>
          <w:szCs w:val="20"/>
        </w:rPr>
        <w:t>Table 1. Respondent Perceptions of Adobe Tools as Enablers of Product Branding (n = 120)</w:t>
      </w:r>
    </w:p>
    <w:p w:rsidR="00453205" w:rsidRPr="00453205" w:rsidRDefault="00453205" w:rsidP="00453205">
      <w:pPr>
        <w:spacing w:line="276" w:lineRule="auto"/>
        <w:jc w:val="both"/>
        <w:rPr>
          <w:rFonts w:ascii="Times New Roman" w:hAnsi="Times New Roman" w:cs="Times New Roman"/>
          <w:sz w:val="24"/>
        </w:rPr>
      </w:pPr>
      <w:r w:rsidRPr="00453205">
        <w:rPr>
          <w:rFonts w:ascii="Times New Roman" w:hAnsi="Times New Roman" w:cs="Times New Roman"/>
          <w:sz w:val="24"/>
        </w:rPr>
        <w:t>The essential guide to success in branding is its significance within the realm of product marketing strategy, with the highest-rated outcome (M = 4.22). This further indicates that participants do not perceive brand strategy as a complementary factor to competition; rather it should be viewed as an essential need of any company wanting to remain competitive.</w:t>
      </w:r>
    </w:p>
    <w:p w:rsidR="00453205" w:rsidRPr="00453205" w:rsidRDefault="00453205" w:rsidP="00453205">
      <w:pPr>
        <w:spacing w:line="276" w:lineRule="auto"/>
        <w:jc w:val="both"/>
        <w:rPr>
          <w:rFonts w:ascii="Times New Roman" w:hAnsi="Times New Roman" w:cs="Times New Roman"/>
          <w:sz w:val="24"/>
        </w:rPr>
      </w:pPr>
      <w:r w:rsidRPr="00453205">
        <w:rPr>
          <w:rFonts w:ascii="Times New Roman" w:hAnsi="Times New Roman" w:cs="Times New Roman"/>
          <w:sz w:val="24"/>
        </w:rPr>
        <w:t>The second highest rated outcome (M = 4.15) establishes the link between brand consistency and procurement confidence that creates trust in a company's institutions through branded content. The study found that the success rate from participating in an Adobe program greatly increases confidence in the purchase of Brand Professionalism (Adobe).</w:t>
      </w:r>
    </w:p>
    <w:p w:rsidR="00453205" w:rsidRDefault="00453205" w:rsidP="00453205">
      <w:pPr>
        <w:spacing w:line="276" w:lineRule="auto"/>
        <w:jc w:val="both"/>
        <w:rPr>
          <w:rFonts w:ascii="Times New Roman" w:hAnsi="Times New Roman" w:cs="Times New Roman"/>
          <w:sz w:val="24"/>
        </w:rPr>
      </w:pPr>
      <w:r w:rsidRPr="00453205">
        <w:rPr>
          <w:rFonts w:ascii="Times New Roman" w:hAnsi="Times New Roman" w:cs="Times New Roman"/>
          <w:sz w:val="24"/>
        </w:rPr>
        <w:lastRenderedPageBreak/>
        <w:t>The consistency in mean scores from the visual consistency of a product to the professional level of its campaign or the quality of a company's sales enablement material being used (M = 3.99 - 4.08) is evidence of how using Adobe Tools to improve their branding capacity will lead to greater success for those agencies who use them.</w:t>
      </w:r>
    </w:p>
    <w:p w:rsidR="005E5AF1" w:rsidRPr="005E5AF1" w:rsidRDefault="005E5AF1" w:rsidP="005E5AF1">
      <w:pPr>
        <w:pStyle w:val="Heading1"/>
      </w:pPr>
      <w:r w:rsidRPr="005E5AF1">
        <w:rPr>
          <w:rFonts w:eastAsia="Arial"/>
          <w:color w:val="1B3A6B"/>
        </w:rPr>
        <w:t>Adobe Digital Tools as Enablers of Performance Measurement</w:t>
      </w:r>
    </w:p>
    <w:p w:rsidR="005E5AF1" w:rsidRPr="005E5AF1" w:rsidRDefault="005E5AF1" w:rsidP="005E5AF1">
      <w:pPr>
        <w:pStyle w:val="Heading2"/>
        <w:rPr>
          <w:rFonts w:ascii="Times New Roman" w:hAnsi="Times New Roman" w:cs="Times New Roman"/>
          <w:sz w:val="28"/>
          <w:szCs w:val="28"/>
        </w:rPr>
      </w:pPr>
      <w:r w:rsidRPr="005E5AF1">
        <w:rPr>
          <w:rFonts w:ascii="Times New Roman" w:eastAsia="Arial" w:hAnsi="Times New Roman" w:cs="Times New Roman"/>
          <w:color w:val="2E6DA4"/>
          <w:sz w:val="28"/>
          <w:szCs w:val="28"/>
        </w:rPr>
        <w:t>Adobe Analytics: The Foundation of Brand Performance Intelligence</w:t>
      </w:r>
    </w:p>
    <w:p w:rsidR="005E5AF1" w:rsidRDefault="005E5AF1" w:rsidP="00453205">
      <w:pPr>
        <w:spacing w:line="276" w:lineRule="auto"/>
        <w:jc w:val="both"/>
        <w:rPr>
          <w:rFonts w:ascii="Times New Roman" w:hAnsi="Times New Roman" w:cs="Times New Roman"/>
          <w:sz w:val="24"/>
        </w:rPr>
      </w:pPr>
    </w:p>
    <w:p w:rsidR="005E5AF1" w:rsidRDefault="005E5AF1" w:rsidP="005E5AF1">
      <w:pPr>
        <w:spacing w:line="276" w:lineRule="auto"/>
        <w:jc w:val="both"/>
        <w:rPr>
          <w:rFonts w:ascii="Times New Roman" w:hAnsi="Times New Roman" w:cs="Times New Roman"/>
          <w:sz w:val="24"/>
        </w:rPr>
      </w:pPr>
      <w:r w:rsidRPr="005E5AF1">
        <w:rPr>
          <w:rFonts w:ascii="Times New Roman" w:hAnsi="Times New Roman" w:cs="Times New Roman"/>
          <w:sz w:val="24"/>
        </w:rPr>
        <w:t>Adobe Analytics serves as Adobe's primary tool for measuring overall performance. Adobe's track record of tracking user behaviour across web, mobile and application environments is based on a real-time architecture that collects behavioural data; thus giving brands the ability to have sufficient data granularity for brand evidence-based management. Businesses can create their unique metrics of success, perform more granular audience segmentation, and create multi-touch attribution models to connect content interactions with downstream financial performance using this platform in ways that other (and simpler) web analytics products cannot do.</w:t>
      </w:r>
      <w:r>
        <w:rPr>
          <w:rFonts w:ascii="Times New Roman" w:hAnsi="Times New Roman" w:cs="Times New Roman"/>
          <w:sz w:val="24"/>
        </w:rPr>
        <w:t xml:space="preserve"> </w:t>
      </w:r>
      <w:r w:rsidRPr="005E5AF1">
        <w:rPr>
          <w:rFonts w:ascii="Times New Roman" w:hAnsi="Times New Roman" w:cs="Times New Roman"/>
          <w:sz w:val="24"/>
        </w:rPr>
        <w:t>When it comes to product branding specifically, Adobe Analytics will provide businesses with the ability to answer unanswerable questions before: Which product page(s) have the longest dwell time? Which branded asset(s) generate the greatest conversion? How do various segments of the audience interact with the brand message throughout their digital experience? Which visuals used in the campaign resulted in the most engagement from institutional buyers? By converting these questions into data results, branding can now be viewed as a quantitative-based strategic function instead of being solely a creative qualitative effort.</w:t>
      </w:r>
    </w:p>
    <w:p w:rsidR="005E5AF1" w:rsidRDefault="005E5AF1" w:rsidP="005E5AF1">
      <w:pPr>
        <w:spacing w:line="276" w:lineRule="auto"/>
        <w:jc w:val="both"/>
        <w:rPr>
          <w:rFonts w:ascii="Times New Roman" w:hAnsi="Times New Roman" w:cs="Times New Roman"/>
          <w:sz w:val="24"/>
        </w:rPr>
      </w:pPr>
      <w:r w:rsidRPr="005E5AF1">
        <w:rPr>
          <w:rFonts w:ascii="Times New Roman" w:hAnsi="Times New Roman" w:cs="Times New Roman"/>
          <w:sz w:val="24"/>
        </w:rPr>
        <w:t>With its</w:t>
      </w:r>
      <w:r>
        <w:rPr>
          <w:rFonts w:ascii="Times New Roman" w:hAnsi="Times New Roman" w:cs="Times New Roman"/>
          <w:sz w:val="24"/>
        </w:rPr>
        <w:t xml:space="preserve"> </w:t>
      </w:r>
      <w:r w:rsidRPr="005E5AF1">
        <w:rPr>
          <w:rFonts w:ascii="Times New Roman" w:hAnsi="Times New Roman" w:cs="Times New Roman"/>
          <w:sz w:val="24"/>
        </w:rPr>
        <w:t>Analysis Workspace , Adobe Analytics offers a flexible reporting environment where marketing teams can create their own custom dashboards, see performance trends visually, and compare content assets across audience segments, channels and periods of time. The tool's drag-and-drop interface gives nontechnical marketers easy access to analytical exploration, democratizing performance intelligence in the same way that its Adobe Express product democratizes brand content creation for marketers.</w:t>
      </w:r>
    </w:p>
    <w:p w:rsidR="005E5AF1" w:rsidRPr="005E5AF1" w:rsidRDefault="005E5AF1" w:rsidP="005E5AF1">
      <w:pPr>
        <w:pStyle w:val="Heading2"/>
        <w:rPr>
          <w:rFonts w:ascii="Times New Roman" w:hAnsi="Times New Roman" w:cs="Times New Roman"/>
          <w:sz w:val="28"/>
        </w:rPr>
      </w:pPr>
      <w:r w:rsidRPr="005E5AF1">
        <w:rPr>
          <w:rFonts w:ascii="Times New Roman" w:eastAsia="Arial" w:hAnsi="Times New Roman" w:cs="Times New Roman"/>
          <w:color w:val="2E6DA4"/>
          <w:sz w:val="28"/>
          <w:szCs w:val="24"/>
        </w:rPr>
        <w:t>Adobe Content Analytics: Asset-Level Brand Performance</w:t>
      </w:r>
    </w:p>
    <w:p w:rsidR="005E5AF1" w:rsidRDefault="005E5AF1" w:rsidP="005E5AF1">
      <w:pPr>
        <w:spacing w:line="276" w:lineRule="auto"/>
        <w:jc w:val="both"/>
        <w:rPr>
          <w:rFonts w:ascii="Times New Roman" w:hAnsi="Times New Roman" w:cs="Times New Roman"/>
          <w:sz w:val="24"/>
        </w:rPr>
      </w:pPr>
    </w:p>
    <w:p w:rsidR="005E5AF1" w:rsidRDefault="005E5AF1" w:rsidP="005E5AF1">
      <w:pPr>
        <w:spacing w:line="276" w:lineRule="auto"/>
        <w:jc w:val="both"/>
        <w:rPr>
          <w:rFonts w:ascii="Times New Roman" w:hAnsi="Times New Roman" w:cs="Times New Roman"/>
          <w:sz w:val="24"/>
        </w:rPr>
      </w:pPr>
      <w:r w:rsidRPr="005E5AF1">
        <w:rPr>
          <w:rFonts w:ascii="Times New Roman" w:hAnsi="Times New Roman" w:cs="Times New Roman"/>
          <w:sz w:val="24"/>
        </w:rPr>
        <w:t xml:space="preserve">Adobe Content Analytics now allows for evaluation of individual assets at an even greater level than campaign metrics. Rather than solely providing insight into overall branding effectiveness, Content Analytics will allow for organisations to assess commercial viability based on specific features associated with branding such as images, copy treatments and color schemes. Content Analytics will provide a new way to evaluate branding as it will provide data-driven answers to design questions that prior to now have been evaluated solely based on creative assessments. Adobe Content Analytics allows organisations to evaluate how certain pieces of content (ie product images, titles, call-to-action element, etc) perform against the various audience segments in which the pieces appear and the channel in which the content exists. This enables organisations to determine which visual branding assets yield the greatest engagement, which branded images generate the greatest click-through rates as </w:t>
      </w:r>
      <w:r w:rsidRPr="005E5AF1">
        <w:rPr>
          <w:rFonts w:ascii="Times New Roman" w:hAnsi="Times New Roman" w:cs="Times New Roman"/>
          <w:sz w:val="24"/>
        </w:rPr>
        <w:lastRenderedPageBreak/>
        <w:t xml:space="preserve">well as which format types best match to certain points in the buyer journey. </w:t>
      </w:r>
      <w:r>
        <w:rPr>
          <w:rFonts w:ascii="Times New Roman" w:hAnsi="Times New Roman" w:cs="Times New Roman"/>
          <w:sz w:val="24"/>
        </w:rPr>
        <w:t xml:space="preserve"> </w:t>
      </w:r>
      <w:r w:rsidRPr="005E5AF1">
        <w:rPr>
          <w:rFonts w:ascii="Times New Roman" w:hAnsi="Times New Roman" w:cs="Times New Roman"/>
          <w:sz w:val="24"/>
        </w:rPr>
        <w:t>Through the ability of organisations to evaluate the performance of their brand assets at such a granular level, organisations can establish a virtuous cycle of brand enhancement by identifying, reproducing and scaling successful assets, and modifying or discontinuing unsuccessful brand assets based on objective data as opposed to subjective belief systems.</w:t>
      </w:r>
    </w:p>
    <w:p w:rsidR="005E5AF1" w:rsidRPr="00AA23AA" w:rsidRDefault="005E5AF1" w:rsidP="005E5AF1">
      <w:pPr>
        <w:pStyle w:val="Heading2"/>
        <w:rPr>
          <w:rFonts w:ascii="Times New Roman" w:hAnsi="Times New Roman" w:cs="Times New Roman"/>
          <w:sz w:val="28"/>
        </w:rPr>
      </w:pPr>
      <w:r w:rsidRPr="00AA23AA">
        <w:rPr>
          <w:rFonts w:ascii="Times New Roman" w:eastAsia="Arial" w:hAnsi="Times New Roman" w:cs="Times New Roman"/>
          <w:color w:val="2E6DA4"/>
          <w:sz w:val="28"/>
          <w:szCs w:val="24"/>
        </w:rPr>
        <w:t>Customer Journey Analytics: Cross-Channel Brand Measurement</w:t>
      </w:r>
    </w:p>
    <w:p w:rsidR="005E5AF1" w:rsidRDefault="005E5AF1" w:rsidP="005E5AF1">
      <w:pPr>
        <w:spacing w:line="276" w:lineRule="auto"/>
        <w:jc w:val="both"/>
        <w:rPr>
          <w:rFonts w:ascii="Times New Roman" w:hAnsi="Times New Roman" w:cs="Times New Roman"/>
          <w:sz w:val="24"/>
        </w:rPr>
      </w:pPr>
    </w:p>
    <w:p w:rsidR="005E5AF1" w:rsidRDefault="00AA23AA" w:rsidP="00AA23AA">
      <w:pPr>
        <w:spacing w:line="276" w:lineRule="auto"/>
        <w:jc w:val="both"/>
        <w:rPr>
          <w:rFonts w:ascii="Times New Roman" w:hAnsi="Times New Roman" w:cs="Times New Roman"/>
          <w:sz w:val="24"/>
        </w:rPr>
      </w:pPr>
      <w:r w:rsidRPr="00AA23AA">
        <w:rPr>
          <w:rFonts w:ascii="Times New Roman" w:hAnsi="Times New Roman" w:cs="Times New Roman"/>
          <w:sz w:val="24"/>
        </w:rPr>
        <w:t>Adobe Customer Journey Analytics (CJA) provides omnichannel measurement of marketing performance by integrating data from web, mobile, email, social media, retail and offline channels and creating a unified view of the customer’s journey. For product branding purposes, CJA helps organisations understand how different types of brand engagement combine to create a commercial result and maps out what portion of the customer's decision journey each brande</w:t>
      </w:r>
      <w:r>
        <w:rPr>
          <w:rFonts w:ascii="Times New Roman" w:hAnsi="Times New Roman" w:cs="Times New Roman"/>
          <w:sz w:val="24"/>
        </w:rPr>
        <w:t xml:space="preserve">d touchpoint contributes to it. </w:t>
      </w:r>
      <w:r w:rsidRPr="00AA23AA">
        <w:rPr>
          <w:rFonts w:ascii="Times New Roman" w:hAnsi="Times New Roman" w:cs="Times New Roman"/>
          <w:sz w:val="24"/>
        </w:rPr>
        <w:t>A cross-channel branding perspective is valuable for measuring brands as it eliminates an age-old attribution issue regarding the ability to give credit to brand investments (usually "upstream", or activities that create awareness) for moving customers to buy something at a later date (referred to as "downstream"). CJA has journey-level attribution models that will help identify which brand engagements (e.g. viewed a branded catalogue on a mobile device; opened a branded proposal in e-mail; visited a product page three times within a week's time) are typically seen at the same phase of the purchasing process, thus allowing more accurate attribution of ROI to branding communications.</w:t>
      </w:r>
    </w:p>
    <w:p w:rsidR="00AA23AA" w:rsidRPr="00AA23AA" w:rsidRDefault="00AA23AA" w:rsidP="00AA23AA">
      <w:pPr>
        <w:pStyle w:val="Heading2"/>
        <w:rPr>
          <w:rFonts w:ascii="Times New Roman" w:hAnsi="Times New Roman" w:cs="Times New Roman"/>
          <w:sz w:val="28"/>
        </w:rPr>
      </w:pPr>
      <w:r w:rsidRPr="00AA23AA">
        <w:rPr>
          <w:rFonts w:ascii="Times New Roman" w:eastAsia="Arial" w:hAnsi="Times New Roman" w:cs="Times New Roman"/>
          <w:color w:val="2E6DA4"/>
          <w:sz w:val="28"/>
          <w:szCs w:val="24"/>
        </w:rPr>
        <w:t>Adobe Marketo Engage: Campaign Performance and Brand Pipeline</w:t>
      </w:r>
    </w:p>
    <w:p w:rsidR="00AA23AA" w:rsidRDefault="00AA23AA" w:rsidP="00AA23AA">
      <w:pPr>
        <w:spacing w:line="276" w:lineRule="auto"/>
        <w:jc w:val="both"/>
        <w:rPr>
          <w:rFonts w:ascii="Times New Roman" w:hAnsi="Times New Roman" w:cs="Times New Roman"/>
          <w:sz w:val="24"/>
        </w:rPr>
      </w:pPr>
    </w:p>
    <w:p w:rsidR="00AA23AA" w:rsidRDefault="00AA23AA" w:rsidP="00AA23AA">
      <w:pPr>
        <w:spacing w:line="276" w:lineRule="auto"/>
        <w:jc w:val="both"/>
        <w:rPr>
          <w:rFonts w:ascii="Times New Roman" w:hAnsi="Times New Roman" w:cs="Times New Roman"/>
          <w:sz w:val="24"/>
        </w:rPr>
      </w:pPr>
      <w:r w:rsidRPr="00AA23AA">
        <w:rPr>
          <w:rFonts w:ascii="Times New Roman" w:hAnsi="Times New Roman" w:cs="Times New Roman"/>
          <w:sz w:val="24"/>
        </w:rPr>
        <w:t>Adobe Marketo Engage marries all aspects of campaign execution to performance monitoring and allows businesses and brands to measure branded marketing communications impact on buyer behaviour throughout all stages in the sales process. Marketo provides lead scoring, engagement programs and revenue attribution functionality which links branded content performance directly into commercial pipeline metrics — enabling businesses to translate the impact of their branded communications into a language that stakeholders in finance and operations can use when assessing results.</w:t>
      </w:r>
      <w:r>
        <w:rPr>
          <w:rFonts w:ascii="Times New Roman" w:hAnsi="Times New Roman" w:cs="Times New Roman"/>
          <w:sz w:val="24"/>
        </w:rPr>
        <w:t xml:space="preserve"> </w:t>
      </w:r>
      <w:r w:rsidRPr="00AA23AA">
        <w:rPr>
          <w:rFonts w:ascii="Times New Roman" w:hAnsi="Times New Roman" w:cs="Times New Roman"/>
          <w:sz w:val="24"/>
        </w:rPr>
        <w:t>For product brandings, campaign analytics in Marketo allows companies to evaluate which formats of branded content — product videos, technical literature, case study documents and Email Newsletters — provide the greatest contribution towards progression through the sales pipeline for their target audience segments. Thus, this capability changes brand measurement from only a vanity metric (impressions, reach, awareness scores) into contributing to revenues. This, in turn, provides intelligence for companies when making brand investment decisions.</w:t>
      </w:r>
    </w:p>
    <w:p w:rsidR="00AA23AA" w:rsidRPr="00B16E0F" w:rsidRDefault="00AA23AA" w:rsidP="00AA23AA">
      <w:pPr>
        <w:pStyle w:val="Heading2"/>
        <w:rPr>
          <w:rFonts w:ascii="Times New Roman" w:eastAsia="Arial" w:hAnsi="Times New Roman" w:cs="Times New Roman"/>
          <w:color w:val="2E6DA4"/>
          <w:sz w:val="28"/>
          <w:szCs w:val="24"/>
        </w:rPr>
      </w:pPr>
      <w:r w:rsidRPr="00AA23AA">
        <w:rPr>
          <w:rFonts w:ascii="Times New Roman" w:eastAsia="Arial" w:hAnsi="Times New Roman" w:cs="Times New Roman"/>
          <w:color w:val="2E6DA4"/>
          <w:sz w:val="28"/>
          <w:szCs w:val="24"/>
        </w:rPr>
        <w:t>Survey Evidence: Adobe Tools and Performance Measurement</w:t>
      </w:r>
    </w:p>
    <w:p w:rsidR="00AA23AA" w:rsidRDefault="00AA23AA" w:rsidP="00AA23AA">
      <w:pPr>
        <w:spacing w:line="276" w:lineRule="auto"/>
        <w:jc w:val="both"/>
        <w:rPr>
          <w:rFonts w:ascii="Times New Roman" w:hAnsi="Times New Roman" w:cs="Times New Roman"/>
          <w:sz w:val="24"/>
        </w:rPr>
      </w:pPr>
    </w:p>
    <w:p w:rsidR="00AA23AA" w:rsidRDefault="00AA23AA" w:rsidP="00AA23AA">
      <w:pPr>
        <w:spacing w:line="276" w:lineRule="auto"/>
        <w:jc w:val="both"/>
        <w:rPr>
          <w:rFonts w:ascii="Times New Roman" w:hAnsi="Times New Roman" w:cs="Times New Roman"/>
          <w:sz w:val="24"/>
        </w:rPr>
      </w:pPr>
      <w:r w:rsidRPr="00AA23AA">
        <w:rPr>
          <w:rFonts w:ascii="Times New Roman" w:hAnsi="Times New Roman" w:cs="Times New Roman"/>
          <w:sz w:val="24"/>
        </w:rPr>
        <w:t>Data from primary survey indicate that respondents view Adobe's analytic tools as capable of providing performance measure and are significantly distinguishable between branding results from maturity asymmetry. Table 2 illustrates the weighted mean scores based on perception statements for measurement.</w:t>
      </w:r>
    </w:p>
    <w:p w:rsidR="00AA23AA" w:rsidRDefault="00AA23AA" w:rsidP="00AA23AA">
      <w:pPr>
        <w:spacing w:line="276" w:lineRule="auto"/>
        <w:jc w:val="both"/>
        <w:rPr>
          <w:rFonts w:ascii="Times New Roman" w:hAnsi="Times New Roman" w:cs="Times New Roman"/>
          <w:sz w:val="24"/>
        </w:rPr>
      </w:pPr>
    </w:p>
    <w:tbl>
      <w:tblPr>
        <w:tblW w:w="9360"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359"/>
        <w:gridCol w:w="1376"/>
        <w:gridCol w:w="1625"/>
      </w:tblGrid>
      <w:tr w:rsidR="00AA23AA" w:rsidRPr="00AA23AA" w:rsidTr="00AA23AA">
        <w:trPr>
          <w:tblHeader/>
        </w:trPr>
        <w:tc>
          <w:tcPr>
            <w:tcW w:w="6359" w:type="dxa"/>
            <w:tcBorders>
              <w:top w:val="single" w:sz="1" w:space="0" w:color="CCCCCC"/>
              <w:left w:val="single" w:sz="1" w:space="0" w:color="CCCCCC"/>
              <w:bottom w:val="single" w:sz="1" w:space="0" w:color="CCCCCC"/>
              <w:right w:val="single" w:sz="1" w:space="0" w:color="CCCCCC"/>
            </w:tcBorders>
            <w:shd w:val="clear" w:color="auto" w:fill="1B3A6B"/>
            <w:tcMar>
              <w:top w:w="100" w:type="dxa"/>
              <w:left w:w="140" w:type="dxa"/>
              <w:bottom w:w="100" w:type="dxa"/>
              <w:right w:w="140" w:type="dxa"/>
            </w:tcMar>
            <w:vAlign w:val="center"/>
          </w:tcPr>
          <w:p w:rsidR="00AA23AA" w:rsidRPr="00AA23AA" w:rsidRDefault="00AA23AA" w:rsidP="001224FD">
            <w:pPr>
              <w:jc w:val="center"/>
              <w:rPr>
                <w:rFonts w:ascii="Times New Roman" w:hAnsi="Times New Roman" w:cs="Times New Roman"/>
              </w:rPr>
            </w:pPr>
            <w:r w:rsidRPr="00AA23AA">
              <w:rPr>
                <w:rFonts w:ascii="Times New Roman" w:hAnsi="Times New Roman" w:cs="Times New Roman"/>
                <w:b/>
                <w:bCs/>
                <w:color w:val="FFFFFF"/>
                <w:szCs w:val="20"/>
              </w:rPr>
              <w:t>Performance Measurement Perception Statement</w:t>
            </w:r>
          </w:p>
        </w:tc>
        <w:tc>
          <w:tcPr>
            <w:tcW w:w="1376" w:type="dxa"/>
            <w:tcBorders>
              <w:top w:val="single" w:sz="1" w:space="0" w:color="CCCCCC"/>
              <w:left w:val="single" w:sz="1" w:space="0" w:color="CCCCCC"/>
              <w:bottom w:val="single" w:sz="1" w:space="0" w:color="CCCCCC"/>
              <w:right w:val="single" w:sz="1" w:space="0" w:color="CCCCCC"/>
            </w:tcBorders>
            <w:shd w:val="clear" w:color="auto" w:fill="1B3A6B"/>
            <w:tcMar>
              <w:top w:w="100" w:type="dxa"/>
              <w:left w:w="140" w:type="dxa"/>
              <w:bottom w:w="100" w:type="dxa"/>
              <w:right w:w="140" w:type="dxa"/>
            </w:tcMar>
            <w:vAlign w:val="center"/>
          </w:tcPr>
          <w:p w:rsidR="00AA23AA" w:rsidRPr="00AA23AA" w:rsidRDefault="00AA23AA" w:rsidP="001224FD">
            <w:pPr>
              <w:jc w:val="center"/>
              <w:rPr>
                <w:rFonts w:ascii="Times New Roman" w:hAnsi="Times New Roman" w:cs="Times New Roman"/>
              </w:rPr>
            </w:pPr>
            <w:r w:rsidRPr="00AA23AA">
              <w:rPr>
                <w:rFonts w:ascii="Times New Roman" w:hAnsi="Times New Roman" w:cs="Times New Roman"/>
                <w:b/>
                <w:bCs/>
                <w:color w:val="FFFFFF"/>
                <w:szCs w:val="20"/>
              </w:rPr>
              <w:t>Mean Score</w:t>
            </w:r>
          </w:p>
        </w:tc>
        <w:tc>
          <w:tcPr>
            <w:tcW w:w="1625" w:type="dxa"/>
            <w:tcBorders>
              <w:top w:val="single" w:sz="1" w:space="0" w:color="CCCCCC"/>
              <w:left w:val="single" w:sz="1" w:space="0" w:color="CCCCCC"/>
              <w:bottom w:val="single" w:sz="1" w:space="0" w:color="CCCCCC"/>
              <w:right w:val="single" w:sz="1" w:space="0" w:color="CCCCCC"/>
            </w:tcBorders>
            <w:shd w:val="clear" w:color="auto" w:fill="1B3A6B"/>
            <w:tcMar>
              <w:top w:w="100" w:type="dxa"/>
              <w:left w:w="140" w:type="dxa"/>
              <w:bottom w:w="100" w:type="dxa"/>
              <w:right w:w="140" w:type="dxa"/>
            </w:tcMar>
            <w:vAlign w:val="center"/>
          </w:tcPr>
          <w:p w:rsidR="00AA23AA" w:rsidRPr="00AA23AA" w:rsidRDefault="00AA23AA" w:rsidP="001224FD">
            <w:pPr>
              <w:jc w:val="center"/>
              <w:rPr>
                <w:rFonts w:ascii="Times New Roman" w:hAnsi="Times New Roman" w:cs="Times New Roman"/>
              </w:rPr>
            </w:pPr>
            <w:r w:rsidRPr="00AA23AA">
              <w:rPr>
                <w:rFonts w:ascii="Times New Roman" w:hAnsi="Times New Roman" w:cs="Times New Roman"/>
                <w:b/>
                <w:bCs/>
                <w:color w:val="FFFFFF"/>
                <w:szCs w:val="20"/>
              </w:rPr>
              <w:t>Interpretation</w:t>
            </w:r>
          </w:p>
        </w:tc>
      </w:tr>
      <w:tr w:rsidR="00AA23AA" w:rsidRPr="00AA23AA" w:rsidTr="00AA23AA">
        <w:tc>
          <w:tcPr>
            <w:tcW w:w="6359"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AA23AA" w:rsidRPr="00AA23AA" w:rsidRDefault="00AA23AA" w:rsidP="001224FD">
            <w:pPr>
              <w:rPr>
                <w:rFonts w:ascii="Times New Roman" w:hAnsi="Times New Roman" w:cs="Times New Roman"/>
              </w:rPr>
            </w:pPr>
            <w:r w:rsidRPr="00AA23AA">
              <w:rPr>
                <w:rFonts w:ascii="Times New Roman" w:hAnsi="Times New Roman" w:cs="Times New Roman"/>
                <w:szCs w:val="20"/>
              </w:rPr>
              <w:t>Adobe analytics tools help measure digital campaign performance effectively</w:t>
            </w:r>
          </w:p>
        </w:tc>
        <w:tc>
          <w:tcPr>
            <w:tcW w:w="1376"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AA23AA" w:rsidRPr="00AA23AA" w:rsidRDefault="00AA23AA" w:rsidP="001224FD">
            <w:pPr>
              <w:jc w:val="center"/>
              <w:rPr>
                <w:rFonts w:ascii="Times New Roman" w:hAnsi="Times New Roman" w:cs="Times New Roman"/>
              </w:rPr>
            </w:pPr>
            <w:r w:rsidRPr="00AA23AA">
              <w:rPr>
                <w:rFonts w:ascii="Times New Roman" w:hAnsi="Times New Roman" w:cs="Times New Roman"/>
                <w:b/>
                <w:bCs/>
                <w:szCs w:val="20"/>
              </w:rPr>
              <w:t>3.98</w:t>
            </w:r>
          </w:p>
        </w:tc>
        <w:tc>
          <w:tcPr>
            <w:tcW w:w="1625"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AA23AA" w:rsidRPr="00AA23AA" w:rsidRDefault="00AA23AA" w:rsidP="001224FD">
            <w:pPr>
              <w:jc w:val="center"/>
              <w:rPr>
                <w:rFonts w:ascii="Times New Roman" w:hAnsi="Times New Roman" w:cs="Times New Roman"/>
              </w:rPr>
            </w:pPr>
            <w:r w:rsidRPr="00AA23AA">
              <w:rPr>
                <w:rFonts w:ascii="Times New Roman" w:hAnsi="Times New Roman" w:cs="Times New Roman"/>
                <w:szCs w:val="20"/>
              </w:rPr>
              <w:t>Positive Agreement</w:t>
            </w:r>
          </w:p>
        </w:tc>
      </w:tr>
      <w:tr w:rsidR="00AA23AA" w:rsidRPr="00AA23AA" w:rsidTr="00AA23AA">
        <w:tc>
          <w:tcPr>
            <w:tcW w:w="635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AA23AA" w:rsidRPr="00AA23AA" w:rsidRDefault="00AA23AA" w:rsidP="001224FD">
            <w:pPr>
              <w:rPr>
                <w:rFonts w:ascii="Times New Roman" w:hAnsi="Times New Roman" w:cs="Times New Roman"/>
              </w:rPr>
            </w:pPr>
            <w:r w:rsidRPr="00AA23AA">
              <w:rPr>
                <w:rFonts w:ascii="Times New Roman" w:hAnsi="Times New Roman" w:cs="Times New Roman"/>
                <w:szCs w:val="20"/>
              </w:rPr>
              <w:t>Adobe dashboards improve marketing decision-making quality</w:t>
            </w:r>
          </w:p>
        </w:tc>
        <w:tc>
          <w:tcPr>
            <w:tcW w:w="137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AA23AA" w:rsidRPr="00AA23AA" w:rsidRDefault="00AA23AA" w:rsidP="001224FD">
            <w:pPr>
              <w:jc w:val="center"/>
              <w:rPr>
                <w:rFonts w:ascii="Times New Roman" w:hAnsi="Times New Roman" w:cs="Times New Roman"/>
              </w:rPr>
            </w:pPr>
            <w:r w:rsidRPr="00AA23AA">
              <w:rPr>
                <w:rFonts w:ascii="Times New Roman" w:hAnsi="Times New Roman" w:cs="Times New Roman"/>
                <w:b/>
                <w:bCs/>
                <w:szCs w:val="20"/>
              </w:rPr>
              <w:t>3.90</w:t>
            </w:r>
          </w:p>
        </w:tc>
        <w:tc>
          <w:tcPr>
            <w:tcW w:w="162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AA23AA" w:rsidRPr="00AA23AA" w:rsidRDefault="00AA23AA" w:rsidP="001224FD">
            <w:pPr>
              <w:jc w:val="center"/>
              <w:rPr>
                <w:rFonts w:ascii="Times New Roman" w:hAnsi="Times New Roman" w:cs="Times New Roman"/>
              </w:rPr>
            </w:pPr>
            <w:r w:rsidRPr="00AA23AA">
              <w:rPr>
                <w:rFonts w:ascii="Times New Roman" w:hAnsi="Times New Roman" w:cs="Times New Roman"/>
                <w:szCs w:val="20"/>
              </w:rPr>
              <w:t>Positive Agreement</w:t>
            </w:r>
          </w:p>
        </w:tc>
      </w:tr>
      <w:tr w:rsidR="00AA23AA" w:rsidRPr="00AA23AA" w:rsidTr="00AA23AA">
        <w:tc>
          <w:tcPr>
            <w:tcW w:w="6359"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AA23AA" w:rsidRPr="00AA23AA" w:rsidRDefault="00AA23AA" w:rsidP="001224FD">
            <w:pPr>
              <w:rPr>
                <w:rFonts w:ascii="Times New Roman" w:hAnsi="Times New Roman" w:cs="Times New Roman"/>
              </w:rPr>
            </w:pPr>
            <w:r w:rsidRPr="00AA23AA">
              <w:rPr>
                <w:rFonts w:ascii="Times New Roman" w:hAnsi="Times New Roman" w:cs="Times New Roman"/>
                <w:szCs w:val="20"/>
              </w:rPr>
              <w:t>Adobe tools reduce content production and design turnaround time</w:t>
            </w:r>
          </w:p>
        </w:tc>
        <w:tc>
          <w:tcPr>
            <w:tcW w:w="1376"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AA23AA" w:rsidRPr="00AA23AA" w:rsidRDefault="00AA23AA" w:rsidP="001224FD">
            <w:pPr>
              <w:jc w:val="center"/>
              <w:rPr>
                <w:rFonts w:ascii="Times New Roman" w:hAnsi="Times New Roman" w:cs="Times New Roman"/>
              </w:rPr>
            </w:pPr>
            <w:r w:rsidRPr="00AA23AA">
              <w:rPr>
                <w:rFonts w:ascii="Times New Roman" w:hAnsi="Times New Roman" w:cs="Times New Roman"/>
                <w:b/>
                <w:bCs/>
                <w:szCs w:val="20"/>
              </w:rPr>
              <w:t>3.88</w:t>
            </w:r>
          </w:p>
        </w:tc>
        <w:tc>
          <w:tcPr>
            <w:tcW w:w="1625"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AA23AA" w:rsidRPr="00AA23AA" w:rsidRDefault="00AA23AA" w:rsidP="001224FD">
            <w:pPr>
              <w:jc w:val="center"/>
              <w:rPr>
                <w:rFonts w:ascii="Times New Roman" w:hAnsi="Times New Roman" w:cs="Times New Roman"/>
              </w:rPr>
            </w:pPr>
            <w:r w:rsidRPr="00AA23AA">
              <w:rPr>
                <w:rFonts w:ascii="Times New Roman" w:hAnsi="Times New Roman" w:cs="Times New Roman"/>
                <w:szCs w:val="20"/>
              </w:rPr>
              <w:t>Positive Agreement</w:t>
            </w:r>
          </w:p>
        </w:tc>
      </w:tr>
      <w:tr w:rsidR="00AA23AA" w:rsidRPr="00AA23AA" w:rsidTr="00AA23AA">
        <w:tc>
          <w:tcPr>
            <w:tcW w:w="635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AA23AA" w:rsidRPr="00AA23AA" w:rsidRDefault="00AA23AA" w:rsidP="001224FD">
            <w:pPr>
              <w:rPr>
                <w:rFonts w:ascii="Times New Roman" w:hAnsi="Times New Roman" w:cs="Times New Roman"/>
              </w:rPr>
            </w:pPr>
            <w:r w:rsidRPr="00AA23AA">
              <w:rPr>
                <w:rFonts w:ascii="Times New Roman" w:hAnsi="Times New Roman" w:cs="Times New Roman"/>
                <w:szCs w:val="20"/>
              </w:rPr>
              <w:t>Adobe tools create measurable and demonstrable marketing ROI</w:t>
            </w:r>
          </w:p>
        </w:tc>
        <w:tc>
          <w:tcPr>
            <w:tcW w:w="137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AA23AA" w:rsidRPr="00AA23AA" w:rsidRDefault="00AA23AA" w:rsidP="001224FD">
            <w:pPr>
              <w:jc w:val="center"/>
              <w:rPr>
                <w:rFonts w:ascii="Times New Roman" w:hAnsi="Times New Roman" w:cs="Times New Roman"/>
              </w:rPr>
            </w:pPr>
            <w:r w:rsidRPr="00AA23AA">
              <w:rPr>
                <w:rFonts w:ascii="Times New Roman" w:hAnsi="Times New Roman" w:cs="Times New Roman"/>
                <w:b/>
                <w:bCs/>
                <w:szCs w:val="20"/>
              </w:rPr>
              <w:t>3.76</w:t>
            </w:r>
          </w:p>
        </w:tc>
        <w:tc>
          <w:tcPr>
            <w:tcW w:w="162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AA23AA" w:rsidRPr="00AA23AA" w:rsidRDefault="00AA23AA" w:rsidP="001224FD">
            <w:pPr>
              <w:jc w:val="center"/>
              <w:rPr>
                <w:rFonts w:ascii="Times New Roman" w:hAnsi="Times New Roman" w:cs="Times New Roman"/>
              </w:rPr>
            </w:pPr>
            <w:r w:rsidRPr="00AA23AA">
              <w:rPr>
                <w:rFonts w:ascii="Times New Roman" w:hAnsi="Times New Roman" w:cs="Times New Roman"/>
                <w:szCs w:val="20"/>
              </w:rPr>
              <w:t>Positive Agreement</w:t>
            </w:r>
          </w:p>
        </w:tc>
      </w:tr>
    </w:tbl>
    <w:p w:rsidR="00AA23AA" w:rsidRPr="00AA23AA" w:rsidRDefault="00AA23AA" w:rsidP="00AA23AA">
      <w:pPr>
        <w:spacing w:before="80" w:after="160"/>
        <w:jc w:val="center"/>
        <w:rPr>
          <w:rFonts w:ascii="Times New Roman" w:hAnsi="Times New Roman" w:cs="Times New Roman"/>
        </w:rPr>
      </w:pPr>
      <w:r w:rsidRPr="00AA23AA">
        <w:rPr>
          <w:rFonts w:ascii="Times New Roman" w:hAnsi="Times New Roman" w:cs="Times New Roman"/>
          <w:i/>
          <w:iCs/>
          <w:color w:val="555555"/>
          <w:sz w:val="24"/>
          <w:szCs w:val="20"/>
        </w:rPr>
        <w:t xml:space="preserve">Table 2. Respondent Perceptions of Adobe Tools as Enablers of Performance Measurement (n = </w:t>
      </w:r>
      <w:r w:rsidRPr="00AA23AA">
        <w:rPr>
          <w:rFonts w:ascii="Times New Roman" w:hAnsi="Times New Roman" w:cs="Times New Roman"/>
          <w:i/>
          <w:iCs/>
          <w:color w:val="555555"/>
          <w:sz w:val="20"/>
          <w:szCs w:val="20"/>
        </w:rPr>
        <w:t>120)</w:t>
      </w:r>
    </w:p>
    <w:p w:rsidR="00AA23AA" w:rsidRPr="00AA23AA" w:rsidRDefault="00AA23AA" w:rsidP="00AA23AA">
      <w:pPr>
        <w:spacing w:before="60" w:after="60" w:line="276" w:lineRule="auto"/>
        <w:jc w:val="both"/>
        <w:rPr>
          <w:rFonts w:ascii="Times New Roman" w:hAnsi="Times New Roman" w:cs="Times New Roman"/>
          <w:sz w:val="24"/>
        </w:rPr>
      </w:pPr>
      <w:r w:rsidRPr="00AA23AA">
        <w:rPr>
          <w:rFonts w:ascii="Times New Roman" w:hAnsi="Times New Roman" w:cs="Times New Roman"/>
          <w:sz w:val="24"/>
        </w:rPr>
        <w:t>All of the measurement-related statements are statistically in the positive agreement range, which verifies that Adobe's analytics tools are considered useful generally for marketing performance management. The fact that the mean ROI clarity score was lower at 3.76 does not indicate the users’ perception is negative; however, it does highlight the nature of developing measurement capability – i.e., translating tool use into financial accountability requires establishing key performance indicators, having discipline to report accurately and having the ability to analyze information to generate value, which need to develop concurrently with the tools themselves. This is also consistent with Järvinen &amp; Karjaluoto's (2015) original conclusion that simply having access to analytics does not create strategic value for decision-making.</w:t>
      </w:r>
    </w:p>
    <w:p w:rsidR="00AA23AA" w:rsidRPr="00B16E0F" w:rsidRDefault="00AA23AA" w:rsidP="00AA23AA">
      <w:pPr>
        <w:pStyle w:val="Heading1"/>
        <w:rPr>
          <w:color w:val="000000" w:themeColor="text1"/>
        </w:rPr>
      </w:pPr>
      <w:r w:rsidRPr="00B16E0F">
        <w:rPr>
          <w:rFonts w:eastAsia="Arial"/>
          <w:color w:val="000000" w:themeColor="text1"/>
        </w:rPr>
        <w:t xml:space="preserve"> Research Methodology</w:t>
      </w:r>
    </w:p>
    <w:p w:rsidR="00AA23AA" w:rsidRPr="00B16E0F" w:rsidRDefault="00AA23AA" w:rsidP="00AA23AA">
      <w:pPr>
        <w:pStyle w:val="Heading2"/>
        <w:rPr>
          <w:rFonts w:ascii="Times New Roman" w:hAnsi="Times New Roman" w:cs="Times New Roman"/>
          <w:color w:val="000000" w:themeColor="text1"/>
          <w:sz w:val="28"/>
          <w:szCs w:val="28"/>
        </w:rPr>
      </w:pPr>
      <w:r w:rsidRPr="00B16E0F">
        <w:rPr>
          <w:rFonts w:ascii="Times New Roman" w:eastAsia="Arial" w:hAnsi="Times New Roman" w:cs="Times New Roman"/>
          <w:color w:val="000000" w:themeColor="text1"/>
          <w:sz w:val="28"/>
          <w:szCs w:val="28"/>
        </w:rPr>
        <w:t>Research Design</w:t>
      </w:r>
    </w:p>
    <w:p w:rsidR="00AA23AA" w:rsidRPr="00B16E0F" w:rsidRDefault="00AA23AA" w:rsidP="00AA23AA">
      <w:pPr>
        <w:spacing w:line="276" w:lineRule="auto"/>
        <w:jc w:val="both"/>
        <w:rPr>
          <w:rFonts w:ascii="Times New Roman" w:hAnsi="Times New Roman" w:cs="Times New Roman"/>
          <w:color w:val="000000" w:themeColor="text1"/>
          <w:sz w:val="24"/>
        </w:rPr>
      </w:pPr>
    </w:p>
    <w:p w:rsidR="00B16E0F" w:rsidRPr="00B16E0F" w:rsidRDefault="00B16E0F" w:rsidP="00B16E0F">
      <w:pPr>
        <w:spacing w:line="276" w:lineRule="auto"/>
        <w:jc w:val="both"/>
        <w:rPr>
          <w:rFonts w:ascii="Times New Roman" w:hAnsi="Times New Roman" w:cs="Times New Roman"/>
          <w:color w:val="000000" w:themeColor="text1"/>
          <w:sz w:val="24"/>
        </w:rPr>
      </w:pPr>
      <w:r w:rsidRPr="00B16E0F">
        <w:rPr>
          <w:rFonts w:ascii="Times New Roman" w:hAnsi="Times New Roman" w:cs="Times New Roman"/>
          <w:color w:val="000000" w:themeColor="text1"/>
          <w:sz w:val="24"/>
        </w:rPr>
        <w:t>This research utilizes both descriptive and causal types of research design. The descriptive part describes how those who answered perceive how they used Adobe tools and how it relates to branding and measurement outcomes. The causal portion uses inferential interpretation of how tools were used in specific ways (adopted) to indicate the effectiveness of branding or measurements, and these practices are in line with typical management and marketing research.The majority of data from this research will be numeric, although some qualitative support will come from secondary sources such as corporate documentation from Adobe and third-party sources such as trade statistics and peer-reviewed research articles.</w:t>
      </w:r>
    </w:p>
    <w:p w:rsidR="00B16E0F" w:rsidRPr="00B16E0F" w:rsidRDefault="00B16E0F" w:rsidP="00B16E0F">
      <w:pPr>
        <w:spacing w:line="276" w:lineRule="auto"/>
        <w:jc w:val="both"/>
        <w:rPr>
          <w:rFonts w:ascii="Times New Roman" w:hAnsi="Times New Roman" w:cs="Times New Roman"/>
          <w:color w:val="000000" w:themeColor="text1"/>
          <w:sz w:val="24"/>
        </w:rPr>
      </w:pPr>
    </w:p>
    <w:p w:rsidR="00180D5A" w:rsidRPr="00B16E0F" w:rsidRDefault="00180D5A" w:rsidP="00180D5A">
      <w:pPr>
        <w:spacing w:line="276" w:lineRule="auto"/>
        <w:jc w:val="both"/>
        <w:rPr>
          <w:rFonts w:ascii="Times New Roman" w:hAnsi="Times New Roman" w:cs="Times New Roman"/>
          <w:b/>
          <w:bCs/>
          <w:color w:val="000000" w:themeColor="text1"/>
          <w:sz w:val="28"/>
          <w:szCs w:val="28"/>
        </w:rPr>
      </w:pPr>
      <w:r w:rsidRPr="00B16E0F">
        <w:rPr>
          <w:rFonts w:ascii="Times New Roman" w:hAnsi="Times New Roman" w:cs="Times New Roman"/>
          <w:b/>
          <w:bCs/>
          <w:color w:val="000000" w:themeColor="text1"/>
          <w:sz w:val="28"/>
          <w:szCs w:val="28"/>
        </w:rPr>
        <w:t>Sample and Sampling Technique</w:t>
      </w:r>
    </w:p>
    <w:p w:rsidR="00180D5A" w:rsidRDefault="00180D5A" w:rsidP="00B16E0F">
      <w:pPr>
        <w:spacing w:line="276" w:lineRule="auto"/>
        <w:jc w:val="both"/>
        <w:rPr>
          <w:rFonts w:ascii="Times New Roman" w:hAnsi="Times New Roman" w:cs="Times New Roman"/>
          <w:color w:val="000000" w:themeColor="text1"/>
          <w:sz w:val="24"/>
        </w:rPr>
      </w:pPr>
    </w:p>
    <w:p w:rsidR="00B16E0F" w:rsidRPr="00B16E0F" w:rsidRDefault="00B16E0F" w:rsidP="00B16E0F">
      <w:pPr>
        <w:spacing w:line="276" w:lineRule="auto"/>
        <w:jc w:val="both"/>
        <w:rPr>
          <w:rFonts w:ascii="Times New Roman" w:hAnsi="Times New Roman" w:cs="Times New Roman"/>
          <w:color w:val="000000" w:themeColor="text1"/>
          <w:sz w:val="24"/>
        </w:rPr>
      </w:pPr>
      <w:r w:rsidRPr="00B16E0F">
        <w:rPr>
          <w:rFonts w:ascii="Times New Roman" w:hAnsi="Times New Roman" w:cs="Times New Roman"/>
          <w:color w:val="000000" w:themeColor="text1"/>
          <w:sz w:val="24"/>
        </w:rPr>
        <w:t xml:space="preserve">A total of 120 respondents made up the final analysis sample. These respondents represent different groups of marketing, branding, sales communication, and business development professionals working in the institutional sector, including 28.3% of survey respondents from </w:t>
      </w:r>
      <w:r w:rsidRPr="00B16E0F">
        <w:rPr>
          <w:rFonts w:ascii="Times New Roman" w:hAnsi="Times New Roman" w:cs="Times New Roman"/>
          <w:color w:val="000000" w:themeColor="text1"/>
          <w:sz w:val="24"/>
        </w:rPr>
        <w:lastRenderedPageBreak/>
        <w:t>the hotel/guest house sector, 23.3% from corporate offices, 21.7% from hospitals, 16.7% from distribution/procurement companies, and 10.0% from other institutions.</w:t>
      </w:r>
    </w:p>
    <w:p w:rsidR="00B16E0F" w:rsidRPr="00B16E0F" w:rsidRDefault="00B16E0F" w:rsidP="00B16E0F">
      <w:pPr>
        <w:spacing w:line="276" w:lineRule="auto"/>
        <w:jc w:val="both"/>
        <w:rPr>
          <w:rFonts w:ascii="Times New Roman" w:hAnsi="Times New Roman" w:cs="Times New Roman"/>
          <w:color w:val="000000" w:themeColor="text1"/>
          <w:sz w:val="24"/>
        </w:rPr>
      </w:pPr>
    </w:p>
    <w:p w:rsidR="00B16E0F" w:rsidRPr="00B16E0F" w:rsidRDefault="00B16E0F" w:rsidP="00B16E0F">
      <w:pPr>
        <w:spacing w:line="276" w:lineRule="auto"/>
        <w:jc w:val="both"/>
        <w:rPr>
          <w:rFonts w:ascii="Times New Roman" w:hAnsi="Times New Roman" w:cs="Times New Roman"/>
          <w:color w:val="000000" w:themeColor="text1"/>
          <w:sz w:val="24"/>
        </w:rPr>
      </w:pPr>
      <w:r w:rsidRPr="00B16E0F">
        <w:rPr>
          <w:rFonts w:ascii="Times New Roman" w:hAnsi="Times New Roman" w:cs="Times New Roman"/>
          <w:color w:val="000000" w:themeColor="text1"/>
          <w:sz w:val="24"/>
        </w:rPr>
        <w:t>The method of sampling used for the sample was a non-probability sampling method that involved both convenience and purposive sampling to help ensure that respondents had the appropriate level of experience and knowledge related to digital brand communication, branded communications materials, and the marketing analytics process. This sampling method is appropriate for conducting exploratory and descriptive research that focuses on insights at the perception level, but it limits the extent to which findings are generalising across populations.</w:t>
      </w:r>
    </w:p>
    <w:p w:rsidR="00B16E0F" w:rsidRDefault="00B16E0F" w:rsidP="00AA23AA">
      <w:pPr>
        <w:spacing w:line="276" w:lineRule="auto"/>
        <w:jc w:val="both"/>
        <w:rPr>
          <w:rFonts w:ascii="Times New Roman" w:hAnsi="Times New Roman" w:cs="Times New Roman"/>
          <w:color w:val="000000" w:themeColor="text1"/>
          <w:sz w:val="24"/>
        </w:rPr>
      </w:pPr>
    </w:p>
    <w:p w:rsidR="00180D5A" w:rsidRDefault="00180D5A" w:rsidP="00AA23AA">
      <w:pPr>
        <w:spacing w:line="276" w:lineRule="auto"/>
        <w:jc w:val="both"/>
        <w:rPr>
          <w:rFonts w:ascii="Times New Roman" w:hAnsi="Times New Roman" w:cs="Times New Roman"/>
          <w:b/>
          <w:bCs/>
          <w:color w:val="000000" w:themeColor="text1"/>
          <w:sz w:val="28"/>
          <w:szCs w:val="28"/>
        </w:rPr>
      </w:pPr>
      <w:r w:rsidRPr="00180D5A">
        <w:rPr>
          <w:rFonts w:ascii="Times New Roman" w:hAnsi="Times New Roman" w:cs="Times New Roman"/>
          <w:b/>
          <w:bCs/>
          <w:color w:val="000000" w:themeColor="text1"/>
          <w:sz w:val="28"/>
          <w:szCs w:val="28"/>
        </w:rPr>
        <w:t>Data Collection Instrument</w:t>
      </w:r>
    </w:p>
    <w:p w:rsidR="00180D5A" w:rsidRPr="00180D5A" w:rsidRDefault="00180D5A" w:rsidP="00AA23AA">
      <w:pPr>
        <w:spacing w:line="276" w:lineRule="auto"/>
        <w:jc w:val="both"/>
        <w:rPr>
          <w:rFonts w:ascii="Times New Roman" w:hAnsi="Times New Roman" w:cs="Times New Roman"/>
          <w:b/>
          <w:bCs/>
          <w:color w:val="000000" w:themeColor="text1"/>
          <w:sz w:val="28"/>
          <w:szCs w:val="28"/>
        </w:rPr>
      </w:pPr>
    </w:p>
    <w:p w:rsidR="00B16E0F" w:rsidRDefault="00180D5A" w:rsidP="00AA23AA">
      <w:pPr>
        <w:spacing w:line="276" w:lineRule="auto"/>
        <w:jc w:val="both"/>
        <w:rPr>
          <w:rFonts w:ascii="Times New Roman" w:hAnsi="Times New Roman" w:cs="Times New Roman"/>
          <w:color w:val="000000" w:themeColor="text1"/>
          <w:sz w:val="24"/>
        </w:rPr>
      </w:pPr>
      <w:r w:rsidRPr="00180D5A">
        <w:rPr>
          <w:rFonts w:ascii="Times New Roman" w:hAnsi="Times New Roman" w:cs="Times New Roman"/>
          <w:color w:val="000000" w:themeColor="text1"/>
          <w:sz w:val="24"/>
        </w:rPr>
        <w:t>Data were collected using a structured questionnaire that included three different sections: one section was the profile of the respondent which included demographic and occupational data; the second section was about usage of Adobe tools including what the primary tool used was and how often it was used; and the third section of the survey asked respondents to rate 15 statements on a Likert-type scale of 1-5 (1 = Strongly Disagree; 5 = Strongly Agree) to indicate how strongly they felt regarding the effectiveness of branding as it related to four outcomes (consistent visual identity across campaigns, professionalism of campaigns, institutional trust, quality of sales enablement), and measurement of performance through four outcomes (utility of analytics, quality of decision making, clarity regarding return on investment (ROI), efficiency of content turnaround). The data also included secondary data obtained through "official product and enterprise documentation" from Adobe, recent industry trend reports, and peer-reviewed academic research studies.</w:t>
      </w:r>
    </w:p>
    <w:p w:rsidR="003B790B" w:rsidRDefault="003B790B" w:rsidP="00AA23AA">
      <w:pPr>
        <w:spacing w:line="276" w:lineRule="auto"/>
        <w:jc w:val="both"/>
        <w:rPr>
          <w:rFonts w:ascii="Times New Roman" w:hAnsi="Times New Roman" w:cs="Times New Roman"/>
          <w:color w:val="000000" w:themeColor="text1"/>
          <w:sz w:val="24"/>
        </w:rPr>
      </w:pPr>
    </w:p>
    <w:p w:rsidR="003B790B" w:rsidRDefault="003B790B" w:rsidP="00AA23AA">
      <w:pPr>
        <w:spacing w:line="276" w:lineRule="auto"/>
        <w:jc w:val="both"/>
        <w:rPr>
          <w:rFonts w:ascii="Times New Roman" w:hAnsi="Times New Roman" w:cs="Times New Roman"/>
          <w:b/>
          <w:bCs/>
          <w:color w:val="000000" w:themeColor="text1"/>
          <w:sz w:val="28"/>
          <w:szCs w:val="28"/>
        </w:rPr>
      </w:pPr>
      <w:r w:rsidRPr="003B790B">
        <w:rPr>
          <w:rFonts w:ascii="Times New Roman" w:hAnsi="Times New Roman" w:cs="Times New Roman"/>
          <w:b/>
          <w:bCs/>
          <w:color w:val="000000" w:themeColor="text1"/>
          <w:sz w:val="28"/>
          <w:szCs w:val="28"/>
        </w:rPr>
        <w:t>Data Analysis</w:t>
      </w:r>
    </w:p>
    <w:p w:rsidR="00C357E7" w:rsidRDefault="00C357E7" w:rsidP="00AA23AA">
      <w:pPr>
        <w:spacing w:line="276" w:lineRule="auto"/>
        <w:jc w:val="both"/>
        <w:rPr>
          <w:rFonts w:ascii="Times New Roman" w:hAnsi="Times New Roman" w:cs="Times New Roman"/>
          <w:color w:val="000000" w:themeColor="text1"/>
          <w:sz w:val="24"/>
        </w:rPr>
      </w:pPr>
      <w:r w:rsidRPr="00C357E7">
        <w:rPr>
          <w:rFonts w:ascii="Times New Roman" w:hAnsi="Times New Roman" w:cs="Times New Roman"/>
          <w:color w:val="000000" w:themeColor="text1"/>
          <w:sz w:val="24"/>
        </w:rPr>
        <w:t>The analysis of our data was conducted using descriptive statistical methods such as frequency distributions, percentage analyses, and weighted mean scores. The following interpretive thresholds were set: (i) mean scores above 4.00 = strong agreement; (ii) mean scores from 3.50 - 3.99 = moderate positive agreement; (iii) mean scores around 3.00 = neutral; and (iv) mean scores below 3.00 = negative perceptions. Frequency distributions and percentage breakdowns were used to identify patterns regarding tool usage as well as to establish profiles of respondents.</w:t>
      </w:r>
    </w:p>
    <w:p w:rsidR="00C357E7" w:rsidRPr="00C357E7" w:rsidRDefault="00C357E7" w:rsidP="00C357E7">
      <w:pPr>
        <w:pStyle w:val="Heading1"/>
        <w:rPr>
          <w:color w:val="000000" w:themeColor="text1"/>
        </w:rPr>
      </w:pPr>
      <w:r w:rsidRPr="00C357E7">
        <w:rPr>
          <w:rFonts w:eastAsia="Arial"/>
          <w:color w:val="000000" w:themeColor="text1"/>
        </w:rPr>
        <w:t>Findings</w:t>
      </w:r>
    </w:p>
    <w:p w:rsidR="00C357E7" w:rsidRPr="00C357E7" w:rsidRDefault="00C357E7" w:rsidP="00C357E7">
      <w:pPr>
        <w:pStyle w:val="Heading2"/>
        <w:rPr>
          <w:rFonts w:ascii="Times New Roman" w:hAnsi="Times New Roman" w:cs="Times New Roman"/>
          <w:color w:val="000000" w:themeColor="text1"/>
          <w:sz w:val="28"/>
          <w:szCs w:val="28"/>
        </w:rPr>
      </w:pPr>
      <w:r w:rsidRPr="00C357E7">
        <w:rPr>
          <w:rFonts w:ascii="Times New Roman" w:eastAsia="Arial" w:hAnsi="Times New Roman" w:cs="Times New Roman"/>
          <w:color w:val="000000" w:themeColor="text1"/>
          <w:sz w:val="28"/>
          <w:szCs w:val="28"/>
        </w:rPr>
        <w:t>Respondent Profile</w:t>
      </w:r>
    </w:p>
    <w:p w:rsidR="00C357E7" w:rsidRDefault="00C357E7" w:rsidP="00AA23AA">
      <w:pPr>
        <w:spacing w:line="276" w:lineRule="auto"/>
        <w:jc w:val="both"/>
        <w:rPr>
          <w:rFonts w:ascii="Times New Roman" w:hAnsi="Times New Roman" w:cs="Times New Roman"/>
          <w:color w:val="000000" w:themeColor="text1"/>
          <w:sz w:val="24"/>
        </w:rPr>
      </w:pPr>
    </w:p>
    <w:p w:rsidR="00C357E7" w:rsidRDefault="00C357E7" w:rsidP="00AA23AA">
      <w:pPr>
        <w:spacing w:line="276" w:lineRule="auto"/>
        <w:jc w:val="both"/>
        <w:rPr>
          <w:rFonts w:ascii="Times New Roman" w:hAnsi="Times New Roman" w:cs="Times New Roman"/>
          <w:color w:val="000000" w:themeColor="text1"/>
          <w:sz w:val="24"/>
        </w:rPr>
      </w:pPr>
      <w:r w:rsidRPr="00C357E7">
        <w:rPr>
          <w:rFonts w:ascii="Times New Roman" w:hAnsi="Times New Roman" w:cs="Times New Roman"/>
          <w:color w:val="000000" w:themeColor="text1"/>
          <w:sz w:val="24"/>
        </w:rPr>
        <w:t xml:space="preserve">Most of our participants have been in their professions for less than five years; an overwhelming number (46.7%) are aged 22 – 25 years and 28.3% are aged between 18 – 21. Males make up the largest share of respondents (56.7%), followed by females (40.8%) and those who did not want to give their gender (2.5%). The distribution of participants' work </w:t>
      </w:r>
      <w:r w:rsidRPr="00C357E7">
        <w:rPr>
          <w:rFonts w:ascii="Times New Roman" w:hAnsi="Times New Roman" w:cs="Times New Roman"/>
          <w:color w:val="000000" w:themeColor="text1"/>
          <w:sz w:val="24"/>
        </w:rPr>
        <w:lastRenderedPageBreak/>
        <w:t>experiences shows that (39.2%) have between one to three years' experience working in their professions, while (26.7%) have three to five years, (19.2%) have more than five years, and (15.0%) have less than one year. See Table 3 for the complete demographic profile for study participants.</w:t>
      </w:r>
    </w:p>
    <w:p w:rsidR="00C357E7" w:rsidRDefault="00C357E7" w:rsidP="00AA23AA">
      <w:pPr>
        <w:spacing w:line="276" w:lineRule="auto"/>
        <w:jc w:val="both"/>
        <w:rPr>
          <w:rFonts w:ascii="Times New Roman" w:hAnsi="Times New Roman" w:cs="Times New Roman"/>
          <w:color w:val="000000" w:themeColor="text1"/>
          <w:sz w:val="24"/>
        </w:rPr>
      </w:pPr>
    </w:p>
    <w:tbl>
      <w:tblPr>
        <w:tblW w:w="9360"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960"/>
        <w:gridCol w:w="1800"/>
        <w:gridCol w:w="2200"/>
      </w:tblGrid>
      <w:tr w:rsidR="00C357E7" w:rsidRPr="00C357E7" w:rsidTr="00E11DCA">
        <w:trPr>
          <w:tblHeader/>
        </w:trPr>
        <w:tc>
          <w:tcPr>
            <w:tcW w:w="2400" w:type="dxa"/>
            <w:tcBorders>
              <w:top w:val="single" w:sz="1" w:space="0" w:color="CCCCCC"/>
              <w:left w:val="single" w:sz="1" w:space="0" w:color="CCCCCC"/>
              <w:bottom w:val="single" w:sz="1" w:space="0" w:color="CCCCCC"/>
              <w:right w:val="single" w:sz="1" w:space="0" w:color="CCCCCC"/>
            </w:tcBorders>
            <w:shd w:val="clear" w:color="auto" w:fill="1B3A6B"/>
            <w:tcMar>
              <w:top w:w="100" w:type="dxa"/>
              <w:left w:w="140" w:type="dxa"/>
              <w:bottom w:w="100" w:type="dxa"/>
              <w:right w:w="140" w:type="dxa"/>
            </w:tcMar>
            <w:vAlign w:val="cente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b/>
                <w:bCs/>
                <w:color w:val="FFFFFF"/>
                <w:sz w:val="24"/>
                <w:szCs w:val="24"/>
              </w:rPr>
              <w:t>Profile Variable</w:t>
            </w:r>
          </w:p>
        </w:tc>
        <w:tc>
          <w:tcPr>
            <w:tcW w:w="2960" w:type="dxa"/>
            <w:tcBorders>
              <w:top w:val="single" w:sz="1" w:space="0" w:color="CCCCCC"/>
              <w:left w:val="single" w:sz="1" w:space="0" w:color="CCCCCC"/>
              <w:bottom w:val="single" w:sz="1" w:space="0" w:color="CCCCCC"/>
              <w:right w:val="single" w:sz="1" w:space="0" w:color="CCCCCC"/>
            </w:tcBorders>
            <w:shd w:val="clear" w:color="auto" w:fill="1B3A6B"/>
            <w:tcMar>
              <w:top w:w="100" w:type="dxa"/>
              <w:left w:w="140" w:type="dxa"/>
              <w:bottom w:w="100" w:type="dxa"/>
              <w:right w:w="140" w:type="dxa"/>
            </w:tcMar>
            <w:vAlign w:val="cente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b/>
                <w:bCs/>
                <w:color w:val="FFFFFF"/>
                <w:sz w:val="24"/>
                <w:szCs w:val="24"/>
              </w:rPr>
              <w:t>Category</w:t>
            </w:r>
          </w:p>
        </w:tc>
        <w:tc>
          <w:tcPr>
            <w:tcW w:w="1800" w:type="dxa"/>
            <w:tcBorders>
              <w:top w:val="single" w:sz="1" w:space="0" w:color="CCCCCC"/>
              <w:left w:val="single" w:sz="1" w:space="0" w:color="CCCCCC"/>
              <w:bottom w:val="single" w:sz="1" w:space="0" w:color="CCCCCC"/>
              <w:right w:val="single" w:sz="1" w:space="0" w:color="CCCCCC"/>
            </w:tcBorders>
            <w:shd w:val="clear" w:color="auto" w:fill="1B3A6B"/>
            <w:tcMar>
              <w:top w:w="100" w:type="dxa"/>
              <w:left w:w="140" w:type="dxa"/>
              <w:bottom w:w="100" w:type="dxa"/>
              <w:right w:w="140" w:type="dxa"/>
            </w:tcMar>
            <w:vAlign w:val="cente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b/>
                <w:bCs/>
                <w:color w:val="FFFFFF"/>
                <w:sz w:val="24"/>
                <w:szCs w:val="24"/>
              </w:rPr>
              <w:t>Frequency</w:t>
            </w:r>
          </w:p>
        </w:tc>
        <w:tc>
          <w:tcPr>
            <w:tcW w:w="2200" w:type="dxa"/>
            <w:tcBorders>
              <w:top w:val="single" w:sz="1" w:space="0" w:color="CCCCCC"/>
              <w:left w:val="single" w:sz="1" w:space="0" w:color="CCCCCC"/>
              <w:bottom w:val="single" w:sz="1" w:space="0" w:color="CCCCCC"/>
              <w:right w:val="single" w:sz="1" w:space="0" w:color="CCCCCC"/>
            </w:tcBorders>
            <w:shd w:val="clear" w:color="auto" w:fill="1B3A6B"/>
            <w:tcMar>
              <w:top w:w="100" w:type="dxa"/>
              <w:left w:w="140" w:type="dxa"/>
              <w:bottom w:w="100" w:type="dxa"/>
              <w:right w:w="140" w:type="dxa"/>
            </w:tcMar>
            <w:vAlign w:val="cente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b/>
                <w:bCs/>
                <w:color w:val="FFFFFF"/>
                <w:sz w:val="24"/>
                <w:szCs w:val="24"/>
              </w:rPr>
              <w:t>Percentage</w:t>
            </w:r>
          </w:p>
        </w:tc>
      </w:tr>
      <w:tr w:rsidR="00C357E7" w:rsidRPr="00C357E7" w:rsidTr="00E11DCA">
        <w:tc>
          <w:tcPr>
            <w:tcW w:w="24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Age</w:t>
            </w:r>
          </w:p>
        </w:tc>
        <w:tc>
          <w:tcPr>
            <w:tcW w:w="296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18–21</w:t>
            </w:r>
          </w:p>
        </w:tc>
        <w:tc>
          <w:tcPr>
            <w:tcW w:w="18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34</w:t>
            </w:r>
          </w:p>
        </w:tc>
        <w:tc>
          <w:tcPr>
            <w:tcW w:w="22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28.3%</w:t>
            </w:r>
          </w:p>
        </w:tc>
      </w:tr>
      <w:tr w:rsidR="00C357E7" w:rsidRPr="00C357E7" w:rsidTr="00E11DCA">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Age</w:t>
            </w:r>
          </w:p>
        </w:tc>
        <w:tc>
          <w:tcPr>
            <w:tcW w:w="2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22–25</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56</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46.7%</w:t>
            </w:r>
          </w:p>
        </w:tc>
      </w:tr>
      <w:tr w:rsidR="00C357E7" w:rsidRPr="00C357E7" w:rsidTr="00E11DCA">
        <w:tc>
          <w:tcPr>
            <w:tcW w:w="24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Age</w:t>
            </w:r>
          </w:p>
        </w:tc>
        <w:tc>
          <w:tcPr>
            <w:tcW w:w="296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26–30</w:t>
            </w:r>
          </w:p>
        </w:tc>
        <w:tc>
          <w:tcPr>
            <w:tcW w:w="18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21</w:t>
            </w:r>
          </w:p>
        </w:tc>
        <w:tc>
          <w:tcPr>
            <w:tcW w:w="22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17.5%</w:t>
            </w:r>
          </w:p>
        </w:tc>
      </w:tr>
      <w:tr w:rsidR="00C357E7" w:rsidRPr="00C357E7" w:rsidTr="00E11DCA">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Age</w:t>
            </w:r>
          </w:p>
        </w:tc>
        <w:tc>
          <w:tcPr>
            <w:tcW w:w="2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31 and above</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9</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7.5%</w:t>
            </w:r>
          </w:p>
        </w:tc>
      </w:tr>
      <w:tr w:rsidR="00C357E7" w:rsidRPr="00C357E7" w:rsidTr="00E11DCA">
        <w:tc>
          <w:tcPr>
            <w:tcW w:w="24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Gender</w:t>
            </w:r>
          </w:p>
        </w:tc>
        <w:tc>
          <w:tcPr>
            <w:tcW w:w="296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Male</w:t>
            </w:r>
          </w:p>
        </w:tc>
        <w:tc>
          <w:tcPr>
            <w:tcW w:w="18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68</w:t>
            </w:r>
          </w:p>
        </w:tc>
        <w:tc>
          <w:tcPr>
            <w:tcW w:w="22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56.7%</w:t>
            </w:r>
          </w:p>
        </w:tc>
      </w:tr>
      <w:tr w:rsidR="00C357E7" w:rsidRPr="00C357E7" w:rsidTr="00E11DCA">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Gender</w:t>
            </w:r>
          </w:p>
        </w:tc>
        <w:tc>
          <w:tcPr>
            <w:tcW w:w="2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Female</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49</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40.8%</w:t>
            </w:r>
          </w:p>
        </w:tc>
      </w:tr>
      <w:tr w:rsidR="00C357E7" w:rsidRPr="00C357E7" w:rsidTr="00E11DCA">
        <w:tc>
          <w:tcPr>
            <w:tcW w:w="24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Gender</w:t>
            </w:r>
          </w:p>
        </w:tc>
        <w:tc>
          <w:tcPr>
            <w:tcW w:w="296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Prefer not to specify</w:t>
            </w:r>
          </w:p>
        </w:tc>
        <w:tc>
          <w:tcPr>
            <w:tcW w:w="18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3</w:t>
            </w:r>
          </w:p>
        </w:tc>
        <w:tc>
          <w:tcPr>
            <w:tcW w:w="22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2.5%</w:t>
            </w:r>
          </w:p>
        </w:tc>
      </w:tr>
      <w:tr w:rsidR="00C357E7" w:rsidRPr="00C357E7" w:rsidTr="00E11DCA">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Organisation Type</w:t>
            </w:r>
          </w:p>
        </w:tc>
        <w:tc>
          <w:tcPr>
            <w:tcW w:w="2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Hotels / Guest Houses</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34</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28.3%</w:t>
            </w:r>
          </w:p>
        </w:tc>
      </w:tr>
      <w:tr w:rsidR="00C357E7" w:rsidRPr="00C357E7" w:rsidTr="00E11DCA">
        <w:tc>
          <w:tcPr>
            <w:tcW w:w="24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Organisation Type</w:t>
            </w:r>
          </w:p>
        </w:tc>
        <w:tc>
          <w:tcPr>
            <w:tcW w:w="296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Hospitals</w:t>
            </w:r>
          </w:p>
        </w:tc>
        <w:tc>
          <w:tcPr>
            <w:tcW w:w="18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26</w:t>
            </w:r>
          </w:p>
        </w:tc>
        <w:tc>
          <w:tcPr>
            <w:tcW w:w="22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21.7%</w:t>
            </w:r>
          </w:p>
        </w:tc>
      </w:tr>
      <w:tr w:rsidR="00C357E7" w:rsidRPr="00C357E7" w:rsidTr="00E11DCA">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Organisation Type</w:t>
            </w:r>
          </w:p>
        </w:tc>
        <w:tc>
          <w:tcPr>
            <w:tcW w:w="2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Corporate Offices</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28</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23.3%</w:t>
            </w:r>
          </w:p>
        </w:tc>
      </w:tr>
      <w:tr w:rsidR="00C357E7" w:rsidRPr="00C357E7" w:rsidTr="00E11DCA">
        <w:tc>
          <w:tcPr>
            <w:tcW w:w="24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Organisation Type</w:t>
            </w:r>
          </w:p>
        </w:tc>
        <w:tc>
          <w:tcPr>
            <w:tcW w:w="296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Distributors / Procurement</w:t>
            </w:r>
          </w:p>
        </w:tc>
        <w:tc>
          <w:tcPr>
            <w:tcW w:w="18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20</w:t>
            </w:r>
          </w:p>
        </w:tc>
        <w:tc>
          <w:tcPr>
            <w:tcW w:w="22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16.7%</w:t>
            </w:r>
          </w:p>
        </w:tc>
      </w:tr>
      <w:tr w:rsidR="00C357E7" w:rsidRPr="00C357E7" w:rsidTr="00E11DCA">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Organisation Type</w:t>
            </w:r>
          </w:p>
        </w:tc>
        <w:tc>
          <w:tcPr>
            <w:tcW w:w="2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Others</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12</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10.0%</w:t>
            </w:r>
          </w:p>
        </w:tc>
      </w:tr>
      <w:tr w:rsidR="00C357E7" w:rsidRPr="00C357E7" w:rsidTr="00E11DCA">
        <w:tc>
          <w:tcPr>
            <w:tcW w:w="24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Work Experience</w:t>
            </w:r>
          </w:p>
        </w:tc>
        <w:tc>
          <w:tcPr>
            <w:tcW w:w="296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&lt; 1 year</w:t>
            </w:r>
          </w:p>
        </w:tc>
        <w:tc>
          <w:tcPr>
            <w:tcW w:w="18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18</w:t>
            </w:r>
          </w:p>
        </w:tc>
        <w:tc>
          <w:tcPr>
            <w:tcW w:w="22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15.0%</w:t>
            </w:r>
          </w:p>
        </w:tc>
      </w:tr>
      <w:tr w:rsidR="00C357E7" w:rsidRPr="00C357E7" w:rsidTr="00E11DCA">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Work Experience</w:t>
            </w:r>
          </w:p>
        </w:tc>
        <w:tc>
          <w:tcPr>
            <w:tcW w:w="2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1–3 years</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47</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39.2%</w:t>
            </w:r>
          </w:p>
        </w:tc>
      </w:tr>
      <w:tr w:rsidR="00C357E7" w:rsidRPr="00C357E7" w:rsidTr="00E11DCA">
        <w:tc>
          <w:tcPr>
            <w:tcW w:w="24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Work Experience</w:t>
            </w:r>
          </w:p>
        </w:tc>
        <w:tc>
          <w:tcPr>
            <w:tcW w:w="296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3–5 years</w:t>
            </w:r>
          </w:p>
        </w:tc>
        <w:tc>
          <w:tcPr>
            <w:tcW w:w="18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32</w:t>
            </w:r>
          </w:p>
        </w:tc>
        <w:tc>
          <w:tcPr>
            <w:tcW w:w="22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26.7%</w:t>
            </w:r>
          </w:p>
        </w:tc>
      </w:tr>
      <w:tr w:rsidR="00C357E7" w:rsidRPr="00C357E7" w:rsidTr="00E11DCA">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Work Experience</w:t>
            </w:r>
          </w:p>
        </w:tc>
        <w:tc>
          <w:tcPr>
            <w:tcW w:w="2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&gt; 5 years</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23</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19.2%</w:t>
            </w:r>
          </w:p>
        </w:tc>
      </w:tr>
    </w:tbl>
    <w:p w:rsidR="00C357E7" w:rsidRPr="00C357E7" w:rsidRDefault="00C357E7" w:rsidP="00C357E7">
      <w:pPr>
        <w:spacing w:before="80" w:after="160"/>
        <w:jc w:val="center"/>
        <w:rPr>
          <w:rFonts w:ascii="Times New Roman" w:hAnsi="Times New Roman" w:cs="Times New Roman"/>
          <w:color w:val="000000" w:themeColor="text1"/>
          <w:sz w:val="24"/>
          <w:szCs w:val="24"/>
        </w:rPr>
      </w:pPr>
      <w:r w:rsidRPr="00C357E7">
        <w:rPr>
          <w:rFonts w:ascii="Times New Roman" w:hAnsi="Times New Roman" w:cs="Times New Roman"/>
          <w:iCs/>
          <w:color w:val="000000" w:themeColor="text1"/>
          <w:sz w:val="24"/>
          <w:szCs w:val="24"/>
        </w:rPr>
        <w:t>Table 3. Demographic Profile of Respondents (n = 120)</w:t>
      </w:r>
    </w:p>
    <w:p w:rsidR="00C357E7" w:rsidRPr="00C357E7" w:rsidRDefault="00C357E7" w:rsidP="00C357E7">
      <w:pPr>
        <w:pStyle w:val="Heading2"/>
        <w:rPr>
          <w:rFonts w:ascii="Times New Roman" w:eastAsia="Arial" w:hAnsi="Times New Roman" w:cs="Times New Roman"/>
          <w:color w:val="000000" w:themeColor="text1"/>
          <w:sz w:val="28"/>
          <w:szCs w:val="28"/>
        </w:rPr>
      </w:pPr>
      <w:r w:rsidRPr="00C357E7">
        <w:rPr>
          <w:rFonts w:ascii="Times New Roman" w:eastAsia="Arial" w:hAnsi="Times New Roman" w:cs="Times New Roman"/>
          <w:color w:val="000000" w:themeColor="text1"/>
          <w:sz w:val="28"/>
          <w:szCs w:val="28"/>
        </w:rPr>
        <w:t>Adobe Tool Usage Patterns</w:t>
      </w:r>
    </w:p>
    <w:p w:rsidR="00C357E7" w:rsidRDefault="00C357E7" w:rsidP="00AA23AA">
      <w:pPr>
        <w:spacing w:line="276" w:lineRule="auto"/>
        <w:jc w:val="both"/>
        <w:rPr>
          <w:rFonts w:ascii="Times New Roman" w:hAnsi="Times New Roman" w:cs="Times New Roman"/>
          <w:color w:val="000000" w:themeColor="text1"/>
          <w:sz w:val="24"/>
        </w:rPr>
      </w:pPr>
    </w:p>
    <w:p w:rsidR="00C357E7" w:rsidRDefault="00C357E7" w:rsidP="00AA23AA">
      <w:pPr>
        <w:spacing w:line="276" w:lineRule="auto"/>
        <w:jc w:val="both"/>
        <w:rPr>
          <w:rFonts w:ascii="Times New Roman" w:hAnsi="Times New Roman" w:cs="Times New Roman"/>
          <w:color w:val="000000" w:themeColor="text1"/>
          <w:sz w:val="24"/>
        </w:rPr>
      </w:pPr>
      <w:r w:rsidRPr="00C357E7">
        <w:rPr>
          <w:rFonts w:ascii="Times New Roman" w:hAnsi="Times New Roman" w:cs="Times New Roman"/>
          <w:color w:val="000000" w:themeColor="text1"/>
          <w:sz w:val="24"/>
        </w:rPr>
        <w:t>Adobe Photoshop has the largest share of all Primary Adobe Product use at 25.0%, followed closely by Adobe Express at 24.2%, the Analytics &amp; Experience Tools at 20.0%, Illustrator at 14.2%, Acrobat at 10.0%, and Firefly at 6.7%. With this product utilization, we see three distinct patterns of use, with designers showing a strong preference for Photoshop and Illustrator for producing high-quality graphics; operational and cross-functional teams prefer to use Adobe Express as an easy-to-use, template-based solution; and analytic users using the Adobe Analytics ecosystem to support their reporting requirements. The significant increase in the use of Adobe Express has created an opportunity for everyday team members to produce professional-quality branded collateral, thus democratizing the ability for ACDs to create branded content. See Table 4 for the full breakdown of product usage.</w:t>
      </w:r>
    </w:p>
    <w:p w:rsidR="00C357E7" w:rsidRDefault="00C357E7" w:rsidP="00AA23AA">
      <w:pPr>
        <w:spacing w:line="276" w:lineRule="auto"/>
        <w:jc w:val="both"/>
        <w:rPr>
          <w:rFonts w:ascii="Times New Roman" w:hAnsi="Times New Roman" w:cs="Times New Roman"/>
          <w:color w:val="000000" w:themeColor="text1"/>
          <w:sz w:val="24"/>
        </w:rPr>
      </w:pPr>
    </w:p>
    <w:p w:rsidR="00C357E7" w:rsidRDefault="00C357E7" w:rsidP="00AA23AA">
      <w:pPr>
        <w:spacing w:line="276" w:lineRule="auto"/>
        <w:jc w:val="both"/>
        <w:rPr>
          <w:rFonts w:ascii="Times New Roman" w:hAnsi="Times New Roman" w:cs="Times New Roman"/>
          <w:color w:val="000000" w:themeColor="text1"/>
          <w:sz w:val="24"/>
        </w:rPr>
      </w:pPr>
    </w:p>
    <w:tbl>
      <w:tblPr>
        <w:tblW w:w="9360"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60"/>
        <w:gridCol w:w="1700"/>
        <w:gridCol w:w="1700"/>
      </w:tblGrid>
      <w:tr w:rsidR="00C357E7" w:rsidRPr="00C357E7" w:rsidTr="00E11DCA">
        <w:trPr>
          <w:tblHeader/>
        </w:trPr>
        <w:tc>
          <w:tcPr>
            <w:tcW w:w="5960" w:type="dxa"/>
            <w:tcBorders>
              <w:top w:val="single" w:sz="1" w:space="0" w:color="CCCCCC"/>
              <w:left w:val="single" w:sz="1" w:space="0" w:color="CCCCCC"/>
              <w:bottom w:val="single" w:sz="1" w:space="0" w:color="CCCCCC"/>
              <w:right w:val="single" w:sz="1" w:space="0" w:color="CCCCCC"/>
            </w:tcBorders>
            <w:shd w:val="clear" w:color="auto" w:fill="1B3A6B"/>
            <w:tcMar>
              <w:top w:w="100" w:type="dxa"/>
              <w:left w:w="140" w:type="dxa"/>
              <w:bottom w:w="100" w:type="dxa"/>
              <w:right w:w="140" w:type="dxa"/>
            </w:tcMar>
            <w:vAlign w:val="center"/>
          </w:tcPr>
          <w:p w:rsidR="00C357E7" w:rsidRPr="00C357E7" w:rsidRDefault="00C357E7" w:rsidP="00E11DCA">
            <w:pPr>
              <w:jc w:val="center"/>
              <w:rPr>
                <w:rFonts w:ascii="Times New Roman" w:hAnsi="Times New Roman" w:cs="Times New Roman"/>
                <w:sz w:val="24"/>
              </w:rPr>
            </w:pPr>
            <w:r w:rsidRPr="00C357E7">
              <w:rPr>
                <w:rFonts w:ascii="Times New Roman" w:hAnsi="Times New Roman" w:cs="Times New Roman"/>
                <w:b/>
                <w:bCs/>
                <w:color w:val="FFFFFF"/>
                <w:sz w:val="24"/>
                <w:szCs w:val="20"/>
              </w:rPr>
              <w:t>Adobe Tool</w:t>
            </w:r>
          </w:p>
        </w:tc>
        <w:tc>
          <w:tcPr>
            <w:tcW w:w="1700" w:type="dxa"/>
            <w:tcBorders>
              <w:top w:val="single" w:sz="1" w:space="0" w:color="CCCCCC"/>
              <w:left w:val="single" w:sz="1" w:space="0" w:color="CCCCCC"/>
              <w:bottom w:val="single" w:sz="1" w:space="0" w:color="CCCCCC"/>
              <w:right w:val="single" w:sz="1" w:space="0" w:color="CCCCCC"/>
            </w:tcBorders>
            <w:shd w:val="clear" w:color="auto" w:fill="1B3A6B"/>
            <w:tcMar>
              <w:top w:w="100" w:type="dxa"/>
              <w:left w:w="140" w:type="dxa"/>
              <w:bottom w:w="100" w:type="dxa"/>
              <w:right w:w="140" w:type="dxa"/>
            </w:tcMar>
            <w:vAlign w:val="center"/>
          </w:tcPr>
          <w:p w:rsidR="00C357E7" w:rsidRPr="00C357E7" w:rsidRDefault="00C357E7" w:rsidP="00E11DCA">
            <w:pPr>
              <w:jc w:val="center"/>
              <w:rPr>
                <w:rFonts w:ascii="Times New Roman" w:hAnsi="Times New Roman" w:cs="Times New Roman"/>
                <w:sz w:val="24"/>
              </w:rPr>
            </w:pPr>
            <w:r w:rsidRPr="00C357E7">
              <w:rPr>
                <w:rFonts w:ascii="Times New Roman" w:hAnsi="Times New Roman" w:cs="Times New Roman"/>
                <w:b/>
                <w:bCs/>
                <w:color w:val="FFFFFF"/>
                <w:sz w:val="24"/>
                <w:szCs w:val="20"/>
              </w:rPr>
              <w:t>Frequency</w:t>
            </w:r>
          </w:p>
        </w:tc>
        <w:tc>
          <w:tcPr>
            <w:tcW w:w="1700" w:type="dxa"/>
            <w:tcBorders>
              <w:top w:val="single" w:sz="1" w:space="0" w:color="CCCCCC"/>
              <w:left w:val="single" w:sz="1" w:space="0" w:color="CCCCCC"/>
              <w:bottom w:val="single" w:sz="1" w:space="0" w:color="CCCCCC"/>
              <w:right w:val="single" w:sz="1" w:space="0" w:color="CCCCCC"/>
            </w:tcBorders>
            <w:shd w:val="clear" w:color="auto" w:fill="1B3A6B"/>
            <w:tcMar>
              <w:top w:w="100" w:type="dxa"/>
              <w:left w:w="140" w:type="dxa"/>
              <w:bottom w:w="100" w:type="dxa"/>
              <w:right w:w="140" w:type="dxa"/>
            </w:tcMar>
            <w:vAlign w:val="center"/>
          </w:tcPr>
          <w:p w:rsidR="00C357E7" w:rsidRPr="00C357E7" w:rsidRDefault="00C357E7" w:rsidP="00E11DCA">
            <w:pPr>
              <w:jc w:val="center"/>
              <w:rPr>
                <w:rFonts w:ascii="Times New Roman" w:hAnsi="Times New Roman" w:cs="Times New Roman"/>
                <w:sz w:val="24"/>
              </w:rPr>
            </w:pPr>
            <w:r w:rsidRPr="00C357E7">
              <w:rPr>
                <w:rFonts w:ascii="Times New Roman" w:hAnsi="Times New Roman" w:cs="Times New Roman"/>
                <w:b/>
                <w:bCs/>
                <w:color w:val="FFFFFF"/>
                <w:sz w:val="24"/>
                <w:szCs w:val="20"/>
              </w:rPr>
              <w:t>Percentage</w:t>
            </w:r>
          </w:p>
        </w:tc>
      </w:tr>
      <w:tr w:rsidR="00C357E7" w:rsidRPr="00C357E7" w:rsidTr="00E11DCA">
        <w:tc>
          <w:tcPr>
            <w:tcW w:w="596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rPr>
                <w:rFonts w:ascii="Times New Roman" w:hAnsi="Times New Roman" w:cs="Times New Roman"/>
                <w:sz w:val="24"/>
              </w:rPr>
            </w:pPr>
            <w:r w:rsidRPr="00C357E7">
              <w:rPr>
                <w:rFonts w:ascii="Times New Roman" w:hAnsi="Times New Roman" w:cs="Times New Roman"/>
                <w:sz w:val="24"/>
                <w:szCs w:val="20"/>
              </w:rPr>
              <w:t>Adobe Photoshop</w:t>
            </w:r>
          </w:p>
        </w:tc>
        <w:tc>
          <w:tcPr>
            <w:tcW w:w="17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rPr>
            </w:pPr>
            <w:r w:rsidRPr="00C357E7">
              <w:rPr>
                <w:rFonts w:ascii="Times New Roman" w:hAnsi="Times New Roman" w:cs="Times New Roman"/>
                <w:sz w:val="24"/>
                <w:szCs w:val="20"/>
              </w:rPr>
              <w:t>30</w:t>
            </w:r>
          </w:p>
        </w:tc>
        <w:tc>
          <w:tcPr>
            <w:tcW w:w="17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rPr>
            </w:pPr>
            <w:r w:rsidRPr="00C357E7">
              <w:rPr>
                <w:rFonts w:ascii="Times New Roman" w:hAnsi="Times New Roman" w:cs="Times New Roman"/>
                <w:sz w:val="24"/>
                <w:szCs w:val="20"/>
              </w:rPr>
              <w:t>25.0%</w:t>
            </w:r>
          </w:p>
        </w:tc>
      </w:tr>
      <w:tr w:rsidR="00C357E7" w:rsidRPr="00C357E7" w:rsidTr="00E11DCA">
        <w:tc>
          <w:tcPr>
            <w:tcW w:w="5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rPr>
                <w:rFonts w:ascii="Times New Roman" w:hAnsi="Times New Roman" w:cs="Times New Roman"/>
                <w:sz w:val="24"/>
              </w:rPr>
            </w:pPr>
            <w:r w:rsidRPr="00C357E7">
              <w:rPr>
                <w:rFonts w:ascii="Times New Roman" w:hAnsi="Times New Roman" w:cs="Times New Roman"/>
                <w:sz w:val="24"/>
                <w:szCs w:val="20"/>
              </w:rPr>
              <w:t>Adobe Express</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rPr>
            </w:pPr>
            <w:r w:rsidRPr="00C357E7">
              <w:rPr>
                <w:rFonts w:ascii="Times New Roman" w:hAnsi="Times New Roman" w:cs="Times New Roman"/>
                <w:sz w:val="24"/>
                <w:szCs w:val="20"/>
              </w:rPr>
              <w:t>29</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rPr>
            </w:pPr>
            <w:r w:rsidRPr="00C357E7">
              <w:rPr>
                <w:rFonts w:ascii="Times New Roman" w:hAnsi="Times New Roman" w:cs="Times New Roman"/>
                <w:sz w:val="24"/>
                <w:szCs w:val="20"/>
              </w:rPr>
              <w:t>24.2%</w:t>
            </w:r>
          </w:p>
        </w:tc>
      </w:tr>
      <w:tr w:rsidR="00C357E7" w:rsidRPr="00C357E7" w:rsidTr="00E11DCA">
        <w:tc>
          <w:tcPr>
            <w:tcW w:w="596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rPr>
                <w:rFonts w:ascii="Times New Roman" w:hAnsi="Times New Roman" w:cs="Times New Roman"/>
                <w:sz w:val="24"/>
              </w:rPr>
            </w:pPr>
            <w:r w:rsidRPr="00C357E7">
              <w:rPr>
                <w:rFonts w:ascii="Times New Roman" w:hAnsi="Times New Roman" w:cs="Times New Roman"/>
                <w:sz w:val="24"/>
                <w:szCs w:val="20"/>
              </w:rPr>
              <w:t>Adobe Analytics / Experience Tools</w:t>
            </w:r>
          </w:p>
        </w:tc>
        <w:tc>
          <w:tcPr>
            <w:tcW w:w="17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rPr>
            </w:pPr>
            <w:r w:rsidRPr="00C357E7">
              <w:rPr>
                <w:rFonts w:ascii="Times New Roman" w:hAnsi="Times New Roman" w:cs="Times New Roman"/>
                <w:sz w:val="24"/>
                <w:szCs w:val="20"/>
              </w:rPr>
              <w:t>24</w:t>
            </w:r>
          </w:p>
        </w:tc>
        <w:tc>
          <w:tcPr>
            <w:tcW w:w="17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rPr>
            </w:pPr>
            <w:r w:rsidRPr="00C357E7">
              <w:rPr>
                <w:rFonts w:ascii="Times New Roman" w:hAnsi="Times New Roman" w:cs="Times New Roman"/>
                <w:sz w:val="24"/>
                <w:szCs w:val="20"/>
              </w:rPr>
              <w:t>20.0%</w:t>
            </w:r>
          </w:p>
        </w:tc>
      </w:tr>
      <w:tr w:rsidR="00C357E7" w:rsidRPr="00C357E7" w:rsidTr="00E11DCA">
        <w:tc>
          <w:tcPr>
            <w:tcW w:w="5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rPr>
                <w:rFonts w:ascii="Times New Roman" w:hAnsi="Times New Roman" w:cs="Times New Roman"/>
                <w:sz w:val="24"/>
              </w:rPr>
            </w:pPr>
            <w:r w:rsidRPr="00C357E7">
              <w:rPr>
                <w:rFonts w:ascii="Times New Roman" w:hAnsi="Times New Roman" w:cs="Times New Roman"/>
                <w:sz w:val="24"/>
                <w:szCs w:val="20"/>
              </w:rPr>
              <w:t>Adobe Illustrator</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rPr>
            </w:pPr>
            <w:r w:rsidRPr="00C357E7">
              <w:rPr>
                <w:rFonts w:ascii="Times New Roman" w:hAnsi="Times New Roman" w:cs="Times New Roman"/>
                <w:sz w:val="24"/>
                <w:szCs w:val="20"/>
              </w:rPr>
              <w:t>17</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rPr>
            </w:pPr>
            <w:r w:rsidRPr="00C357E7">
              <w:rPr>
                <w:rFonts w:ascii="Times New Roman" w:hAnsi="Times New Roman" w:cs="Times New Roman"/>
                <w:sz w:val="24"/>
                <w:szCs w:val="20"/>
              </w:rPr>
              <w:t>14.2%</w:t>
            </w:r>
          </w:p>
        </w:tc>
      </w:tr>
      <w:tr w:rsidR="00C357E7" w:rsidRPr="00C357E7" w:rsidTr="00E11DCA">
        <w:tc>
          <w:tcPr>
            <w:tcW w:w="596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rPr>
                <w:rFonts w:ascii="Times New Roman" w:hAnsi="Times New Roman" w:cs="Times New Roman"/>
                <w:sz w:val="24"/>
              </w:rPr>
            </w:pPr>
            <w:r w:rsidRPr="00C357E7">
              <w:rPr>
                <w:rFonts w:ascii="Times New Roman" w:hAnsi="Times New Roman" w:cs="Times New Roman"/>
                <w:sz w:val="24"/>
                <w:szCs w:val="20"/>
              </w:rPr>
              <w:t>Adobe Acrobat</w:t>
            </w:r>
          </w:p>
        </w:tc>
        <w:tc>
          <w:tcPr>
            <w:tcW w:w="17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rPr>
            </w:pPr>
            <w:r w:rsidRPr="00C357E7">
              <w:rPr>
                <w:rFonts w:ascii="Times New Roman" w:hAnsi="Times New Roman" w:cs="Times New Roman"/>
                <w:sz w:val="24"/>
                <w:szCs w:val="20"/>
              </w:rPr>
              <w:t>12</w:t>
            </w:r>
          </w:p>
        </w:tc>
        <w:tc>
          <w:tcPr>
            <w:tcW w:w="1700"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rPr>
            </w:pPr>
            <w:r w:rsidRPr="00C357E7">
              <w:rPr>
                <w:rFonts w:ascii="Times New Roman" w:hAnsi="Times New Roman" w:cs="Times New Roman"/>
                <w:sz w:val="24"/>
                <w:szCs w:val="20"/>
              </w:rPr>
              <w:t>10.0%</w:t>
            </w:r>
          </w:p>
        </w:tc>
      </w:tr>
      <w:tr w:rsidR="00C357E7" w:rsidRPr="00C357E7" w:rsidTr="00E11DCA">
        <w:tc>
          <w:tcPr>
            <w:tcW w:w="5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rPr>
                <w:rFonts w:ascii="Times New Roman" w:hAnsi="Times New Roman" w:cs="Times New Roman"/>
                <w:sz w:val="24"/>
              </w:rPr>
            </w:pPr>
            <w:r w:rsidRPr="00C357E7">
              <w:rPr>
                <w:rFonts w:ascii="Times New Roman" w:hAnsi="Times New Roman" w:cs="Times New Roman"/>
                <w:sz w:val="24"/>
                <w:szCs w:val="20"/>
              </w:rPr>
              <w:t>Adobe Firefly (AI-Assisted Design)</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rPr>
            </w:pPr>
            <w:r w:rsidRPr="00C357E7">
              <w:rPr>
                <w:rFonts w:ascii="Times New Roman" w:hAnsi="Times New Roman" w:cs="Times New Roman"/>
                <w:sz w:val="24"/>
                <w:szCs w:val="20"/>
              </w:rPr>
              <w:t>8</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rPr>
            </w:pPr>
            <w:r w:rsidRPr="00C357E7">
              <w:rPr>
                <w:rFonts w:ascii="Times New Roman" w:hAnsi="Times New Roman" w:cs="Times New Roman"/>
                <w:sz w:val="24"/>
                <w:szCs w:val="20"/>
              </w:rPr>
              <w:t>6.7%</w:t>
            </w:r>
          </w:p>
        </w:tc>
      </w:tr>
    </w:tbl>
    <w:p w:rsidR="00C357E7" w:rsidRPr="00C357E7" w:rsidRDefault="00C357E7" w:rsidP="00C357E7">
      <w:pPr>
        <w:spacing w:before="80" w:after="160"/>
        <w:jc w:val="center"/>
        <w:rPr>
          <w:rFonts w:ascii="Times New Roman" w:hAnsi="Times New Roman" w:cs="Times New Roman"/>
          <w:color w:val="000000" w:themeColor="text1"/>
          <w:sz w:val="28"/>
        </w:rPr>
      </w:pPr>
      <w:r w:rsidRPr="00C357E7">
        <w:rPr>
          <w:rFonts w:ascii="Times New Roman" w:hAnsi="Times New Roman" w:cs="Times New Roman"/>
          <w:i/>
          <w:iCs/>
          <w:color w:val="000000" w:themeColor="text1"/>
          <w:sz w:val="24"/>
          <w:szCs w:val="20"/>
        </w:rPr>
        <w:t>Table 4. Primary Adobe Tool Used Most Often by Respondents (n = 120)</w:t>
      </w:r>
    </w:p>
    <w:p w:rsidR="00C357E7" w:rsidRDefault="00C357E7" w:rsidP="00AA23AA">
      <w:pPr>
        <w:spacing w:line="276" w:lineRule="auto"/>
        <w:jc w:val="both"/>
        <w:rPr>
          <w:rFonts w:ascii="Times New Roman" w:hAnsi="Times New Roman" w:cs="Times New Roman"/>
          <w:b/>
          <w:bCs/>
          <w:color w:val="000000" w:themeColor="text1"/>
          <w:sz w:val="28"/>
          <w:szCs w:val="28"/>
        </w:rPr>
      </w:pPr>
      <w:r w:rsidRPr="00C357E7">
        <w:rPr>
          <w:rFonts w:ascii="Times New Roman" w:hAnsi="Times New Roman" w:cs="Times New Roman"/>
          <w:b/>
          <w:bCs/>
          <w:color w:val="000000" w:themeColor="text1"/>
          <w:sz w:val="28"/>
          <w:szCs w:val="28"/>
        </w:rPr>
        <w:t>Consolidated Likert Scale Results</w:t>
      </w:r>
    </w:p>
    <w:p w:rsidR="00C357E7" w:rsidRPr="00C357E7" w:rsidRDefault="00C357E7" w:rsidP="00C357E7">
      <w:pPr>
        <w:spacing w:before="80" w:after="100" w:line="360" w:lineRule="auto"/>
        <w:jc w:val="both"/>
        <w:rPr>
          <w:rFonts w:ascii="Times New Roman" w:hAnsi="Times New Roman" w:cs="Times New Roman"/>
          <w:color w:val="000000" w:themeColor="text1"/>
          <w:sz w:val="24"/>
        </w:rPr>
      </w:pPr>
      <w:r w:rsidRPr="00C357E7">
        <w:rPr>
          <w:rFonts w:ascii="Times New Roman" w:hAnsi="Times New Roman" w:cs="Times New Roman"/>
          <w:color w:val="000000" w:themeColor="text1"/>
          <w:sz w:val="24"/>
        </w:rPr>
        <w:t>Table 5 presents the complete weighted mean scores and frequency distributions for all ten key perception statements, spanning both branding and measurement dimensions.</w:t>
      </w:r>
    </w:p>
    <w:tbl>
      <w:tblPr>
        <w:tblW w:w="9360"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321"/>
        <w:gridCol w:w="716"/>
        <w:gridCol w:w="716"/>
        <w:gridCol w:w="717"/>
        <w:gridCol w:w="717"/>
        <w:gridCol w:w="717"/>
        <w:gridCol w:w="1456"/>
      </w:tblGrid>
      <w:tr w:rsidR="00C357E7" w:rsidRPr="00C357E7" w:rsidTr="00C357E7">
        <w:trPr>
          <w:tblHeader/>
        </w:trPr>
        <w:tc>
          <w:tcPr>
            <w:tcW w:w="4321" w:type="dxa"/>
            <w:tcBorders>
              <w:top w:val="single" w:sz="1" w:space="0" w:color="CCCCCC"/>
              <w:left w:val="single" w:sz="1" w:space="0" w:color="CCCCCC"/>
              <w:bottom w:val="single" w:sz="1" w:space="0" w:color="CCCCCC"/>
              <w:right w:val="single" w:sz="1" w:space="0" w:color="CCCCCC"/>
            </w:tcBorders>
            <w:shd w:val="clear" w:color="auto" w:fill="1B3A6B"/>
            <w:tcMar>
              <w:top w:w="100" w:type="dxa"/>
              <w:left w:w="140" w:type="dxa"/>
              <w:bottom w:w="100" w:type="dxa"/>
              <w:right w:w="140" w:type="dxa"/>
            </w:tcMar>
            <w:vAlign w:val="cente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b/>
                <w:bCs/>
                <w:color w:val="FFFFFF"/>
                <w:sz w:val="24"/>
                <w:szCs w:val="24"/>
              </w:rPr>
              <w:t>Perception Statement</w:t>
            </w:r>
          </w:p>
        </w:tc>
        <w:tc>
          <w:tcPr>
            <w:tcW w:w="716" w:type="dxa"/>
            <w:tcBorders>
              <w:top w:val="single" w:sz="1" w:space="0" w:color="CCCCCC"/>
              <w:left w:val="single" w:sz="1" w:space="0" w:color="CCCCCC"/>
              <w:bottom w:val="single" w:sz="1" w:space="0" w:color="CCCCCC"/>
              <w:right w:val="single" w:sz="1" w:space="0" w:color="CCCCCC"/>
            </w:tcBorders>
            <w:shd w:val="clear" w:color="auto" w:fill="1B3A6B"/>
            <w:tcMar>
              <w:top w:w="100" w:type="dxa"/>
              <w:left w:w="140" w:type="dxa"/>
              <w:bottom w:w="100" w:type="dxa"/>
              <w:right w:w="140" w:type="dxa"/>
            </w:tcMar>
            <w:vAlign w:val="cente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b/>
                <w:bCs/>
                <w:color w:val="FFFFFF"/>
                <w:sz w:val="24"/>
                <w:szCs w:val="24"/>
              </w:rPr>
              <w:t>SD</w:t>
            </w:r>
          </w:p>
        </w:tc>
        <w:tc>
          <w:tcPr>
            <w:tcW w:w="716" w:type="dxa"/>
            <w:tcBorders>
              <w:top w:val="single" w:sz="1" w:space="0" w:color="CCCCCC"/>
              <w:left w:val="single" w:sz="1" w:space="0" w:color="CCCCCC"/>
              <w:bottom w:val="single" w:sz="1" w:space="0" w:color="CCCCCC"/>
              <w:right w:val="single" w:sz="1" w:space="0" w:color="CCCCCC"/>
            </w:tcBorders>
            <w:shd w:val="clear" w:color="auto" w:fill="1B3A6B"/>
            <w:tcMar>
              <w:top w:w="100" w:type="dxa"/>
              <w:left w:w="140" w:type="dxa"/>
              <w:bottom w:w="100" w:type="dxa"/>
              <w:right w:w="140" w:type="dxa"/>
            </w:tcMar>
            <w:vAlign w:val="cente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b/>
                <w:bCs/>
                <w:color w:val="FFFFFF"/>
                <w:sz w:val="24"/>
                <w:szCs w:val="24"/>
              </w:rPr>
              <w:t>D</w:t>
            </w:r>
          </w:p>
        </w:tc>
        <w:tc>
          <w:tcPr>
            <w:tcW w:w="717" w:type="dxa"/>
            <w:tcBorders>
              <w:top w:val="single" w:sz="1" w:space="0" w:color="CCCCCC"/>
              <w:left w:val="single" w:sz="1" w:space="0" w:color="CCCCCC"/>
              <w:bottom w:val="single" w:sz="1" w:space="0" w:color="CCCCCC"/>
              <w:right w:val="single" w:sz="1" w:space="0" w:color="CCCCCC"/>
            </w:tcBorders>
            <w:shd w:val="clear" w:color="auto" w:fill="1B3A6B"/>
            <w:tcMar>
              <w:top w:w="100" w:type="dxa"/>
              <w:left w:w="140" w:type="dxa"/>
              <w:bottom w:w="100" w:type="dxa"/>
              <w:right w:w="140" w:type="dxa"/>
            </w:tcMar>
            <w:vAlign w:val="cente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b/>
                <w:bCs/>
                <w:color w:val="FFFFFF"/>
                <w:sz w:val="24"/>
                <w:szCs w:val="24"/>
              </w:rPr>
              <w:t>N</w:t>
            </w:r>
          </w:p>
        </w:tc>
        <w:tc>
          <w:tcPr>
            <w:tcW w:w="717" w:type="dxa"/>
            <w:tcBorders>
              <w:top w:val="single" w:sz="1" w:space="0" w:color="CCCCCC"/>
              <w:left w:val="single" w:sz="1" w:space="0" w:color="CCCCCC"/>
              <w:bottom w:val="single" w:sz="1" w:space="0" w:color="CCCCCC"/>
              <w:right w:val="single" w:sz="1" w:space="0" w:color="CCCCCC"/>
            </w:tcBorders>
            <w:shd w:val="clear" w:color="auto" w:fill="1B3A6B"/>
            <w:tcMar>
              <w:top w:w="100" w:type="dxa"/>
              <w:left w:w="140" w:type="dxa"/>
              <w:bottom w:w="100" w:type="dxa"/>
              <w:right w:w="140" w:type="dxa"/>
            </w:tcMar>
            <w:vAlign w:val="cente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b/>
                <w:bCs/>
                <w:color w:val="FFFFFF"/>
                <w:sz w:val="24"/>
                <w:szCs w:val="24"/>
              </w:rPr>
              <w:t>A</w:t>
            </w:r>
          </w:p>
        </w:tc>
        <w:tc>
          <w:tcPr>
            <w:tcW w:w="717" w:type="dxa"/>
            <w:tcBorders>
              <w:top w:val="single" w:sz="1" w:space="0" w:color="CCCCCC"/>
              <w:left w:val="single" w:sz="1" w:space="0" w:color="CCCCCC"/>
              <w:bottom w:val="single" w:sz="1" w:space="0" w:color="CCCCCC"/>
              <w:right w:val="single" w:sz="1" w:space="0" w:color="CCCCCC"/>
            </w:tcBorders>
            <w:shd w:val="clear" w:color="auto" w:fill="1B3A6B"/>
            <w:tcMar>
              <w:top w:w="100" w:type="dxa"/>
              <w:left w:w="140" w:type="dxa"/>
              <w:bottom w:w="100" w:type="dxa"/>
              <w:right w:w="140" w:type="dxa"/>
            </w:tcMar>
            <w:vAlign w:val="cente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b/>
                <w:bCs/>
                <w:color w:val="FFFFFF"/>
                <w:sz w:val="24"/>
                <w:szCs w:val="24"/>
              </w:rPr>
              <w:t>SA</w:t>
            </w:r>
          </w:p>
        </w:tc>
        <w:tc>
          <w:tcPr>
            <w:tcW w:w="1456" w:type="dxa"/>
            <w:tcBorders>
              <w:top w:val="single" w:sz="1" w:space="0" w:color="CCCCCC"/>
              <w:left w:val="single" w:sz="1" w:space="0" w:color="CCCCCC"/>
              <w:bottom w:val="single" w:sz="1" w:space="0" w:color="CCCCCC"/>
              <w:right w:val="single" w:sz="1" w:space="0" w:color="CCCCCC"/>
            </w:tcBorders>
            <w:shd w:val="clear" w:color="auto" w:fill="1B3A6B"/>
            <w:tcMar>
              <w:top w:w="100" w:type="dxa"/>
              <w:left w:w="140" w:type="dxa"/>
              <w:bottom w:w="100" w:type="dxa"/>
              <w:right w:w="140" w:type="dxa"/>
            </w:tcMar>
            <w:vAlign w:val="cente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b/>
                <w:bCs/>
                <w:color w:val="FFFFFF"/>
                <w:sz w:val="24"/>
                <w:szCs w:val="24"/>
              </w:rPr>
              <w:t>Mean</w:t>
            </w:r>
          </w:p>
        </w:tc>
      </w:tr>
      <w:tr w:rsidR="00C357E7" w:rsidRPr="00C357E7" w:rsidTr="00C357E7">
        <w:tc>
          <w:tcPr>
            <w:tcW w:w="4321"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Digital branding is strategically important in product markets</w:t>
            </w:r>
          </w:p>
        </w:tc>
        <w:tc>
          <w:tcPr>
            <w:tcW w:w="716"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2</w:t>
            </w:r>
          </w:p>
        </w:tc>
        <w:tc>
          <w:tcPr>
            <w:tcW w:w="716"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4</w:t>
            </w:r>
          </w:p>
        </w:tc>
        <w:tc>
          <w:tcPr>
            <w:tcW w:w="717"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12</w:t>
            </w:r>
          </w:p>
        </w:tc>
        <w:tc>
          <w:tcPr>
            <w:tcW w:w="717"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49</w:t>
            </w:r>
          </w:p>
        </w:tc>
        <w:tc>
          <w:tcPr>
            <w:tcW w:w="717"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53</w:t>
            </w:r>
          </w:p>
        </w:tc>
        <w:tc>
          <w:tcPr>
            <w:tcW w:w="1456"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b/>
                <w:bCs/>
                <w:sz w:val="24"/>
                <w:szCs w:val="24"/>
              </w:rPr>
              <w:t>4.22</w:t>
            </w:r>
          </w:p>
        </w:tc>
      </w:tr>
      <w:tr w:rsidR="00C357E7" w:rsidRPr="00C357E7" w:rsidTr="00C357E7">
        <w:tc>
          <w:tcPr>
            <w:tcW w:w="432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On-brand content improves institutional and buyer trust</w:t>
            </w:r>
          </w:p>
        </w:tc>
        <w:tc>
          <w:tcPr>
            <w:tcW w:w="71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2</w:t>
            </w:r>
          </w:p>
        </w:tc>
        <w:tc>
          <w:tcPr>
            <w:tcW w:w="71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7</w:t>
            </w:r>
          </w:p>
        </w:tc>
        <w:tc>
          <w:tcPr>
            <w:tcW w:w="71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14</w:t>
            </w:r>
          </w:p>
        </w:tc>
        <w:tc>
          <w:tcPr>
            <w:tcW w:w="71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45</w:t>
            </w:r>
          </w:p>
        </w:tc>
        <w:tc>
          <w:tcPr>
            <w:tcW w:w="71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52</w:t>
            </w:r>
          </w:p>
        </w:tc>
        <w:tc>
          <w:tcPr>
            <w:tcW w:w="145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b/>
                <w:bCs/>
                <w:sz w:val="24"/>
                <w:szCs w:val="24"/>
              </w:rPr>
              <w:t>4.15</w:t>
            </w:r>
          </w:p>
        </w:tc>
      </w:tr>
      <w:tr w:rsidR="00C357E7" w:rsidRPr="00C357E7" w:rsidTr="00C357E7">
        <w:tc>
          <w:tcPr>
            <w:tcW w:w="4321"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Adobe tools improve campaign professionalism and quality</w:t>
            </w:r>
          </w:p>
        </w:tc>
        <w:tc>
          <w:tcPr>
            <w:tcW w:w="716"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2</w:t>
            </w:r>
          </w:p>
        </w:tc>
        <w:tc>
          <w:tcPr>
            <w:tcW w:w="716"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8</w:t>
            </w:r>
          </w:p>
        </w:tc>
        <w:tc>
          <w:tcPr>
            <w:tcW w:w="717"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17</w:t>
            </w:r>
          </w:p>
        </w:tc>
        <w:tc>
          <w:tcPr>
            <w:tcW w:w="717"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44</w:t>
            </w:r>
          </w:p>
        </w:tc>
        <w:tc>
          <w:tcPr>
            <w:tcW w:w="717"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49</w:t>
            </w:r>
          </w:p>
        </w:tc>
        <w:tc>
          <w:tcPr>
            <w:tcW w:w="1456"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b/>
                <w:bCs/>
                <w:sz w:val="24"/>
                <w:szCs w:val="24"/>
              </w:rPr>
              <w:t>4.08</w:t>
            </w:r>
          </w:p>
        </w:tc>
      </w:tr>
      <w:tr w:rsidR="00C357E7" w:rsidRPr="00C357E7" w:rsidTr="00C357E7">
        <w:tc>
          <w:tcPr>
            <w:tcW w:w="432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Adobe tools improve visual brand consistency across touchpoints</w:t>
            </w:r>
          </w:p>
        </w:tc>
        <w:tc>
          <w:tcPr>
            <w:tcW w:w="71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3</w:t>
            </w:r>
          </w:p>
        </w:tc>
        <w:tc>
          <w:tcPr>
            <w:tcW w:w="71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6</w:t>
            </w:r>
          </w:p>
        </w:tc>
        <w:tc>
          <w:tcPr>
            <w:tcW w:w="71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18</w:t>
            </w:r>
          </w:p>
        </w:tc>
        <w:tc>
          <w:tcPr>
            <w:tcW w:w="71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46</w:t>
            </w:r>
          </w:p>
        </w:tc>
        <w:tc>
          <w:tcPr>
            <w:tcW w:w="71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47</w:t>
            </w:r>
          </w:p>
        </w:tc>
        <w:tc>
          <w:tcPr>
            <w:tcW w:w="145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b/>
                <w:bCs/>
                <w:sz w:val="24"/>
                <w:szCs w:val="24"/>
              </w:rPr>
              <w:t>4.07</w:t>
            </w:r>
          </w:p>
        </w:tc>
      </w:tr>
      <w:tr w:rsidR="00C357E7" w:rsidRPr="00C357E7" w:rsidTr="00C357E7">
        <w:tc>
          <w:tcPr>
            <w:tcW w:w="4321"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Adobe tools support sales enablement material creation</w:t>
            </w:r>
          </w:p>
        </w:tc>
        <w:tc>
          <w:tcPr>
            <w:tcW w:w="716"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3</w:t>
            </w:r>
          </w:p>
        </w:tc>
        <w:tc>
          <w:tcPr>
            <w:tcW w:w="716"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8</w:t>
            </w:r>
          </w:p>
        </w:tc>
        <w:tc>
          <w:tcPr>
            <w:tcW w:w="717"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20</w:t>
            </w:r>
          </w:p>
        </w:tc>
        <w:tc>
          <w:tcPr>
            <w:tcW w:w="717"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45</w:t>
            </w:r>
          </w:p>
        </w:tc>
        <w:tc>
          <w:tcPr>
            <w:tcW w:w="717"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44</w:t>
            </w:r>
          </w:p>
        </w:tc>
        <w:tc>
          <w:tcPr>
            <w:tcW w:w="1456"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b/>
                <w:bCs/>
                <w:sz w:val="24"/>
                <w:szCs w:val="24"/>
              </w:rPr>
              <w:t>3.99</w:t>
            </w:r>
          </w:p>
        </w:tc>
      </w:tr>
      <w:tr w:rsidR="00C357E7" w:rsidRPr="00C357E7" w:rsidTr="00C357E7">
        <w:tc>
          <w:tcPr>
            <w:tcW w:w="432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Adobe analytics tools help measure campaign performance</w:t>
            </w:r>
          </w:p>
        </w:tc>
        <w:tc>
          <w:tcPr>
            <w:tcW w:w="71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4</w:t>
            </w:r>
          </w:p>
        </w:tc>
        <w:tc>
          <w:tcPr>
            <w:tcW w:w="71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9</w:t>
            </w:r>
          </w:p>
        </w:tc>
        <w:tc>
          <w:tcPr>
            <w:tcW w:w="71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19</w:t>
            </w:r>
          </w:p>
        </w:tc>
        <w:tc>
          <w:tcPr>
            <w:tcW w:w="71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42</w:t>
            </w:r>
          </w:p>
        </w:tc>
        <w:tc>
          <w:tcPr>
            <w:tcW w:w="71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46</w:t>
            </w:r>
          </w:p>
        </w:tc>
        <w:tc>
          <w:tcPr>
            <w:tcW w:w="145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b/>
                <w:bCs/>
                <w:sz w:val="24"/>
                <w:szCs w:val="24"/>
              </w:rPr>
              <w:t>3.98</w:t>
            </w:r>
          </w:p>
        </w:tc>
      </w:tr>
      <w:tr w:rsidR="00C357E7" w:rsidRPr="00C357E7" w:rsidTr="00C357E7">
        <w:tc>
          <w:tcPr>
            <w:tcW w:w="4321"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Adobe dashboards improve marketing decision-making</w:t>
            </w:r>
          </w:p>
        </w:tc>
        <w:tc>
          <w:tcPr>
            <w:tcW w:w="716"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5</w:t>
            </w:r>
          </w:p>
        </w:tc>
        <w:tc>
          <w:tcPr>
            <w:tcW w:w="716"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11</w:t>
            </w:r>
          </w:p>
        </w:tc>
        <w:tc>
          <w:tcPr>
            <w:tcW w:w="717"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18</w:t>
            </w:r>
          </w:p>
        </w:tc>
        <w:tc>
          <w:tcPr>
            <w:tcW w:w="717"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43</w:t>
            </w:r>
          </w:p>
        </w:tc>
        <w:tc>
          <w:tcPr>
            <w:tcW w:w="717"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43</w:t>
            </w:r>
          </w:p>
        </w:tc>
        <w:tc>
          <w:tcPr>
            <w:tcW w:w="1456"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b/>
                <w:bCs/>
                <w:sz w:val="24"/>
                <w:szCs w:val="24"/>
              </w:rPr>
              <w:t>3.90</w:t>
            </w:r>
          </w:p>
        </w:tc>
      </w:tr>
      <w:tr w:rsidR="00C357E7" w:rsidRPr="00C357E7" w:rsidTr="00C357E7">
        <w:tc>
          <w:tcPr>
            <w:tcW w:w="432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Adobe tools reduce content design turnaround time</w:t>
            </w:r>
          </w:p>
        </w:tc>
        <w:tc>
          <w:tcPr>
            <w:tcW w:w="71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5</w:t>
            </w:r>
          </w:p>
        </w:tc>
        <w:tc>
          <w:tcPr>
            <w:tcW w:w="71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10</w:t>
            </w:r>
          </w:p>
        </w:tc>
        <w:tc>
          <w:tcPr>
            <w:tcW w:w="71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21</w:t>
            </w:r>
          </w:p>
        </w:tc>
        <w:tc>
          <w:tcPr>
            <w:tcW w:w="71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43</w:t>
            </w:r>
          </w:p>
        </w:tc>
        <w:tc>
          <w:tcPr>
            <w:tcW w:w="71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41</w:t>
            </w:r>
          </w:p>
        </w:tc>
        <w:tc>
          <w:tcPr>
            <w:tcW w:w="145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b/>
                <w:bCs/>
                <w:sz w:val="24"/>
                <w:szCs w:val="24"/>
              </w:rPr>
              <w:t>3.88</w:t>
            </w:r>
          </w:p>
        </w:tc>
      </w:tr>
      <w:tr w:rsidR="00C357E7" w:rsidRPr="00C357E7" w:rsidTr="00C357E7">
        <w:tc>
          <w:tcPr>
            <w:tcW w:w="4321"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Adobe-enabled content improves customer engagement</w:t>
            </w:r>
          </w:p>
        </w:tc>
        <w:tc>
          <w:tcPr>
            <w:tcW w:w="716"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6</w:t>
            </w:r>
          </w:p>
        </w:tc>
        <w:tc>
          <w:tcPr>
            <w:tcW w:w="716"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13</w:t>
            </w:r>
          </w:p>
        </w:tc>
        <w:tc>
          <w:tcPr>
            <w:tcW w:w="717"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22</w:t>
            </w:r>
          </w:p>
        </w:tc>
        <w:tc>
          <w:tcPr>
            <w:tcW w:w="717"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41</w:t>
            </w:r>
          </w:p>
        </w:tc>
        <w:tc>
          <w:tcPr>
            <w:tcW w:w="717"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38</w:t>
            </w:r>
          </w:p>
        </w:tc>
        <w:tc>
          <w:tcPr>
            <w:tcW w:w="1456"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b/>
                <w:bCs/>
                <w:sz w:val="24"/>
                <w:szCs w:val="24"/>
              </w:rPr>
              <w:t>3.77</w:t>
            </w:r>
          </w:p>
        </w:tc>
      </w:tr>
      <w:tr w:rsidR="00C357E7" w:rsidRPr="00C357E7" w:rsidTr="00C357E7">
        <w:tc>
          <w:tcPr>
            <w:tcW w:w="432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rPr>
                <w:rFonts w:ascii="Times New Roman" w:hAnsi="Times New Roman" w:cs="Times New Roman"/>
                <w:sz w:val="24"/>
                <w:szCs w:val="24"/>
              </w:rPr>
            </w:pPr>
            <w:r w:rsidRPr="00C357E7">
              <w:rPr>
                <w:rFonts w:ascii="Times New Roman" w:hAnsi="Times New Roman" w:cs="Times New Roman"/>
                <w:sz w:val="24"/>
                <w:szCs w:val="24"/>
              </w:rPr>
              <w:t>Adobe tools create measurable and demonstrable marketing ROI</w:t>
            </w:r>
          </w:p>
        </w:tc>
        <w:tc>
          <w:tcPr>
            <w:tcW w:w="71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6</w:t>
            </w:r>
          </w:p>
        </w:tc>
        <w:tc>
          <w:tcPr>
            <w:tcW w:w="71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12</w:t>
            </w:r>
          </w:p>
        </w:tc>
        <w:tc>
          <w:tcPr>
            <w:tcW w:w="71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24</w:t>
            </w:r>
          </w:p>
        </w:tc>
        <w:tc>
          <w:tcPr>
            <w:tcW w:w="71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41</w:t>
            </w:r>
          </w:p>
        </w:tc>
        <w:tc>
          <w:tcPr>
            <w:tcW w:w="717"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sz w:val="24"/>
                <w:szCs w:val="24"/>
              </w:rPr>
              <w:t>37</w:t>
            </w:r>
          </w:p>
        </w:tc>
        <w:tc>
          <w:tcPr>
            <w:tcW w:w="145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rsidR="00C357E7" w:rsidRPr="00C357E7" w:rsidRDefault="00C357E7" w:rsidP="00E11DCA">
            <w:pPr>
              <w:jc w:val="center"/>
              <w:rPr>
                <w:rFonts w:ascii="Times New Roman" w:hAnsi="Times New Roman" w:cs="Times New Roman"/>
                <w:sz w:val="24"/>
                <w:szCs w:val="24"/>
              </w:rPr>
            </w:pPr>
            <w:r w:rsidRPr="00C357E7">
              <w:rPr>
                <w:rFonts w:ascii="Times New Roman" w:hAnsi="Times New Roman" w:cs="Times New Roman"/>
                <w:b/>
                <w:bCs/>
                <w:sz w:val="24"/>
                <w:szCs w:val="24"/>
              </w:rPr>
              <w:t>3.76</w:t>
            </w:r>
          </w:p>
        </w:tc>
      </w:tr>
    </w:tbl>
    <w:p w:rsidR="00C357E7" w:rsidRPr="00C357E7" w:rsidRDefault="00C357E7" w:rsidP="00C357E7">
      <w:pPr>
        <w:spacing w:before="80" w:after="160"/>
        <w:jc w:val="center"/>
        <w:rPr>
          <w:rFonts w:ascii="Times New Roman" w:hAnsi="Times New Roman" w:cs="Times New Roman"/>
          <w:color w:val="000000" w:themeColor="text1"/>
          <w:sz w:val="28"/>
        </w:rPr>
      </w:pPr>
      <w:r w:rsidRPr="00C357E7">
        <w:rPr>
          <w:rFonts w:ascii="Times New Roman" w:hAnsi="Times New Roman" w:cs="Times New Roman"/>
          <w:i/>
          <w:iCs/>
          <w:color w:val="000000" w:themeColor="text1"/>
          <w:sz w:val="24"/>
          <w:szCs w:val="20"/>
        </w:rPr>
        <w:t>Table 5. Weighted Mean Scores for All Perception Statements (n = 120; SD = Strongly Disagree, D = Disagree, N = Neutral, A = Agree, SA = Strongly Agree)</w:t>
      </w:r>
    </w:p>
    <w:p w:rsidR="00C357E7" w:rsidRDefault="00C357E7" w:rsidP="00AA23AA">
      <w:pPr>
        <w:spacing w:line="276" w:lineRule="auto"/>
        <w:jc w:val="both"/>
        <w:rPr>
          <w:rFonts w:ascii="Times New Roman" w:hAnsi="Times New Roman" w:cs="Times New Roman"/>
          <w:color w:val="000000" w:themeColor="text1"/>
          <w:sz w:val="24"/>
        </w:rPr>
      </w:pPr>
      <w:r w:rsidRPr="00C357E7">
        <w:rPr>
          <w:rFonts w:ascii="Times New Roman" w:hAnsi="Times New Roman" w:cs="Times New Roman"/>
          <w:color w:val="000000" w:themeColor="text1"/>
          <w:sz w:val="24"/>
        </w:rPr>
        <w:lastRenderedPageBreak/>
        <w:t>Outcomes relating to branding produce higher average scores than those relating to measurement. All four of the branding related statements score above 4.00 on the strong agreement scale; whereas, the average scores on the measurement related statements are clustered between 3.76 and 3.98, suggesting that although they do provide benefits to users, there are not as many immediate perceived benefits from using measurements. This asymmetry in maturity whereby creative and branding capabilities have been embraced more than analytical capabilities, is supported by the literature of the broader electronic marketing technology (such as digital) adoption literature.</w:t>
      </w:r>
    </w:p>
    <w:p w:rsidR="00C357E7" w:rsidRDefault="00C357E7" w:rsidP="00AA23AA">
      <w:pPr>
        <w:spacing w:line="276" w:lineRule="auto"/>
        <w:jc w:val="both"/>
        <w:rPr>
          <w:rFonts w:ascii="Times New Roman" w:hAnsi="Times New Roman" w:cs="Times New Roman"/>
          <w:color w:val="000000" w:themeColor="text1"/>
          <w:sz w:val="24"/>
        </w:rPr>
      </w:pPr>
    </w:p>
    <w:p w:rsidR="00C357E7" w:rsidRDefault="00C357E7" w:rsidP="00AA23AA">
      <w:pPr>
        <w:spacing w:line="276" w:lineRule="auto"/>
        <w:jc w:val="both"/>
        <w:rPr>
          <w:rFonts w:ascii="Times New Roman" w:hAnsi="Times New Roman" w:cs="Times New Roman"/>
          <w:b/>
          <w:bCs/>
          <w:color w:val="000000" w:themeColor="text1"/>
          <w:sz w:val="28"/>
          <w:szCs w:val="28"/>
        </w:rPr>
      </w:pPr>
      <w:r w:rsidRPr="00C357E7">
        <w:rPr>
          <w:rFonts w:ascii="Times New Roman" w:hAnsi="Times New Roman" w:cs="Times New Roman"/>
          <w:b/>
          <w:bCs/>
          <w:color w:val="000000" w:themeColor="text1"/>
          <w:sz w:val="28"/>
          <w:szCs w:val="28"/>
        </w:rPr>
        <w:t>Implementation Challenges</w:t>
      </w:r>
    </w:p>
    <w:p w:rsidR="00C357E7" w:rsidRDefault="00C357E7" w:rsidP="00AA23AA">
      <w:pPr>
        <w:spacing w:line="276" w:lineRule="auto"/>
        <w:jc w:val="both"/>
        <w:rPr>
          <w:rFonts w:ascii="Times New Roman" w:hAnsi="Times New Roman" w:cs="Times New Roman"/>
          <w:color w:val="000000" w:themeColor="text1"/>
          <w:sz w:val="24"/>
        </w:rPr>
      </w:pPr>
      <w:r w:rsidRPr="00C357E7">
        <w:rPr>
          <w:rFonts w:ascii="Times New Roman" w:hAnsi="Times New Roman" w:cs="Times New Roman"/>
          <w:color w:val="000000" w:themeColor="text1"/>
          <w:sz w:val="24"/>
        </w:rPr>
        <w:t>The challenge profile shows that High Licensing Cost (n=31), Skill Gaps (n=24), and Data Integration Problems (n=21) are the primary barriers to adopting Adobe tools, followed by Limited Content Strategy (n=18), Delays In Approval (n=14), and No Major Hurdle (n=12). Most respondents are fairly satisfied with their experience using Adobe tools, with 68% indicating level of satisfaction or high satisfaction. Results from respondent data align with literature related to the SME’s digital tool adoption in that resource constraints and lack of training continue to be major systemic barriers impacting achieving full value.</w:t>
      </w:r>
    </w:p>
    <w:p w:rsidR="008F36F7" w:rsidRDefault="008F36F7" w:rsidP="00AA23AA">
      <w:pPr>
        <w:spacing w:line="276" w:lineRule="auto"/>
        <w:jc w:val="both"/>
        <w:rPr>
          <w:rFonts w:ascii="Times New Roman" w:hAnsi="Times New Roman" w:cs="Times New Roman"/>
          <w:color w:val="000000" w:themeColor="text1"/>
          <w:sz w:val="24"/>
        </w:rPr>
      </w:pPr>
    </w:p>
    <w:p w:rsidR="008F36F7" w:rsidRPr="008F36F7" w:rsidRDefault="008F36F7" w:rsidP="008F36F7">
      <w:pPr>
        <w:pStyle w:val="Heading1"/>
        <w:rPr>
          <w:color w:val="000000" w:themeColor="text1"/>
        </w:rPr>
      </w:pPr>
      <w:r w:rsidRPr="008F36F7">
        <w:rPr>
          <w:rFonts w:eastAsia="Arial"/>
          <w:color w:val="000000" w:themeColor="text1"/>
        </w:rPr>
        <w:t>Discussion</w:t>
      </w:r>
    </w:p>
    <w:p w:rsidR="008F36F7" w:rsidRDefault="008F36F7" w:rsidP="008F36F7">
      <w:pPr>
        <w:spacing w:line="276" w:lineRule="auto"/>
        <w:jc w:val="both"/>
        <w:rPr>
          <w:rFonts w:ascii="Times New Roman" w:hAnsi="Times New Roman" w:cs="Times New Roman"/>
          <w:b/>
          <w:bCs/>
          <w:color w:val="000000" w:themeColor="text1"/>
          <w:sz w:val="28"/>
          <w:szCs w:val="28"/>
        </w:rPr>
      </w:pPr>
      <w:r w:rsidRPr="008F36F7">
        <w:rPr>
          <w:rFonts w:ascii="Times New Roman" w:hAnsi="Times New Roman" w:cs="Times New Roman"/>
          <w:b/>
          <w:bCs/>
          <w:color w:val="000000" w:themeColor="text1"/>
          <w:sz w:val="28"/>
          <w:szCs w:val="28"/>
        </w:rPr>
        <w:t>The Branding–Measurement Integration Imperative</w:t>
      </w:r>
    </w:p>
    <w:p w:rsidR="008F36F7" w:rsidRPr="008F36F7" w:rsidRDefault="008F36F7" w:rsidP="008F36F7">
      <w:pPr>
        <w:spacing w:line="276" w:lineRule="auto"/>
        <w:jc w:val="both"/>
        <w:rPr>
          <w:rFonts w:ascii="Times New Roman" w:hAnsi="Times New Roman" w:cs="Times New Roman"/>
          <w:color w:val="000000" w:themeColor="text1"/>
          <w:sz w:val="24"/>
        </w:rPr>
      </w:pPr>
      <w:r w:rsidRPr="008F36F7">
        <w:rPr>
          <w:rFonts w:ascii="Times New Roman" w:hAnsi="Times New Roman" w:cs="Times New Roman"/>
          <w:color w:val="000000" w:themeColor="text1"/>
          <w:sz w:val="24"/>
        </w:rPr>
        <w:t>This study primarily argues that marketing performance measurement and product branding are two functional capabilities whose value is maximized through using a single unified technology ecosystem (or something similar). That is, strong branding enables a greater number of measurable elements (e.g., visual, consistent, and trackable content), thereby creating more quality in measurement. Strong measurement provides information about brand investments that create commercial return to improve the effectiveness of future branding efforts. As such, Adobe's integrated ecosystem architecture is in complete alignment architecturally with the best current understanding of how marketing creates digital value.</w:t>
      </w:r>
    </w:p>
    <w:p w:rsidR="008F36F7" w:rsidRPr="008F36F7" w:rsidRDefault="008F36F7" w:rsidP="008F36F7">
      <w:pPr>
        <w:spacing w:line="276" w:lineRule="auto"/>
        <w:jc w:val="both"/>
        <w:rPr>
          <w:rFonts w:ascii="Times New Roman" w:hAnsi="Times New Roman" w:cs="Times New Roman"/>
          <w:color w:val="000000" w:themeColor="text1"/>
          <w:sz w:val="24"/>
        </w:rPr>
      </w:pPr>
    </w:p>
    <w:p w:rsidR="008F36F7" w:rsidRPr="008F36F7" w:rsidRDefault="008F36F7" w:rsidP="008F36F7">
      <w:pPr>
        <w:spacing w:line="276" w:lineRule="auto"/>
        <w:jc w:val="both"/>
        <w:rPr>
          <w:rFonts w:ascii="Times New Roman" w:hAnsi="Times New Roman" w:cs="Times New Roman"/>
          <w:color w:val="000000" w:themeColor="text1"/>
          <w:sz w:val="24"/>
        </w:rPr>
      </w:pPr>
      <w:r w:rsidRPr="008F36F7">
        <w:rPr>
          <w:rFonts w:ascii="Times New Roman" w:hAnsi="Times New Roman" w:cs="Times New Roman"/>
          <w:color w:val="000000" w:themeColor="text1"/>
          <w:sz w:val="24"/>
        </w:rPr>
        <w:t>In support of the above logic for integration, the survey results provide empirical evidence of the value derived through such integration. Strongly perceived value (M = 4.07–4.22) for branding outcomes demonstrates that Adobe tools uniquely increase the visual appearance and professional quality of brand communications. Moderately perceived value (M = 3.76–3.98) for measurement outcomes further illustrates that marketers view Adobe analytics as enabling evidence-based marketing management practices that have high value. Therefore, these data lend support to all four hypotheses proposed in the study. Specifically, results show that: 1) Adobe tools positively correlate to the professional appearance and consistency of branding (H1); 2) Adobe tools positively correlate to the quality of campaign communication and trust in the marketing agency or organisation (H2); 3) Adobe tools positively correlate to the effectiveness of performance measurement practices (H3); and 4) ROI clarity gap (H4) illustrates that the readiness of an organisation to use measurement will inform and improve marketing performance measurement outcomes.</w:t>
      </w:r>
    </w:p>
    <w:p w:rsidR="008F36F7" w:rsidRDefault="008F36F7" w:rsidP="008F36F7">
      <w:pPr>
        <w:pStyle w:val="Heading2"/>
        <w:rPr>
          <w:rFonts w:ascii="Times New Roman" w:eastAsia="Arial" w:hAnsi="Times New Roman" w:cs="Times New Roman"/>
          <w:color w:val="000000" w:themeColor="text1"/>
          <w:sz w:val="28"/>
          <w:szCs w:val="28"/>
        </w:rPr>
      </w:pPr>
      <w:r w:rsidRPr="008F36F7">
        <w:rPr>
          <w:rFonts w:ascii="Times New Roman" w:eastAsia="Arial" w:hAnsi="Times New Roman" w:cs="Times New Roman"/>
          <w:color w:val="000000" w:themeColor="text1"/>
          <w:sz w:val="28"/>
          <w:szCs w:val="28"/>
        </w:rPr>
        <w:lastRenderedPageBreak/>
        <w:t>The Maturity Asymmetry: Creative Ahead of Analytical Adoption</w:t>
      </w:r>
    </w:p>
    <w:p w:rsidR="008F36F7" w:rsidRPr="008F36F7" w:rsidRDefault="008F36F7" w:rsidP="008F36F7">
      <w:pPr>
        <w:jc w:val="both"/>
        <w:rPr>
          <w:rFonts w:ascii="Times New Roman" w:hAnsi="Times New Roman" w:cs="Times New Roman"/>
          <w:color w:val="000000" w:themeColor="text1"/>
          <w:sz w:val="24"/>
        </w:rPr>
      </w:pPr>
      <w:r w:rsidRPr="008F36F7">
        <w:rPr>
          <w:rFonts w:ascii="Times New Roman" w:hAnsi="Times New Roman" w:cs="Times New Roman"/>
          <w:color w:val="000000" w:themeColor="text1"/>
          <w:sz w:val="24"/>
        </w:rPr>
        <w:t>The finding in this research project shows that branding benefits tend to be established at an earlier level of maturity than measurement benefits, a finding referred to as the maturity asymmetry. The maturity asymmetry suggests that when organisations purchase Adobe's creative tools, they typically use them to create branding assets that look good and are professional immediately and that they develop analytical skills for measuring the impact of those branding assets after they have developed the branding assets. This is logical because organisations can see the immediate value of having nice-looking branding assets while it will take a lot longer for them to develop the KPIs, reporting procedures, and analytical skills that would ultimately allow them to evaluate the short-term benefits of investing in their creative tools.</w:t>
      </w:r>
    </w:p>
    <w:p w:rsidR="008F36F7" w:rsidRPr="008F36F7" w:rsidRDefault="008F36F7" w:rsidP="008F36F7">
      <w:pPr>
        <w:jc w:val="both"/>
        <w:rPr>
          <w:rFonts w:ascii="Times New Roman" w:hAnsi="Times New Roman" w:cs="Times New Roman"/>
          <w:color w:val="000000" w:themeColor="text1"/>
          <w:sz w:val="24"/>
        </w:rPr>
      </w:pPr>
    </w:p>
    <w:p w:rsidR="008F36F7" w:rsidRPr="008F36F7" w:rsidRDefault="008F36F7" w:rsidP="008F36F7">
      <w:pPr>
        <w:jc w:val="both"/>
        <w:rPr>
          <w:rFonts w:ascii="Times New Roman" w:hAnsi="Times New Roman" w:cs="Times New Roman"/>
          <w:color w:val="000000" w:themeColor="text1"/>
          <w:sz w:val="24"/>
        </w:rPr>
      </w:pPr>
      <w:r w:rsidRPr="008F36F7">
        <w:rPr>
          <w:rFonts w:ascii="Times New Roman" w:hAnsi="Times New Roman" w:cs="Times New Roman"/>
          <w:color w:val="000000" w:themeColor="text1"/>
          <w:sz w:val="24"/>
        </w:rPr>
        <w:t>The maturity asymmetry is supported by the findings of Järvinen &amp; Karjaluoto (2015), who noted that access to analytics alone does not produce strategic decision-making value for organisations. For organisations that are trying to use the full capabilities of Adobe's performance measurement tools effectively, they must make an investment in the performance measurement infrastructure (KPI development, dashboard development, training in Analysis Workspace, and cross-functional reporting processes) to be successful in the implementation of those tools.</w:t>
      </w:r>
    </w:p>
    <w:p w:rsidR="008F36F7" w:rsidRDefault="008F36F7" w:rsidP="008F36F7">
      <w:pPr>
        <w:spacing w:line="276" w:lineRule="auto"/>
        <w:jc w:val="both"/>
        <w:rPr>
          <w:rFonts w:ascii="Times New Roman" w:hAnsi="Times New Roman" w:cs="Times New Roman"/>
          <w:color w:val="000000" w:themeColor="text1"/>
          <w:sz w:val="24"/>
        </w:rPr>
      </w:pPr>
    </w:p>
    <w:p w:rsidR="008F36F7" w:rsidRDefault="008F36F7" w:rsidP="008F36F7">
      <w:pPr>
        <w:pStyle w:val="Heading2"/>
        <w:rPr>
          <w:rFonts w:ascii="Times New Roman" w:eastAsia="Arial" w:hAnsi="Times New Roman" w:cs="Times New Roman"/>
          <w:color w:val="000000" w:themeColor="text1"/>
          <w:sz w:val="28"/>
          <w:szCs w:val="28"/>
        </w:rPr>
      </w:pPr>
      <w:r w:rsidRPr="008F36F7">
        <w:rPr>
          <w:rFonts w:ascii="Times New Roman" w:eastAsia="Arial" w:hAnsi="Times New Roman" w:cs="Times New Roman"/>
          <w:color w:val="000000" w:themeColor="text1"/>
          <w:sz w:val="28"/>
          <w:szCs w:val="28"/>
        </w:rPr>
        <w:t>Adobe as Brand Governance Infrastructure</w:t>
      </w:r>
    </w:p>
    <w:p w:rsidR="008F36F7" w:rsidRDefault="008F36F7" w:rsidP="008F36F7"/>
    <w:p w:rsidR="008F36F7" w:rsidRPr="008F36F7" w:rsidRDefault="008F36F7" w:rsidP="008F36F7">
      <w:pPr>
        <w:jc w:val="both"/>
        <w:rPr>
          <w:rFonts w:ascii="Times New Roman" w:hAnsi="Times New Roman" w:cs="Times New Roman"/>
          <w:color w:val="000000" w:themeColor="text1"/>
          <w:sz w:val="24"/>
        </w:rPr>
      </w:pPr>
      <w:r w:rsidRPr="008F36F7">
        <w:rPr>
          <w:rFonts w:ascii="Times New Roman" w:hAnsi="Times New Roman" w:cs="Times New Roman"/>
          <w:color w:val="000000" w:themeColor="text1"/>
          <w:sz w:val="24"/>
        </w:rPr>
        <w:t>In addition to being a range of individual creativity and analytical software solutions, Adobe’s ecosystem represents an identity management structure - a suite of interrelated systems that support brand development and implementation, workflow and accountability for performance metrics across large, dispersed teams of creatives. The Adobe Express Brand Kit feature, Creative Cloud for Teams’ template management systems, GenStudio’s approvals structures and Firefly’s content credentialing capabilities create an identity management system / framework that has fundamentally changed the nature of how branding is done, moving branding from a function that relies solely on individual creative talent to a capability that exists at the organisational level (that is, as part of the wider organisational system).</w:t>
      </w:r>
    </w:p>
    <w:p w:rsidR="008F36F7" w:rsidRPr="008F36F7" w:rsidRDefault="008F36F7" w:rsidP="008F36F7">
      <w:pPr>
        <w:jc w:val="both"/>
        <w:rPr>
          <w:rFonts w:ascii="Times New Roman" w:hAnsi="Times New Roman" w:cs="Times New Roman"/>
          <w:color w:val="000000" w:themeColor="text1"/>
          <w:sz w:val="24"/>
        </w:rPr>
      </w:pPr>
    </w:p>
    <w:p w:rsidR="008F36F7" w:rsidRDefault="008F36F7" w:rsidP="008F36F7">
      <w:pPr>
        <w:jc w:val="both"/>
        <w:rPr>
          <w:rFonts w:ascii="Times New Roman" w:hAnsi="Times New Roman" w:cs="Times New Roman"/>
          <w:color w:val="000000" w:themeColor="text1"/>
          <w:sz w:val="24"/>
        </w:rPr>
      </w:pPr>
      <w:r w:rsidRPr="008F36F7">
        <w:rPr>
          <w:rFonts w:ascii="Times New Roman" w:hAnsi="Times New Roman" w:cs="Times New Roman"/>
          <w:color w:val="000000" w:themeColor="text1"/>
          <w:sz w:val="24"/>
        </w:rPr>
        <w:t>The contribution of the governance aspect of Adobe’s ecosystem is theoretically important as it identifies the structural cause of the inconsistencies in branding experienced by organisations is not a lack of documentation establishing standards for the organisation’s brand, but instead an absence of systems for enforcing compliance to those standards through the use of them. For example, brand standards documented in a PDF file and presented to an organisation’s employees in a training session will be applied inconsistently across an organisation because the employees do not have any systems to refers to that would provide them with objective measurements to verify that they have followed the organisation’s brand standard. By contrast, brand standards expressed within an Adobe Brand Kit and enforced through Adobe Express template structures, and subject to audits through content analytics, will be applied in a qualitatively more consistent manner across an organisation. As a result, the governance framework established by Adobe’s ecosystem transforms branding from an individual creative process to a collective organisational process.</w:t>
      </w:r>
    </w:p>
    <w:p w:rsidR="008F36F7" w:rsidRDefault="008F36F7" w:rsidP="008F36F7">
      <w:pPr>
        <w:jc w:val="both"/>
        <w:rPr>
          <w:rFonts w:ascii="Times New Roman" w:hAnsi="Times New Roman" w:cs="Times New Roman"/>
          <w:color w:val="000000" w:themeColor="text1"/>
          <w:sz w:val="24"/>
        </w:rPr>
      </w:pPr>
    </w:p>
    <w:p w:rsidR="008F36F7" w:rsidRDefault="008F36F7" w:rsidP="008F36F7">
      <w:pPr>
        <w:pStyle w:val="Heading1"/>
        <w:rPr>
          <w:rFonts w:eastAsia="Arial"/>
          <w:color w:val="000000" w:themeColor="text1"/>
          <w:szCs w:val="24"/>
        </w:rPr>
      </w:pPr>
    </w:p>
    <w:p w:rsidR="008F36F7" w:rsidRDefault="008F36F7" w:rsidP="008F36F7">
      <w:pPr>
        <w:pStyle w:val="Heading1"/>
        <w:rPr>
          <w:rFonts w:eastAsia="Arial"/>
          <w:color w:val="000000" w:themeColor="text1"/>
          <w:szCs w:val="24"/>
        </w:rPr>
      </w:pPr>
      <w:r w:rsidRPr="008F36F7">
        <w:rPr>
          <w:rFonts w:eastAsia="Arial"/>
          <w:color w:val="000000" w:themeColor="text1"/>
          <w:szCs w:val="24"/>
        </w:rPr>
        <w:lastRenderedPageBreak/>
        <w:t xml:space="preserve"> A Phased Adobe Adoption Framework for Branding and Measurement</w:t>
      </w:r>
    </w:p>
    <w:p w:rsidR="008F36F7" w:rsidRDefault="008F36F7" w:rsidP="008F36F7">
      <w:pPr>
        <w:pStyle w:val="Heading1"/>
        <w:jc w:val="both"/>
        <w:rPr>
          <w:rFonts w:eastAsia="Arial"/>
          <w:color w:val="000000" w:themeColor="text1"/>
          <w:szCs w:val="24"/>
        </w:rPr>
      </w:pPr>
      <w:r w:rsidRPr="008F36F7">
        <w:rPr>
          <w:rFonts w:eastAsia="Arial"/>
          <w:b w:val="0"/>
          <w:bCs w:val="0"/>
          <w:color w:val="000000" w:themeColor="text1"/>
          <w:sz w:val="24"/>
          <w:szCs w:val="22"/>
        </w:rPr>
        <w:t>Based on the survey findings, a thorough literature review, and Adobe's overall ecosystem architecture, this paper presents an organisation-wide, three-phased adoption framework aimed at maximising both branding value and measurement-based value derived from using Adobe digital tools.</w:t>
      </w:r>
    </w:p>
    <w:tbl>
      <w:tblPr>
        <w:tblW w:w="9360" w:type="dxa"/>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68"/>
        <w:gridCol w:w="2182"/>
        <w:gridCol w:w="3323"/>
        <w:gridCol w:w="2387"/>
      </w:tblGrid>
      <w:tr w:rsidR="008F36F7" w:rsidRPr="008F36F7" w:rsidTr="008A6D40">
        <w:trPr>
          <w:tblHeader/>
        </w:trPr>
        <w:tc>
          <w:tcPr>
            <w:tcW w:w="1468" w:type="dxa"/>
            <w:tcBorders>
              <w:top w:val="single" w:sz="1" w:space="0" w:color="CCCCCC"/>
              <w:left w:val="single" w:sz="1" w:space="0" w:color="CCCCCC"/>
              <w:bottom w:val="single" w:sz="1" w:space="0" w:color="CCCCCC"/>
              <w:right w:val="single" w:sz="1" w:space="0" w:color="CCCCCC"/>
            </w:tcBorders>
            <w:shd w:val="clear" w:color="auto" w:fill="1B3A6B"/>
            <w:tcMar>
              <w:top w:w="100" w:type="dxa"/>
              <w:left w:w="140" w:type="dxa"/>
              <w:bottom w:w="100" w:type="dxa"/>
              <w:right w:w="140" w:type="dxa"/>
            </w:tcMar>
            <w:vAlign w:val="center"/>
          </w:tcPr>
          <w:p w:rsidR="008F36F7" w:rsidRPr="008F36F7" w:rsidRDefault="008F36F7" w:rsidP="00E11DCA">
            <w:pPr>
              <w:jc w:val="center"/>
              <w:rPr>
                <w:rFonts w:ascii="Times New Roman" w:hAnsi="Times New Roman" w:cs="Times New Roman"/>
                <w:sz w:val="24"/>
                <w:szCs w:val="24"/>
              </w:rPr>
            </w:pPr>
            <w:r w:rsidRPr="008F36F7">
              <w:rPr>
                <w:rFonts w:ascii="Times New Roman" w:hAnsi="Times New Roman" w:cs="Times New Roman"/>
                <w:b/>
                <w:bCs/>
                <w:color w:val="FFFFFF"/>
                <w:sz w:val="24"/>
                <w:szCs w:val="24"/>
              </w:rPr>
              <w:t>Phase</w:t>
            </w:r>
          </w:p>
        </w:tc>
        <w:tc>
          <w:tcPr>
            <w:tcW w:w="2182" w:type="dxa"/>
            <w:tcBorders>
              <w:top w:val="single" w:sz="1" w:space="0" w:color="CCCCCC"/>
              <w:left w:val="single" w:sz="1" w:space="0" w:color="CCCCCC"/>
              <w:bottom w:val="single" w:sz="1" w:space="0" w:color="CCCCCC"/>
              <w:right w:val="single" w:sz="1" w:space="0" w:color="CCCCCC"/>
            </w:tcBorders>
            <w:shd w:val="clear" w:color="auto" w:fill="1B3A6B"/>
            <w:tcMar>
              <w:top w:w="100" w:type="dxa"/>
              <w:left w:w="140" w:type="dxa"/>
              <w:bottom w:w="100" w:type="dxa"/>
              <w:right w:w="140" w:type="dxa"/>
            </w:tcMar>
            <w:vAlign w:val="center"/>
          </w:tcPr>
          <w:p w:rsidR="008F36F7" w:rsidRPr="008F36F7" w:rsidRDefault="008F36F7" w:rsidP="00E11DCA">
            <w:pPr>
              <w:jc w:val="center"/>
              <w:rPr>
                <w:rFonts w:ascii="Times New Roman" w:hAnsi="Times New Roman" w:cs="Times New Roman"/>
                <w:sz w:val="24"/>
                <w:szCs w:val="24"/>
              </w:rPr>
            </w:pPr>
            <w:r w:rsidRPr="008F36F7">
              <w:rPr>
                <w:rFonts w:ascii="Times New Roman" w:hAnsi="Times New Roman" w:cs="Times New Roman"/>
                <w:b/>
                <w:bCs/>
                <w:color w:val="FFFFFF"/>
                <w:sz w:val="24"/>
                <w:szCs w:val="24"/>
              </w:rPr>
              <w:t>Priority Tools</w:t>
            </w:r>
          </w:p>
        </w:tc>
        <w:tc>
          <w:tcPr>
            <w:tcW w:w="3323" w:type="dxa"/>
            <w:tcBorders>
              <w:top w:val="single" w:sz="1" w:space="0" w:color="CCCCCC"/>
              <w:left w:val="single" w:sz="1" w:space="0" w:color="CCCCCC"/>
              <w:bottom w:val="single" w:sz="1" w:space="0" w:color="CCCCCC"/>
              <w:right w:val="single" w:sz="1" w:space="0" w:color="CCCCCC"/>
            </w:tcBorders>
            <w:shd w:val="clear" w:color="auto" w:fill="1B3A6B"/>
            <w:tcMar>
              <w:top w:w="100" w:type="dxa"/>
              <w:left w:w="140" w:type="dxa"/>
              <w:bottom w:w="100" w:type="dxa"/>
              <w:right w:w="140" w:type="dxa"/>
            </w:tcMar>
            <w:vAlign w:val="center"/>
          </w:tcPr>
          <w:p w:rsidR="008F36F7" w:rsidRPr="008F36F7" w:rsidRDefault="008F36F7" w:rsidP="00E11DCA">
            <w:pPr>
              <w:jc w:val="center"/>
              <w:rPr>
                <w:rFonts w:ascii="Times New Roman" w:hAnsi="Times New Roman" w:cs="Times New Roman"/>
                <w:sz w:val="24"/>
                <w:szCs w:val="24"/>
              </w:rPr>
            </w:pPr>
            <w:r w:rsidRPr="008F36F7">
              <w:rPr>
                <w:rFonts w:ascii="Times New Roman" w:hAnsi="Times New Roman" w:cs="Times New Roman"/>
                <w:b/>
                <w:bCs/>
                <w:color w:val="FFFFFF"/>
                <w:sz w:val="24"/>
                <w:szCs w:val="24"/>
              </w:rPr>
              <w:t>Branding and Measurement Outcomes</w:t>
            </w:r>
          </w:p>
        </w:tc>
        <w:tc>
          <w:tcPr>
            <w:tcW w:w="2387" w:type="dxa"/>
            <w:tcBorders>
              <w:top w:val="single" w:sz="1" w:space="0" w:color="CCCCCC"/>
              <w:left w:val="single" w:sz="1" w:space="0" w:color="CCCCCC"/>
              <w:bottom w:val="single" w:sz="1" w:space="0" w:color="CCCCCC"/>
              <w:right w:val="single" w:sz="1" w:space="0" w:color="CCCCCC"/>
            </w:tcBorders>
            <w:shd w:val="clear" w:color="auto" w:fill="1B3A6B"/>
            <w:tcMar>
              <w:top w:w="100" w:type="dxa"/>
              <w:left w:w="140" w:type="dxa"/>
              <w:bottom w:w="100" w:type="dxa"/>
              <w:right w:w="140" w:type="dxa"/>
            </w:tcMar>
            <w:vAlign w:val="center"/>
          </w:tcPr>
          <w:p w:rsidR="008F36F7" w:rsidRPr="008F36F7" w:rsidRDefault="008F36F7" w:rsidP="00E11DCA">
            <w:pPr>
              <w:jc w:val="center"/>
              <w:rPr>
                <w:rFonts w:ascii="Times New Roman" w:hAnsi="Times New Roman" w:cs="Times New Roman"/>
                <w:sz w:val="24"/>
                <w:szCs w:val="24"/>
              </w:rPr>
            </w:pPr>
            <w:r w:rsidRPr="008F36F7">
              <w:rPr>
                <w:rFonts w:ascii="Times New Roman" w:hAnsi="Times New Roman" w:cs="Times New Roman"/>
                <w:b/>
                <w:bCs/>
                <w:color w:val="FFFFFF"/>
                <w:sz w:val="24"/>
                <w:szCs w:val="24"/>
              </w:rPr>
              <w:t>Organisational Focus</w:t>
            </w:r>
          </w:p>
        </w:tc>
      </w:tr>
      <w:tr w:rsidR="008F36F7" w:rsidRPr="008F36F7" w:rsidTr="008A6D40">
        <w:tc>
          <w:tcPr>
            <w:tcW w:w="1468" w:type="dxa"/>
            <w:tcBorders>
              <w:top w:val="single" w:sz="1" w:space="0" w:color="CCCCCC"/>
              <w:left w:val="single" w:sz="1" w:space="0" w:color="CCCCCC"/>
              <w:bottom w:val="single" w:sz="1" w:space="0" w:color="CCCCCC"/>
              <w:right w:val="single" w:sz="1" w:space="0" w:color="CCCCCC"/>
            </w:tcBorders>
            <w:shd w:val="clear" w:color="auto" w:fill="D6E4F0"/>
            <w:tcMar>
              <w:top w:w="80" w:type="dxa"/>
              <w:left w:w="140" w:type="dxa"/>
              <w:bottom w:w="80" w:type="dxa"/>
              <w:right w:w="140" w:type="dxa"/>
            </w:tcMar>
          </w:tcPr>
          <w:p w:rsidR="008F36F7" w:rsidRPr="008F36F7" w:rsidRDefault="008F36F7" w:rsidP="00E11DCA">
            <w:pPr>
              <w:rPr>
                <w:rFonts w:ascii="Times New Roman" w:hAnsi="Times New Roman" w:cs="Times New Roman"/>
                <w:sz w:val="24"/>
                <w:szCs w:val="24"/>
              </w:rPr>
            </w:pPr>
            <w:r w:rsidRPr="008F36F7">
              <w:rPr>
                <w:rFonts w:ascii="Times New Roman" w:hAnsi="Times New Roman" w:cs="Times New Roman"/>
                <w:b/>
                <w:bCs/>
                <w:sz w:val="24"/>
                <w:szCs w:val="24"/>
              </w:rPr>
              <w:t>Phase 1: Foundation</w:t>
            </w:r>
          </w:p>
        </w:tc>
        <w:tc>
          <w:tcPr>
            <w:tcW w:w="2182" w:type="dxa"/>
            <w:tcBorders>
              <w:top w:val="single" w:sz="1" w:space="0" w:color="CCCCCC"/>
              <w:left w:val="single" w:sz="1" w:space="0" w:color="CCCCCC"/>
              <w:bottom w:val="single" w:sz="1" w:space="0" w:color="CCCCCC"/>
              <w:right w:val="single" w:sz="1" w:space="0" w:color="CCCCCC"/>
            </w:tcBorders>
            <w:shd w:val="clear" w:color="auto" w:fill="D6E4F0"/>
            <w:tcMar>
              <w:top w:w="80" w:type="dxa"/>
              <w:left w:w="140" w:type="dxa"/>
              <w:bottom w:w="80" w:type="dxa"/>
              <w:right w:w="140" w:type="dxa"/>
            </w:tcMar>
          </w:tcPr>
          <w:p w:rsidR="008F36F7" w:rsidRPr="008F36F7" w:rsidRDefault="008F36F7" w:rsidP="00E11DCA">
            <w:pPr>
              <w:rPr>
                <w:rFonts w:ascii="Times New Roman" w:hAnsi="Times New Roman" w:cs="Times New Roman"/>
                <w:sz w:val="24"/>
                <w:szCs w:val="24"/>
              </w:rPr>
            </w:pPr>
            <w:r w:rsidRPr="008F36F7">
              <w:rPr>
                <w:rFonts w:ascii="Times New Roman" w:hAnsi="Times New Roman" w:cs="Times New Roman"/>
                <w:sz w:val="24"/>
                <w:szCs w:val="24"/>
              </w:rPr>
              <w:t>Adobe Express, Acrobat, Brand Kit</w:t>
            </w:r>
          </w:p>
        </w:tc>
        <w:tc>
          <w:tcPr>
            <w:tcW w:w="3323" w:type="dxa"/>
            <w:tcBorders>
              <w:top w:val="single" w:sz="1" w:space="0" w:color="CCCCCC"/>
              <w:left w:val="single" w:sz="1" w:space="0" w:color="CCCCCC"/>
              <w:bottom w:val="single" w:sz="1" w:space="0" w:color="CCCCCC"/>
              <w:right w:val="single" w:sz="1" w:space="0" w:color="CCCCCC"/>
            </w:tcBorders>
            <w:shd w:val="clear" w:color="auto" w:fill="D6E4F0"/>
            <w:tcMar>
              <w:top w:w="80" w:type="dxa"/>
              <w:left w:w="140" w:type="dxa"/>
              <w:bottom w:w="80" w:type="dxa"/>
              <w:right w:w="140" w:type="dxa"/>
            </w:tcMar>
          </w:tcPr>
          <w:p w:rsidR="008F36F7" w:rsidRPr="008F36F7" w:rsidRDefault="008F36F7" w:rsidP="00E11DCA">
            <w:pPr>
              <w:rPr>
                <w:rFonts w:ascii="Times New Roman" w:hAnsi="Times New Roman" w:cs="Times New Roman"/>
                <w:sz w:val="24"/>
                <w:szCs w:val="24"/>
              </w:rPr>
            </w:pPr>
            <w:r w:rsidRPr="008F36F7">
              <w:rPr>
                <w:rFonts w:ascii="Times New Roman" w:hAnsi="Times New Roman" w:cs="Times New Roman"/>
                <w:sz w:val="24"/>
                <w:szCs w:val="24"/>
              </w:rPr>
              <w:t>Visual consistency, professional document quality, centralised brand asset management</w:t>
            </w:r>
          </w:p>
        </w:tc>
        <w:tc>
          <w:tcPr>
            <w:tcW w:w="2387" w:type="dxa"/>
            <w:tcBorders>
              <w:top w:val="single" w:sz="1" w:space="0" w:color="CCCCCC"/>
              <w:left w:val="single" w:sz="1" w:space="0" w:color="CCCCCC"/>
              <w:bottom w:val="single" w:sz="1" w:space="0" w:color="CCCCCC"/>
              <w:right w:val="single" w:sz="1" w:space="0" w:color="CCCCCC"/>
            </w:tcBorders>
            <w:shd w:val="clear" w:color="auto" w:fill="D6E4F0"/>
            <w:tcMar>
              <w:top w:w="80" w:type="dxa"/>
              <w:left w:w="140" w:type="dxa"/>
              <w:bottom w:w="80" w:type="dxa"/>
              <w:right w:w="140" w:type="dxa"/>
            </w:tcMar>
          </w:tcPr>
          <w:p w:rsidR="008F36F7" w:rsidRPr="008F36F7" w:rsidRDefault="008F36F7" w:rsidP="00E11DCA">
            <w:pPr>
              <w:rPr>
                <w:rFonts w:ascii="Times New Roman" w:hAnsi="Times New Roman" w:cs="Times New Roman"/>
                <w:sz w:val="24"/>
                <w:szCs w:val="24"/>
              </w:rPr>
            </w:pPr>
            <w:r w:rsidRPr="008F36F7">
              <w:rPr>
                <w:rFonts w:ascii="Times New Roman" w:hAnsi="Times New Roman" w:cs="Times New Roman"/>
                <w:sz w:val="24"/>
                <w:szCs w:val="24"/>
              </w:rPr>
              <w:t>Brand standardisation and template governance</w:t>
            </w:r>
          </w:p>
        </w:tc>
      </w:tr>
      <w:tr w:rsidR="008F36F7" w:rsidRPr="008F36F7" w:rsidTr="008A6D40">
        <w:tc>
          <w:tcPr>
            <w:tcW w:w="1468"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8F36F7" w:rsidRPr="008F36F7" w:rsidRDefault="008F36F7" w:rsidP="00E11DCA">
            <w:pPr>
              <w:rPr>
                <w:rFonts w:ascii="Times New Roman" w:hAnsi="Times New Roman" w:cs="Times New Roman"/>
                <w:sz w:val="24"/>
                <w:szCs w:val="24"/>
              </w:rPr>
            </w:pPr>
            <w:r w:rsidRPr="008F36F7">
              <w:rPr>
                <w:rFonts w:ascii="Times New Roman" w:hAnsi="Times New Roman" w:cs="Times New Roman"/>
                <w:b/>
                <w:bCs/>
                <w:sz w:val="24"/>
                <w:szCs w:val="24"/>
              </w:rPr>
              <w:t>Phase 2: Refinement</w:t>
            </w:r>
          </w:p>
        </w:tc>
        <w:tc>
          <w:tcPr>
            <w:tcW w:w="2182"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8F36F7" w:rsidRPr="008F36F7" w:rsidRDefault="008F36F7" w:rsidP="00E11DCA">
            <w:pPr>
              <w:rPr>
                <w:rFonts w:ascii="Times New Roman" w:hAnsi="Times New Roman" w:cs="Times New Roman"/>
                <w:sz w:val="24"/>
                <w:szCs w:val="24"/>
              </w:rPr>
            </w:pPr>
            <w:r w:rsidRPr="008F36F7">
              <w:rPr>
                <w:rFonts w:ascii="Times New Roman" w:hAnsi="Times New Roman" w:cs="Times New Roman"/>
                <w:sz w:val="24"/>
                <w:szCs w:val="24"/>
              </w:rPr>
              <w:t>Photoshop, Illustrator, InDesign</w:t>
            </w:r>
          </w:p>
        </w:tc>
        <w:tc>
          <w:tcPr>
            <w:tcW w:w="3323"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8F36F7" w:rsidRPr="008F36F7" w:rsidRDefault="008F36F7" w:rsidP="00E11DCA">
            <w:pPr>
              <w:rPr>
                <w:rFonts w:ascii="Times New Roman" w:hAnsi="Times New Roman" w:cs="Times New Roman"/>
                <w:sz w:val="24"/>
                <w:szCs w:val="24"/>
              </w:rPr>
            </w:pPr>
            <w:r w:rsidRPr="008F36F7">
              <w:rPr>
                <w:rFonts w:ascii="Times New Roman" w:hAnsi="Times New Roman" w:cs="Times New Roman"/>
                <w:sz w:val="24"/>
                <w:szCs w:val="24"/>
              </w:rPr>
              <w:t>Advanced visual quality, scalable content production, campaign-level creative excellence</w:t>
            </w:r>
          </w:p>
        </w:tc>
        <w:tc>
          <w:tcPr>
            <w:tcW w:w="2387" w:type="dxa"/>
            <w:tcBorders>
              <w:top w:val="single" w:sz="1" w:space="0" w:color="CCCCCC"/>
              <w:left w:val="single" w:sz="1" w:space="0" w:color="CCCCCC"/>
              <w:bottom w:val="single" w:sz="1" w:space="0" w:color="CCCCCC"/>
              <w:right w:val="single" w:sz="1" w:space="0" w:color="CCCCCC"/>
            </w:tcBorders>
            <w:shd w:val="clear" w:color="auto" w:fill="F5F7FA"/>
            <w:tcMar>
              <w:top w:w="80" w:type="dxa"/>
              <w:left w:w="140" w:type="dxa"/>
              <w:bottom w:w="80" w:type="dxa"/>
              <w:right w:w="140" w:type="dxa"/>
            </w:tcMar>
          </w:tcPr>
          <w:p w:rsidR="008F36F7" w:rsidRPr="008F36F7" w:rsidRDefault="008F36F7" w:rsidP="00E11DCA">
            <w:pPr>
              <w:rPr>
                <w:rFonts w:ascii="Times New Roman" w:hAnsi="Times New Roman" w:cs="Times New Roman"/>
                <w:sz w:val="24"/>
                <w:szCs w:val="24"/>
              </w:rPr>
            </w:pPr>
            <w:r w:rsidRPr="008F36F7">
              <w:rPr>
                <w:rFonts w:ascii="Times New Roman" w:hAnsi="Times New Roman" w:cs="Times New Roman"/>
                <w:sz w:val="24"/>
                <w:szCs w:val="24"/>
              </w:rPr>
              <w:t>Design capability development and creative workflow optimisation</w:t>
            </w:r>
          </w:p>
        </w:tc>
      </w:tr>
      <w:tr w:rsidR="008F36F7" w:rsidRPr="008F36F7" w:rsidTr="008A6D40">
        <w:tc>
          <w:tcPr>
            <w:tcW w:w="1468" w:type="dxa"/>
            <w:tcBorders>
              <w:top w:val="single" w:sz="1" w:space="0" w:color="CCCCCC"/>
              <w:left w:val="single" w:sz="1" w:space="0" w:color="CCCCCC"/>
              <w:bottom w:val="single" w:sz="1" w:space="0" w:color="CCCCCC"/>
              <w:right w:val="single" w:sz="1" w:space="0" w:color="CCCCCC"/>
            </w:tcBorders>
            <w:shd w:val="clear" w:color="auto" w:fill="D6E4F0"/>
            <w:tcMar>
              <w:top w:w="80" w:type="dxa"/>
              <w:left w:w="140" w:type="dxa"/>
              <w:bottom w:w="80" w:type="dxa"/>
              <w:right w:w="140" w:type="dxa"/>
            </w:tcMar>
          </w:tcPr>
          <w:p w:rsidR="008F36F7" w:rsidRPr="008F36F7" w:rsidRDefault="008F36F7" w:rsidP="00E11DCA">
            <w:pPr>
              <w:rPr>
                <w:rFonts w:ascii="Times New Roman" w:hAnsi="Times New Roman" w:cs="Times New Roman"/>
                <w:sz w:val="24"/>
                <w:szCs w:val="24"/>
              </w:rPr>
            </w:pPr>
            <w:r w:rsidRPr="008F36F7">
              <w:rPr>
                <w:rFonts w:ascii="Times New Roman" w:hAnsi="Times New Roman" w:cs="Times New Roman"/>
                <w:b/>
                <w:bCs/>
                <w:sz w:val="24"/>
                <w:szCs w:val="24"/>
              </w:rPr>
              <w:t>Phase 3: Intelligence</w:t>
            </w:r>
          </w:p>
        </w:tc>
        <w:tc>
          <w:tcPr>
            <w:tcW w:w="2182" w:type="dxa"/>
            <w:tcBorders>
              <w:top w:val="single" w:sz="1" w:space="0" w:color="CCCCCC"/>
              <w:left w:val="single" w:sz="1" w:space="0" w:color="CCCCCC"/>
              <w:bottom w:val="single" w:sz="1" w:space="0" w:color="CCCCCC"/>
              <w:right w:val="single" w:sz="1" w:space="0" w:color="CCCCCC"/>
            </w:tcBorders>
            <w:shd w:val="clear" w:color="auto" w:fill="D6E4F0"/>
            <w:tcMar>
              <w:top w:w="80" w:type="dxa"/>
              <w:left w:w="140" w:type="dxa"/>
              <w:bottom w:w="80" w:type="dxa"/>
              <w:right w:w="140" w:type="dxa"/>
            </w:tcMar>
          </w:tcPr>
          <w:p w:rsidR="008F36F7" w:rsidRPr="008F36F7" w:rsidRDefault="008F36F7" w:rsidP="00E11DCA">
            <w:pPr>
              <w:rPr>
                <w:rFonts w:ascii="Times New Roman" w:hAnsi="Times New Roman" w:cs="Times New Roman"/>
                <w:sz w:val="24"/>
                <w:szCs w:val="24"/>
              </w:rPr>
            </w:pPr>
            <w:r w:rsidRPr="008F36F7">
              <w:rPr>
                <w:rFonts w:ascii="Times New Roman" w:hAnsi="Times New Roman" w:cs="Times New Roman"/>
                <w:sz w:val="24"/>
                <w:szCs w:val="24"/>
              </w:rPr>
              <w:t>Adobe Analytics, Content Analytics, CJA, GenStudio, Firefly</w:t>
            </w:r>
          </w:p>
        </w:tc>
        <w:tc>
          <w:tcPr>
            <w:tcW w:w="3323" w:type="dxa"/>
            <w:tcBorders>
              <w:top w:val="single" w:sz="1" w:space="0" w:color="CCCCCC"/>
              <w:left w:val="single" w:sz="1" w:space="0" w:color="CCCCCC"/>
              <w:bottom w:val="single" w:sz="1" w:space="0" w:color="CCCCCC"/>
              <w:right w:val="single" w:sz="1" w:space="0" w:color="CCCCCC"/>
            </w:tcBorders>
            <w:shd w:val="clear" w:color="auto" w:fill="D6E4F0"/>
            <w:tcMar>
              <w:top w:w="80" w:type="dxa"/>
              <w:left w:w="140" w:type="dxa"/>
              <w:bottom w:w="80" w:type="dxa"/>
              <w:right w:w="140" w:type="dxa"/>
            </w:tcMar>
          </w:tcPr>
          <w:p w:rsidR="008F36F7" w:rsidRPr="008F36F7" w:rsidRDefault="008F36F7" w:rsidP="00E11DCA">
            <w:pPr>
              <w:rPr>
                <w:rFonts w:ascii="Times New Roman" w:hAnsi="Times New Roman" w:cs="Times New Roman"/>
                <w:sz w:val="24"/>
                <w:szCs w:val="24"/>
              </w:rPr>
            </w:pPr>
            <w:r w:rsidRPr="008F36F7">
              <w:rPr>
                <w:rFonts w:ascii="Times New Roman" w:hAnsi="Times New Roman" w:cs="Times New Roman"/>
                <w:sz w:val="24"/>
                <w:szCs w:val="24"/>
              </w:rPr>
              <w:t>Asset-level performance measurement, ROI attribution, AI-governed content scaling, cross-channel brand intelligence</w:t>
            </w:r>
          </w:p>
        </w:tc>
        <w:tc>
          <w:tcPr>
            <w:tcW w:w="2387" w:type="dxa"/>
            <w:tcBorders>
              <w:top w:val="single" w:sz="1" w:space="0" w:color="CCCCCC"/>
              <w:left w:val="single" w:sz="1" w:space="0" w:color="CCCCCC"/>
              <w:bottom w:val="single" w:sz="1" w:space="0" w:color="CCCCCC"/>
              <w:right w:val="single" w:sz="1" w:space="0" w:color="CCCCCC"/>
            </w:tcBorders>
            <w:shd w:val="clear" w:color="auto" w:fill="D6E4F0"/>
            <w:tcMar>
              <w:top w:w="80" w:type="dxa"/>
              <w:left w:w="140" w:type="dxa"/>
              <w:bottom w:w="80" w:type="dxa"/>
              <w:right w:w="140" w:type="dxa"/>
            </w:tcMar>
          </w:tcPr>
          <w:p w:rsidR="008F36F7" w:rsidRPr="008F36F7" w:rsidRDefault="008F36F7" w:rsidP="00E11DCA">
            <w:pPr>
              <w:rPr>
                <w:rFonts w:ascii="Times New Roman" w:hAnsi="Times New Roman" w:cs="Times New Roman"/>
                <w:sz w:val="24"/>
                <w:szCs w:val="24"/>
              </w:rPr>
            </w:pPr>
            <w:r w:rsidRPr="008F36F7">
              <w:rPr>
                <w:rFonts w:ascii="Times New Roman" w:hAnsi="Times New Roman" w:cs="Times New Roman"/>
                <w:sz w:val="24"/>
                <w:szCs w:val="24"/>
              </w:rPr>
              <w:t>Data-driven brand management and evidence-based decision-making</w:t>
            </w:r>
          </w:p>
        </w:tc>
      </w:tr>
    </w:tbl>
    <w:p w:rsidR="008A6D40" w:rsidRPr="008A6D40" w:rsidRDefault="008A6D40" w:rsidP="008A6D40">
      <w:pPr>
        <w:spacing w:before="80" w:after="160"/>
        <w:jc w:val="center"/>
        <w:rPr>
          <w:rFonts w:ascii="Times New Roman" w:hAnsi="Times New Roman" w:cs="Times New Roman"/>
          <w:color w:val="000000" w:themeColor="text1"/>
          <w:sz w:val="28"/>
        </w:rPr>
      </w:pPr>
      <w:r w:rsidRPr="008A6D40">
        <w:rPr>
          <w:rFonts w:ascii="Times New Roman" w:hAnsi="Times New Roman" w:cs="Times New Roman"/>
          <w:i/>
          <w:iCs/>
          <w:color w:val="000000" w:themeColor="text1"/>
          <w:sz w:val="24"/>
          <w:szCs w:val="20"/>
        </w:rPr>
        <w:t>Table 6. Phased Adobe Adoption Framework for Product Branding and Performance Measurement</w:t>
      </w:r>
    </w:p>
    <w:p w:rsidR="008A6D40" w:rsidRPr="00130251" w:rsidRDefault="008A6D40" w:rsidP="00130251">
      <w:pPr>
        <w:pStyle w:val="Heading1"/>
        <w:jc w:val="both"/>
        <w:rPr>
          <w:rFonts w:eastAsia="Arial"/>
          <w:b w:val="0"/>
          <w:bCs w:val="0"/>
          <w:color w:val="000000" w:themeColor="text1"/>
          <w:sz w:val="24"/>
          <w:szCs w:val="22"/>
        </w:rPr>
      </w:pPr>
      <w:r w:rsidRPr="00130251">
        <w:rPr>
          <w:rFonts w:eastAsia="Arial"/>
          <w:b w:val="0"/>
          <w:bCs w:val="0"/>
          <w:color w:val="000000" w:themeColor="text1"/>
          <w:sz w:val="24"/>
          <w:szCs w:val="22"/>
        </w:rPr>
        <w:t>Phase 1 focuses on implementing tools which have the highest possible ratio of immediate benefits (in terms of brand-consistency) in relation to their installation difficulties (i.e. they are easy to use and can be quickly put into place). Tools such as Adobe Express and Acrobat, when used in conjunction with a structured Brand Kit, will facilitate the rapid removal of the inconsistencies found in pre-digital or ad hoc branding practices among non-specialist teams. As such, Phase 1 is the phase of implementation that establishes brand governance infrastructure needed to support future investments in brand management.</w:t>
      </w:r>
    </w:p>
    <w:p w:rsidR="008A6D40" w:rsidRPr="00130251" w:rsidRDefault="008A6D40" w:rsidP="00130251">
      <w:pPr>
        <w:pStyle w:val="Heading1"/>
        <w:jc w:val="both"/>
        <w:rPr>
          <w:rFonts w:eastAsia="Arial"/>
          <w:b w:val="0"/>
          <w:bCs w:val="0"/>
          <w:color w:val="000000" w:themeColor="text1"/>
          <w:sz w:val="24"/>
          <w:szCs w:val="22"/>
        </w:rPr>
      </w:pPr>
      <w:r w:rsidRPr="00130251">
        <w:rPr>
          <w:rFonts w:eastAsia="Arial"/>
          <w:b w:val="0"/>
          <w:bCs w:val="0"/>
          <w:color w:val="000000" w:themeColor="text1"/>
          <w:sz w:val="24"/>
          <w:szCs w:val="22"/>
        </w:rPr>
        <w:t>Phase 2 builds upon this by introducing specialist creative tools (Photoshop, Illustrator and InDesign) that allow design teams to create high-quality visual output (e.g. collateral materials) at the standard needed to successfully compete in product markets. Phase 2 develops the internal design capability of your team and also establishes the creative workflow system (How do I submit material for design? How will I know when my submission was received? How do I approve the final product?) through which all branded materials will be produced, reviewed and approved on a large scale.</w:t>
      </w:r>
    </w:p>
    <w:p w:rsidR="008F36F7" w:rsidRPr="00130251" w:rsidRDefault="008A6D40" w:rsidP="00130251">
      <w:pPr>
        <w:pStyle w:val="Heading1"/>
        <w:jc w:val="both"/>
        <w:rPr>
          <w:rFonts w:eastAsia="Arial"/>
          <w:b w:val="0"/>
          <w:bCs w:val="0"/>
          <w:color w:val="000000" w:themeColor="text1"/>
          <w:sz w:val="24"/>
          <w:szCs w:val="22"/>
        </w:rPr>
      </w:pPr>
      <w:r w:rsidRPr="00130251">
        <w:rPr>
          <w:rFonts w:eastAsia="Arial"/>
          <w:b w:val="0"/>
          <w:bCs w:val="0"/>
          <w:color w:val="000000" w:themeColor="text1"/>
          <w:sz w:val="24"/>
          <w:szCs w:val="22"/>
        </w:rPr>
        <w:t>Phase 3 activates Adobe's analytics ecosystem (e.g. Analytics, Content Analytics, Customer Journey Analytics, GenStudio) to close the loop between creating and measuring brand investment. This phase requires the most significant organizational investment in analytical capability, defining KPIs, integrating cross-functional reporting, and provides the greatest strategic differentiation of value: being able to manage brand investment as a measurable and optimizable asset for the business.</w:t>
      </w:r>
    </w:p>
    <w:p w:rsidR="00130251" w:rsidRDefault="00130251" w:rsidP="00130251">
      <w:pPr>
        <w:pStyle w:val="Heading1"/>
        <w:rPr>
          <w:rFonts w:eastAsia="Arial"/>
          <w:color w:val="000000" w:themeColor="text1"/>
        </w:rPr>
      </w:pPr>
      <w:r w:rsidRPr="00130251">
        <w:rPr>
          <w:rFonts w:eastAsia="Arial"/>
          <w:color w:val="000000" w:themeColor="text1"/>
        </w:rPr>
        <w:lastRenderedPageBreak/>
        <w:t>Practical Implications</w:t>
      </w:r>
      <w:r>
        <w:rPr>
          <w:rFonts w:eastAsia="Arial"/>
          <w:color w:val="000000" w:themeColor="text1"/>
        </w:rPr>
        <w:t>-</w:t>
      </w:r>
    </w:p>
    <w:p w:rsidR="00130251" w:rsidRDefault="00130251" w:rsidP="00130251">
      <w:pPr>
        <w:spacing w:before="80" w:after="100" w:line="360" w:lineRule="auto"/>
        <w:jc w:val="both"/>
        <w:rPr>
          <w:rFonts w:ascii="Times New Roman" w:hAnsi="Times New Roman" w:cs="Times New Roman"/>
          <w:color w:val="000000" w:themeColor="text1"/>
          <w:sz w:val="24"/>
        </w:rPr>
      </w:pPr>
      <w:r w:rsidRPr="00D531D0">
        <w:rPr>
          <w:rFonts w:ascii="Times New Roman" w:hAnsi="Times New Roman" w:cs="Times New Roman"/>
          <w:color w:val="000000" w:themeColor="text1"/>
          <w:sz w:val="24"/>
        </w:rPr>
        <w:t>For marketing practitioners and brand managers, this study offers several actionable recommendations:</w:t>
      </w:r>
    </w:p>
    <w:p w:rsidR="00D531D0" w:rsidRPr="00D531D0" w:rsidRDefault="00D531D0" w:rsidP="00D531D0">
      <w:pPr>
        <w:spacing w:before="80" w:after="100" w:line="360" w:lineRule="auto"/>
        <w:ind w:left="90" w:hanging="180"/>
        <w:jc w:val="both"/>
        <w:rPr>
          <w:rFonts w:ascii="Times New Roman" w:hAnsi="Times New Roman" w:cs="Times New Roman"/>
          <w:color w:val="000000" w:themeColor="text1"/>
          <w:sz w:val="24"/>
        </w:rPr>
      </w:pPr>
      <w:r w:rsidRPr="00D531D0">
        <w:rPr>
          <w:rFonts w:ascii="Times New Roman" w:hAnsi="Times New Roman" w:cs="Times New Roman"/>
          <w:color w:val="000000" w:themeColor="text1"/>
          <w:sz w:val="24"/>
        </w:rPr>
        <w:t>•</w:t>
      </w:r>
      <w:r w:rsidRPr="00D531D0">
        <w:rPr>
          <w:rFonts w:ascii="Times New Roman" w:hAnsi="Times New Roman" w:cs="Times New Roman"/>
          <w:color w:val="000000" w:themeColor="text1"/>
          <w:sz w:val="24"/>
        </w:rPr>
        <w:tab/>
        <w:t>Digital branding should be viewed as a system rather than a creative endeavour. Adobe's strategic ecosystem provides a system for brand consistency, not just support for any one designer's ability to create better-looking assets. Brand kits, shared templates, and approval workflows should be established as operational standards, not convenience items for use if desired.</w:t>
      </w:r>
    </w:p>
    <w:p w:rsidR="00D531D0" w:rsidRPr="00D531D0" w:rsidRDefault="00D531D0" w:rsidP="00D531D0">
      <w:pPr>
        <w:spacing w:before="80" w:after="100" w:line="360" w:lineRule="auto"/>
        <w:ind w:left="90" w:hanging="180"/>
        <w:jc w:val="both"/>
        <w:rPr>
          <w:rFonts w:ascii="Times New Roman" w:hAnsi="Times New Roman" w:cs="Times New Roman"/>
          <w:color w:val="000000" w:themeColor="text1"/>
          <w:sz w:val="24"/>
        </w:rPr>
      </w:pPr>
      <w:r w:rsidRPr="00D531D0">
        <w:rPr>
          <w:rFonts w:ascii="Times New Roman" w:hAnsi="Times New Roman" w:cs="Times New Roman"/>
          <w:color w:val="000000" w:themeColor="text1"/>
          <w:sz w:val="24"/>
        </w:rPr>
        <w:t>•</w:t>
      </w:r>
      <w:r w:rsidRPr="00D531D0">
        <w:rPr>
          <w:rFonts w:ascii="Times New Roman" w:hAnsi="Times New Roman" w:cs="Times New Roman"/>
          <w:color w:val="000000" w:themeColor="text1"/>
          <w:sz w:val="24"/>
        </w:rPr>
        <w:tab/>
        <w:t>Adobe Express should be used as the entry-level point for democratising brands. Adobe Express has a template-based interface, and the Brand Kit is integrated into it, meaning any team member can produce on-brand content and eliminate the inconsistencies that occur when non-designers produce branded materials without brand guardrails.</w:t>
      </w:r>
    </w:p>
    <w:p w:rsidR="00D531D0" w:rsidRDefault="00D531D0" w:rsidP="00D531D0">
      <w:pPr>
        <w:spacing w:before="80" w:after="100" w:line="360" w:lineRule="auto"/>
        <w:ind w:left="90" w:hanging="180"/>
        <w:jc w:val="both"/>
        <w:rPr>
          <w:rFonts w:ascii="Times New Roman" w:hAnsi="Times New Roman" w:cs="Times New Roman"/>
          <w:color w:val="000000" w:themeColor="text1"/>
          <w:sz w:val="24"/>
        </w:rPr>
      </w:pPr>
      <w:r w:rsidRPr="00D531D0">
        <w:rPr>
          <w:rFonts w:ascii="Times New Roman" w:hAnsi="Times New Roman" w:cs="Times New Roman"/>
          <w:color w:val="000000" w:themeColor="text1"/>
          <w:sz w:val="24"/>
        </w:rPr>
        <w:t>•</w:t>
      </w:r>
      <w:r w:rsidRPr="00D531D0">
        <w:rPr>
          <w:rFonts w:ascii="Times New Roman" w:hAnsi="Times New Roman" w:cs="Times New Roman"/>
          <w:color w:val="000000" w:themeColor="text1"/>
          <w:sz w:val="24"/>
        </w:rPr>
        <w:tab/>
        <w:t>Along with the acquisition of digital tools, businesses should invest in measurement infrastructure. In order to produce analytics, an organisation needs to define the KPIs that they want to track, build an analytics dashboard for those KPIs, and train employees on how to interpret and use the data. If an organisation has access to a digital tool, but does not have a system to measure it, all they will have is data and no value-based decisions to be made from that data.</w:t>
      </w:r>
    </w:p>
    <w:p w:rsidR="00D531D0" w:rsidRPr="00D531D0" w:rsidRDefault="00D531D0" w:rsidP="00D531D0">
      <w:pPr>
        <w:spacing w:before="80" w:after="100" w:line="360" w:lineRule="auto"/>
        <w:ind w:left="90" w:hanging="180"/>
        <w:jc w:val="both"/>
        <w:rPr>
          <w:rFonts w:ascii="Times New Roman" w:hAnsi="Times New Roman" w:cs="Times New Roman"/>
          <w:color w:val="000000" w:themeColor="text1"/>
          <w:sz w:val="24"/>
        </w:rPr>
      </w:pPr>
      <w:r w:rsidRPr="00D531D0">
        <w:rPr>
          <w:rFonts w:ascii="Times New Roman" w:hAnsi="Times New Roman" w:cs="Times New Roman"/>
          <w:color w:val="000000" w:themeColor="text1"/>
          <w:sz w:val="24"/>
        </w:rPr>
        <w:t>•</w:t>
      </w:r>
      <w:r w:rsidRPr="00D531D0">
        <w:rPr>
          <w:rFonts w:ascii="Times New Roman" w:hAnsi="Times New Roman" w:cs="Times New Roman"/>
          <w:color w:val="000000" w:themeColor="text1"/>
          <w:sz w:val="24"/>
        </w:rPr>
        <w:tab/>
        <w:t>Utilise Adobe Content Analytics to develop performance intelligence by assets. The key differentiator among the most competitive organisations will be to identify specific brand attributes (imagery, copy treatments, colours, format etc.) that contribute to the best financial results and be able to leverage those results across the content operation.</w:t>
      </w:r>
    </w:p>
    <w:p w:rsidR="00D531D0" w:rsidRPr="00D531D0" w:rsidRDefault="00D531D0" w:rsidP="00D531D0">
      <w:pPr>
        <w:spacing w:before="80" w:after="100" w:line="360" w:lineRule="auto"/>
        <w:ind w:left="90" w:hanging="180"/>
        <w:jc w:val="both"/>
        <w:rPr>
          <w:rFonts w:ascii="Times New Roman" w:hAnsi="Times New Roman" w:cs="Times New Roman"/>
          <w:color w:val="000000" w:themeColor="text1"/>
          <w:sz w:val="24"/>
        </w:rPr>
      </w:pPr>
      <w:r w:rsidRPr="00D531D0">
        <w:rPr>
          <w:rFonts w:ascii="Times New Roman" w:hAnsi="Times New Roman" w:cs="Times New Roman"/>
          <w:color w:val="000000" w:themeColor="text1"/>
          <w:sz w:val="24"/>
        </w:rPr>
        <w:t>•</w:t>
      </w:r>
      <w:r w:rsidRPr="00D531D0">
        <w:rPr>
          <w:rFonts w:ascii="Times New Roman" w:hAnsi="Times New Roman" w:cs="Times New Roman"/>
          <w:color w:val="000000" w:themeColor="text1"/>
          <w:sz w:val="24"/>
        </w:rPr>
        <w:tab/>
        <w:t>Make closing the skill gap a priority. The gap between tool access and obtaining value from analytics largely reflects a training issue. To prevent future occurrences of this nature, structured development of capabilities around Adobe Analytics, Analysis Workspace, and interpreting content performance results should be included in the marketing staff's development plan.</w:t>
      </w:r>
    </w:p>
    <w:p w:rsidR="00D531D0" w:rsidRPr="00D531D0" w:rsidRDefault="00D531D0" w:rsidP="00D531D0">
      <w:pPr>
        <w:spacing w:before="80" w:after="100" w:line="360" w:lineRule="auto"/>
        <w:ind w:left="90" w:hanging="180"/>
        <w:jc w:val="both"/>
        <w:rPr>
          <w:rFonts w:ascii="Times New Roman" w:hAnsi="Times New Roman" w:cs="Times New Roman"/>
          <w:color w:val="000000" w:themeColor="text1"/>
          <w:sz w:val="24"/>
        </w:rPr>
      </w:pPr>
      <w:r w:rsidRPr="00D531D0">
        <w:rPr>
          <w:rFonts w:ascii="Times New Roman" w:hAnsi="Times New Roman" w:cs="Times New Roman"/>
          <w:color w:val="000000" w:themeColor="text1"/>
          <w:sz w:val="24"/>
        </w:rPr>
        <w:t>•</w:t>
      </w:r>
      <w:r w:rsidRPr="00D531D0">
        <w:rPr>
          <w:rFonts w:ascii="Times New Roman" w:hAnsi="Times New Roman" w:cs="Times New Roman"/>
          <w:color w:val="000000" w:themeColor="text1"/>
          <w:sz w:val="24"/>
        </w:rPr>
        <w:tab/>
        <w:t>The study recommends that governments and other organisations that support businesses should subsidise access to enterprise tools and implement initiatives to build digital branding capability among small and medium size business and SMEs in regional markets, many of whom are unable to access professional methods of managing digital branding effectively.</w:t>
      </w:r>
    </w:p>
    <w:p w:rsidR="00130251" w:rsidRPr="00D531D0" w:rsidRDefault="00D531D0" w:rsidP="00130251">
      <w:pPr>
        <w:pStyle w:val="Heading1"/>
        <w:rPr>
          <w:rFonts w:eastAsia="Arial"/>
          <w:color w:val="000000" w:themeColor="text1"/>
        </w:rPr>
      </w:pPr>
      <w:r w:rsidRPr="00D531D0">
        <w:rPr>
          <w:rFonts w:eastAsia="Arial"/>
          <w:color w:val="000000" w:themeColor="text1"/>
        </w:rPr>
        <w:lastRenderedPageBreak/>
        <w:t>Theoretical Implications</w:t>
      </w:r>
    </w:p>
    <w:p w:rsidR="00D531D0" w:rsidRPr="00D531D0" w:rsidRDefault="00D531D0" w:rsidP="00D531D0">
      <w:pPr>
        <w:jc w:val="both"/>
        <w:rPr>
          <w:rFonts w:ascii="Times New Roman" w:hAnsi="Times New Roman" w:cs="Times New Roman"/>
          <w:color w:val="000000" w:themeColor="text1"/>
          <w:sz w:val="24"/>
        </w:rPr>
      </w:pPr>
      <w:r w:rsidRPr="00D531D0">
        <w:rPr>
          <w:rFonts w:ascii="Times New Roman" w:hAnsi="Times New Roman" w:cs="Times New Roman"/>
          <w:color w:val="000000" w:themeColor="text1"/>
          <w:sz w:val="24"/>
        </w:rPr>
        <w:t>This study makes an empirical effort in many areas of theory development. First, it supports the capability-based view of digital marketing tools by showing that Adobe's ecosystem operates as a strategic resource that creates value through structured integration and disciplined use of the tools, rather than simply via access—confirming the findings of Homburg et al. (2022) in their study of tool adoption by branding professionals and measurement professionals.</w:t>
      </w:r>
    </w:p>
    <w:p w:rsidR="00D531D0" w:rsidRPr="00D531D0" w:rsidRDefault="00D531D0" w:rsidP="00D531D0">
      <w:pPr>
        <w:jc w:val="both"/>
        <w:rPr>
          <w:rFonts w:ascii="Times New Roman" w:hAnsi="Times New Roman" w:cs="Times New Roman"/>
          <w:color w:val="000000" w:themeColor="text1"/>
          <w:sz w:val="24"/>
        </w:rPr>
      </w:pPr>
    </w:p>
    <w:p w:rsidR="008F36F7" w:rsidRDefault="00D531D0" w:rsidP="00D531D0">
      <w:pPr>
        <w:jc w:val="both"/>
        <w:rPr>
          <w:rFonts w:ascii="Times New Roman" w:hAnsi="Times New Roman" w:cs="Times New Roman"/>
          <w:color w:val="000000" w:themeColor="text1"/>
          <w:sz w:val="24"/>
        </w:rPr>
      </w:pPr>
      <w:r w:rsidRPr="00D531D0">
        <w:rPr>
          <w:rFonts w:ascii="Times New Roman" w:hAnsi="Times New Roman" w:cs="Times New Roman"/>
          <w:color w:val="000000" w:themeColor="text1"/>
          <w:sz w:val="24"/>
        </w:rPr>
        <w:t>Secondly, the study develops the construct of a branding-measurement integration as an theoretically fruitful method for understanding how ecosystems of digital tools create value in terms of marketing. By describing branding and measurement effectiveness as dual, dependent outcomes that emerge from the same technological ecosystem, this study shows that the traditional separation of branding and analytics as disciplines is an analytic construct that does not reflect how marketing is actually practiced today.</w:t>
      </w:r>
    </w:p>
    <w:p w:rsidR="00D531D0" w:rsidRDefault="00D531D0" w:rsidP="00D531D0">
      <w:pPr>
        <w:jc w:val="both"/>
        <w:rPr>
          <w:rFonts w:ascii="Times New Roman" w:hAnsi="Times New Roman" w:cs="Times New Roman"/>
          <w:color w:val="000000" w:themeColor="text1"/>
          <w:sz w:val="24"/>
        </w:rPr>
      </w:pPr>
    </w:p>
    <w:p w:rsidR="00D531D0" w:rsidRPr="00D531D0" w:rsidRDefault="00D531D0" w:rsidP="00D531D0">
      <w:pPr>
        <w:jc w:val="both"/>
        <w:rPr>
          <w:rFonts w:ascii="Times New Roman" w:hAnsi="Times New Roman" w:cs="Times New Roman"/>
          <w:color w:val="000000" w:themeColor="text1"/>
          <w:sz w:val="24"/>
        </w:rPr>
      </w:pPr>
      <w:r w:rsidRPr="00D531D0">
        <w:rPr>
          <w:rFonts w:ascii="Times New Roman" w:hAnsi="Times New Roman" w:cs="Times New Roman"/>
          <w:color w:val="000000" w:themeColor="text1"/>
          <w:sz w:val="24"/>
        </w:rPr>
        <w:t>Thirdly, this research adds to the empirical evidence available concerning the relationship between content governance, trust development, and confidence in procurement within France et al.'s (2025) digital brand equity framework, which is built on the premise that either content consistency or on-brand communications can be interpreted as meaningful antecedents of institutional trust. This means there is currently no theoretical link between these three concepts present within the current digital brand equity literature.</w:t>
      </w:r>
    </w:p>
    <w:p w:rsidR="00D531D0" w:rsidRPr="00D531D0" w:rsidRDefault="00D531D0" w:rsidP="00D531D0">
      <w:pPr>
        <w:jc w:val="both"/>
        <w:rPr>
          <w:rFonts w:ascii="Times New Roman" w:hAnsi="Times New Roman" w:cs="Times New Roman"/>
          <w:color w:val="000000" w:themeColor="text1"/>
          <w:sz w:val="24"/>
        </w:rPr>
      </w:pPr>
    </w:p>
    <w:p w:rsidR="00D531D0" w:rsidRDefault="00D531D0" w:rsidP="00D531D0">
      <w:pPr>
        <w:jc w:val="both"/>
        <w:rPr>
          <w:rFonts w:ascii="Times New Roman" w:hAnsi="Times New Roman" w:cs="Times New Roman"/>
          <w:color w:val="000000" w:themeColor="text1"/>
          <w:sz w:val="24"/>
        </w:rPr>
      </w:pPr>
      <w:r w:rsidRPr="00D531D0">
        <w:rPr>
          <w:rFonts w:ascii="Times New Roman" w:hAnsi="Times New Roman" w:cs="Times New Roman"/>
          <w:color w:val="000000" w:themeColor="text1"/>
          <w:sz w:val="24"/>
        </w:rPr>
        <w:t>Fourthly, the research findings related to the maturation asymmetry phenomenon — in which creatives consistently adopt digital marketing tools before using the set of analytical marketing or analytical methods associated with such tools — provide significant developmental insights into the literature regarding technology adoption, as well as resulting implications for how organisations develop and implement adoption strategies of digital marketing tools, how organisations will design and implement training programmes for those who will use digital marketing tools, and how organisations can manage the expectations of those who use digital marketing tools.</w:t>
      </w:r>
    </w:p>
    <w:p w:rsidR="00D531D0" w:rsidRDefault="00D531D0" w:rsidP="00D531D0">
      <w:pPr>
        <w:pStyle w:val="Heading1"/>
        <w:rPr>
          <w:rFonts w:eastAsia="Arial"/>
          <w:color w:val="000000" w:themeColor="text1"/>
        </w:rPr>
      </w:pPr>
      <w:r w:rsidRPr="00D531D0">
        <w:rPr>
          <w:rFonts w:eastAsia="Arial"/>
          <w:color w:val="000000" w:themeColor="text1"/>
        </w:rPr>
        <w:t>Limitations of the Study</w:t>
      </w:r>
    </w:p>
    <w:p w:rsidR="00D531D0" w:rsidRPr="00D531D0" w:rsidRDefault="00D531D0" w:rsidP="00D531D0">
      <w:pPr>
        <w:pStyle w:val="Heading1"/>
        <w:jc w:val="both"/>
        <w:rPr>
          <w:rFonts w:eastAsia="Arial"/>
          <w:b w:val="0"/>
          <w:bCs w:val="0"/>
          <w:color w:val="000000" w:themeColor="text1"/>
          <w:sz w:val="24"/>
          <w:szCs w:val="22"/>
        </w:rPr>
      </w:pPr>
      <w:r w:rsidRPr="00D531D0">
        <w:rPr>
          <w:rFonts w:eastAsia="Arial"/>
          <w:b w:val="0"/>
          <w:bCs w:val="0"/>
          <w:color w:val="000000" w:themeColor="text1"/>
          <w:sz w:val="24"/>
          <w:szCs w:val="22"/>
        </w:rPr>
        <w:t xml:space="preserve">There were limitations related to the overall study. One limitation was that the results were based on survey respondent perceptions of 120 participants employed by institutions in Madhya Pradesh, and while these data are suitable to support the sample size for descriptive and exploratory research the generalisation of results is limited. Another limitation is that the study collected self-reported perceptual data on behaviours and experiences, while those data can be valuable for understanding attitude and experience, they could not be used as an objective measure of performance (e.g. conversion rates, revenue attribution data or brand equity scores over time).  </w:t>
      </w:r>
    </w:p>
    <w:p w:rsidR="00D531D0" w:rsidRDefault="00D531D0" w:rsidP="00D531D0">
      <w:pPr>
        <w:pStyle w:val="Heading1"/>
        <w:jc w:val="both"/>
        <w:rPr>
          <w:rFonts w:eastAsia="Arial"/>
          <w:b w:val="0"/>
          <w:bCs w:val="0"/>
          <w:color w:val="000000" w:themeColor="text1"/>
          <w:sz w:val="24"/>
          <w:szCs w:val="22"/>
        </w:rPr>
      </w:pPr>
      <w:r w:rsidRPr="00D531D0">
        <w:rPr>
          <w:rFonts w:eastAsia="Arial"/>
          <w:b w:val="0"/>
          <w:bCs w:val="0"/>
          <w:color w:val="000000" w:themeColor="text1"/>
          <w:sz w:val="24"/>
          <w:szCs w:val="22"/>
        </w:rPr>
        <w:t xml:space="preserve">There were also uneven levels of exposure to Adobe tools in this study. For example, respondents who are using design tools may have a different view of Adobe tools compared to users of analytics tools. Thus, users with different levels of exposure to different tool types, will affect the aggregate means calculated across all tool types, by using an aggregate measure may skew the results beyond what was controlled for in this study. The rapidly changing nature of the Adobe ecosystem (e.g., the introduction of AI capabilities, product integrations, and analytic features) may also result in needing to update the descriptions of </w:t>
      </w:r>
      <w:r w:rsidRPr="00D531D0">
        <w:rPr>
          <w:rFonts w:eastAsia="Arial"/>
          <w:b w:val="0"/>
          <w:bCs w:val="0"/>
          <w:color w:val="000000" w:themeColor="text1"/>
          <w:sz w:val="24"/>
          <w:szCs w:val="22"/>
        </w:rPr>
        <w:lastRenderedPageBreak/>
        <w:t>products contained in this study, as the ecosystem will continuously evolve.</w:t>
      </w:r>
      <w:r w:rsidR="007A2EFC">
        <w:rPr>
          <w:rFonts w:eastAsia="Arial"/>
          <w:b w:val="0"/>
          <w:bCs w:val="0"/>
          <w:color w:val="000000" w:themeColor="text1"/>
          <w:sz w:val="24"/>
          <w:szCs w:val="22"/>
        </w:rPr>
        <w:t xml:space="preserve"> </w:t>
      </w:r>
      <w:r w:rsidRPr="00D531D0">
        <w:rPr>
          <w:rFonts w:eastAsia="Arial"/>
          <w:b w:val="0"/>
          <w:bCs w:val="0"/>
          <w:color w:val="000000" w:themeColor="text1"/>
          <w:sz w:val="24"/>
          <w:szCs w:val="22"/>
        </w:rPr>
        <w:t>Finally, the cross-sectional design of this survey does not provide data to measure the development of branding and measurement capabilities as a result of continued use of these tools; longitudinal research designs will be required to measure this developmental path.</w:t>
      </w:r>
    </w:p>
    <w:p w:rsidR="00725EEA" w:rsidRPr="00725EEA" w:rsidRDefault="00725EEA" w:rsidP="00725EEA">
      <w:pPr>
        <w:pStyle w:val="Heading1"/>
        <w:rPr>
          <w:rFonts w:eastAsia="Arial"/>
          <w:color w:val="000000" w:themeColor="text1"/>
        </w:rPr>
      </w:pPr>
      <w:r w:rsidRPr="00725EEA">
        <w:rPr>
          <w:rFonts w:eastAsia="Arial"/>
          <w:color w:val="000000" w:themeColor="text1"/>
        </w:rPr>
        <w:t>Future Research Directions</w:t>
      </w:r>
    </w:p>
    <w:p w:rsidR="00725EEA" w:rsidRDefault="00725EEA" w:rsidP="00D531D0">
      <w:pPr>
        <w:pStyle w:val="Heading1"/>
        <w:jc w:val="both"/>
        <w:rPr>
          <w:rFonts w:eastAsia="Arial"/>
          <w:b w:val="0"/>
          <w:bCs w:val="0"/>
          <w:color w:val="000000" w:themeColor="text1"/>
          <w:sz w:val="24"/>
          <w:szCs w:val="22"/>
        </w:rPr>
      </w:pPr>
      <w:r w:rsidRPr="00725EEA">
        <w:rPr>
          <w:rFonts w:eastAsia="Arial"/>
          <w:b w:val="0"/>
          <w:bCs w:val="0"/>
          <w:color w:val="000000" w:themeColor="text1"/>
          <w:sz w:val="24"/>
          <w:szCs w:val="22"/>
        </w:rPr>
        <w:t>This research study includes some potential future exploratory areas. A longitudinal standard research design could allow for a more in-depth analysis of the longitudinal relationship between brand effectiveness and measurement capability as a function of time, given continued adoption of Adobe tools, and can provide information about how organisations develop capabilities over time through continued use of Adobe tools. Comparisons between industries, organisation sizes and geographic regions could help establish if the findings related to the maturity asymmetry found in this research study can be generalised across all organisations. Mixed method approaches that combine quantitative survey results with qualitative analysis of case studies of organisations that have used Adobe tools will provide additional insights into how access to tools becomes brand and measurement capabilities, particularly as they relate to manager cognition, organisation culture and process design. Finally, studies that have measured the impact of digital brand equity through dependent variables (i.e. share of search, digital brand awareness, and digital sentiment) will provide empirical support for the framework presented by France et.al . (2025) as part of the design of future research into the adoption of Adobe tools.</w:t>
      </w:r>
    </w:p>
    <w:p w:rsidR="00725EEA" w:rsidRDefault="00725EEA" w:rsidP="00D531D0">
      <w:pPr>
        <w:pStyle w:val="Heading1"/>
        <w:jc w:val="both"/>
        <w:rPr>
          <w:rFonts w:eastAsia="Arial"/>
          <w:b w:val="0"/>
          <w:bCs w:val="0"/>
          <w:color w:val="000000" w:themeColor="text1"/>
          <w:sz w:val="24"/>
          <w:szCs w:val="22"/>
        </w:rPr>
      </w:pPr>
      <w:r w:rsidRPr="00725EEA">
        <w:rPr>
          <w:rFonts w:eastAsia="Arial"/>
          <w:b w:val="0"/>
          <w:bCs w:val="0"/>
          <w:color w:val="000000" w:themeColor="text1"/>
          <w:sz w:val="24"/>
          <w:szCs w:val="22"/>
        </w:rPr>
        <w:t>Examining how to govern brand management systems will help develop Adobe's AI tools - mainly how do you provide verification and brand credentials for the content generated from Firefly? This will address a major issue of future brand management, especially regarding the safety and authenticity of brands. Also, further research into Adobe and Content Analytics' full measuring capabilities and interpretative frameworks is necessary for creating actionable insights into this research's stated implementation gap related to ROI clarity.</w:t>
      </w:r>
    </w:p>
    <w:p w:rsidR="00725EEA" w:rsidRDefault="00725EEA" w:rsidP="00725EEA">
      <w:pPr>
        <w:pStyle w:val="Heading1"/>
        <w:rPr>
          <w:rFonts w:eastAsia="Arial"/>
          <w:color w:val="000000" w:themeColor="text1"/>
        </w:rPr>
      </w:pPr>
      <w:r w:rsidRPr="00725EEA">
        <w:rPr>
          <w:rFonts w:eastAsia="Arial"/>
          <w:color w:val="000000" w:themeColor="text1"/>
        </w:rPr>
        <w:t>Conclusion</w:t>
      </w:r>
      <w:r>
        <w:rPr>
          <w:rFonts w:eastAsia="Arial"/>
          <w:color w:val="000000" w:themeColor="text1"/>
        </w:rPr>
        <w:t xml:space="preserve"> –</w:t>
      </w:r>
    </w:p>
    <w:p w:rsidR="00725EEA" w:rsidRPr="00725EEA" w:rsidRDefault="00725EEA" w:rsidP="00725EEA">
      <w:pPr>
        <w:pStyle w:val="Heading1"/>
        <w:jc w:val="both"/>
        <w:rPr>
          <w:rFonts w:eastAsia="Arial"/>
          <w:b w:val="0"/>
          <w:bCs w:val="0"/>
          <w:color w:val="000000" w:themeColor="text1"/>
          <w:sz w:val="24"/>
          <w:szCs w:val="22"/>
        </w:rPr>
      </w:pPr>
      <w:r w:rsidRPr="00725EEA">
        <w:rPr>
          <w:rFonts w:eastAsia="Arial"/>
          <w:b w:val="0"/>
          <w:bCs w:val="0"/>
          <w:color w:val="000000" w:themeColor="text1"/>
          <w:sz w:val="24"/>
          <w:szCs w:val="22"/>
        </w:rPr>
        <w:t>The aim of this research paper was to investigate how Adobe digital tools act as enablers of effectiveness for branding and as a means for measuring marketing performance. It utilises data gained from analysing primary survey responses of 120 individuals and combined with a comprehensive analysis of both scholarly research and industry evidence to show how Adobe's comprehensive ecosystem (including creative tools, document workflow systems, brand governance systems and analytic capabilities) can assist organisations in establishing brand consistency, producing professional marketing communication and measuring content performance at the appropriate level of granularity required for evidence-based brand management.</w:t>
      </w:r>
    </w:p>
    <w:p w:rsidR="00725EEA" w:rsidRDefault="00725EEA" w:rsidP="00725EEA">
      <w:pPr>
        <w:pStyle w:val="Heading1"/>
        <w:jc w:val="both"/>
        <w:rPr>
          <w:rFonts w:eastAsia="Arial"/>
          <w:b w:val="0"/>
          <w:bCs w:val="0"/>
          <w:color w:val="000000" w:themeColor="text1"/>
          <w:sz w:val="24"/>
          <w:szCs w:val="22"/>
        </w:rPr>
      </w:pPr>
      <w:r w:rsidRPr="00725EEA">
        <w:rPr>
          <w:rFonts w:eastAsia="Arial"/>
          <w:b w:val="0"/>
          <w:bCs w:val="0"/>
          <w:color w:val="000000" w:themeColor="text1"/>
          <w:sz w:val="24"/>
          <w:szCs w:val="22"/>
        </w:rPr>
        <w:t>The key finding of the research indicates a maturity asymmetry, where branding and creative benefits of adopting Adobe tools are perceived much sooner and with more intensity than measurement-related benefits. Branding-related outcomes (e.g. visual consistency, professionalism of branded communication, institutional trust) recorded a higher mean agreement than measurement-related outcomes (e.g. utility of analytic information, quality of decision-making; transparency of ROI).</w:t>
      </w:r>
      <w:r>
        <w:rPr>
          <w:rFonts w:eastAsia="Arial"/>
          <w:b w:val="0"/>
          <w:bCs w:val="0"/>
          <w:color w:val="000000" w:themeColor="text1"/>
          <w:sz w:val="24"/>
          <w:szCs w:val="22"/>
        </w:rPr>
        <w:t xml:space="preserve"> </w:t>
      </w:r>
      <w:r w:rsidRPr="00725EEA">
        <w:rPr>
          <w:rFonts w:eastAsia="Arial"/>
          <w:b w:val="0"/>
          <w:bCs w:val="0"/>
          <w:color w:val="000000" w:themeColor="text1"/>
          <w:sz w:val="24"/>
          <w:szCs w:val="22"/>
        </w:rPr>
        <w:t xml:space="preserve">This maturity asymmetry is not because of Adobe's measurement tools being deficient in their capabilities or features but it represents a natural </w:t>
      </w:r>
      <w:r w:rsidRPr="00725EEA">
        <w:rPr>
          <w:rFonts w:eastAsia="Arial"/>
          <w:b w:val="0"/>
          <w:bCs w:val="0"/>
          <w:color w:val="000000" w:themeColor="text1"/>
          <w:sz w:val="24"/>
          <w:szCs w:val="22"/>
        </w:rPr>
        <w:lastRenderedPageBreak/>
        <w:t>development process within the overall ability of organisations to effectively conduct marketing using digital technology. In order to fully benefit from performance intelligence, organisations need to build the requisite analytical frameworks, key performance indicators (KPIs) systems and interpretative skills through experience to maximise the value gained from Adobe's measurement tools.</w:t>
      </w:r>
    </w:p>
    <w:p w:rsidR="00725EEA" w:rsidRPr="00725EEA" w:rsidRDefault="00725EEA" w:rsidP="00725EEA">
      <w:pPr>
        <w:pStyle w:val="Heading1"/>
        <w:jc w:val="both"/>
        <w:rPr>
          <w:rFonts w:eastAsia="Arial"/>
          <w:b w:val="0"/>
          <w:bCs w:val="0"/>
          <w:color w:val="000000" w:themeColor="text1"/>
          <w:sz w:val="24"/>
          <w:szCs w:val="22"/>
        </w:rPr>
      </w:pPr>
      <w:r w:rsidRPr="00725EEA">
        <w:rPr>
          <w:rFonts w:eastAsia="Arial"/>
          <w:b w:val="0"/>
          <w:bCs w:val="0"/>
          <w:color w:val="000000" w:themeColor="text1"/>
          <w:sz w:val="24"/>
          <w:szCs w:val="22"/>
        </w:rPr>
        <w:t>This research is contributing to the concept of defining the relationship between branding and measuring as one of co-dependency, and establishing Adobe's ecosystem as the architectural framework for how measuring and branding should come together. When creating brand assets in Photoshop, Illustrator, and Adobe Express, they are producing visual consistency signals which can be tracked using analytics, i.e. how well you're executing against your defined expectations within your created engagements. Adobe's analytics (Adobe Analytics and Content Analytics) convert visual signals into performance intelligence that informs choosing where to invest brands. The final piece of the brand management system — the Adobe GenStudio and Firefly enable the AI-governed and analytics-driven production of content at scale. In summary, together all these tools do not just suport the disciplines of branding and measuring; they become structurally integrated into one discipline of brand building.</w:t>
      </w:r>
    </w:p>
    <w:p w:rsidR="00725EEA" w:rsidRDefault="00725EEA" w:rsidP="00725EEA">
      <w:pPr>
        <w:pStyle w:val="Heading1"/>
        <w:jc w:val="both"/>
        <w:rPr>
          <w:rFonts w:eastAsia="Arial"/>
          <w:b w:val="0"/>
          <w:bCs w:val="0"/>
          <w:color w:val="000000" w:themeColor="text1"/>
          <w:sz w:val="24"/>
          <w:szCs w:val="22"/>
        </w:rPr>
      </w:pPr>
      <w:r w:rsidRPr="00725EEA">
        <w:rPr>
          <w:rFonts w:eastAsia="Arial"/>
          <w:b w:val="0"/>
          <w:bCs w:val="0"/>
          <w:color w:val="000000" w:themeColor="text1"/>
          <w:sz w:val="24"/>
          <w:szCs w:val="22"/>
        </w:rPr>
        <w:t>For practitioners, the strategic consequence is obvious — the value of Adobe as a brand management platform is exponentially greater than the value of each tool in isolation. Organizations that use the Adobe ecosystem as a system — with actively governed, and phased development across all disciplines of branding, and using disciplined measurement practices — will deliver competitive advantage in brand consistency, content quality, and marketing accountability compared to organizations that use the solution as a collection of independent software applications. In today's digital world, brand equity is generated not only through exceptional creativity but through the consistent, measurable, and continually optimized integration of creativity and intelligence that Adobe's ecosystem allows.</w:t>
      </w:r>
    </w:p>
    <w:p w:rsidR="00597C35" w:rsidRPr="00597C35" w:rsidRDefault="00597C35" w:rsidP="00725EEA">
      <w:pPr>
        <w:pStyle w:val="Heading1"/>
        <w:jc w:val="both"/>
        <w:rPr>
          <w:rFonts w:eastAsia="Arial"/>
          <w:bCs w:val="0"/>
          <w:color w:val="000000" w:themeColor="text1"/>
          <w:sz w:val="32"/>
          <w:szCs w:val="22"/>
          <w:u w:val="single"/>
        </w:rPr>
      </w:pPr>
      <w:r w:rsidRPr="00597C35">
        <w:rPr>
          <w:rFonts w:eastAsia="Arial"/>
          <w:bCs w:val="0"/>
          <w:color w:val="000000" w:themeColor="text1"/>
          <w:sz w:val="32"/>
          <w:szCs w:val="22"/>
          <w:u w:val="single"/>
        </w:rPr>
        <w:t>References-</w:t>
      </w:r>
    </w:p>
    <w:p w:rsidR="00597C35" w:rsidRDefault="00597C35" w:rsidP="00597C35">
      <w:pPr>
        <w:pStyle w:val="NormalWeb"/>
        <w:numPr>
          <w:ilvl w:val="0"/>
          <w:numId w:val="1"/>
        </w:numPr>
        <w:ind w:left="180"/>
        <w:jc w:val="both"/>
      </w:pPr>
      <w:r>
        <w:t xml:space="preserve">Aaker, D. A. (1996). </w:t>
      </w:r>
      <w:r>
        <w:rPr>
          <w:rStyle w:val="Emphasis"/>
          <w:rFonts w:eastAsiaTheme="majorEastAsia"/>
        </w:rPr>
        <w:t>Building strong brands</w:t>
      </w:r>
      <w:r>
        <w:t>. Free Press.</w:t>
      </w:r>
    </w:p>
    <w:p w:rsidR="00597C35" w:rsidRDefault="00597C35" w:rsidP="00597C35">
      <w:pPr>
        <w:pStyle w:val="NormalWeb"/>
        <w:numPr>
          <w:ilvl w:val="0"/>
          <w:numId w:val="1"/>
        </w:numPr>
        <w:ind w:left="180"/>
        <w:jc w:val="both"/>
      </w:pPr>
      <w:r>
        <w:t xml:space="preserve">Aaker, D. A., &amp; Joachimsthaler, E. (2000). </w:t>
      </w:r>
      <w:r>
        <w:rPr>
          <w:rStyle w:val="Emphasis"/>
          <w:rFonts w:eastAsiaTheme="majorEastAsia"/>
        </w:rPr>
        <w:t>Brand leadership</w:t>
      </w:r>
      <w:r>
        <w:t>. Free Press.</w:t>
      </w:r>
    </w:p>
    <w:p w:rsidR="00597C35" w:rsidRDefault="00597C35" w:rsidP="00597C35">
      <w:pPr>
        <w:pStyle w:val="NormalWeb"/>
        <w:numPr>
          <w:ilvl w:val="0"/>
          <w:numId w:val="1"/>
        </w:numPr>
        <w:ind w:left="180"/>
        <w:jc w:val="both"/>
      </w:pPr>
      <w:r>
        <w:t xml:space="preserve">Chaffey, D., &amp; Ellis-Chadwick, F. (2019). </w:t>
      </w:r>
      <w:r>
        <w:rPr>
          <w:rStyle w:val="Emphasis"/>
          <w:rFonts w:eastAsiaTheme="majorEastAsia"/>
        </w:rPr>
        <w:t>Digital marketing</w:t>
      </w:r>
      <w:r>
        <w:t xml:space="preserve"> (7th ed.). Pearson.</w:t>
      </w:r>
    </w:p>
    <w:p w:rsidR="00597C35" w:rsidRDefault="00597C35" w:rsidP="00597C35">
      <w:pPr>
        <w:pStyle w:val="NormalWeb"/>
        <w:numPr>
          <w:ilvl w:val="0"/>
          <w:numId w:val="1"/>
        </w:numPr>
        <w:ind w:left="180"/>
        <w:jc w:val="both"/>
      </w:pPr>
      <w:r>
        <w:t xml:space="preserve">Dwivedi, Y. K., Hughes, L., Baabdullah, A. M., Ribeiro-Navarrete, S., Giannakis, M., Al-Debei, M. M., Dennehy, D., Metri, B., Buhalis, D., Cheung, C. M. K., Conboy, K., Doyle, R., Dubey, R., Dutot, V., Felix, R., Goyal, D. P., Gustafsson, A., Hinsch, C., Jebabli, I., … Wamba, S. F. (2023). So what if ChatGPT wrote it? Multidisciplinary perspectives on opportunities, challenges and implications of generative conversational AI for research, practice and policy. </w:t>
      </w:r>
      <w:r>
        <w:rPr>
          <w:rStyle w:val="Emphasis"/>
          <w:rFonts w:eastAsiaTheme="majorEastAsia"/>
        </w:rPr>
        <w:t>International Journal of Information Management, 71</w:t>
      </w:r>
      <w:r>
        <w:t xml:space="preserve">, 102642. </w:t>
      </w:r>
      <w:hyperlink r:id="rId6" w:tgtFrame="_new" w:history="1">
        <w:r>
          <w:rPr>
            <w:rStyle w:val="Hyperlink"/>
          </w:rPr>
          <w:t>https://doi.org/10.1016/j.ijinfomgt.2023.102642</w:t>
        </w:r>
      </w:hyperlink>
    </w:p>
    <w:p w:rsidR="00597C35" w:rsidRDefault="00597C35" w:rsidP="00597C35">
      <w:pPr>
        <w:pStyle w:val="NormalWeb"/>
        <w:numPr>
          <w:ilvl w:val="0"/>
          <w:numId w:val="1"/>
        </w:numPr>
        <w:ind w:left="180"/>
        <w:jc w:val="both"/>
      </w:pPr>
      <w:r>
        <w:t xml:space="preserve">Edelman, D. C., &amp; Abraham, M. (2024). </w:t>
      </w:r>
      <w:r>
        <w:rPr>
          <w:rStyle w:val="Emphasis"/>
          <w:rFonts w:eastAsiaTheme="majorEastAsia"/>
        </w:rPr>
        <w:t>Personalized: Customer strategy in the age of AI</w:t>
      </w:r>
      <w:r>
        <w:t>. Harvard Business Review Press.</w:t>
      </w:r>
    </w:p>
    <w:p w:rsidR="00DD664A" w:rsidRDefault="00DD664A" w:rsidP="00597C35">
      <w:pPr>
        <w:pStyle w:val="NormalWeb"/>
        <w:numPr>
          <w:ilvl w:val="0"/>
          <w:numId w:val="1"/>
        </w:numPr>
        <w:ind w:left="180"/>
        <w:jc w:val="both"/>
      </w:pPr>
      <w:r>
        <w:t>Fr</w:t>
      </w:r>
      <w:r w:rsidRPr="00EE3A20">
        <w:t xml:space="preserve">om Microfinance to Impact Finance: A Study on the Role of Financial Inclusion in Sustainable Rural Development in India. (2025). Journal of International Commercial Law and Technology, 6(1), 1473–1483. </w:t>
      </w:r>
      <w:hyperlink r:id="rId7" w:history="1">
        <w:r w:rsidRPr="00D70CAD">
          <w:rPr>
            <w:rStyle w:val="Hyperlink"/>
          </w:rPr>
          <w:t>https://doi.org/10.61336/jiclt/25-01-135</w:t>
        </w:r>
      </w:hyperlink>
    </w:p>
    <w:p w:rsidR="00597C35" w:rsidRDefault="00597C35" w:rsidP="00597C35">
      <w:pPr>
        <w:pStyle w:val="NormalWeb"/>
        <w:numPr>
          <w:ilvl w:val="0"/>
          <w:numId w:val="1"/>
        </w:numPr>
        <w:ind w:left="180"/>
        <w:jc w:val="both"/>
      </w:pPr>
      <w:r>
        <w:t xml:space="preserve">Gentsch, P. (2019). </w:t>
      </w:r>
      <w:r>
        <w:rPr>
          <w:rStyle w:val="Emphasis"/>
          <w:rFonts w:eastAsiaTheme="majorEastAsia"/>
        </w:rPr>
        <w:t>AI in marketing, sales and service: How marketers without a data science degree can use AI, big data and bots</w:t>
      </w:r>
      <w:r>
        <w:t>. Palgrave Macmillan.</w:t>
      </w:r>
    </w:p>
    <w:p w:rsidR="00597C35" w:rsidRDefault="00597C35" w:rsidP="00597C35">
      <w:pPr>
        <w:pStyle w:val="NormalWeb"/>
        <w:numPr>
          <w:ilvl w:val="0"/>
          <w:numId w:val="1"/>
        </w:numPr>
        <w:ind w:left="180"/>
        <w:jc w:val="both"/>
      </w:pPr>
      <w:r>
        <w:lastRenderedPageBreak/>
        <w:t xml:space="preserve">Grewal, D., Hulland, J., Kopalle, P. K., &amp; Karahanna, E. (2020). The future of technology and marketing: A multidisciplinary perspective. </w:t>
      </w:r>
      <w:r>
        <w:rPr>
          <w:rStyle w:val="Emphasis"/>
          <w:rFonts w:eastAsiaTheme="majorEastAsia"/>
        </w:rPr>
        <w:t>Journal of the Academy of Marketing Science, 48</w:t>
      </w:r>
      <w:r>
        <w:t>(1), 1–8. https://doi.org/10.1007/s11747-019-00680-4</w:t>
      </w:r>
    </w:p>
    <w:p w:rsidR="00597C35" w:rsidRDefault="00597C35" w:rsidP="00597C35">
      <w:pPr>
        <w:pStyle w:val="NormalWeb"/>
        <w:numPr>
          <w:ilvl w:val="0"/>
          <w:numId w:val="1"/>
        </w:numPr>
        <w:ind w:left="180"/>
        <w:jc w:val="both"/>
      </w:pPr>
      <w:r>
        <w:t xml:space="preserve">Kannan, P. K., &amp; Li, H. A. (2017). Digital marketing: A framework, review and research agenda. </w:t>
      </w:r>
      <w:r>
        <w:rPr>
          <w:rStyle w:val="Emphasis"/>
          <w:rFonts w:eastAsiaTheme="majorEastAsia"/>
        </w:rPr>
        <w:t>International Journal of Research in Marketing, 34</w:t>
      </w:r>
      <w:r>
        <w:t xml:space="preserve">(1), 22–45. </w:t>
      </w:r>
      <w:hyperlink r:id="rId8" w:tgtFrame="_new" w:history="1">
        <w:r>
          <w:rPr>
            <w:rStyle w:val="Hyperlink"/>
          </w:rPr>
          <w:t>https://doi.org/10.1016/j.ijresmar.2016.11.006</w:t>
        </w:r>
      </w:hyperlink>
    </w:p>
    <w:p w:rsidR="00597C35" w:rsidRDefault="00597C35" w:rsidP="00597C35">
      <w:pPr>
        <w:pStyle w:val="NormalWeb"/>
        <w:numPr>
          <w:ilvl w:val="0"/>
          <w:numId w:val="1"/>
        </w:numPr>
        <w:ind w:left="180"/>
        <w:jc w:val="both"/>
      </w:pPr>
      <w:r>
        <w:t xml:space="preserve">Keller, K. L. (2013). </w:t>
      </w:r>
      <w:r>
        <w:rPr>
          <w:rStyle w:val="Emphasis"/>
          <w:rFonts w:eastAsiaTheme="majorEastAsia"/>
        </w:rPr>
        <w:t>Strategic brand management: Building, measuring, and managing brand equity</w:t>
      </w:r>
      <w:r>
        <w:t xml:space="preserve"> (4th ed.). Pearson.</w:t>
      </w:r>
    </w:p>
    <w:p w:rsidR="00597C35" w:rsidRDefault="00597C35" w:rsidP="00597C35">
      <w:pPr>
        <w:pStyle w:val="NormalWeb"/>
        <w:numPr>
          <w:ilvl w:val="0"/>
          <w:numId w:val="1"/>
        </w:numPr>
        <w:ind w:left="180"/>
        <w:jc w:val="both"/>
      </w:pPr>
      <w:r>
        <w:t xml:space="preserve">Kotler, P., Kartajaya, H., &amp; Setiawan, I. (2021). </w:t>
      </w:r>
      <w:r>
        <w:rPr>
          <w:rStyle w:val="Emphasis"/>
          <w:rFonts w:eastAsiaTheme="majorEastAsia"/>
        </w:rPr>
        <w:t>Marketing 5.0: Technology for humanity</w:t>
      </w:r>
      <w:r>
        <w:t>. Wiley.</w:t>
      </w:r>
    </w:p>
    <w:p w:rsidR="00597C35" w:rsidRDefault="00597C35" w:rsidP="00597C35">
      <w:pPr>
        <w:pStyle w:val="NormalWeb"/>
        <w:numPr>
          <w:ilvl w:val="0"/>
          <w:numId w:val="1"/>
        </w:numPr>
        <w:ind w:left="180"/>
        <w:jc w:val="both"/>
      </w:pPr>
      <w:r>
        <w:t xml:space="preserve">Lemon, K. N., &amp; Verhoef, P. C. (2016). Understanding customer experience throughout the customer journey. </w:t>
      </w:r>
      <w:r>
        <w:rPr>
          <w:rStyle w:val="Emphasis"/>
          <w:rFonts w:eastAsiaTheme="majorEastAsia"/>
        </w:rPr>
        <w:t>Journal of Marketing, 80</w:t>
      </w:r>
      <w:r>
        <w:t xml:space="preserve">(6), 69–96. </w:t>
      </w:r>
      <w:hyperlink r:id="rId9" w:tgtFrame="_new" w:history="1">
        <w:r>
          <w:rPr>
            <w:rStyle w:val="Hyperlink"/>
          </w:rPr>
          <w:t>https://doi.org/10.1509/jm.15.0420</w:t>
        </w:r>
      </w:hyperlink>
    </w:p>
    <w:p w:rsidR="00597C35" w:rsidRDefault="00597C35" w:rsidP="00597C35">
      <w:pPr>
        <w:pStyle w:val="NormalWeb"/>
        <w:numPr>
          <w:ilvl w:val="0"/>
          <w:numId w:val="1"/>
        </w:numPr>
        <w:ind w:left="180"/>
        <w:jc w:val="both"/>
      </w:pPr>
      <w:r>
        <w:t xml:space="preserve">Marr, B. (2023). </w:t>
      </w:r>
      <w:r>
        <w:rPr>
          <w:rStyle w:val="Emphasis"/>
          <w:rFonts w:eastAsiaTheme="majorEastAsia"/>
        </w:rPr>
        <w:t>Generative AI in practice: 100+ amazing ways generative artificial intelligence is changing business and society</w:t>
      </w:r>
      <w:r>
        <w:t>. Wiley.</w:t>
      </w:r>
    </w:p>
    <w:p w:rsidR="00597C35" w:rsidRDefault="00597C35" w:rsidP="00597C35">
      <w:pPr>
        <w:pStyle w:val="NormalWeb"/>
        <w:numPr>
          <w:ilvl w:val="0"/>
          <w:numId w:val="1"/>
        </w:numPr>
        <w:ind w:left="180"/>
        <w:jc w:val="both"/>
      </w:pPr>
      <w:r>
        <w:t xml:space="preserve">Nguyen, B., Yu, X., Melewar, T. C., &amp; Gupta, S. (2025). Artificial intelligence and digital branding: Emerging research directions in customer engagement and brand performance. </w:t>
      </w:r>
      <w:r>
        <w:rPr>
          <w:rStyle w:val="Emphasis"/>
          <w:rFonts w:eastAsiaTheme="majorEastAsia"/>
        </w:rPr>
        <w:t>Journal of Brand Management, 32</w:t>
      </w:r>
      <w:r>
        <w:t>(2), 145–162. https://doi.org/10.1057/s41262-024-00389-1</w:t>
      </w:r>
    </w:p>
    <w:p w:rsidR="00597C35" w:rsidRDefault="00597C35" w:rsidP="00597C35">
      <w:pPr>
        <w:pStyle w:val="NormalWeb"/>
        <w:numPr>
          <w:ilvl w:val="0"/>
          <w:numId w:val="1"/>
        </w:numPr>
        <w:ind w:left="180"/>
        <w:jc w:val="both"/>
      </w:pPr>
      <w:r>
        <w:t xml:space="preserve">Pappas, N., &amp; Woodside, A. G. (2021). Fuzzy-set qualitative comparative analysis (fsQCA): Guidelines for research practice in information systems and marketing. </w:t>
      </w:r>
      <w:r>
        <w:rPr>
          <w:rStyle w:val="Emphasis"/>
          <w:rFonts w:eastAsiaTheme="majorEastAsia"/>
        </w:rPr>
        <w:t>International Journal of Information Management, 58</w:t>
      </w:r>
      <w:r>
        <w:t xml:space="preserve">, 102310. </w:t>
      </w:r>
      <w:hyperlink r:id="rId10" w:tgtFrame="_new" w:history="1">
        <w:r>
          <w:rPr>
            <w:rStyle w:val="Hyperlink"/>
          </w:rPr>
          <w:t>https://doi.org/10.1016/j.ijinfomgt.2021.102310</w:t>
        </w:r>
      </w:hyperlink>
    </w:p>
    <w:p w:rsidR="00597C35" w:rsidRDefault="00597C35" w:rsidP="00597C35">
      <w:pPr>
        <w:pStyle w:val="NormalWeb"/>
        <w:numPr>
          <w:ilvl w:val="0"/>
          <w:numId w:val="1"/>
        </w:numPr>
        <w:ind w:left="180"/>
        <w:jc w:val="both"/>
      </w:pPr>
      <w:r>
        <w:t xml:space="preserve">Peters, K., Chen, Y., Kaplan, A. M., Ognibeni, B., &amp; Pauwels, K. (2013). Social media metrics — A framework and guidelines for managing social media. </w:t>
      </w:r>
      <w:r>
        <w:rPr>
          <w:rStyle w:val="Emphasis"/>
          <w:rFonts w:eastAsiaTheme="majorEastAsia"/>
        </w:rPr>
        <w:t>Journal of Interactive Marketing, 27</w:t>
      </w:r>
      <w:r>
        <w:t xml:space="preserve">(4), 281–298. </w:t>
      </w:r>
      <w:hyperlink r:id="rId11" w:tgtFrame="_new" w:history="1">
        <w:r>
          <w:rPr>
            <w:rStyle w:val="Hyperlink"/>
          </w:rPr>
          <w:t>https://doi.org/10.1016/j.intmar.2013.09.007</w:t>
        </w:r>
      </w:hyperlink>
    </w:p>
    <w:p w:rsidR="00597C35" w:rsidRDefault="00597C35" w:rsidP="00597C35">
      <w:pPr>
        <w:pStyle w:val="NormalWeb"/>
        <w:numPr>
          <w:ilvl w:val="0"/>
          <w:numId w:val="1"/>
        </w:numPr>
        <w:ind w:left="180"/>
        <w:jc w:val="both"/>
      </w:pPr>
      <w:r>
        <w:t xml:space="preserve">Rust, R. T., &amp; Huang, M.-H. (2021). The service revolution and the transformation of marketing science. </w:t>
      </w:r>
      <w:r>
        <w:rPr>
          <w:rStyle w:val="Emphasis"/>
          <w:rFonts w:eastAsiaTheme="majorEastAsia"/>
        </w:rPr>
        <w:t>Marketing Science, 40</w:t>
      </w:r>
      <w:r>
        <w:t>(5), 1003–1024. https://doi.org/10.1287/mksc.2021.1288</w:t>
      </w:r>
    </w:p>
    <w:p w:rsidR="00597C35" w:rsidRDefault="00597C35" w:rsidP="00597C35">
      <w:pPr>
        <w:pStyle w:val="NormalWeb"/>
        <w:numPr>
          <w:ilvl w:val="0"/>
          <w:numId w:val="1"/>
        </w:numPr>
        <w:ind w:left="180"/>
        <w:jc w:val="both"/>
      </w:pPr>
      <w:r>
        <w:t xml:space="preserve">Smith, P. R., &amp; Zook, Z. (2020). </w:t>
      </w:r>
      <w:r>
        <w:rPr>
          <w:rStyle w:val="Emphasis"/>
          <w:rFonts w:eastAsiaTheme="majorEastAsia"/>
        </w:rPr>
        <w:t>Marketing communications: Integrating offline and online with social media</w:t>
      </w:r>
      <w:r>
        <w:t xml:space="preserve"> (7th ed.). Kogan Page.</w:t>
      </w:r>
    </w:p>
    <w:p w:rsidR="00597C35" w:rsidRDefault="00597C35" w:rsidP="00597C35">
      <w:pPr>
        <w:pStyle w:val="NormalWeb"/>
        <w:numPr>
          <w:ilvl w:val="0"/>
          <w:numId w:val="1"/>
        </w:numPr>
        <w:ind w:left="180"/>
        <w:jc w:val="both"/>
      </w:pPr>
      <w:r>
        <w:t xml:space="preserve">Tafesse, W., &amp; Wood, B. P. (2021). Followers’ engagement with Instagram influencers: The role of influencers’ content and engagement strategy. </w:t>
      </w:r>
      <w:r>
        <w:rPr>
          <w:rStyle w:val="Emphasis"/>
          <w:rFonts w:eastAsiaTheme="majorEastAsia"/>
        </w:rPr>
        <w:t>Journal of Retailing and Consumer Services, 58</w:t>
      </w:r>
      <w:r>
        <w:t>, 102303. https://doi.org/10.1016/j.jretconser.2020.102303</w:t>
      </w:r>
    </w:p>
    <w:p w:rsidR="00597C35" w:rsidRDefault="00597C35" w:rsidP="00597C35">
      <w:pPr>
        <w:pStyle w:val="NormalWeb"/>
        <w:numPr>
          <w:ilvl w:val="0"/>
          <w:numId w:val="1"/>
        </w:numPr>
        <w:ind w:left="180"/>
        <w:jc w:val="both"/>
      </w:pPr>
      <w:r>
        <w:t xml:space="preserve">Tiago, M. T. P. M. B., &amp; Veríssimo, J. M. C. (2014). Digital marketing and social media: Why bother? </w:t>
      </w:r>
      <w:r>
        <w:rPr>
          <w:rStyle w:val="Emphasis"/>
          <w:rFonts w:eastAsiaTheme="majorEastAsia"/>
        </w:rPr>
        <w:t>Business Horizons, 57</w:t>
      </w:r>
      <w:r>
        <w:t>(6), 703–708. https://doi.org/10.1016/j.bushor.2014.07.002</w:t>
      </w:r>
    </w:p>
    <w:p w:rsidR="00597C35" w:rsidRDefault="00597C35" w:rsidP="00597C35">
      <w:pPr>
        <w:pStyle w:val="NormalWeb"/>
        <w:numPr>
          <w:ilvl w:val="0"/>
          <w:numId w:val="1"/>
        </w:numPr>
        <w:ind w:left="180"/>
        <w:jc w:val="both"/>
      </w:pPr>
      <w:r>
        <w:t xml:space="preserve">Verhoef, P. C., Broekhuizen, T., Bart, Y., Bhattacharya, A., Dong, J. Q., Fabian, N., &amp; Haenlein, M. (2021). Digital transformation: A multidisciplinary reflection and research agenda. </w:t>
      </w:r>
      <w:r>
        <w:rPr>
          <w:rStyle w:val="Emphasis"/>
          <w:rFonts w:eastAsiaTheme="majorEastAsia"/>
        </w:rPr>
        <w:t>Journal of Business Research, 122</w:t>
      </w:r>
      <w:r>
        <w:t xml:space="preserve">, 889–901. </w:t>
      </w:r>
      <w:hyperlink r:id="rId12" w:tgtFrame="_new" w:history="1">
        <w:r>
          <w:rPr>
            <w:rStyle w:val="Hyperlink"/>
          </w:rPr>
          <w:t>https://doi.org/10.1016/j.jbusres.2019.09.022</w:t>
        </w:r>
      </w:hyperlink>
    </w:p>
    <w:p w:rsidR="00597C35" w:rsidRDefault="00597C35" w:rsidP="00597C35">
      <w:pPr>
        <w:pStyle w:val="NormalWeb"/>
        <w:numPr>
          <w:ilvl w:val="0"/>
          <w:numId w:val="1"/>
        </w:numPr>
        <w:ind w:left="180"/>
        <w:jc w:val="both"/>
      </w:pPr>
      <w:r>
        <w:t xml:space="preserve">Wedel, M., &amp; Kannan, P. K. (2016). Marketing analytics for data-rich environments. </w:t>
      </w:r>
      <w:r>
        <w:rPr>
          <w:rStyle w:val="Emphasis"/>
          <w:rFonts w:eastAsiaTheme="majorEastAsia"/>
        </w:rPr>
        <w:t>Journal of Marketing, 80</w:t>
      </w:r>
      <w:r>
        <w:t xml:space="preserve">(6), 97–121. </w:t>
      </w:r>
      <w:hyperlink r:id="rId13" w:tgtFrame="_new" w:history="1">
        <w:r>
          <w:rPr>
            <w:rStyle w:val="Hyperlink"/>
          </w:rPr>
          <w:t>https://doi.org/10.1509/jm.15.0413</w:t>
        </w:r>
      </w:hyperlink>
    </w:p>
    <w:p w:rsidR="00597C35" w:rsidRPr="00725EEA" w:rsidRDefault="00597C35" w:rsidP="00725EEA">
      <w:pPr>
        <w:pStyle w:val="Heading1"/>
        <w:jc w:val="both"/>
        <w:rPr>
          <w:rFonts w:eastAsia="Arial"/>
          <w:b w:val="0"/>
          <w:bCs w:val="0"/>
          <w:color w:val="000000" w:themeColor="text1"/>
          <w:sz w:val="24"/>
          <w:szCs w:val="22"/>
        </w:rPr>
      </w:pPr>
    </w:p>
    <w:sectPr w:rsidR="00597C35" w:rsidRPr="00725EEA" w:rsidSect="0001387A">
      <w:pgSz w:w="11906" w:h="16838" w:code="9"/>
      <w:pgMar w:top="1440" w:right="1440" w:bottom="1440" w:left="1440" w:header="562" w:footer="44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713DD"/>
    <w:multiLevelType w:val="hybridMultilevel"/>
    <w:tmpl w:val="5DC0F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89134A"/>
    <w:multiLevelType w:val="hybridMultilevel"/>
    <w:tmpl w:val="A85C7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0425A3"/>
    <w:rsid w:val="0001387A"/>
    <w:rsid w:val="00036717"/>
    <w:rsid w:val="000425A3"/>
    <w:rsid w:val="000A1A80"/>
    <w:rsid w:val="00130251"/>
    <w:rsid w:val="00180D5A"/>
    <w:rsid w:val="003065B6"/>
    <w:rsid w:val="00323B42"/>
    <w:rsid w:val="00345CC2"/>
    <w:rsid w:val="003B790B"/>
    <w:rsid w:val="00453205"/>
    <w:rsid w:val="00597C35"/>
    <w:rsid w:val="005E5AF1"/>
    <w:rsid w:val="00666010"/>
    <w:rsid w:val="006B1C8C"/>
    <w:rsid w:val="006C7D33"/>
    <w:rsid w:val="00725EEA"/>
    <w:rsid w:val="007567E9"/>
    <w:rsid w:val="007A2EFC"/>
    <w:rsid w:val="007A470C"/>
    <w:rsid w:val="007F6DB2"/>
    <w:rsid w:val="00826EBD"/>
    <w:rsid w:val="008A6D40"/>
    <w:rsid w:val="008F36F7"/>
    <w:rsid w:val="008F75F9"/>
    <w:rsid w:val="00A062EB"/>
    <w:rsid w:val="00AA23AA"/>
    <w:rsid w:val="00B072AA"/>
    <w:rsid w:val="00B1192A"/>
    <w:rsid w:val="00B16E0F"/>
    <w:rsid w:val="00B61D26"/>
    <w:rsid w:val="00C357E7"/>
    <w:rsid w:val="00C60CD3"/>
    <w:rsid w:val="00CA2321"/>
    <w:rsid w:val="00D07AD7"/>
    <w:rsid w:val="00D35453"/>
    <w:rsid w:val="00D531D0"/>
    <w:rsid w:val="00DD664A"/>
    <w:rsid w:val="00E515FC"/>
    <w:rsid w:val="00E6137C"/>
    <w:rsid w:val="00EA69CB"/>
    <w:rsid w:val="00EC733E"/>
    <w:rsid w:val="00F8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33E"/>
    <w:pPr>
      <w:spacing w:after="0" w:line="240" w:lineRule="auto"/>
    </w:pPr>
    <w:rPr>
      <w:rFonts w:ascii="Arial" w:eastAsia="Arial" w:hAnsi="Arial" w:cs="Arial"/>
    </w:rPr>
  </w:style>
  <w:style w:type="paragraph" w:styleId="Heading1">
    <w:name w:val="heading 1"/>
    <w:link w:val="Heading1Char"/>
    <w:qFormat/>
    <w:rsid w:val="000425A3"/>
    <w:pPr>
      <w:spacing w:before="320" w:after="160" w:line="240" w:lineRule="auto"/>
      <w:outlineLvl w:val="0"/>
    </w:pPr>
    <w:rPr>
      <w:rFonts w:ascii="Times New Roman" w:eastAsia="Times New Roman" w:hAnsi="Times New Roman" w:cs="Times New Roman"/>
      <w:b/>
      <w:bCs/>
      <w:color w:val="2E4057"/>
      <w:sz w:val="28"/>
      <w:szCs w:val="28"/>
    </w:rPr>
  </w:style>
  <w:style w:type="paragraph" w:styleId="Heading2">
    <w:name w:val="heading 2"/>
    <w:basedOn w:val="Normal"/>
    <w:next w:val="Normal"/>
    <w:link w:val="Heading2Char"/>
    <w:uiPriority w:val="9"/>
    <w:semiHidden/>
    <w:unhideWhenUsed/>
    <w:qFormat/>
    <w:rsid w:val="00B1192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25A3"/>
    <w:rPr>
      <w:rFonts w:ascii="Times New Roman" w:eastAsia="Times New Roman" w:hAnsi="Times New Roman" w:cs="Times New Roman"/>
      <w:b/>
      <w:bCs/>
      <w:color w:val="2E4057"/>
      <w:sz w:val="28"/>
      <w:szCs w:val="28"/>
    </w:rPr>
  </w:style>
  <w:style w:type="character" w:customStyle="1" w:styleId="Heading2Char">
    <w:name w:val="Heading 2 Char"/>
    <w:basedOn w:val="DefaultParagraphFont"/>
    <w:link w:val="Heading2"/>
    <w:uiPriority w:val="9"/>
    <w:semiHidden/>
    <w:rsid w:val="00B1192A"/>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597C35"/>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597C35"/>
    <w:rPr>
      <w:i/>
      <w:iCs/>
    </w:rPr>
  </w:style>
  <w:style w:type="character" w:styleId="Hyperlink">
    <w:name w:val="Hyperlink"/>
    <w:basedOn w:val="DefaultParagraphFont"/>
    <w:uiPriority w:val="99"/>
    <w:semiHidden/>
    <w:unhideWhenUsed/>
    <w:rsid w:val="00597C35"/>
    <w:rPr>
      <w:color w:val="0000FF"/>
      <w:u w:val="single"/>
    </w:rPr>
  </w:style>
  <w:style w:type="paragraph" w:styleId="ListParagraph">
    <w:name w:val="List Paragraph"/>
    <w:qFormat/>
    <w:rsid w:val="00D07AD7"/>
    <w:pPr>
      <w:spacing w:after="0" w:line="240" w:lineRule="auto"/>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011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ijresmar.2016.11.006" TargetMode="External"/><Relationship Id="rId13" Type="http://schemas.openxmlformats.org/officeDocument/2006/relationships/hyperlink" Target="https://doi.org/10.1509/jm.15.0413" TargetMode="External"/><Relationship Id="rId3" Type="http://schemas.microsoft.com/office/2007/relationships/stylesWithEffects" Target="stylesWithEffects.xml"/><Relationship Id="rId7" Type="http://schemas.openxmlformats.org/officeDocument/2006/relationships/hyperlink" Target="https://doi.org/10.61336/jiclt/25-01-135" TargetMode="External"/><Relationship Id="rId12" Type="http://schemas.openxmlformats.org/officeDocument/2006/relationships/hyperlink" Target="https://doi.org/10.1016/j.jbusres.2019.09.0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16/j.ijinfomgt.2023.102642" TargetMode="External"/><Relationship Id="rId11" Type="http://schemas.openxmlformats.org/officeDocument/2006/relationships/hyperlink" Target="https://doi.org/10.1016/j.intmar.2013.09.00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016/j.ijinfomgt.2021.102310" TargetMode="External"/><Relationship Id="rId4" Type="http://schemas.openxmlformats.org/officeDocument/2006/relationships/settings" Target="settings.xml"/><Relationship Id="rId9" Type="http://schemas.openxmlformats.org/officeDocument/2006/relationships/hyperlink" Target="https://doi.org/10.1509/jm.15.04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21</Pages>
  <Words>9531</Words>
  <Characters>54332</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qwert</cp:lastModifiedBy>
  <cp:revision>52</cp:revision>
  <dcterms:created xsi:type="dcterms:W3CDTF">2026-05-16T17:38:00Z</dcterms:created>
  <dcterms:modified xsi:type="dcterms:W3CDTF">2026-05-20T07:38:00Z</dcterms:modified>
</cp:coreProperties>
</file>