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C68D6" w14:textId="77777777" w:rsidR="00DF1BCB" w:rsidRPr="00DF1BCB" w:rsidRDefault="00DF1BCB" w:rsidP="00F52B5B">
      <w:pPr>
        <w:spacing w:after="200" w:line="276" w:lineRule="auto"/>
        <w:jc w:val="both"/>
        <w:rPr>
          <w:rFonts w:ascii="Times New Roman" w:eastAsia="Calibri" w:hAnsi="Times New Roman" w:cs="Times New Roman"/>
          <w:b/>
          <w:bCs/>
          <w:lang w:eastAsia="en-US"/>
        </w:rPr>
      </w:pPr>
      <w:proofErr w:type="gramStart"/>
      <w:r w:rsidRPr="00DF1BCB">
        <w:rPr>
          <w:rFonts w:ascii="Times New Roman" w:eastAsia="Calibri" w:hAnsi="Times New Roman" w:cs="Times New Roman"/>
          <w:b/>
          <w:bCs/>
          <w:lang w:eastAsia="en-US"/>
        </w:rPr>
        <w:t>Title :</w:t>
      </w:r>
      <w:proofErr w:type="gramEnd"/>
    </w:p>
    <w:p w14:paraId="3EE91B49" w14:textId="4573E441" w:rsidR="00DF1BCB" w:rsidRDefault="00DF1BCB" w:rsidP="00F52B5B">
      <w:pPr>
        <w:pStyle w:val="NoSpacing"/>
        <w:spacing w:line="276" w:lineRule="auto"/>
        <w:jc w:val="both"/>
        <w:rPr>
          <w:rFonts w:eastAsia="Calibri"/>
          <w:b/>
          <w:bCs/>
          <w:sz w:val="32"/>
          <w:szCs w:val="24"/>
          <w:lang w:eastAsia="en-US"/>
        </w:rPr>
      </w:pPr>
      <w:r w:rsidRPr="00DF1BCB">
        <w:rPr>
          <w:rFonts w:eastAsia="Calibri"/>
          <w:b/>
          <w:bCs/>
          <w:sz w:val="32"/>
          <w:szCs w:val="24"/>
          <w:lang w:eastAsia="en-US"/>
        </w:rPr>
        <w:t xml:space="preserve">DESIGN AND OPTIMIZATION OF </w:t>
      </w:r>
      <w:proofErr w:type="spellStart"/>
      <w:r w:rsidRPr="00DF1BCB">
        <w:rPr>
          <w:rFonts w:eastAsia="Calibri"/>
          <w:b/>
          <w:bCs/>
          <w:sz w:val="32"/>
          <w:szCs w:val="24"/>
          <w:lang w:eastAsia="en-US"/>
        </w:rPr>
        <w:t>VRx</w:t>
      </w:r>
      <w:proofErr w:type="spellEnd"/>
      <w:r w:rsidRPr="00DF1BCB">
        <w:rPr>
          <w:rFonts w:eastAsia="Calibri"/>
          <w:b/>
          <w:bCs/>
          <w:sz w:val="32"/>
          <w:szCs w:val="24"/>
          <w:lang w:eastAsia="en-US"/>
        </w:rPr>
        <w:t xml:space="preserve"> </w:t>
      </w:r>
      <w:proofErr w:type="gramStart"/>
      <w:r w:rsidRPr="00DF1BCB">
        <w:rPr>
          <w:rFonts w:eastAsia="Calibri"/>
          <w:b/>
          <w:bCs/>
          <w:sz w:val="32"/>
          <w:szCs w:val="24"/>
          <w:lang w:eastAsia="en-US"/>
        </w:rPr>
        <w:t>LABS :</w:t>
      </w:r>
      <w:proofErr w:type="gramEnd"/>
      <w:r w:rsidRPr="00DF1BCB">
        <w:rPr>
          <w:rFonts w:eastAsia="Calibri"/>
          <w:b/>
          <w:bCs/>
          <w:sz w:val="32"/>
          <w:szCs w:val="24"/>
          <w:lang w:eastAsia="en-US"/>
        </w:rPr>
        <w:t xml:space="preserve"> A VIRTUAL LAB FOR PHARMACOLOGY</w:t>
      </w:r>
    </w:p>
    <w:p w14:paraId="54E52721" w14:textId="5BFEE11A"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bookmarkStart w:id="0" w:name="_GoBack"/>
      <w:bookmarkEnd w:id="0"/>
      <w:r w:rsidRPr="00FD1187">
        <w:rPr>
          <w:rFonts w:ascii="Times New Roman" w:hAnsi="Times New Roman" w:cs="Times New Roman"/>
          <w:color w:val="000000" w:themeColor="text1"/>
          <w:sz w:val="28"/>
          <w:szCs w:val="28"/>
        </w:rPr>
        <w:t>ABSTRACT</w:t>
      </w:r>
    </w:p>
    <w:p w14:paraId="020085C3" w14:textId="169D1EAE" w:rsidR="00736127" w:rsidRPr="00FD1187" w:rsidRDefault="00441575" w:rsidP="00F52B5B">
      <w:pPr>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Pharmacy education has long relied on physical laboratory infrastructure to impart practical skills to students. While this approach has its merits, it is often constrained by limited access to equipment, time-bound laboratory schedules, and uneven distrib</w:t>
      </w:r>
      <w:r w:rsidRPr="00FD1187">
        <w:rPr>
          <w:rFonts w:ascii="Times New Roman" w:hAnsi="Times New Roman" w:cs="Times New Roman"/>
          <w:color w:val="000000" w:themeColor="text1"/>
          <w:sz w:val="24"/>
          <w:szCs w:val="24"/>
        </w:rPr>
        <w:t>ution of faculty supervision. These factors can restrict a student’s ability to repeatedly observe, internalize, and learn from experimental procedures. The emergence of mobile-based virtual learning technologies presents a meaningful opportunity to addres</w:t>
      </w:r>
      <w:r w:rsidRPr="00FD1187">
        <w:rPr>
          <w:rFonts w:ascii="Times New Roman" w:hAnsi="Times New Roman" w:cs="Times New Roman"/>
          <w:color w:val="000000" w:themeColor="text1"/>
          <w:sz w:val="24"/>
          <w:szCs w:val="24"/>
        </w:rPr>
        <w:t>s these gaps, not by replacing laboratory work, but by supplementing it with immersive, on-demand digital experiences.</w:t>
      </w:r>
    </w:p>
    <w:p w14:paraId="62F212B8" w14:textId="24AEAA11" w:rsidR="00736127" w:rsidRPr="00FD1187" w:rsidRDefault="00441575" w:rsidP="00F52B5B">
      <w:pPr>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present study describes the design, development, and preliminary evaluation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 a mobile-based virtual experiment learning prototype developed specifically for undergraduate pharmacy students. The platform integrates multiple learning components within a single application: structured experimental information (aim, principle, </w:t>
      </w:r>
      <w:r w:rsidRPr="00FD1187">
        <w:rPr>
          <w:rFonts w:ascii="Times New Roman" w:hAnsi="Times New Roman" w:cs="Times New Roman"/>
          <w:color w:val="000000" w:themeColor="text1"/>
          <w:sz w:val="24"/>
          <w:szCs w:val="24"/>
        </w:rPr>
        <w:t>materials, and procedure), VR-compatible video demonstrations of pharmaceutical experiments, observation and result documentation modules, and MCQ-based formative assessments. The application is accessible through a login-authenticated interface, with sepa</w:t>
      </w:r>
      <w:r w:rsidRPr="00FD1187">
        <w:rPr>
          <w:rFonts w:ascii="Times New Roman" w:hAnsi="Times New Roman" w:cs="Times New Roman"/>
          <w:color w:val="000000" w:themeColor="text1"/>
          <w:sz w:val="24"/>
          <w:szCs w:val="24"/>
        </w:rPr>
        <w:t>rate access modes for students and teachers.</w:t>
      </w:r>
    </w:p>
    <w:p w14:paraId="0B9042E2" w14:textId="6A94E0F0"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To assess the prototype’s educational utility and user experience, a structured questionnaire-based evaluation was conducted among </w:t>
      </w:r>
      <w:r w:rsidR="00F52B5B">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undergraduate Bachelor of Pharmacy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students aged </w:t>
      </w:r>
      <w:r w:rsidR="00F52B5B">
        <w:rPr>
          <w:rFonts w:ascii="Times New Roman" w:hAnsi="Times New Roman" w:cs="Times New Roman"/>
          <w:color w:val="000000" w:themeColor="text1"/>
          <w:sz w:val="24"/>
          <w:szCs w:val="24"/>
        </w:rPr>
        <w:t>20</w:t>
      </w:r>
      <w:r w:rsidRPr="00FD1187">
        <w:rPr>
          <w:rFonts w:ascii="Times New Roman" w:hAnsi="Times New Roman" w:cs="Times New Roman"/>
          <w:color w:val="000000" w:themeColor="text1"/>
          <w:sz w:val="24"/>
          <w:szCs w:val="24"/>
        </w:rPr>
        <w:t>–2</w:t>
      </w:r>
      <w:r w:rsidR="00F52B5B">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 years. Respo</w:t>
      </w:r>
      <w:r w:rsidRPr="00FD1187">
        <w:rPr>
          <w:rFonts w:ascii="Times New Roman" w:hAnsi="Times New Roman" w:cs="Times New Roman"/>
          <w:color w:val="000000" w:themeColor="text1"/>
          <w:sz w:val="24"/>
          <w:szCs w:val="24"/>
        </w:rPr>
        <w:t>nses were recorded on a five-point Likert scale across six parameters: ease of use, visual appeal, learning effectiveness, engagement, innovation, and practical usefulness. The mean scores across all parameters ranged from 4.4 to 4.8, reflecting a consiste</w:t>
      </w:r>
      <w:r w:rsidRPr="00FD1187">
        <w:rPr>
          <w:rFonts w:ascii="Times New Roman" w:hAnsi="Times New Roman" w:cs="Times New Roman"/>
          <w:color w:val="000000" w:themeColor="text1"/>
          <w:sz w:val="24"/>
          <w:szCs w:val="24"/>
        </w:rPr>
        <w:t>ntly high level of user satisfaction and perceived educational value.</w:t>
      </w:r>
    </w:p>
    <w:p w14:paraId="067431FA" w14:textId="26663B9D" w:rsidR="00FD1187" w:rsidRPr="00FD1187" w:rsidRDefault="00441575" w:rsidP="00F52B5B">
      <w:pPr>
        <w:spacing w:before="60" w:after="200" w:line="276" w:lineRule="auto"/>
        <w:jc w:val="both"/>
        <w:rPr>
          <w:rFonts w:ascii="Times New Roman" w:hAnsi="Times New Roman" w:cs="Times New Roman"/>
          <w:i/>
          <w:iCs/>
          <w:color w:val="000000" w:themeColor="text1"/>
          <w:sz w:val="24"/>
          <w:szCs w:val="24"/>
        </w:rPr>
      </w:pPr>
      <w:r w:rsidRPr="00FD1187">
        <w:rPr>
          <w:rFonts w:ascii="Times New Roman" w:hAnsi="Times New Roman" w:cs="Times New Roman"/>
          <w:b/>
          <w:bCs/>
          <w:color w:val="000000" w:themeColor="text1"/>
          <w:sz w:val="24"/>
          <w:szCs w:val="24"/>
        </w:rPr>
        <w:t xml:space="preserve">Keywords: </w:t>
      </w:r>
      <w:r w:rsidRPr="00FD1187">
        <w:rPr>
          <w:rFonts w:ascii="Times New Roman" w:hAnsi="Times New Roman" w:cs="Times New Roman"/>
          <w:i/>
          <w:iCs/>
          <w:color w:val="000000" w:themeColor="text1"/>
          <w:sz w:val="24"/>
          <w:szCs w:val="24"/>
        </w:rPr>
        <w:t>Virtual Learning, Pharmacy Education, Mobile Learning, VR-Based Education, Experimental Simulation, Immersive Learning, EdTech, Digital Pharmacy</w:t>
      </w:r>
      <w:r w:rsidR="00FD1187" w:rsidRPr="00FD1187">
        <w:rPr>
          <w:rFonts w:ascii="Times New Roman" w:hAnsi="Times New Roman" w:cs="Times New Roman"/>
          <w:i/>
          <w:iCs/>
          <w:color w:val="000000" w:themeColor="text1"/>
          <w:sz w:val="24"/>
          <w:szCs w:val="24"/>
        </w:rPr>
        <w:t>.</w:t>
      </w:r>
    </w:p>
    <w:p w14:paraId="0928E985" w14:textId="01934F1D" w:rsidR="00FD1187" w:rsidRPr="00FD1187" w:rsidRDefault="00FD1187" w:rsidP="00F52B5B">
      <w:pPr>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br w:type="page"/>
      </w:r>
    </w:p>
    <w:p w14:paraId="38AB31C4" w14:textId="77777777"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1. INTRODUCTION</w:t>
      </w:r>
    </w:p>
    <w:p w14:paraId="1AA0F15D"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 xml:space="preserve">1.1 </w:t>
      </w:r>
      <w:r w:rsidRPr="00FD1187">
        <w:rPr>
          <w:rFonts w:ascii="Times New Roman" w:hAnsi="Times New Roman" w:cs="Times New Roman"/>
          <w:color w:val="000000" w:themeColor="text1"/>
          <w:sz w:val="28"/>
          <w:szCs w:val="28"/>
        </w:rPr>
        <w:t>Background and Context</w:t>
      </w:r>
    </w:p>
    <w:p w14:paraId="750340AF" w14:textId="0B4EBD11"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global landscape of professional education has undergone a profound transformation over the past decade. Digital tools, simulation platforms, and mobile applications have been steadily adopted across medicine, nursing, dentistry,</w:t>
      </w:r>
      <w:r w:rsidRPr="00FD1187">
        <w:rPr>
          <w:rFonts w:ascii="Times New Roman" w:hAnsi="Times New Roman" w:cs="Times New Roman"/>
          <w:color w:val="000000" w:themeColor="text1"/>
          <w:sz w:val="24"/>
          <w:szCs w:val="24"/>
        </w:rPr>
        <w:t xml:space="preserve"> and allied health sciences to make learning more accessible, interactive, and effective. Pharmacy education, however, has been comparatively slower to incorporate these technologies — particularly at the level of practical and laboratory-based learning.</w:t>
      </w:r>
    </w:p>
    <w:p w14:paraId="50B078D6" w14:textId="66B7EB20" w:rsidR="00736127" w:rsidRPr="00FD1187" w:rsidRDefault="00441575" w:rsidP="00F52B5B">
      <w:pPr>
        <w:spacing w:before="80" w:after="80" w:line="276" w:lineRule="auto"/>
        <w:ind w:firstLine="720"/>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w:t>
      </w:r>
      <w:r w:rsidRPr="00FD1187">
        <w:rPr>
          <w:rFonts w:ascii="Times New Roman" w:hAnsi="Times New Roman" w:cs="Times New Roman"/>
          <w:color w:val="000000" w:themeColor="text1"/>
          <w:sz w:val="24"/>
          <w:szCs w:val="24"/>
        </w:rPr>
        <w:t>n most pharmacy curricula across India and other developing nations, practical education continues to follow a conventional model wherein students attend scheduled laboratory sessions, perform experiments under direct supervision, and record observations i</w:t>
      </w:r>
      <w:r w:rsidRPr="00FD1187">
        <w:rPr>
          <w:rFonts w:ascii="Times New Roman" w:hAnsi="Times New Roman" w:cs="Times New Roman"/>
          <w:color w:val="000000" w:themeColor="text1"/>
          <w:sz w:val="24"/>
          <w:szCs w:val="24"/>
        </w:rPr>
        <w:t xml:space="preserve">n physical journals. While this model provides a degree of hands-on experience, it is limited by several structural constraints: restricted laboratory timings, a fixed number of repetitions per experiment, shared equipment among large student cohorts, and </w:t>
      </w:r>
      <w:r w:rsidRPr="00FD1187">
        <w:rPr>
          <w:rFonts w:ascii="Times New Roman" w:hAnsi="Times New Roman" w:cs="Times New Roman"/>
          <w:color w:val="000000" w:themeColor="text1"/>
          <w:sz w:val="24"/>
          <w:szCs w:val="24"/>
        </w:rPr>
        <w:t>the physical and logistical risks involved in handling chemical reagents and instruments.</w:t>
      </w:r>
    </w:p>
    <w:p w14:paraId="4FCD64B0" w14:textId="38C40793" w:rsidR="00736127" w:rsidRPr="00FD1187" w:rsidRDefault="00441575" w:rsidP="00F52B5B">
      <w:pPr>
        <w:spacing w:before="80" w:after="80" w:line="276" w:lineRule="auto"/>
        <w:ind w:firstLine="720"/>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Over the past few years, simulation-based and virtual learning environments have demonstrated significant promise across healthcare education. Medical colleges worldw</w:t>
      </w:r>
      <w:r w:rsidRPr="00FD1187">
        <w:rPr>
          <w:rFonts w:ascii="Times New Roman" w:hAnsi="Times New Roman" w:cs="Times New Roman"/>
          <w:color w:val="000000" w:themeColor="text1"/>
          <w:sz w:val="24"/>
          <w:szCs w:val="24"/>
        </w:rPr>
        <w:t>ide have adopted anatomical VR tools, surgical simulators, and patient-case platforms to build clinical reasoning and procedural skills. These systems allow students to practise in risk-free digital environments, revisit procedures as many times as needed,</w:t>
      </w:r>
      <w:r w:rsidRPr="00FD1187">
        <w:rPr>
          <w:rFonts w:ascii="Times New Roman" w:hAnsi="Times New Roman" w:cs="Times New Roman"/>
          <w:color w:val="000000" w:themeColor="text1"/>
          <w:sz w:val="24"/>
          <w:szCs w:val="24"/>
        </w:rPr>
        <w:t xml:space="preserve"> and receive structured feedback. Comparable technologies for pharmaceutical laboratory learning, however, remain relatively underdeveloped — especially in mobile-compatible formats suitable for the Indian academic context.</w:t>
      </w:r>
    </w:p>
    <w:p w14:paraId="35141924" w14:textId="130AE813" w:rsidR="00736127" w:rsidRPr="00FD1187" w:rsidRDefault="00441575" w:rsidP="00F52B5B">
      <w:pPr>
        <w:spacing w:before="80" w:after="80" w:line="276" w:lineRule="auto"/>
        <w:ind w:firstLine="720"/>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Mobile learning, or m-learning, </w:t>
      </w:r>
      <w:r w:rsidRPr="00FD1187">
        <w:rPr>
          <w:rFonts w:ascii="Times New Roman" w:hAnsi="Times New Roman" w:cs="Times New Roman"/>
          <w:color w:val="000000" w:themeColor="text1"/>
          <w:sz w:val="24"/>
          <w:szCs w:val="24"/>
        </w:rPr>
        <w:t>offers a compelling advantage in this setting. With smartphone penetration in India exceeding 750 million users and mobile internet becoming increasingly affordable, students in both urban and semi-urban institutions now carry powerful computing devices in</w:t>
      </w:r>
      <w:r w:rsidRPr="00FD1187">
        <w:rPr>
          <w:rFonts w:ascii="Times New Roman" w:hAnsi="Times New Roman" w:cs="Times New Roman"/>
          <w:color w:val="000000" w:themeColor="text1"/>
          <w:sz w:val="24"/>
          <w:szCs w:val="24"/>
        </w:rPr>
        <w:t xml:space="preserve"> their pockets. A well-designed mobile learning application can convert this ubiquity into an educational asset — allowing students to access virtual laboratory experiences from their hostel rooms, homes, or between classes, without being bound by laborato</w:t>
      </w:r>
      <w:r w:rsidRPr="00FD1187">
        <w:rPr>
          <w:rFonts w:ascii="Times New Roman" w:hAnsi="Times New Roman" w:cs="Times New Roman"/>
          <w:color w:val="000000" w:themeColor="text1"/>
          <w:sz w:val="24"/>
          <w:szCs w:val="24"/>
        </w:rPr>
        <w:t>ry schedules or geographic location.</w:t>
      </w:r>
    </w:p>
    <w:p w14:paraId="6884BD04" w14:textId="3A48B9C1" w:rsidR="00FD1187" w:rsidRPr="00FD1187" w:rsidRDefault="00441575" w:rsidP="00F52B5B">
      <w:pPr>
        <w:spacing w:before="80" w:after="80" w:line="276" w:lineRule="auto"/>
        <w:ind w:firstLine="720"/>
        <w:jc w:val="both"/>
        <w:rPr>
          <w:rFonts w:ascii="Times New Roman" w:hAnsi="Times New Roman" w:cs="Times New Roman"/>
          <w:color w:val="000000" w:themeColor="text1"/>
          <w:sz w:val="24"/>
          <w:szCs w:val="24"/>
        </w:rPr>
      </w:pP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was conceptualised against this backdrop — as a mobile-first prototype that brings together experimental content, VR-based demonstrations, and assessment tools within a single, easy-to-navigate platform designe</w:t>
      </w:r>
      <w:r w:rsidRPr="00FD1187">
        <w:rPr>
          <w:rFonts w:ascii="Times New Roman" w:hAnsi="Times New Roman" w:cs="Times New Roman"/>
          <w:color w:val="000000" w:themeColor="text1"/>
          <w:sz w:val="24"/>
          <w:szCs w:val="24"/>
        </w:rPr>
        <w:t>d for pharmacy students.</w:t>
      </w:r>
    </w:p>
    <w:p w14:paraId="519740A7"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1.2 Problem Statement</w:t>
      </w:r>
    </w:p>
    <w:p w14:paraId="1251BF53" w14:textId="47543BE9"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Despite the growing awareness of digital education’s potential, most pharmacy practical courses in India continue to operate without any form of virtual or mobile-based supplementary learning. Students who mis</w:t>
      </w:r>
      <w:r w:rsidRPr="00FD1187">
        <w:rPr>
          <w:rFonts w:ascii="Times New Roman" w:hAnsi="Times New Roman" w:cs="Times New Roman"/>
          <w:color w:val="000000" w:themeColor="text1"/>
          <w:sz w:val="24"/>
          <w:szCs w:val="24"/>
        </w:rPr>
        <w:t xml:space="preserve">s a laboratory session due to illness or scheduling conflicts have no structured way </w:t>
      </w:r>
      <w:r w:rsidRPr="00FD1187">
        <w:rPr>
          <w:rFonts w:ascii="Times New Roman" w:hAnsi="Times New Roman" w:cs="Times New Roman"/>
          <w:color w:val="000000" w:themeColor="text1"/>
          <w:sz w:val="24"/>
          <w:szCs w:val="24"/>
        </w:rPr>
        <w:lastRenderedPageBreak/>
        <w:t>to revisit that experiment. Those who struggle to understand a complex procedure during a session have little recourse beyond their written journal entries and textbook de</w:t>
      </w:r>
      <w:r w:rsidRPr="00FD1187">
        <w:rPr>
          <w:rFonts w:ascii="Times New Roman" w:hAnsi="Times New Roman" w:cs="Times New Roman"/>
          <w:color w:val="000000" w:themeColor="text1"/>
          <w:sz w:val="24"/>
          <w:szCs w:val="24"/>
        </w:rPr>
        <w:t>scriptions. This leaves a significant gap in practical learning continuity, particularly for students who require additional time or alternate explanations to grasp procedural concepts.</w:t>
      </w:r>
    </w:p>
    <w:p w14:paraId="65257B76"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Furthermore, laboratory access during examination preparation periods </w:t>
      </w:r>
      <w:r w:rsidRPr="00FD1187">
        <w:rPr>
          <w:rFonts w:ascii="Times New Roman" w:hAnsi="Times New Roman" w:cs="Times New Roman"/>
          <w:color w:val="000000" w:themeColor="text1"/>
          <w:sz w:val="24"/>
          <w:szCs w:val="24"/>
        </w:rPr>
        <w:t>is often curtailed, precisely when students need it most. Safety hazards associated with certain chemical or biological experiments add another layer of restriction to hands-on repetition. The absence of interactive, visual, and self-paced learning resourc</w:t>
      </w:r>
      <w:r w:rsidRPr="00FD1187">
        <w:rPr>
          <w:rFonts w:ascii="Times New Roman" w:hAnsi="Times New Roman" w:cs="Times New Roman"/>
          <w:color w:val="000000" w:themeColor="text1"/>
          <w:sz w:val="24"/>
          <w:szCs w:val="24"/>
        </w:rPr>
        <w:t>es for pharmacy practical education represents a clear and addressable gap that digital technology is well-positioned to fill.</w:t>
      </w:r>
    </w:p>
    <w:p w14:paraId="69FE536D"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1.3 Need for the Study</w:t>
      </w:r>
    </w:p>
    <w:p w14:paraId="385EF689" w14:textId="1AD6B775"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development of a mobile-based virtual learning platform for pharmacy students is not merely a technolo</w:t>
      </w:r>
      <w:r w:rsidRPr="00FD1187">
        <w:rPr>
          <w:rFonts w:ascii="Times New Roman" w:hAnsi="Times New Roman" w:cs="Times New Roman"/>
          <w:color w:val="000000" w:themeColor="text1"/>
          <w:sz w:val="24"/>
          <w:szCs w:val="24"/>
        </w:rPr>
        <w:t>gical novelty — it is an educational necessity for institutions seeking to improve learning outcomes in resource-constrained environments. A platform that allows students to watch procedural demonstrations, revisit experimental information, record observat</w:t>
      </w:r>
      <w:r w:rsidRPr="00FD1187">
        <w:rPr>
          <w:rFonts w:ascii="Times New Roman" w:hAnsi="Times New Roman" w:cs="Times New Roman"/>
          <w:color w:val="000000" w:themeColor="text1"/>
          <w:sz w:val="24"/>
          <w:szCs w:val="24"/>
        </w:rPr>
        <w:t>ions, and test their understanding through assessments can meaningfully complement existing laboratory sessions. It can also support students who are differently abled or who face physical barriers to consistent laboratory attendance.</w:t>
      </w:r>
    </w:p>
    <w:p w14:paraId="2E24A529"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Moreover, such a plat</w:t>
      </w:r>
      <w:r w:rsidRPr="00FD1187">
        <w:rPr>
          <w:rFonts w:ascii="Times New Roman" w:hAnsi="Times New Roman" w:cs="Times New Roman"/>
          <w:color w:val="000000" w:themeColor="text1"/>
          <w:sz w:val="24"/>
          <w:szCs w:val="24"/>
        </w:rPr>
        <w:t>form can assist teaching faculty by providing a standardised, repeatable reference resource for each experiment — reducing the time spent on repetitive procedural explanations and allowing instructors to focus on higher-order learning activities during con</w:t>
      </w:r>
      <w:r w:rsidRPr="00FD1187">
        <w:rPr>
          <w:rFonts w:ascii="Times New Roman" w:hAnsi="Times New Roman" w:cs="Times New Roman"/>
          <w:color w:val="000000" w:themeColor="text1"/>
          <w:sz w:val="24"/>
          <w:szCs w:val="24"/>
        </w:rPr>
        <w:t>tact hours.</w:t>
      </w:r>
    </w:p>
    <w:p w14:paraId="4EE0E2FF"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1.4 Aim of the Study</w:t>
      </w:r>
    </w:p>
    <w:p w14:paraId="247126F5"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primary aim of this study was to develop and evaluate a mobile-based virtual experiment learning prototype,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designed to improve practical understanding and engagement among undergraduate pharmacy students.</w:t>
      </w:r>
    </w:p>
    <w:p w14:paraId="23F04213"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1.5</w:t>
      </w:r>
      <w:r w:rsidRPr="00FD1187">
        <w:rPr>
          <w:rFonts w:ascii="Times New Roman" w:hAnsi="Times New Roman" w:cs="Times New Roman"/>
          <w:color w:val="000000" w:themeColor="text1"/>
          <w:sz w:val="28"/>
          <w:szCs w:val="28"/>
        </w:rPr>
        <w:t xml:space="preserve"> Objectives</w:t>
      </w:r>
    </w:p>
    <w:p w14:paraId="532387CD"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following specific objectives were formulated to guide the study:</w:t>
      </w:r>
    </w:p>
    <w:p w14:paraId="151DA675"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design and develop a functional mobile-based virtual learning application for undergraduate pharmacy students.</w:t>
      </w:r>
    </w:p>
    <w:p w14:paraId="2D8787F5" w14:textId="01E11C1C"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To incorporate immersive VR-compatible video demonstrations </w:t>
      </w:r>
      <w:r w:rsidRPr="00FD1187">
        <w:rPr>
          <w:rFonts w:ascii="Times New Roman" w:hAnsi="Times New Roman" w:cs="Times New Roman"/>
          <w:color w:val="000000" w:themeColor="text1"/>
          <w:sz w:val="24"/>
          <w:szCs w:val="24"/>
        </w:rPr>
        <w:t xml:space="preserve">of standard </w:t>
      </w:r>
      <w:r w:rsidR="00B9357F">
        <w:rPr>
          <w:rFonts w:ascii="Times New Roman" w:hAnsi="Times New Roman" w:cs="Times New Roman"/>
          <w:color w:val="000000" w:themeColor="text1"/>
          <w:sz w:val="24"/>
          <w:szCs w:val="24"/>
        </w:rPr>
        <w:t>pharmacological</w:t>
      </w:r>
      <w:r w:rsidRPr="00FD1187">
        <w:rPr>
          <w:rFonts w:ascii="Times New Roman" w:hAnsi="Times New Roman" w:cs="Times New Roman"/>
          <w:color w:val="000000" w:themeColor="text1"/>
          <w:sz w:val="24"/>
          <w:szCs w:val="24"/>
        </w:rPr>
        <w:t xml:space="preserve"> experiments within the application.</w:t>
      </w:r>
    </w:p>
    <w:p w14:paraId="43779759"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integrate structured experimental information modules covering aim, principle, materials, and procedure.</w:t>
      </w:r>
    </w:p>
    <w:p w14:paraId="5DF606E6"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To include observation, result, and conclusion documentation features within the </w:t>
      </w:r>
      <w:r w:rsidRPr="00FD1187">
        <w:rPr>
          <w:rFonts w:ascii="Times New Roman" w:hAnsi="Times New Roman" w:cs="Times New Roman"/>
          <w:color w:val="000000" w:themeColor="text1"/>
          <w:sz w:val="24"/>
          <w:szCs w:val="24"/>
        </w:rPr>
        <w:t>platform.</w:t>
      </w:r>
    </w:p>
    <w:p w14:paraId="42739007"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develop and embed MCQ-based formative assessment modules to reinforce concept understanding.</w:t>
      </w:r>
    </w:p>
    <w:p w14:paraId="66693AA7"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To evaluate the prototype’s usability, visual design, learning effectiveness, engagement, innovation, and practical usefulness among student users thr</w:t>
      </w:r>
      <w:r w:rsidRPr="00FD1187">
        <w:rPr>
          <w:rFonts w:ascii="Times New Roman" w:hAnsi="Times New Roman" w:cs="Times New Roman"/>
          <w:color w:val="000000" w:themeColor="text1"/>
          <w:sz w:val="24"/>
          <w:szCs w:val="24"/>
        </w:rPr>
        <w:t>ough a structured questionnaire survey.</w:t>
      </w:r>
    </w:p>
    <w:p w14:paraId="6DFBF7E6" w14:textId="77777777"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 REVIEW OF LITERATURE</w:t>
      </w:r>
    </w:p>
    <w:p w14:paraId="76622D95"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2.1 Virtual and Simulation-Based Learning in Healthcare Education</w:t>
      </w:r>
    </w:p>
    <w:p w14:paraId="3830D68E" w14:textId="4C6A088C"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integration of simulation technology in health sciences education has been the subject of increasing scholarly attention o</w:t>
      </w:r>
      <w:r w:rsidRPr="00FD1187">
        <w:rPr>
          <w:rFonts w:ascii="Times New Roman" w:hAnsi="Times New Roman" w:cs="Times New Roman"/>
          <w:color w:val="000000" w:themeColor="text1"/>
          <w:sz w:val="24"/>
          <w:szCs w:val="24"/>
        </w:rPr>
        <w:t>ver the past two decades. Early simulation models in medical education focused primarily on clinical skills training — using mannequins, standardised patients, and procedural task trainers to provide a safe environment for practising invasive techniques. T</w:t>
      </w:r>
      <w:r w:rsidRPr="00FD1187">
        <w:rPr>
          <w:rFonts w:ascii="Times New Roman" w:hAnsi="Times New Roman" w:cs="Times New Roman"/>
          <w:color w:val="000000" w:themeColor="text1"/>
          <w:sz w:val="24"/>
          <w:szCs w:val="24"/>
        </w:rPr>
        <w:t>he progressive digitisation of these tools led to the development of computer-based and VR simulators that have now been validated across disciplines including surgery, nursing, anaesthesia, and emergency medicine.</w:t>
      </w:r>
    </w:p>
    <w:p w14:paraId="5DB0CAEA" w14:textId="46F8A8A1"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Cook et al. (2011) conducted a comprehens</w:t>
      </w:r>
      <w:r w:rsidRPr="00FD1187">
        <w:rPr>
          <w:rFonts w:ascii="Times New Roman" w:hAnsi="Times New Roman" w:cs="Times New Roman"/>
          <w:color w:val="000000" w:themeColor="text1"/>
          <w:sz w:val="24"/>
          <w:szCs w:val="24"/>
        </w:rPr>
        <w:t>ive meta-analysis of technology-enhanced simulation in health professions education and found consistent, statistically significant improvements in knowledge, skills, and behaviour when compared with no intervention, and moderate improvements when compared</w:t>
      </w:r>
      <w:r w:rsidRPr="00FD1187">
        <w:rPr>
          <w:rFonts w:ascii="Times New Roman" w:hAnsi="Times New Roman" w:cs="Times New Roman"/>
          <w:color w:val="000000" w:themeColor="text1"/>
          <w:sz w:val="24"/>
          <w:szCs w:val="24"/>
        </w:rPr>
        <w:t xml:space="preserve"> with traditional instruction. Their work underscored the importance of deliberate practice, immediate feedback, and repetition — all of which are inherent strengths of well-designed simulation platforms.</w:t>
      </w:r>
    </w:p>
    <w:p w14:paraId="62656100"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 pharmacy specifically, simulation-based learning</w:t>
      </w:r>
      <w:r w:rsidRPr="00FD1187">
        <w:rPr>
          <w:rFonts w:ascii="Times New Roman" w:hAnsi="Times New Roman" w:cs="Times New Roman"/>
          <w:color w:val="000000" w:themeColor="text1"/>
          <w:sz w:val="24"/>
          <w:szCs w:val="24"/>
        </w:rPr>
        <w:t xml:space="preserve"> has been applied to areas such as patient counselling, compounding, clinical pharmacy practice, and more recently, to pharmaceutical laboratory procedures. Studies have shown that students who supplement traditional laboratory training with virtual or sim</w:t>
      </w:r>
      <w:r w:rsidRPr="00FD1187">
        <w:rPr>
          <w:rFonts w:ascii="Times New Roman" w:hAnsi="Times New Roman" w:cs="Times New Roman"/>
          <w:color w:val="000000" w:themeColor="text1"/>
          <w:sz w:val="24"/>
          <w:szCs w:val="24"/>
        </w:rPr>
        <w:t>ulated experiences demonstrate better procedural recall and higher confidence during practical assessments compared to those relying solely on conventional methods.</w:t>
      </w:r>
    </w:p>
    <w:p w14:paraId="66472FB7"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2.2 Mobile Learning Technologies in Pharmacy Education</w:t>
      </w:r>
    </w:p>
    <w:p w14:paraId="603C8A62" w14:textId="372FFC8E"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Mobile learning has steadily gained </w:t>
      </w:r>
      <w:r w:rsidRPr="00FD1187">
        <w:rPr>
          <w:rFonts w:ascii="Times New Roman" w:hAnsi="Times New Roman" w:cs="Times New Roman"/>
          <w:color w:val="000000" w:themeColor="text1"/>
          <w:sz w:val="24"/>
          <w:szCs w:val="24"/>
        </w:rPr>
        <w:t>traction in higher education as smartphone ownership has expanded globally. In healthcare education, mobile apps have been developed for drug interaction checking, clinical calculations, pharmacology revision, and anatomy study. Several pharmaceutical inst</w:t>
      </w:r>
      <w:r w:rsidRPr="00FD1187">
        <w:rPr>
          <w:rFonts w:ascii="Times New Roman" w:hAnsi="Times New Roman" w:cs="Times New Roman"/>
          <w:color w:val="000000" w:themeColor="text1"/>
          <w:sz w:val="24"/>
          <w:szCs w:val="24"/>
        </w:rPr>
        <w:t>itutions have begun piloting m-learning tools for theoretical pharmacology courses, and the feedback from students and faculty alike has been largely positive.</w:t>
      </w:r>
    </w:p>
    <w:p w14:paraId="4185C3BB" w14:textId="44BD8F51"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 systematic review by Mosa et al. (2012) evaluated 73 studies on mobile apps in health educatio</w:t>
      </w:r>
      <w:r w:rsidRPr="00FD1187">
        <w:rPr>
          <w:rFonts w:ascii="Times New Roman" w:hAnsi="Times New Roman" w:cs="Times New Roman"/>
          <w:color w:val="000000" w:themeColor="text1"/>
          <w:sz w:val="24"/>
          <w:szCs w:val="24"/>
        </w:rPr>
        <w:t>n and concluded that mobile technologies have significant potential to improve educational outcomes when the content is well-structured, interactive, and aligned with course objectives. The review also noted that user engagement tends to be higher when app</w:t>
      </w:r>
      <w:r w:rsidRPr="00FD1187">
        <w:rPr>
          <w:rFonts w:ascii="Times New Roman" w:hAnsi="Times New Roman" w:cs="Times New Roman"/>
          <w:color w:val="000000" w:themeColor="text1"/>
          <w:sz w:val="24"/>
          <w:szCs w:val="24"/>
        </w:rPr>
        <w:t>s include assessment features and visual content, compared to apps that deliver only text-based information.</w:t>
      </w:r>
    </w:p>
    <w:p w14:paraId="43B2C2FC"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In the Indian context, mobile learning adoption in pharmacy education remains nascent. While some institutions have moved toward digital lecture co</w:t>
      </w:r>
      <w:r w:rsidRPr="00FD1187">
        <w:rPr>
          <w:rFonts w:ascii="Times New Roman" w:hAnsi="Times New Roman" w:cs="Times New Roman"/>
          <w:color w:val="000000" w:themeColor="text1"/>
          <w:sz w:val="24"/>
          <w:szCs w:val="24"/>
        </w:rPr>
        <w:t xml:space="preserve">ntent and e-learning management systems, interactive mobile applications specifically designed for pharmacy practical learning are rare.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represents an effort to bridge this gap by providing a purpose-built mobile platform for experimental pharmacy</w:t>
      </w:r>
      <w:r w:rsidRPr="00FD1187">
        <w:rPr>
          <w:rFonts w:ascii="Times New Roman" w:hAnsi="Times New Roman" w:cs="Times New Roman"/>
          <w:color w:val="000000" w:themeColor="text1"/>
          <w:sz w:val="24"/>
          <w:szCs w:val="24"/>
        </w:rPr>
        <w:t xml:space="preserve"> education.</w:t>
      </w:r>
    </w:p>
    <w:p w14:paraId="3BEF2686"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2.3 Virtual Reality in Education</w:t>
      </w:r>
    </w:p>
    <w:p w14:paraId="4E3E8E85" w14:textId="368F5CD8"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Virtual reality as an educational medium has moved well beyond novelty status in recent years. Headset-based VR systems from platforms like Oculus and HTC Vive have been used in surgical training, anatomy educat</w:t>
      </w:r>
      <w:r w:rsidRPr="00FD1187">
        <w:rPr>
          <w:rFonts w:ascii="Times New Roman" w:hAnsi="Times New Roman" w:cs="Times New Roman"/>
          <w:color w:val="000000" w:themeColor="text1"/>
          <w:sz w:val="24"/>
          <w:szCs w:val="24"/>
        </w:rPr>
        <w:t>ion, and mental health therapy simulations. However, the high cost of VR hardware remains a significant barrier to widespread adoption in institutions, particularly in developing countries.</w:t>
      </w:r>
    </w:p>
    <w:p w14:paraId="61B92C0F" w14:textId="34E999BE"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 more accessible alternative is mobile VR — delivered through sma</w:t>
      </w:r>
      <w:r w:rsidRPr="00FD1187">
        <w:rPr>
          <w:rFonts w:ascii="Times New Roman" w:hAnsi="Times New Roman" w:cs="Times New Roman"/>
          <w:color w:val="000000" w:themeColor="text1"/>
          <w:sz w:val="24"/>
          <w:szCs w:val="24"/>
        </w:rPr>
        <w:t>rtphone-compatible cardboard viewers or standard screen-based video content formatted in 360-degree or stereoscopic modes. Research by Merchant et al. (2014) found that game-based and simulation-type VR interventions produced the largest effect sizes on le</w:t>
      </w:r>
      <w:r w:rsidRPr="00FD1187">
        <w:rPr>
          <w:rFonts w:ascii="Times New Roman" w:hAnsi="Times New Roman" w:cs="Times New Roman"/>
          <w:color w:val="000000" w:themeColor="text1"/>
          <w:sz w:val="24"/>
          <w:szCs w:val="24"/>
        </w:rPr>
        <w:t>arning outcomes, significantly outperforming individual interaction and narrative-based formats. These findings are directly relevant to pharmacy education contexts, where procedural demonstrations are inherently spatial and benefit from immersive visualis</w:t>
      </w:r>
      <w:r w:rsidRPr="00FD1187">
        <w:rPr>
          <w:rFonts w:ascii="Times New Roman" w:hAnsi="Times New Roman" w:cs="Times New Roman"/>
          <w:color w:val="000000" w:themeColor="text1"/>
          <w:sz w:val="24"/>
          <w:szCs w:val="24"/>
        </w:rPr>
        <w:t>ation.</w:t>
      </w:r>
    </w:p>
    <w:p w14:paraId="17DC1AC3"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use of VR video demonstrations in pharmacy practical learning has the potential to give students a front-row view of complex experimental procedures — including those involving micro-scale operations, precise measurements, or multi-step chemical</w:t>
      </w:r>
      <w:r w:rsidRPr="00FD1187">
        <w:rPr>
          <w:rFonts w:ascii="Times New Roman" w:hAnsi="Times New Roman" w:cs="Times New Roman"/>
          <w:color w:val="000000" w:themeColor="text1"/>
          <w:sz w:val="24"/>
          <w:szCs w:val="24"/>
        </w:rPr>
        <w:t xml:space="preserve"> reactions — without the physical and safety constraints of a real laboratory.</w:t>
      </w:r>
    </w:p>
    <w:p w14:paraId="71FB601C"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2.4 Assessment-Based Learning and MCQ Integration</w:t>
      </w:r>
    </w:p>
    <w:p w14:paraId="32DC5500" w14:textId="00BBEE9C"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Assessment is a critical driver of learning in higher education. Formative assessment — designed not to assign grades but to he</w:t>
      </w:r>
      <w:r w:rsidRPr="00FD1187">
        <w:rPr>
          <w:rFonts w:ascii="Times New Roman" w:hAnsi="Times New Roman" w:cs="Times New Roman"/>
          <w:color w:val="000000" w:themeColor="text1"/>
          <w:sz w:val="24"/>
          <w:szCs w:val="24"/>
        </w:rPr>
        <w:t>lp students identify gaps in understanding — has been shown to improve learning outcomes significantly when integrated into the learning process itself rather than applied only at the end of a course.</w:t>
      </w:r>
    </w:p>
    <w:p w14:paraId="49B59FCA" w14:textId="31C8BDEC" w:rsid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Multiple Choice Questions (MCQs) are among the most wid</w:t>
      </w:r>
      <w:r w:rsidRPr="00FD1187">
        <w:rPr>
          <w:rFonts w:ascii="Times New Roman" w:hAnsi="Times New Roman" w:cs="Times New Roman"/>
          <w:color w:val="000000" w:themeColor="text1"/>
          <w:sz w:val="24"/>
          <w:szCs w:val="24"/>
        </w:rPr>
        <w:t>ely used formats for formative assessment in health sciences education. When well-constructed, MCQs can assess recall, application, and higher-order reasoning. Integrating MCQs directly into digital learning platforms allows for immediate feedback, which r</w:t>
      </w:r>
      <w:r w:rsidRPr="00FD1187">
        <w:rPr>
          <w:rFonts w:ascii="Times New Roman" w:hAnsi="Times New Roman" w:cs="Times New Roman"/>
          <w:color w:val="000000" w:themeColor="text1"/>
          <w:sz w:val="24"/>
          <w:szCs w:val="24"/>
        </w:rPr>
        <w:t xml:space="preserve">einforces correct understanding and promptly corrects misconceptions — a feature that traditional post-experiment journal evaluation rarely provides.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assessment module was designed with these principles in mind.</w:t>
      </w:r>
    </w:p>
    <w:p w14:paraId="2FEC3C3D"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02ECAF05"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08C774E8"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37E5D7EF"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57BFEA76" w14:textId="66DC98FC"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 MATERIALS AND METHODS</w:t>
      </w:r>
    </w:p>
    <w:p w14:paraId="7892A826"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3.1 Study Design</w:t>
      </w:r>
    </w:p>
    <w:p w14:paraId="2D49C09A"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This study was designed as a prototype development and evaluation study following a mixed-methods approach. The development phase involved design, iterative prototyping, and functional testing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mobile application. The evalua</w:t>
      </w:r>
      <w:r w:rsidRPr="00FD1187">
        <w:rPr>
          <w:rFonts w:ascii="Times New Roman" w:hAnsi="Times New Roman" w:cs="Times New Roman"/>
          <w:color w:val="000000" w:themeColor="text1"/>
          <w:sz w:val="24"/>
          <w:szCs w:val="24"/>
        </w:rPr>
        <w:t>tion phase involved a cross-sectional, questionnaire-based survey administered to undergraduate pharmacy students following a structured demonstration of the prototype. Ethical principles including voluntary participation and anonymity of responses were ma</w:t>
      </w:r>
      <w:r w:rsidRPr="00FD1187">
        <w:rPr>
          <w:rFonts w:ascii="Times New Roman" w:hAnsi="Times New Roman" w:cs="Times New Roman"/>
          <w:color w:val="000000" w:themeColor="text1"/>
          <w:sz w:val="24"/>
          <w:szCs w:val="24"/>
        </w:rPr>
        <w:t>intained throughout.</w:t>
      </w:r>
    </w:p>
    <w:p w14:paraId="016EA519"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3.2 Prototype Architecture and Workflow</w:t>
      </w:r>
    </w:p>
    <w:p w14:paraId="0CC058B2"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was conceptualised as a modular mobile application in which each pharmaceutical experiment is treated as a structured learning unit, accessible through a central dashboard. The applicati</w:t>
      </w:r>
      <w:r w:rsidRPr="00FD1187">
        <w:rPr>
          <w:rFonts w:ascii="Times New Roman" w:hAnsi="Times New Roman" w:cs="Times New Roman"/>
          <w:color w:val="000000" w:themeColor="text1"/>
          <w:sz w:val="24"/>
          <w:szCs w:val="24"/>
        </w:rPr>
        <w:t>on’s workflow was designed to mirror the natural sequence of a laboratory session — moving from preparation and understanding to execution, observation, and finally, self-assessment.</w:t>
      </w:r>
    </w:p>
    <w:p w14:paraId="4A176960" w14:textId="77777777" w:rsidR="00736127" w:rsidRPr="00FD1187" w:rsidRDefault="00736127" w:rsidP="00F52B5B">
      <w:pPr>
        <w:spacing w:before="60" w:after="60" w:line="276" w:lineRule="auto"/>
        <w:jc w:val="both"/>
        <w:rPr>
          <w:rFonts w:ascii="Times New Roman" w:hAnsi="Times New Roman" w:cs="Times New Roman"/>
          <w:color w:val="000000" w:themeColor="text1"/>
          <w:sz w:val="24"/>
          <w:szCs w:val="24"/>
        </w:rPr>
      </w:pPr>
    </w:p>
    <w:p w14:paraId="7F325C81"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user workflow proceeds as follows:</w:t>
      </w:r>
    </w:p>
    <w:p w14:paraId="4A13B41A" w14:textId="77777777" w:rsidR="00736127" w:rsidRPr="00FD118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Mode Selection: On launch, the us</w:t>
      </w:r>
      <w:r w:rsidRPr="00FD1187">
        <w:rPr>
          <w:rFonts w:ascii="Times New Roman" w:hAnsi="Times New Roman" w:cs="Times New Roman"/>
          <w:color w:val="000000" w:themeColor="text1"/>
          <w:sz w:val="24"/>
          <w:szCs w:val="24"/>
        </w:rPr>
        <w:t>er selects either Student Mode or Teacher Mode. Teacher Mode provides access to experiment management and student performance overview features, while Student Mode guides the learner through the experiment learning pathway.</w:t>
      </w:r>
    </w:p>
    <w:p w14:paraId="70F1315E" w14:textId="77777777" w:rsidR="00736127" w:rsidRPr="00FD118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Authentication: Users log in usi</w:t>
      </w:r>
      <w:r w:rsidRPr="00FD1187">
        <w:rPr>
          <w:rFonts w:ascii="Times New Roman" w:hAnsi="Times New Roman" w:cs="Times New Roman"/>
          <w:color w:val="000000" w:themeColor="text1"/>
          <w:sz w:val="24"/>
          <w:szCs w:val="24"/>
        </w:rPr>
        <w:t>ng individual credentials assigned by their institution, ensuring a personalised and secure learning environment.</w:t>
      </w:r>
    </w:p>
    <w:p w14:paraId="6FFFE0E0" w14:textId="77777777" w:rsidR="00736127" w:rsidRPr="00FD118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Experiment Dashboard: After login, users are presented with a dashboard listing available pharmaceutical experiments. Each experiment is repre</w:t>
      </w:r>
      <w:r w:rsidRPr="00FD1187">
        <w:rPr>
          <w:rFonts w:ascii="Times New Roman" w:hAnsi="Times New Roman" w:cs="Times New Roman"/>
          <w:color w:val="000000" w:themeColor="text1"/>
          <w:sz w:val="24"/>
          <w:szCs w:val="24"/>
        </w:rPr>
        <w:t>sented by a card with its name, category, and a brief description.</w:t>
      </w:r>
    </w:p>
    <w:p w14:paraId="4662E9C9" w14:textId="77777777" w:rsidR="00736127" w:rsidRPr="00FD118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Information Module: Selecting an experiment opens a structured information page presenting the aim of the experiment, underlying scientific principle, list of required materials and reagent</w:t>
      </w:r>
      <w:r w:rsidRPr="00FD1187">
        <w:rPr>
          <w:rFonts w:ascii="Times New Roman" w:hAnsi="Times New Roman" w:cs="Times New Roman"/>
          <w:color w:val="000000" w:themeColor="text1"/>
          <w:sz w:val="24"/>
          <w:szCs w:val="24"/>
        </w:rPr>
        <w:t>s, and step-by-step procedure.</w:t>
      </w:r>
    </w:p>
    <w:p w14:paraId="5BAF99F6" w14:textId="77777777" w:rsidR="00736127" w:rsidRPr="00FD118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Virtual Experiment Module: The learner then accesses the VR-compatible demonstration video for that experiment. Videos are produced to capture all relevant procedural steps from a first-person or close-up perspective, enablin</w:t>
      </w:r>
      <w:r w:rsidRPr="00FD1187">
        <w:rPr>
          <w:rFonts w:ascii="Times New Roman" w:hAnsi="Times New Roman" w:cs="Times New Roman"/>
          <w:color w:val="000000" w:themeColor="text1"/>
          <w:sz w:val="24"/>
          <w:szCs w:val="24"/>
        </w:rPr>
        <w:t>g the student to observe fine details that might be difficult to see in a crowded laboratory.</w:t>
      </w:r>
    </w:p>
    <w:p w14:paraId="7AB25951" w14:textId="77777777" w:rsidR="00736127" w:rsidRPr="00FD118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Observation and Result Module: Following the video, students document their observations and are presented with pre-filled result and conclusion templates corresp</w:t>
      </w:r>
      <w:r w:rsidRPr="00FD1187">
        <w:rPr>
          <w:rFonts w:ascii="Times New Roman" w:hAnsi="Times New Roman" w:cs="Times New Roman"/>
          <w:color w:val="000000" w:themeColor="text1"/>
          <w:sz w:val="24"/>
          <w:szCs w:val="24"/>
        </w:rPr>
        <w:t>onding to the experiment.</w:t>
      </w:r>
    </w:p>
    <w:p w14:paraId="2719684C" w14:textId="77777777" w:rsidR="00736127" w:rsidRDefault="00441575"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MCQ Assessment: The learning unit concludes with a set of multiple-choice questions covering key concepts, procedural steps, and interpretive understanding related to the experiment. After submission, students are redirected to </w:t>
      </w:r>
      <w:r w:rsidRPr="00FD1187">
        <w:rPr>
          <w:rFonts w:ascii="Times New Roman" w:hAnsi="Times New Roman" w:cs="Times New Roman"/>
          <w:color w:val="000000" w:themeColor="text1"/>
          <w:sz w:val="24"/>
          <w:szCs w:val="24"/>
        </w:rPr>
        <w:t>the dashboard to choose their next experiment.</w:t>
      </w:r>
    </w:p>
    <w:p w14:paraId="14C2E66E" w14:textId="77777777" w:rsidR="00736127" w:rsidRPr="00FD1187" w:rsidRDefault="00441575" w:rsidP="008C0FEC">
      <w:pPr>
        <w:pStyle w:val="Heading2"/>
        <w:spacing w:before="0"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3.3 Module-Wise Description</w:t>
      </w:r>
    </w:p>
    <w:p w14:paraId="140ED3FE" w14:textId="77777777" w:rsidR="00736127" w:rsidRPr="00FD1187" w:rsidRDefault="00441575" w:rsidP="008C0FEC">
      <w:pPr>
        <w:pStyle w:val="Heading3"/>
        <w:spacing w:before="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3.3.1 User Selection and Authentication Module</w:t>
      </w:r>
    </w:p>
    <w:p w14:paraId="17E77C6F" w14:textId="77777777" w:rsidR="0073612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application opens to a role selection screen from which the user identifies as a student or teacher. This bifurcated access model </w:t>
      </w:r>
      <w:r w:rsidRPr="00FD1187">
        <w:rPr>
          <w:rFonts w:ascii="Times New Roman" w:hAnsi="Times New Roman" w:cs="Times New Roman"/>
          <w:color w:val="000000" w:themeColor="text1"/>
          <w:sz w:val="24"/>
          <w:szCs w:val="24"/>
        </w:rPr>
        <w:t xml:space="preserve">ensures that the platform can serve both learning and instructional needs without a single undifferentiated interface. Authentication is handled through a credential-based login system, providing a degree of security and personalisation appropriate for an </w:t>
      </w:r>
      <w:r w:rsidRPr="00FD1187">
        <w:rPr>
          <w:rFonts w:ascii="Times New Roman" w:hAnsi="Times New Roman" w:cs="Times New Roman"/>
          <w:color w:val="000000" w:themeColor="text1"/>
          <w:sz w:val="24"/>
          <w:szCs w:val="24"/>
        </w:rPr>
        <w:t>institutional learning platform.</w:t>
      </w:r>
    </w:p>
    <w:p w14:paraId="63E0F9B9"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682D7723" w14:textId="34CC06FC" w:rsidR="00C45D73" w:rsidRDefault="00C45D73" w:rsidP="00C45D73">
      <w:pPr>
        <w:spacing w:before="80" w:after="80" w:line="276" w:lineRule="auto"/>
        <w:jc w:val="center"/>
        <w:rPr>
          <w:rFonts w:ascii="Times New Roman" w:hAnsi="Times New Roman" w:cs="Times New Roman"/>
          <w:color w:val="000000" w:themeColor="text1"/>
          <w:sz w:val="24"/>
          <w:szCs w:val="24"/>
        </w:rPr>
      </w:pPr>
      <w:r>
        <w:rPr>
          <w:noProof/>
          <w:lang w:bidi="ar-SA"/>
        </w:rPr>
        <w:drawing>
          <wp:inline distT="0" distB="0" distL="0" distR="0" wp14:anchorId="1234C818" wp14:editId="26AF9A75">
            <wp:extent cx="6172200" cy="2607310"/>
            <wp:effectExtent l="0" t="0" r="0" b="2540"/>
            <wp:docPr id="149024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45658" name=""/>
                    <pic:cNvPicPr/>
                  </pic:nvPicPr>
                  <pic:blipFill>
                    <a:blip r:embed="rId9"/>
                    <a:stretch>
                      <a:fillRect/>
                    </a:stretch>
                  </pic:blipFill>
                  <pic:spPr>
                    <a:xfrm>
                      <a:off x="0" y="0"/>
                      <a:ext cx="6172200" cy="2607310"/>
                    </a:xfrm>
                    <a:prstGeom prst="rect">
                      <a:avLst/>
                    </a:prstGeom>
                  </pic:spPr>
                </pic:pic>
              </a:graphicData>
            </a:graphic>
          </wp:inline>
        </w:drawing>
      </w:r>
    </w:p>
    <w:p w14:paraId="2DB1C6B9" w14:textId="49525272" w:rsidR="00C45D73" w:rsidRPr="008C0FEC" w:rsidRDefault="00C45D73" w:rsidP="008C0FEC">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1: </w:t>
      </w:r>
      <w:r>
        <w:rPr>
          <w:rFonts w:ascii="Times New Roman" w:hAnsi="Times New Roman" w:cs="Times New Roman"/>
          <w:i/>
          <w:iCs/>
          <w:color w:val="000000" w:themeColor="text1"/>
        </w:rPr>
        <w:t>Selection of Mode</w:t>
      </w:r>
    </w:p>
    <w:p w14:paraId="645CD887" w14:textId="62CFE6A6" w:rsidR="00C45D73" w:rsidRDefault="00C45D73" w:rsidP="00C45D73">
      <w:pPr>
        <w:spacing w:before="80" w:after="80" w:line="276" w:lineRule="auto"/>
        <w:jc w:val="center"/>
        <w:rPr>
          <w:rFonts w:ascii="Times New Roman" w:hAnsi="Times New Roman" w:cs="Times New Roman"/>
          <w:color w:val="000000" w:themeColor="text1"/>
          <w:sz w:val="24"/>
          <w:szCs w:val="24"/>
        </w:rPr>
      </w:pPr>
      <w:r>
        <w:rPr>
          <w:noProof/>
          <w:lang w:bidi="ar-SA"/>
        </w:rPr>
        <w:lastRenderedPageBreak/>
        <w:drawing>
          <wp:inline distT="0" distB="0" distL="0" distR="0" wp14:anchorId="5CD05794" wp14:editId="3FB891DA">
            <wp:extent cx="6172200" cy="2640330"/>
            <wp:effectExtent l="0" t="0" r="0" b="7620"/>
            <wp:docPr id="173144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47345" name=""/>
                    <pic:cNvPicPr/>
                  </pic:nvPicPr>
                  <pic:blipFill>
                    <a:blip r:embed="rId10"/>
                    <a:stretch>
                      <a:fillRect/>
                    </a:stretch>
                  </pic:blipFill>
                  <pic:spPr>
                    <a:xfrm>
                      <a:off x="0" y="0"/>
                      <a:ext cx="6172200" cy="2640330"/>
                    </a:xfrm>
                    <a:prstGeom prst="rect">
                      <a:avLst/>
                    </a:prstGeom>
                  </pic:spPr>
                </pic:pic>
              </a:graphicData>
            </a:graphic>
          </wp:inline>
        </w:drawing>
      </w:r>
    </w:p>
    <w:p w14:paraId="25608D87" w14:textId="18216BB2" w:rsidR="00C45D73" w:rsidRPr="00C45D73" w:rsidRDefault="00C45D73" w:rsidP="00C45D73">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2</w:t>
      </w:r>
      <w:r w:rsidRPr="00FD1187">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Authentification</w:t>
      </w:r>
      <w:proofErr w:type="spellEnd"/>
      <w:r>
        <w:rPr>
          <w:rFonts w:ascii="Times New Roman" w:hAnsi="Times New Roman" w:cs="Times New Roman"/>
          <w:i/>
          <w:iCs/>
          <w:color w:val="000000" w:themeColor="text1"/>
        </w:rPr>
        <w:t xml:space="preserve"> of User</w:t>
      </w:r>
    </w:p>
    <w:p w14:paraId="269D7AE7" w14:textId="77777777" w:rsidR="00736127" w:rsidRPr="00FD1187" w:rsidRDefault="00441575"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3.3.2 Experiment Dashboard</w:t>
      </w:r>
    </w:p>
    <w:p w14:paraId="0280BBD3" w14:textId="412870CF" w:rsidR="0073612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dashboard serves as the central navigation hub of the application. It presents all available experiments in a visually </w:t>
      </w:r>
      <w:r w:rsidRPr="00FD1187">
        <w:rPr>
          <w:rFonts w:ascii="Times New Roman" w:hAnsi="Times New Roman" w:cs="Times New Roman"/>
          <w:color w:val="000000" w:themeColor="text1"/>
          <w:sz w:val="24"/>
          <w:szCs w:val="24"/>
        </w:rPr>
        <w:t>organised format, allowing students to browse by category or search by name. Each experiment entry includes a brief description to help students contextualise their selection before proceeding.</w:t>
      </w:r>
    </w:p>
    <w:p w14:paraId="674D0410"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2ACE4D4B" w14:textId="7B450CB5" w:rsidR="00C45D73" w:rsidRDefault="00C45D73" w:rsidP="00F52B5B">
      <w:pPr>
        <w:spacing w:before="80" w:after="80" w:line="276" w:lineRule="auto"/>
        <w:jc w:val="both"/>
        <w:rPr>
          <w:rFonts w:ascii="Times New Roman" w:hAnsi="Times New Roman" w:cs="Times New Roman"/>
          <w:color w:val="000000" w:themeColor="text1"/>
          <w:sz w:val="24"/>
          <w:szCs w:val="24"/>
        </w:rPr>
      </w:pPr>
      <w:r>
        <w:rPr>
          <w:noProof/>
          <w:lang w:bidi="ar-SA"/>
        </w:rPr>
        <w:drawing>
          <wp:inline distT="0" distB="0" distL="0" distR="0" wp14:anchorId="23056D46" wp14:editId="79857693">
            <wp:extent cx="6172200" cy="2607310"/>
            <wp:effectExtent l="0" t="0" r="0" b="2540"/>
            <wp:docPr id="21650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02761" name=""/>
                    <pic:cNvPicPr/>
                  </pic:nvPicPr>
                  <pic:blipFill>
                    <a:blip r:embed="rId11"/>
                    <a:stretch>
                      <a:fillRect/>
                    </a:stretch>
                  </pic:blipFill>
                  <pic:spPr>
                    <a:xfrm>
                      <a:off x="0" y="0"/>
                      <a:ext cx="6172200" cy="2607310"/>
                    </a:xfrm>
                    <a:prstGeom prst="rect">
                      <a:avLst/>
                    </a:prstGeom>
                  </pic:spPr>
                </pic:pic>
              </a:graphicData>
            </a:graphic>
          </wp:inline>
        </w:drawing>
      </w:r>
    </w:p>
    <w:p w14:paraId="23A47618" w14:textId="241EE3FB" w:rsidR="00C45D73" w:rsidRDefault="00C45D73" w:rsidP="00C45D73">
      <w:pPr>
        <w:spacing w:before="40" w:after="160" w:line="276" w:lineRule="auto"/>
        <w:jc w:val="center"/>
        <w:rPr>
          <w:rFonts w:ascii="Times New Roman" w:hAnsi="Times New Roman" w:cs="Times New Roman"/>
          <w:color w:val="000000" w:themeColor="text1"/>
          <w:sz w:val="24"/>
          <w:szCs w:val="24"/>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 xml:space="preserve">List of </w:t>
      </w:r>
      <w:proofErr w:type="spellStart"/>
      <w:r>
        <w:rPr>
          <w:rFonts w:ascii="Times New Roman" w:hAnsi="Times New Roman" w:cs="Times New Roman"/>
          <w:i/>
          <w:iCs/>
          <w:color w:val="000000" w:themeColor="text1"/>
        </w:rPr>
        <w:t>Expriments</w:t>
      </w:r>
      <w:proofErr w:type="spellEnd"/>
    </w:p>
    <w:p w14:paraId="4D022C46"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4CD0602F" w14:textId="457430A8" w:rsidR="00C45D73" w:rsidRDefault="00C45D73" w:rsidP="00F52B5B">
      <w:pPr>
        <w:spacing w:before="80" w:after="80" w:line="276" w:lineRule="auto"/>
        <w:jc w:val="both"/>
        <w:rPr>
          <w:rFonts w:ascii="Times New Roman" w:hAnsi="Times New Roman" w:cs="Times New Roman"/>
          <w:color w:val="000000" w:themeColor="text1"/>
          <w:sz w:val="24"/>
          <w:szCs w:val="24"/>
        </w:rPr>
      </w:pPr>
      <w:r>
        <w:rPr>
          <w:noProof/>
          <w:lang w:bidi="ar-SA"/>
        </w:rPr>
        <w:lastRenderedPageBreak/>
        <w:drawing>
          <wp:inline distT="0" distB="0" distL="0" distR="0" wp14:anchorId="157B669D" wp14:editId="202E628F">
            <wp:extent cx="6172200" cy="2593975"/>
            <wp:effectExtent l="0" t="0" r="0" b="0"/>
            <wp:docPr id="92371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9473" name=""/>
                    <pic:cNvPicPr/>
                  </pic:nvPicPr>
                  <pic:blipFill>
                    <a:blip r:embed="rId12"/>
                    <a:stretch>
                      <a:fillRect/>
                    </a:stretch>
                  </pic:blipFill>
                  <pic:spPr>
                    <a:xfrm>
                      <a:off x="0" y="0"/>
                      <a:ext cx="6172200" cy="2593975"/>
                    </a:xfrm>
                    <a:prstGeom prst="rect">
                      <a:avLst/>
                    </a:prstGeom>
                  </pic:spPr>
                </pic:pic>
              </a:graphicData>
            </a:graphic>
          </wp:inline>
        </w:drawing>
      </w:r>
    </w:p>
    <w:p w14:paraId="537E0EA6" w14:textId="0799C43E" w:rsidR="00C45D73" w:rsidRDefault="00C45D73" w:rsidP="008107E1">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4</w:t>
      </w:r>
      <w:r w:rsidRPr="00FD1187">
        <w:rPr>
          <w:rFonts w:ascii="Times New Roman" w:hAnsi="Times New Roman" w:cs="Times New Roman"/>
          <w:i/>
          <w:iCs/>
          <w:color w:val="000000" w:themeColor="text1"/>
        </w:rPr>
        <w:t xml:space="preserve">: </w:t>
      </w:r>
      <w:r w:rsidR="008107E1">
        <w:rPr>
          <w:rFonts w:ascii="Times New Roman" w:hAnsi="Times New Roman" w:cs="Times New Roman"/>
          <w:i/>
          <w:iCs/>
          <w:color w:val="000000" w:themeColor="text1"/>
        </w:rPr>
        <w:t>Selected Experiment</w:t>
      </w:r>
    </w:p>
    <w:p w14:paraId="581EFDDF" w14:textId="77777777" w:rsidR="008C0FEC" w:rsidRDefault="008C0FEC" w:rsidP="008107E1">
      <w:pPr>
        <w:spacing w:before="40" w:after="160" w:line="276" w:lineRule="auto"/>
        <w:jc w:val="center"/>
        <w:rPr>
          <w:rFonts w:ascii="Times New Roman" w:hAnsi="Times New Roman" w:cs="Times New Roman"/>
          <w:i/>
          <w:iCs/>
          <w:color w:val="000000" w:themeColor="text1"/>
        </w:rPr>
      </w:pPr>
    </w:p>
    <w:p w14:paraId="2ECFC33F" w14:textId="77777777" w:rsidR="008C0FEC" w:rsidRPr="00FD1187" w:rsidRDefault="008C0FEC" w:rsidP="008107E1">
      <w:pPr>
        <w:spacing w:before="40" w:after="160" w:line="276" w:lineRule="auto"/>
        <w:jc w:val="center"/>
        <w:rPr>
          <w:rFonts w:ascii="Times New Roman" w:hAnsi="Times New Roman" w:cs="Times New Roman"/>
          <w:color w:val="000000" w:themeColor="text1"/>
          <w:sz w:val="24"/>
          <w:szCs w:val="24"/>
        </w:rPr>
      </w:pPr>
    </w:p>
    <w:p w14:paraId="1FB24135" w14:textId="77777777" w:rsidR="00736127" w:rsidRPr="00FD1187" w:rsidRDefault="00441575"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3.3.3 Information Module</w:t>
      </w:r>
    </w:p>
    <w:p w14:paraId="147C4089" w14:textId="77777777" w:rsidR="0073612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information module is designed as a structured pre-lab resource. It presents the aim of the experiment — framed as a specific, measurable learning goal — followed by the scientific principle underlying the procedure, a compr</w:t>
      </w:r>
      <w:r w:rsidRPr="00FD1187">
        <w:rPr>
          <w:rFonts w:ascii="Times New Roman" w:hAnsi="Times New Roman" w:cs="Times New Roman"/>
          <w:color w:val="000000" w:themeColor="text1"/>
          <w:sz w:val="24"/>
          <w:szCs w:val="24"/>
        </w:rPr>
        <w:t>ehensive list of chemicals, instruments, and glassware required, and a detailed, sequentially numbered procedure. This module is intended to replace or supplement the traditional reading of printed laboratory manuals, with the added advantage of being avai</w:t>
      </w:r>
      <w:r w:rsidRPr="00FD1187">
        <w:rPr>
          <w:rFonts w:ascii="Times New Roman" w:hAnsi="Times New Roman" w:cs="Times New Roman"/>
          <w:color w:val="000000" w:themeColor="text1"/>
          <w:sz w:val="24"/>
          <w:szCs w:val="24"/>
        </w:rPr>
        <w:t>lable on the student’s own device at any time.</w:t>
      </w:r>
    </w:p>
    <w:p w14:paraId="50CE772A"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74CC4A78" w14:textId="6A58BE18" w:rsidR="00C45D73" w:rsidRDefault="00C45D73" w:rsidP="00F52B5B">
      <w:pPr>
        <w:spacing w:before="80" w:after="80" w:line="276" w:lineRule="auto"/>
        <w:jc w:val="both"/>
        <w:rPr>
          <w:rFonts w:ascii="Times New Roman" w:hAnsi="Times New Roman" w:cs="Times New Roman"/>
          <w:color w:val="000000" w:themeColor="text1"/>
          <w:sz w:val="24"/>
          <w:szCs w:val="24"/>
        </w:rPr>
      </w:pPr>
      <w:r>
        <w:rPr>
          <w:noProof/>
          <w:lang w:bidi="ar-SA"/>
        </w:rPr>
        <w:drawing>
          <wp:inline distT="0" distB="0" distL="0" distR="0" wp14:anchorId="6981957A" wp14:editId="2F2139D8">
            <wp:extent cx="6172200" cy="2626995"/>
            <wp:effectExtent l="0" t="0" r="0" b="1905"/>
            <wp:docPr id="162889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92491" name=""/>
                    <pic:cNvPicPr/>
                  </pic:nvPicPr>
                  <pic:blipFill>
                    <a:blip r:embed="rId13"/>
                    <a:stretch>
                      <a:fillRect/>
                    </a:stretch>
                  </pic:blipFill>
                  <pic:spPr>
                    <a:xfrm>
                      <a:off x="0" y="0"/>
                      <a:ext cx="6172200" cy="2626995"/>
                    </a:xfrm>
                    <a:prstGeom prst="rect">
                      <a:avLst/>
                    </a:prstGeom>
                  </pic:spPr>
                </pic:pic>
              </a:graphicData>
            </a:graphic>
          </wp:inline>
        </w:drawing>
      </w:r>
    </w:p>
    <w:p w14:paraId="7B5D617A" w14:textId="119012D1" w:rsidR="00C45D73" w:rsidRDefault="008107E1" w:rsidP="00C45D73">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 5</w:t>
      </w:r>
      <w:r w:rsidR="00C45D73"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Information of Experiments</w:t>
      </w:r>
    </w:p>
    <w:p w14:paraId="711B656D" w14:textId="77777777" w:rsidR="008107E1" w:rsidRPr="00FD1187" w:rsidRDefault="008107E1" w:rsidP="00C45D73">
      <w:pPr>
        <w:spacing w:before="40" w:after="160" w:line="276" w:lineRule="auto"/>
        <w:jc w:val="center"/>
        <w:rPr>
          <w:rFonts w:ascii="Times New Roman" w:hAnsi="Times New Roman" w:cs="Times New Roman"/>
          <w:color w:val="000000" w:themeColor="text1"/>
          <w:sz w:val="24"/>
          <w:szCs w:val="24"/>
        </w:rPr>
      </w:pPr>
    </w:p>
    <w:p w14:paraId="7DC48DAD" w14:textId="77777777" w:rsidR="00736127" w:rsidRPr="00FD1187" w:rsidRDefault="00441575"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3.3.4 Virtual Experiment Module</w:t>
      </w:r>
    </w:p>
    <w:p w14:paraId="787C11BE" w14:textId="06CDCEBE"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This is the most distinctive and immersive component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The module presents a VR-compatible video demonstration of the experiment, filmed to capture all critical procedural steps clearly and sequentially. The videos are compatible with standard VR viewer cardboard accessories, enabling a stereoscopic vie</w:t>
      </w:r>
      <w:r w:rsidRPr="00FD1187">
        <w:rPr>
          <w:rFonts w:ascii="Times New Roman" w:hAnsi="Times New Roman" w:cs="Times New Roman"/>
          <w:color w:val="000000" w:themeColor="text1"/>
          <w:sz w:val="24"/>
          <w:szCs w:val="24"/>
        </w:rPr>
        <w:t>wing experience on standard smartphones. Students who do not have access to a cardboard viewer can still watch the video in standard 2D mode. The demonstrations include voiceover commentary</w:t>
      </w:r>
      <w:r w:rsidR="00FD1187">
        <w:rPr>
          <w:rFonts w:ascii="Times New Roman" w:hAnsi="Times New Roman" w:cs="Times New Roman"/>
          <w:color w:val="000000" w:themeColor="text1"/>
          <w:sz w:val="24"/>
          <w:szCs w:val="24"/>
        </w:rPr>
        <w:t xml:space="preserve"> </w:t>
      </w:r>
      <w:r w:rsidRPr="00FD1187">
        <w:rPr>
          <w:rFonts w:ascii="Times New Roman" w:hAnsi="Times New Roman" w:cs="Times New Roman"/>
          <w:color w:val="000000" w:themeColor="text1"/>
          <w:sz w:val="24"/>
          <w:szCs w:val="24"/>
        </w:rPr>
        <w:t>and close-up shots of critical steps</w:t>
      </w:r>
      <w:r w:rsidR="00FD1187">
        <w:rPr>
          <w:rFonts w:ascii="Times New Roman" w:hAnsi="Times New Roman" w:cs="Times New Roman"/>
          <w:color w:val="000000" w:themeColor="text1"/>
          <w:sz w:val="24"/>
          <w:szCs w:val="24"/>
        </w:rPr>
        <w:t>.</w:t>
      </w:r>
    </w:p>
    <w:p w14:paraId="4AC19571" w14:textId="77777777" w:rsidR="00736127" w:rsidRPr="00FD1187" w:rsidRDefault="00441575"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3.3.5 Observation and Result</w:t>
      </w:r>
      <w:r w:rsidRPr="00FD1187">
        <w:rPr>
          <w:rFonts w:ascii="Times New Roman" w:hAnsi="Times New Roman" w:cs="Times New Roman"/>
          <w:i/>
          <w:iCs/>
          <w:color w:val="000000" w:themeColor="text1"/>
          <w:sz w:val="24"/>
          <w:szCs w:val="24"/>
        </w:rPr>
        <w:t xml:space="preserve"> Module</w:t>
      </w:r>
    </w:p>
    <w:p w14:paraId="6DFB0376" w14:textId="430EF411" w:rsidR="00C45D73"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After engaging with the virtual demonstration, students are guided to the observation module where they can document what they observed during the video. The module provides structured templates for recording tabular observations, visual changes, a</w:t>
      </w:r>
      <w:r w:rsidRPr="00FD1187">
        <w:rPr>
          <w:rFonts w:ascii="Times New Roman" w:hAnsi="Times New Roman" w:cs="Times New Roman"/>
          <w:color w:val="000000" w:themeColor="text1"/>
          <w:sz w:val="24"/>
          <w:szCs w:val="24"/>
        </w:rPr>
        <w:t>nd quantitative results. Pre-filled result summaries and interpretive conclusions are also displayed to help students verify their understanding and compare their observations with the expected outcomes. This approach encourages reflective learning and hel</w:t>
      </w:r>
      <w:r w:rsidRPr="00FD1187">
        <w:rPr>
          <w:rFonts w:ascii="Times New Roman" w:hAnsi="Times New Roman" w:cs="Times New Roman"/>
          <w:color w:val="000000" w:themeColor="text1"/>
          <w:sz w:val="24"/>
          <w:szCs w:val="24"/>
        </w:rPr>
        <w:t>ps students identify discrepancies in their understanding before they attempt the assessment.</w:t>
      </w:r>
    </w:p>
    <w:p w14:paraId="29451AC7" w14:textId="77777777" w:rsidR="00736127" w:rsidRPr="00FD1187" w:rsidRDefault="00441575"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3.3.6 MCQ Assessment Module</w:t>
      </w:r>
    </w:p>
    <w:p w14:paraId="5B21075A"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assessment module presents a curated set of multiple-choice questions covering the experiment’s conceptual basis, procedural logic</w:t>
      </w:r>
      <w:r w:rsidRPr="00FD1187">
        <w:rPr>
          <w:rFonts w:ascii="Times New Roman" w:hAnsi="Times New Roman" w:cs="Times New Roman"/>
          <w:color w:val="000000" w:themeColor="text1"/>
          <w:sz w:val="24"/>
          <w:szCs w:val="24"/>
        </w:rPr>
        <w:t>, safety considerations, and result interpretation. Questions are presented one at a time to encourage thoughtful engagement. After answering each question, students receive immediate feedback indicating whether their response was correct and, where releva</w:t>
      </w:r>
      <w:r w:rsidRPr="00FD1187">
        <w:rPr>
          <w:rFonts w:ascii="Times New Roman" w:hAnsi="Times New Roman" w:cs="Times New Roman"/>
          <w:color w:val="000000" w:themeColor="text1"/>
          <w:sz w:val="24"/>
          <w:szCs w:val="24"/>
        </w:rPr>
        <w:t>nt, a brief explanation of the correct answer. At the end of the assessment, students receive a summary score along with performance feedback, encouraging self-reflection and further study where needed.</w:t>
      </w:r>
    </w:p>
    <w:p w14:paraId="1D23F757"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3.4 Study Population and Sampling</w:t>
      </w:r>
    </w:p>
    <w:p w14:paraId="07D490D0" w14:textId="3DDA0E43"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study populatio</w:t>
      </w:r>
      <w:r w:rsidRPr="00FD1187">
        <w:rPr>
          <w:rFonts w:ascii="Times New Roman" w:hAnsi="Times New Roman" w:cs="Times New Roman"/>
          <w:color w:val="000000" w:themeColor="text1"/>
          <w:sz w:val="24"/>
          <w:szCs w:val="24"/>
        </w:rPr>
        <w:t>n comprised undergraduate students enrolled in the Bachelor of Pharmacy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programme. Participants were aged between </w:t>
      </w:r>
      <w:r w:rsidR="00FD1187">
        <w:rPr>
          <w:rFonts w:ascii="Times New Roman" w:hAnsi="Times New Roman" w:cs="Times New Roman"/>
          <w:color w:val="000000" w:themeColor="text1"/>
          <w:sz w:val="24"/>
          <w:szCs w:val="24"/>
        </w:rPr>
        <w:t>20</w:t>
      </w:r>
      <w:r w:rsidRPr="00FD1187">
        <w:rPr>
          <w:rFonts w:ascii="Times New Roman" w:hAnsi="Times New Roman" w:cs="Times New Roman"/>
          <w:color w:val="000000" w:themeColor="text1"/>
          <w:sz w:val="24"/>
          <w:szCs w:val="24"/>
        </w:rPr>
        <w:t xml:space="preserve"> and 2</w:t>
      </w:r>
      <w:r w:rsidR="00FD1187">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 years and had prior experience with conventional laboratory sessions. A total of </w:t>
      </w:r>
      <w:r w:rsidR="008C0FEC">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students voluntarily participated in t</w:t>
      </w:r>
      <w:r w:rsidRPr="00FD1187">
        <w:rPr>
          <w:rFonts w:ascii="Times New Roman" w:hAnsi="Times New Roman" w:cs="Times New Roman"/>
          <w:color w:val="000000" w:themeColor="text1"/>
          <w:sz w:val="24"/>
          <w:szCs w:val="24"/>
        </w:rPr>
        <w:t xml:space="preserve">he evaluation study following a structured demonstration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prototype. Participants were briefed on the study’s purpose, and written or verbal consent was obtained prior to data collection. Participation was entirely voluntary, and no academic</w:t>
      </w:r>
      <w:r w:rsidRPr="00FD1187">
        <w:rPr>
          <w:rFonts w:ascii="Times New Roman" w:hAnsi="Times New Roman" w:cs="Times New Roman"/>
          <w:color w:val="000000" w:themeColor="text1"/>
          <w:sz w:val="24"/>
          <w:szCs w:val="24"/>
        </w:rPr>
        <w:t xml:space="preserve"> incentives or penalties were associated with inclusion or exclusion.</w:t>
      </w:r>
    </w:p>
    <w:p w14:paraId="00C424A1"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3.5 Data Collection Procedure</w:t>
      </w:r>
    </w:p>
    <w:p w14:paraId="30D25EED" w14:textId="73820F4A" w:rsidR="00736127" w:rsidRPr="00FD1187" w:rsidRDefault="00441575" w:rsidP="008C0FEC">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Prior to administering the survey, participants were given a guided demonstration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prototype lasting approximately </w:t>
      </w:r>
      <w:r w:rsidR="00FD1187">
        <w:rPr>
          <w:rFonts w:ascii="Times New Roman" w:hAnsi="Times New Roman" w:cs="Times New Roman"/>
          <w:color w:val="000000" w:themeColor="text1"/>
          <w:sz w:val="24"/>
          <w:szCs w:val="24"/>
        </w:rPr>
        <w:t>10</w:t>
      </w:r>
      <w:r w:rsidRPr="00FD1187">
        <w:rPr>
          <w:rFonts w:ascii="Times New Roman" w:hAnsi="Times New Roman" w:cs="Times New Roman"/>
          <w:color w:val="000000" w:themeColor="text1"/>
          <w:sz w:val="24"/>
          <w:szCs w:val="24"/>
        </w:rPr>
        <w:t>–</w:t>
      </w:r>
      <w:r w:rsidR="00FD1187">
        <w:rPr>
          <w:rFonts w:ascii="Times New Roman" w:hAnsi="Times New Roman" w:cs="Times New Roman"/>
          <w:color w:val="000000" w:themeColor="text1"/>
          <w:sz w:val="24"/>
          <w:szCs w:val="24"/>
        </w:rPr>
        <w:t>1</w:t>
      </w:r>
      <w:r w:rsidRPr="00FD1187">
        <w:rPr>
          <w:rFonts w:ascii="Times New Roman" w:hAnsi="Times New Roman" w:cs="Times New Roman"/>
          <w:color w:val="000000" w:themeColor="text1"/>
          <w:sz w:val="24"/>
          <w:szCs w:val="24"/>
        </w:rPr>
        <w:t xml:space="preserve">5 minutes. The </w:t>
      </w:r>
      <w:r w:rsidRPr="00FD1187">
        <w:rPr>
          <w:rFonts w:ascii="Times New Roman" w:hAnsi="Times New Roman" w:cs="Times New Roman"/>
          <w:color w:val="000000" w:themeColor="text1"/>
          <w:sz w:val="24"/>
          <w:szCs w:val="24"/>
        </w:rPr>
        <w:t xml:space="preserve">demonstration covered all major modules of the </w:t>
      </w:r>
      <w:r w:rsidRPr="00FD1187">
        <w:rPr>
          <w:rFonts w:ascii="Times New Roman" w:hAnsi="Times New Roman" w:cs="Times New Roman"/>
          <w:color w:val="000000" w:themeColor="text1"/>
          <w:sz w:val="24"/>
          <w:szCs w:val="24"/>
        </w:rPr>
        <w:lastRenderedPageBreak/>
        <w:t>application and included a sample walkthrough of one complete experiment from the information module through to the MCQ assessment. Participants were encouraged to interact with the prototype on available devi</w:t>
      </w:r>
      <w:r w:rsidRPr="00FD1187">
        <w:rPr>
          <w:rFonts w:ascii="Times New Roman" w:hAnsi="Times New Roman" w:cs="Times New Roman"/>
          <w:color w:val="000000" w:themeColor="text1"/>
          <w:sz w:val="24"/>
          <w:szCs w:val="24"/>
        </w:rPr>
        <w:t>ces during the demonstration, and queries were addressed by the research team.</w:t>
      </w:r>
    </w:p>
    <w:p w14:paraId="11907627" w14:textId="429404F4"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Following the demonstration, participants completed a structured questionnaire covering their experience with the prototype. The questionnaire was distributed in digital formats</w:t>
      </w:r>
      <w:r w:rsidRPr="00FD1187">
        <w:rPr>
          <w:rFonts w:ascii="Times New Roman" w:hAnsi="Times New Roman" w:cs="Times New Roman"/>
          <w:color w:val="000000" w:themeColor="text1"/>
          <w:sz w:val="24"/>
          <w:szCs w:val="24"/>
        </w:rPr>
        <w:t xml:space="preserve"> to accommodate participant preferences. Responses were anonymous and self-reported.</w:t>
      </w:r>
    </w:p>
    <w:p w14:paraId="6E1177A7"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3.6 Evaluation Parameters and Measurement Tool</w:t>
      </w:r>
    </w:p>
    <w:p w14:paraId="2F28386E"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questionnaire was developed based on established educational technology evaluation frameworks and adapted to the specifi</w:t>
      </w:r>
      <w:r w:rsidRPr="00FD1187">
        <w:rPr>
          <w:rFonts w:ascii="Times New Roman" w:hAnsi="Times New Roman" w:cs="Times New Roman"/>
          <w:color w:val="000000" w:themeColor="text1"/>
          <w:sz w:val="24"/>
          <w:szCs w:val="24"/>
        </w:rPr>
        <w:t>c context of pharmacy practical learning. Six key parameters were evaluated:</w:t>
      </w:r>
    </w:p>
    <w:p w14:paraId="3509AA0E"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Ease of Use – reflecting the navigability and intuitive design of the application.</w:t>
      </w:r>
    </w:p>
    <w:p w14:paraId="4ECDA99C"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Visual Appeal – capturing the aesthetic quality and clarity of the interface and demonstration v</w:t>
      </w:r>
      <w:r w:rsidRPr="00FD1187">
        <w:rPr>
          <w:rFonts w:ascii="Times New Roman" w:hAnsi="Times New Roman" w:cs="Times New Roman"/>
          <w:color w:val="000000" w:themeColor="text1"/>
          <w:sz w:val="24"/>
          <w:szCs w:val="24"/>
        </w:rPr>
        <w:t>ideos.</w:t>
      </w:r>
    </w:p>
    <w:p w14:paraId="42F0AD4C"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Learning Effectiveness – assessing the degree to which students felt the platform helped them understand experimental procedures.</w:t>
      </w:r>
    </w:p>
    <w:p w14:paraId="26351E78"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Engagement – measuring the level of interest and attention the platform sustained during use.</w:t>
      </w:r>
    </w:p>
    <w:p w14:paraId="5EDE9D9C"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Innovation – reflecting </w:t>
      </w:r>
      <w:r w:rsidRPr="00FD1187">
        <w:rPr>
          <w:rFonts w:ascii="Times New Roman" w:hAnsi="Times New Roman" w:cs="Times New Roman"/>
          <w:color w:val="000000" w:themeColor="text1"/>
          <w:sz w:val="24"/>
          <w:szCs w:val="24"/>
        </w:rPr>
        <w:t>students’ perception of the novelty and originality of the platform compared to conventional learning resources.</w:t>
      </w:r>
    </w:p>
    <w:p w14:paraId="1D515678"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Practical Usefulness – evaluating the perceived applicability of the platform to actual pharmacy study and examination preparation.</w:t>
      </w:r>
    </w:p>
    <w:p w14:paraId="546F098B" w14:textId="77777777" w:rsidR="00736127" w:rsidRPr="00FD1187" w:rsidRDefault="00736127" w:rsidP="00F52B5B">
      <w:pPr>
        <w:spacing w:before="60" w:after="60" w:line="276" w:lineRule="auto"/>
        <w:jc w:val="both"/>
        <w:rPr>
          <w:rFonts w:ascii="Times New Roman" w:hAnsi="Times New Roman" w:cs="Times New Roman"/>
          <w:color w:val="000000" w:themeColor="text1"/>
          <w:sz w:val="24"/>
          <w:szCs w:val="24"/>
        </w:rPr>
      </w:pPr>
    </w:p>
    <w:p w14:paraId="42CDEC11"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Responses </w:t>
      </w:r>
      <w:r w:rsidRPr="00FD1187">
        <w:rPr>
          <w:rFonts w:ascii="Times New Roman" w:hAnsi="Times New Roman" w:cs="Times New Roman"/>
          <w:color w:val="000000" w:themeColor="text1"/>
          <w:sz w:val="24"/>
          <w:szCs w:val="24"/>
        </w:rPr>
        <w:t>were recorded on a five-point Likert scale as described in the following table:</w:t>
      </w:r>
    </w:p>
    <w:p w14:paraId="70E62875" w14:textId="77777777" w:rsidR="00736127" w:rsidRPr="00FD1187" w:rsidRDefault="00736127" w:rsidP="00F52B5B">
      <w:pPr>
        <w:spacing w:before="80" w:after="80" w:line="276" w:lineRule="auto"/>
        <w:jc w:val="both"/>
        <w:rPr>
          <w:rFonts w:ascii="Times New Roman" w:hAnsi="Times New Roman" w:cs="Times New Roman"/>
          <w:color w:val="000000" w:themeColor="text1"/>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7560"/>
      </w:tblGrid>
      <w:tr w:rsidR="00736127" w:rsidRPr="00FD1187" w14:paraId="2A2DF71E" w14:textId="77777777" w:rsidTr="008C0FEC">
        <w:trPr>
          <w:jc w:val="center"/>
        </w:trPr>
        <w:tc>
          <w:tcPr>
            <w:tcW w:w="180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48AAFA01" w14:textId="77777777" w:rsidR="00736127" w:rsidRPr="00F52B5B" w:rsidRDefault="00441575" w:rsidP="00F52B5B">
            <w:pPr>
              <w:spacing w:line="276" w:lineRule="auto"/>
              <w:jc w:val="center"/>
              <w:rPr>
                <w:rFonts w:ascii="Times New Roman" w:hAnsi="Times New Roman" w:cs="Times New Roman"/>
                <w:color w:val="FFFFFF" w:themeColor="background1"/>
                <w:sz w:val="24"/>
                <w:szCs w:val="24"/>
              </w:rPr>
            </w:pPr>
            <w:r w:rsidRPr="00F52B5B">
              <w:rPr>
                <w:rFonts w:ascii="Times New Roman" w:hAnsi="Times New Roman" w:cs="Times New Roman"/>
                <w:b/>
                <w:bCs/>
                <w:color w:val="FFFFFF" w:themeColor="background1"/>
                <w:sz w:val="24"/>
                <w:szCs w:val="24"/>
              </w:rPr>
              <w:t>Score</w:t>
            </w:r>
          </w:p>
        </w:tc>
        <w:tc>
          <w:tcPr>
            <w:tcW w:w="756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6245C89C" w14:textId="77777777" w:rsidR="00736127" w:rsidRPr="00F52B5B" w:rsidRDefault="00441575" w:rsidP="00F52B5B">
            <w:pPr>
              <w:spacing w:line="276" w:lineRule="auto"/>
              <w:jc w:val="center"/>
              <w:rPr>
                <w:rFonts w:ascii="Times New Roman" w:hAnsi="Times New Roman" w:cs="Times New Roman"/>
                <w:color w:val="FFFFFF" w:themeColor="background1"/>
                <w:sz w:val="24"/>
                <w:szCs w:val="24"/>
              </w:rPr>
            </w:pPr>
            <w:r w:rsidRPr="00F52B5B">
              <w:rPr>
                <w:rFonts w:ascii="Times New Roman" w:hAnsi="Times New Roman" w:cs="Times New Roman"/>
                <w:b/>
                <w:bCs/>
                <w:color w:val="FFFFFF" w:themeColor="background1"/>
                <w:sz w:val="24"/>
                <w:szCs w:val="24"/>
              </w:rPr>
              <w:t>Interpretation</w:t>
            </w:r>
          </w:p>
        </w:tc>
      </w:tr>
      <w:tr w:rsidR="00736127" w:rsidRPr="00FD1187" w14:paraId="62FC27EB"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406E09B3"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1</w:t>
            </w:r>
          </w:p>
        </w:tc>
        <w:tc>
          <w:tcPr>
            <w:tcW w:w="756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5876DCA9"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Strongly Disagree – the feature is significantly lacking or absent</w:t>
            </w:r>
          </w:p>
        </w:tc>
      </w:tr>
      <w:tr w:rsidR="00736127" w:rsidRPr="00FD1187" w14:paraId="5BB20196"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E944B1E"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2</w:t>
            </w:r>
          </w:p>
        </w:tc>
        <w:tc>
          <w:tcPr>
            <w:tcW w:w="7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1A12BB8E"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Disagree – the feature is below expectation or needs major improvement</w:t>
            </w:r>
          </w:p>
        </w:tc>
      </w:tr>
      <w:tr w:rsidR="00736127" w:rsidRPr="00FD1187" w14:paraId="564DAD95"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56F3D0E0"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3</w:t>
            </w:r>
          </w:p>
        </w:tc>
        <w:tc>
          <w:tcPr>
            <w:tcW w:w="756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2A1051A"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Neutral</w:t>
            </w:r>
            <w:r w:rsidRPr="00FD1187">
              <w:rPr>
                <w:rFonts w:ascii="Times New Roman" w:hAnsi="Times New Roman" w:cs="Times New Roman"/>
                <w:color w:val="000000" w:themeColor="text1"/>
                <w:sz w:val="24"/>
                <w:szCs w:val="24"/>
              </w:rPr>
              <w:t xml:space="preserve"> – the feature meets basic expectations without exceeding them</w:t>
            </w:r>
          </w:p>
        </w:tc>
      </w:tr>
      <w:tr w:rsidR="00736127" w:rsidRPr="00FD1187" w14:paraId="00239450"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D08FF9F"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4</w:t>
            </w:r>
          </w:p>
        </w:tc>
        <w:tc>
          <w:tcPr>
            <w:tcW w:w="7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5D437670"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Agree – the feature performs well and meets most expectations</w:t>
            </w:r>
          </w:p>
        </w:tc>
      </w:tr>
      <w:tr w:rsidR="00736127" w:rsidRPr="00FD1187" w14:paraId="3D3FFA3B"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FFD6A92"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5</w:t>
            </w:r>
          </w:p>
        </w:tc>
        <w:tc>
          <w:tcPr>
            <w:tcW w:w="756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7EE5501"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Strongly Agree – the feature is excellent and exceeds expectations</w:t>
            </w:r>
          </w:p>
        </w:tc>
      </w:tr>
    </w:tbl>
    <w:p w14:paraId="470400D1" w14:textId="77777777" w:rsidR="00F52B5B" w:rsidRDefault="00F52B5B" w:rsidP="00F52B5B">
      <w:pPr>
        <w:spacing w:before="40" w:after="160" w:line="276" w:lineRule="auto"/>
        <w:jc w:val="center"/>
        <w:rPr>
          <w:rFonts w:ascii="Times New Roman" w:hAnsi="Times New Roman" w:cs="Times New Roman"/>
          <w:i/>
          <w:iCs/>
          <w:color w:val="000000" w:themeColor="text1"/>
        </w:rPr>
      </w:pPr>
    </w:p>
    <w:p w14:paraId="385CCD2F" w14:textId="0D491053" w:rsidR="00F52B5B" w:rsidRPr="00FD1187" w:rsidRDefault="00F52B5B" w:rsidP="00F52B5B">
      <w:pPr>
        <w:spacing w:before="40" w:after="160"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rPr>
        <w:t xml:space="preserve">Table 1: Evaluation Scores of </w:t>
      </w:r>
      <w:proofErr w:type="spellStart"/>
      <w:r w:rsidRPr="00FD1187">
        <w:rPr>
          <w:rFonts w:ascii="Times New Roman" w:hAnsi="Times New Roman" w:cs="Times New Roman"/>
          <w:i/>
          <w:iCs/>
          <w:color w:val="000000" w:themeColor="text1"/>
        </w:rPr>
        <w:t>VRx</w:t>
      </w:r>
      <w:proofErr w:type="spellEnd"/>
      <w:r w:rsidRPr="00FD1187">
        <w:rPr>
          <w:rFonts w:ascii="Times New Roman" w:hAnsi="Times New Roman" w:cs="Times New Roman"/>
          <w:i/>
          <w:iCs/>
          <w:color w:val="000000" w:themeColor="text1"/>
        </w:rPr>
        <w:t xml:space="preserve"> Labs </w:t>
      </w:r>
      <w:proofErr w:type="gramStart"/>
      <w:r w:rsidRPr="00FD1187">
        <w:rPr>
          <w:rFonts w:ascii="Times New Roman" w:hAnsi="Times New Roman" w:cs="Times New Roman"/>
          <w:i/>
          <w:iCs/>
          <w:color w:val="000000" w:themeColor="text1"/>
        </w:rPr>
        <w:t>Across</w:t>
      </w:r>
      <w:proofErr w:type="gramEnd"/>
      <w:r w:rsidRPr="00FD1187">
        <w:rPr>
          <w:rFonts w:ascii="Times New Roman" w:hAnsi="Times New Roman" w:cs="Times New Roman"/>
          <w:i/>
          <w:iCs/>
          <w:color w:val="000000" w:themeColor="text1"/>
        </w:rPr>
        <w:t xml:space="preserve"> Parameters (n = </w:t>
      </w:r>
      <w:r>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0)</w:t>
      </w:r>
    </w:p>
    <w:p w14:paraId="7FE9EA2E" w14:textId="4F7F9CCD"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4. RESULTS</w:t>
      </w:r>
    </w:p>
    <w:p w14:paraId="4BC9E557"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4.1 Participant Profile</w:t>
      </w:r>
    </w:p>
    <w:p w14:paraId="1B70138C" w14:textId="1AFD830C"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All </w:t>
      </w:r>
      <w:r w:rsidR="007C1969">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 xml:space="preserve">0 participants who completed the evaluation were enrolled in the undergraduate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programme. The age range of participants was </w:t>
      </w:r>
      <w:r w:rsidR="00FD1187">
        <w:rPr>
          <w:rFonts w:ascii="Times New Roman" w:hAnsi="Times New Roman" w:cs="Times New Roman"/>
          <w:color w:val="000000" w:themeColor="text1"/>
          <w:sz w:val="24"/>
          <w:szCs w:val="24"/>
        </w:rPr>
        <w:t>20</w:t>
      </w:r>
      <w:r w:rsidRPr="00FD1187">
        <w:rPr>
          <w:rFonts w:ascii="Times New Roman" w:hAnsi="Times New Roman" w:cs="Times New Roman"/>
          <w:color w:val="000000" w:themeColor="text1"/>
          <w:sz w:val="24"/>
          <w:szCs w:val="24"/>
        </w:rPr>
        <w:t xml:space="preserve"> to 2</w:t>
      </w:r>
      <w:r w:rsidR="00FD1187">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 years, consistent with the typical profile of undergraduate pharmacy students. All participants had prior exposure to conventional pharmacy laboratory sessions and were therefore able to make comparative assessments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platform relative to th</w:t>
      </w:r>
      <w:r w:rsidRPr="00FD1187">
        <w:rPr>
          <w:rFonts w:ascii="Times New Roman" w:hAnsi="Times New Roman" w:cs="Times New Roman"/>
          <w:color w:val="000000" w:themeColor="text1"/>
          <w:sz w:val="24"/>
          <w:szCs w:val="24"/>
        </w:rPr>
        <w:t>eir existing practical learning experiences.</w:t>
      </w:r>
    </w:p>
    <w:p w14:paraId="35AAACA4"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4.2 Quantitative Evaluation Results</w:t>
      </w:r>
    </w:p>
    <w:p w14:paraId="46815F9D" w14:textId="4C4F2C99" w:rsidR="007C1969"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Mean scores across all six evaluation parameters are presented in the table below. Scores reflect the average response across </w:t>
      </w:r>
      <w:r w:rsidR="007C1969">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participants on a 1–5 Likert scale, with highe</w:t>
      </w:r>
      <w:r w:rsidRPr="00FD1187">
        <w:rPr>
          <w:rFonts w:ascii="Times New Roman" w:hAnsi="Times New Roman" w:cs="Times New Roman"/>
          <w:color w:val="000000" w:themeColor="text1"/>
          <w:sz w:val="24"/>
          <w:szCs w:val="24"/>
        </w:rPr>
        <w:t>r scores indicating greater satisfaction or agreement.</w:t>
      </w:r>
    </w:p>
    <w:p w14:paraId="098B3C3F" w14:textId="3D9305B8" w:rsidR="007C1969" w:rsidRDefault="007C1969" w:rsidP="00F52B5B">
      <w:pPr>
        <w:spacing w:before="80" w:after="80" w:line="276" w:lineRule="auto"/>
        <w:jc w:val="both"/>
        <w:rPr>
          <w:rFonts w:ascii="Times New Roman" w:hAnsi="Times New Roman" w:cs="Times New Roman"/>
          <w:color w:val="000000" w:themeColor="text1"/>
          <w:sz w:val="24"/>
          <w:szCs w:val="24"/>
        </w:rPr>
      </w:pPr>
      <w:r w:rsidRPr="007C1969">
        <w:rPr>
          <w:rFonts w:ascii="Times New Roman" w:hAnsi="Times New Roman" w:cs="Times New Roman"/>
          <w:noProof/>
          <w:color w:val="000000" w:themeColor="text1"/>
          <w:sz w:val="24"/>
          <w:szCs w:val="24"/>
          <w:lang w:bidi="ar-SA"/>
        </w:rPr>
        <w:drawing>
          <wp:inline distT="0" distB="0" distL="0" distR="0" wp14:anchorId="6B6F0E4A" wp14:editId="6162D5A3">
            <wp:extent cx="6553200" cy="4678680"/>
            <wp:effectExtent l="0" t="0" r="0" b="7620"/>
            <wp:docPr id="198641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1681" name=""/>
                    <pic:cNvPicPr/>
                  </pic:nvPicPr>
                  <pic:blipFill>
                    <a:blip r:embed="rId14"/>
                    <a:stretch>
                      <a:fillRect/>
                    </a:stretch>
                  </pic:blipFill>
                  <pic:spPr>
                    <a:xfrm>
                      <a:off x="0" y="0"/>
                      <a:ext cx="6562526" cy="4685338"/>
                    </a:xfrm>
                    <a:prstGeom prst="rect">
                      <a:avLst/>
                    </a:prstGeom>
                  </pic:spPr>
                </pic:pic>
              </a:graphicData>
            </a:graphic>
          </wp:inline>
        </w:drawing>
      </w:r>
    </w:p>
    <w:p w14:paraId="7A70DF34" w14:textId="00B3DB2C" w:rsidR="007C1969" w:rsidRDefault="007C1969" w:rsidP="008107E1">
      <w:pPr>
        <w:spacing w:before="40" w:after="160" w:line="276" w:lineRule="auto"/>
        <w:jc w:val="center"/>
        <w:rPr>
          <w:rFonts w:ascii="Times New Roman" w:hAnsi="Times New Roman" w:cs="Times New Roman"/>
          <w:i/>
          <w:iCs/>
          <w:color w:val="000000" w:themeColor="text1"/>
        </w:rPr>
      </w:pPr>
      <w:r w:rsidRPr="00FD1187">
        <w:rPr>
          <w:rFonts w:ascii="Times New Roman" w:hAnsi="Times New Roman" w:cs="Times New Roman"/>
          <w:i/>
          <w:iCs/>
          <w:color w:val="000000" w:themeColor="text1"/>
        </w:rPr>
        <w:t xml:space="preserve">Table </w:t>
      </w:r>
      <w:proofErr w:type="gramStart"/>
      <w:r w:rsidR="00F52B5B">
        <w:rPr>
          <w:rFonts w:ascii="Times New Roman" w:hAnsi="Times New Roman" w:cs="Times New Roman"/>
          <w:i/>
          <w:iCs/>
          <w:color w:val="000000" w:themeColor="text1"/>
        </w:rPr>
        <w:t xml:space="preserve">2 </w:t>
      </w:r>
      <w:r w:rsidRPr="00FD1187">
        <w:rPr>
          <w:rFonts w:ascii="Times New Roman" w:hAnsi="Times New Roman" w:cs="Times New Roman"/>
          <w:i/>
          <w:iCs/>
          <w:color w:val="000000" w:themeColor="text1"/>
        </w:rPr>
        <w:t>:</w:t>
      </w:r>
      <w:proofErr w:type="gramEnd"/>
      <w:r w:rsidRPr="00FD1187">
        <w:rPr>
          <w:rFonts w:ascii="Times New Roman" w:hAnsi="Times New Roman" w:cs="Times New Roman"/>
          <w:i/>
          <w:iCs/>
          <w:color w:val="000000" w:themeColor="text1"/>
        </w:rPr>
        <w:t xml:space="preserve"> Evaluation </w:t>
      </w:r>
      <w:r w:rsidR="00F52B5B">
        <w:rPr>
          <w:rFonts w:ascii="Times New Roman" w:hAnsi="Times New Roman" w:cs="Times New Roman"/>
          <w:i/>
          <w:iCs/>
          <w:color w:val="000000" w:themeColor="text1"/>
        </w:rPr>
        <w:t>outcomes</w:t>
      </w:r>
      <w:r w:rsidRPr="00FD1187">
        <w:rPr>
          <w:rFonts w:ascii="Times New Roman" w:hAnsi="Times New Roman" w:cs="Times New Roman"/>
          <w:i/>
          <w:iCs/>
          <w:color w:val="000000" w:themeColor="text1"/>
        </w:rPr>
        <w:t xml:space="preserve"> of </w:t>
      </w:r>
      <w:proofErr w:type="spellStart"/>
      <w:r w:rsidRPr="00FD1187">
        <w:rPr>
          <w:rFonts w:ascii="Times New Roman" w:hAnsi="Times New Roman" w:cs="Times New Roman"/>
          <w:i/>
          <w:iCs/>
          <w:color w:val="000000" w:themeColor="text1"/>
        </w:rPr>
        <w:t>VRx</w:t>
      </w:r>
      <w:proofErr w:type="spellEnd"/>
      <w:r w:rsidRPr="00FD1187">
        <w:rPr>
          <w:rFonts w:ascii="Times New Roman" w:hAnsi="Times New Roman" w:cs="Times New Roman"/>
          <w:i/>
          <w:iCs/>
          <w:color w:val="000000" w:themeColor="text1"/>
        </w:rPr>
        <w:t xml:space="preserve"> Labs Across Parameters (n = </w:t>
      </w:r>
      <w:r>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0)</w:t>
      </w:r>
    </w:p>
    <w:p w14:paraId="09A16D1D" w14:textId="77777777" w:rsidR="008107E1" w:rsidRPr="00FD1187" w:rsidRDefault="008107E1" w:rsidP="008107E1">
      <w:pPr>
        <w:spacing w:before="40" w:after="160" w:line="276" w:lineRule="auto"/>
        <w:jc w:val="center"/>
        <w:rPr>
          <w:rFonts w:ascii="Times New Roman" w:hAnsi="Times New Roman" w:cs="Times New Roman"/>
          <w:color w:val="000000" w:themeColor="text1"/>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2340"/>
        <w:gridCol w:w="2340"/>
      </w:tblGrid>
      <w:tr w:rsidR="00736127" w:rsidRPr="00FD1187" w14:paraId="14FB5793" w14:textId="77777777" w:rsidTr="00F52B5B">
        <w:trPr>
          <w:jc w:val="center"/>
        </w:trPr>
        <w:tc>
          <w:tcPr>
            <w:tcW w:w="468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46C4C557" w14:textId="77777777" w:rsidR="00736127" w:rsidRPr="007C1969" w:rsidRDefault="00441575" w:rsidP="00F52B5B">
            <w:pPr>
              <w:spacing w:line="276" w:lineRule="auto"/>
              <w:jc w:val="center"/>
              <w:rPr>
                <w:rFonts w:ascii="Times New Roman" w:hAnsi="Times New Roman" w:cs="Times New Roman"/>
                <w:color w:val="FFFFFF" w:themeColor="background1"/>
                <w:sz w:val="24"/>
                <w:szCs w:val="24"/>
              </w:rPr>
            </w:pPr>
            <w:r w:rsidRPr="007C1969">
              <w:rPr>
                <w:rFonts w:ascii="Times New Roman" w:hAnsi="Times New Roman" w:cs="Times New Roman"/>
                <w:b/>
                <w:bCs/>
                <w:color w:val="FFFFFF" w:themeColor="background1"/>
                <w:sz w:val="24"/>
                <w:szCs w:val="24"/>
              </w:rPr>
              <w:lastRenderedPageBreak/>
              <w:t>Evaluation Parameter</w:t>
            </w:r>
          </w:p>
        </w:tc>
        <w:tc>
          <w:tcPr>
            <w:tcW w:w="234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05D377BF" w14:textId="77777777" w:rsidR="00736127" w:rsidRPr="007C1969" w:rsidRDefault="00441575" w:rsidP="00F52B5B">
            <w:pPr>
              <w:spacing w:line="276" w:lineRule="auto"/>
              <w:jc w:val="center"/>
              <w:rPr>
                <w:rFonts w:ascii="Times New Roman" w:hAnsi="Times New Roman" w:cs="Times New Roman"/>
                <w:color w:val="FFFFFF" w:themeColor="background1"/>
                <w:sz w:val="24"/>
                <w:szCs w:val="24"/>
              </w:rPr>
            </w:pPr>
            <w:r w:rsidRPr="007C1969">
              <w:rPr>
                <w:rFonts w:ascii="Times New Roman" w:hAnsi="Times New Roman" w:cs="Times New Roman"/>
                <w:b/>
                <w:bCs/>
                <w:color w:val="FFFFFF" w:themeColor="background1"/>
                <w:sz w:val="24"/>
                <w:szCs w:val="24"/>
              </w:rPr>
              <w:t>Mean Score (out of 5)</w:t>
            </w:r>
          </w:p>
        </w:tc>
        <w:tc>
          <w:tcPr>
            <w:tcW w:w="234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1CA58566" w14:textId="77777777" w:rsidR="00736127" w:rsidRPr="007C1969" w:rsidRDefault="00441575" w:rsidP="00F52B5B">
            <w:pPr>
              <w:spacing w:line="276" w:lineRule="auto"/>
              <w:jc w:val="center"/>
              <w:rPr>
                <w:rFonts w:ascii="Times New Roman" w:hAnsi="Times New Roman" w:cs="Times New Roman"/>
                <w:color w:val="FFFFFF" w:themeColor="background1"/>
                <w:sz w:val="24"/>
                <w:szCs w:val="24"/>
              </w:rPr>
            </w:pPr>
            <w:r w:rsidRPr="007C1969">
              <w:rPr>
                <w:rFonts w:ascii="Times New Roman" w:hAnsi="Times New Roman" w:cs="Times New Roman"/>
                <w:b/>
                <w:bCs/>
                <w:color w:val="FFFFFF" w:themeColor="background1"/>
                <w:sz w:val="24"/>
                <w:szCs w:val="24"/>
              </w:rPr>
              <w:t>Interpretation</w:t>
            </w:r>
          </w:p>
        </w:tc>
      </w:tr>
      <w:tr w:rsidR="00736127" w:rsidRPr="000E22E6" w14:paraId="0AE10E2E"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095B5AC1"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Ease of Use</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10B54202" w14:textId="5836665A"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14B1FA6E" w14:textId="77777777" w:rsidR="00736127" w:rsidRPr="007C1969" w:rsidRDefault="00441575"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High</w:t>
            </w:r>
          </w:p>
        </w:tc>
      </w:tr>
      <w:tr w:rsidR="00736127" w:rsidRPr="000E22E6" w14:paraId="566C6FCF"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6E9A15F"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Visual Appeal</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BE0AF39" w14:textId="3EDBD000"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5AF0554" w14:textId="77777777" w:rsidR="00736127" w:rsidRPr="007C1969" w:rsidRDefault="00441575"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Very High</w:t>
            </w:r>
          </w:p>
        </w:tc>
      </w:tr>
      <w:tr w:rsidR="00736127" w:rsidRPr="000E22E6" w14:paraId="2EB72FF9"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190A41A0"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Learning </w:t>
            </w:r>
            <w:r w:rsidRPr="00FD1187">
              <w:rPr>
                <w:rFonts w:ascii="Times New Roman" w:hAnsi="Times New Roman" w:cs="Times New Roman"/>
                <w:color w:val="000000" w:themeColor="text1"/>
                <w:sz w:val="24"/>
                <w:szCs w:val="24"/>
              </w:rPr>
              <w:t>Effectiveness</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39846068" w14:textId="05F5205C"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4.73</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267341FC" w14:textId="33FB9A5F"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Very </w:t>
            </w:r>
            <w:r w:rsidRPr="007C1969">
              <w:rPr>
                <w:rFonts w:ascii="Times New Roman" w:hAnsi="Times New Roman" w:cs="Times New Roman"/>
                <w:color w:val="000000" w:themeColor="text1"/>
                <w:sz w:val="24"/>
                <w:szCs w:val="24"/>
              </w:rPr>
              <w:t>High</w:t>
            </w:r>
          </w:p>
        </w:tc>
      </w:tr>
      <w:tr w:rsidR="00736127" w:rsidRPr="000E22E6" w14:paraId="28F3DE3C"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44B82B9D"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Engagement</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686DFCCD" w14:textId="118ABD82"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4.77</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5E882B59" w14:textId="77777777" w:rsidR="00736127" w:rsidRPr="007C1969" w:rsidRDefault="00441575"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Very High</w:t>
            </w:r>
          </w:p>
        </w:tc>
      </w:tr>
      <w:tr w:rsidR="00736127" w:rsidRPr="000E22E6" w14:paraId="77843EC9"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2EA162AA"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Innovation</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0052D673" w14:textId="2E59E7DF"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04F9A038" w14:textId="77777777" w:rsidR="00736127" w:rsidRPr="007C1969" w:rsidRDefault="00441575"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Excellent</w:t>
            </w:r>
          </w:p>
        </w:tc>
      </w:tr>
      <w:tr w:rsidR="00736127" w:rsidRPr="000E22E6" w14:paraId="524642AE"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2769A74F"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Practical Usefulness</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1B443FD1" w14:textId="72367601"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2450FEA8" w14:textId="77777777" w:rsidR="00736127" w:rsidRPr="007C1969" w:rsidRDefault="00441575"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High</w:t>
            </w:r>
          </w:p>
        </w:tc>
      </w:tr>
      <w:tr w:rsidR="00736127" w:rsidRPr="000E22E6" w14:paraId="02973F86"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C78EA45" w14:textId="77777777" w:rsidR="00736127" w:rsidRPr="00FD1187" w:rsidRDefault="00441575"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Overall Mean Score</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75C049D5" w14:textId="31D79CC6" w:rsidR="00736127" w:rsidRPr="007C1969" w:rsidRDefault="007C1969" w:rsidP="00F52B5B">
            <w:pPr>
              <w:spacing w:line="276" w:lineRule="auto"/>
              <w:jc w:val="center"/>
              <w:rPr>
                <w:rFonts w:ascii="Times New Roman" w:hAnsi="Times New Roman" w:cs="Times New Roman"/>
                <w:b/>
                <w:bCs/>
                <w:color w:val="000000" w:themeColor="text1"/>
                <w:sz w:val="24"/>
                <w:szCs w:val="24"/>
              </w:rPr>
            </w:pPr>
            <w:r w:rsidRPr="007C1969">
              <w:rPr>
                <w:rFonts w:ascii="Times New Roman" w:hAnsi="Times New Roman" w:cs="Times New Roman"/>
                <w:b/>
                <w:bCs/>
                <w:color w:val="000000" w:themeColor="text1"/>
                <w:sz w:val="24"/>
                <w:szCs w:val="24"/>
              </w:rPr>
              <w:t>4.7</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CDD5874" w14:textId="77777777" w:rsidR="00736127" w:rsidRPr="007C1969" w:rsidRDefault="00441575"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b/>
                <w:bCs/>
                <w:color w:val="000000" w:themeColor="text1"/>
                <w:sz w:val="24"/>
                <w:szCs w:val="24"/>
              </w:rPr>
              <w:t>Very High</w:t>
            </w:r>
          </w:p>
        </w:tc>
      </w:tr>
    </w:tbl>
    <w:p w14:paraId="05903EFD" w14:textId="10A21F17" w:rsidR="00736127" w:rsidRPr="00FD1187" w:rsidRDefault="00441575" w:rsidP="00F52B5B">
      <w:pPr>
        <w:spacing w:before="40" w:after="160"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rPr>
        <w:t>Table</w:t>
      </w:r>
      <w:r w:rsidR="007C1969">
        <w:rPr>
          <w:rFonts w:ascii="Times New Roman" w:hAnsi="Times New Roman" w:cs="Times New Roman"/>
          <w:i/>
          <w:iCs/>
          <w:color w:val="000000" w:themeColor="text1"/>
        </w:rPr>
        <w:t xml:space="preserve"> </w:t>
      </w:r>
      <w:proofErr w:type="gramStart"/>
      <w:r w:rsidR="00F52B5B">
        <w:rPr>
          <w:rFonts w:ascii="Times New Roman" w:hAnsi="Times New Roman" w:cs="Times New Roman"/>
          <w:i/>
          <w:iCs/>
          <w:color w:val="000000" w:themeColor="text1"/>
        </w:rPr>
        <w:t>3</w:t>
      </w:r>
      <w:r w:rsidR="007C1969">
        <w:rPr>
          <w:rFonts w:ascii="Times New Roman" w:hAnsi="Times New Roman" w:cs="Times New Roman"/>
          <w:i/>
          <w:iCs/>
          <w:color w:val="000000" w:themeColor="text1"/>
        </w:rPr>
        <w:t xml:space="preserve"> </w:t>
      </w:r>
      <w:r w:rsidRPr="00FD1187">
        <w:rPr>
          <w:rFonts w:ascii="Times New Roman" w:hAnsi="Times New Roman" w:cs="Times New Roman"/>
          <w:i/>
          <w:iCs/>
          <w:color w:val="000000" w:themeColor="text1"/>
        </w:rPr>
        <w:t>:</w:t>
      </w:r>
      <w:proofErr w:type="gramEnd"/>
      <w:r w:rsidRPr="00FD1187">
        <w:rPr>
          <w:rFonts w:ascii="Times New Roman" w:hAnsi="Times New Roman" w:cs="Times New Roman"/>
          <w:i/>
          <w:iCs/>
          <w:color w:val="000000" w:themeColor="text1"/>
        </w:rPr>
        <w:t xml:space="preserve"> Mean Evaluation Scores of </w:t>
      </w:r>
      <w:proofErr w:type="spellStart"/>
      <w:r w:rsidRPr="00FD1187">
        <w:rPr>
          <w:rFonts w:ascii="Times New Roman" w:hAnsi="Times New Roman" w:cs="Times New Roman"/>
          <w:i/>
          <w:iCs/>
          <w:color w:val="000000" w:themeColor="text1"/>
        </w:rPr>
        <w:t>VRx</w:t>
      </w:r>
      <w:proofErr w:type="spellEnd"/>
      <w:r w:rsidRPr="00FD1187">
        <w:rPr>
          <w:rFonts w:ascii="Times New Roman" w:hAnsi="Times New Roman" w:cs="Times New Roman"/>
          <w:i/>
          <w:iCs/>
          <w:color w:val="000000" w:themeColor="text1"/>
        </w:rPr>
        <w:t xml:space="preserve"> Labs Across Six Parameters (n = </w:t>
      </w:r>
      <w:r w:rsidR="007C1969">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0)</w:t>
      </w:r>
    </w:p>
    <w:p w14:paraId="09CD17B3" w14:textId="77777777" w:rsidR="00736127" w:rsidRPr="00FD1187" w:rsidRDefault="00441575"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4.3 Qualitative Feedback Summary</w:t>
      </w:r>
    </w:p>
    <w:p w14:paraId="1DF9E5AA" w14:textId="73A4B9FD"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 addition to the Likert-scale responses, participants were invited to share open-ended comments regarding their experience with the prototype. A summary of recurring themes from this feedback is presented below.</w:t>
      </w:r>
    </w:p>
    <w:p w14:paraId="05E7C9F6" w14:textId="7BC06712"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Immersive Learning Experience: A large </w:t>
      </w:r>
      <w:r w:rsidRPr="00FD1187">
        <w:rPr>
          <w:rFonts w:ascii="Times New Roman" w:hAnsi="Times New Roman" w:cs="Times New Roman"/>
          <w:color w:val="000000" w:themeColor="text1"/>
          <w:sz w:val="24"/>
          <w:szCs w:val="24"/>
        </w:rPr>
        <w:t>proportion of participants noted that the VR-compatible video demonstrations gave them a clearer, more detailed view of experimental procedures than they typically experienced in a crowded laboratory session.</w:t>
      </w:r>
    </w:p>
    <w:p w14:paraId="1FB8853A" w14:textId="2D84B2C0"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Self-Paced Revisitation: Many students apprecia</w:t>
      </w:r>
      <w:r w:rsidRPr="00FD1187">
        <w:rPr>
          <w:rFonts w:ascii="Times New Roman" w:hAnsi="Times New Roman" w:cs="Times New Roman"/>
          <w:color w:val="000000" w:themeColor="text1"/>
          <w:sz w:val="24"/>
          <w:szCs w:val="24"/>
        </w:rPr>
        <w:t>ted the ability to re-watch the demonstration as many times as needed. This was identified as a significant advantage over conventional laboratory sessions, where the pace of the class is set by the instructor and students may hesitate to ask for repetitio</w:t>
      </w:r>
      <w:r w:rsidRPr="00FD1187">
        <w:rPr>
          <w:rFonts w:ascii="Times New Roman" w:hAnsi="Times New Roman" w:cs="Times New Roman"/>
          <w:color w:val="000000" w:themeColor="text1"/>
          <w:sz w:val="24"/>
          <w:szCs w:val="24"/>
        </w:rPr>
        <w:t>ns.</w:t>
      </w:r>
    </w:p>
    <w:p w14:paraId="7EDB8A7B" w14:textId="28CBCD03"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Interface Design and Navigation: The application’s user interface was generally well received. Students found the navigation between modules to be logical and straightforward. A few participants suggested the addition of a progress tracker or bookmarki</w:t>
      </w:r>
      <w:r w:rsidRPr="00FD1187">
        <w:rPr>
          <w:rFonts w:ascii="Times New Roman" w:hAnsi="Times New Roman" w:cs="Times New Roman"/>
          <w:color w:val="000000" w:themeColor="text1"/>
          <w:sz w:val="24"/>
          <w:szCs w:val="24"/>
        </w:rPr>
        <w:t>ng feature to help them resume learning sessions.</w:t>
      </w:r>
    </w:p>
    <w:p w14:paraId="475C8C2A" w14:textId="5CEF803E" w:rsidR="00F1423A"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Perceived Utility for Examination Preparation: A notable number of participants expressed interest in using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as a revision tool before practical examinations. The combination of procedure review, ob</w:t>
      </w:r>
      <w:r w:rsidRPr="00FD1187">
        <w:rPr>
          <w:rFonts w:ascii="Times New Roman" w:hAnsi="Times New Roman" w:cs="Times New Roman"/>
          <w:color w:val="000000" w:themeColor="text1"/>
          <w:sz w:val="24"/>
          <w:szCs w:val="24"/>
        </w:rPr>
        <w:t>servation templates, and MCQ practice was seen as particularly well-suited to examination preparation.</w:t>
      </w:r>
    </w:p>
    <w:p w14:paraId="447A0E49" w14:textId="69DCF09E"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5. DISCUSSION</w:t>
      </w:r>
    </w:p>
    <w:p w14:paraId="6842A148" w14:textId="4C425BE2"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The results of the evaluation study demonstrated a highly positive response toward the </w:t>
      </w:r>
      <w:proofErr w:type="spellStart"/>
      <w:r w:rsidRPr="003D6AAF">
        <w:rPr>
          <w:rFonts w:ascii="Times New Roman" w:hAnsi="Times New Roman" w:cs="Times New Roman"/>
          <w:b w:val="0"/>
          <w:bCs w:val="0"/>
          <w:color w:val="000000" w:themeColor="text1"/>
          <w:sz w:val="24"/>
          <w:szCs w:val="24"/>
        </w:rPr>
        <w:t>VRx</w:t>
      </w:r>
      <w:proofErr w:type="spellEnd"/>
      <w:r w:rsidRPr="003D6AAF">
        <w:rPr>
          <w:rFonts w:ascii="Times New Roman" w:hAnsi="Times New Roman" w:cs="Times New Roman"/>
          <w:b w:val="0"/>
          <w:bCs w:val="0"/>
          <w:color w:val="000000" w:themeColor="text1"/>
          <w:sz w:val="24"/>
          <w:szCs w:val="24"/>
        </w:rPr>
        <w:t xml:space="preserve"> Labs prototype among the participating pharmacy students. The overall mean score of 4.7 out of 5 across </w:t>
      </w:r>
      <w:r w:rsidRPr="003D6AAF">
        <w:rPr>
          <w:rFonts w:ascii="Times New Roman" w:hAnsi="Times New Roman" w:cs="Times New Roman"/>
          <w:b w:val="0"/>
          <w:bCs w:val="0"/>
          <w:color w:val="000000" w:themeColor="text1"/>
          <w:sz w:val="24"/>
          <w:szCs w:val="24"/>
        </w:rPr>
        <w:lastRenderedPageBreak/>
        <w:t>all evaluation parameters indicates that the platform successfully achieved its intended objectives of providing an interactive, visually engaging, and educationally effective virtual learning experience.</w:t>
      </w:r>
    </w:p>
    <w:p w14:paraId="22E35465" w14:textId="52C7663A"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Among all evaluated parameters, the highest mean scores were observed for Observation &amp; Result Understanding (4.80) and Future Acceptance (4.80). These findings suggest that students particularly appreciated the structured learning approach of the platform and expressed strong interest in adopting similar virtual learning methods in future pharmacy education. The high score for future acceptance also reflects increasing student openness toward technology-assisted practical learning systems.</w:t>
      </w:r>
    </w:p>
    <w:p w14:paraId="7E0457CE" w14:textId="46A9A918"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The parameter Engagement received a mean score of 4.77, indicating that the combination of VR-based experiment demonstrations, informational content, and assessment modules successfully maintained students’ attention and interest during the learning session. Similarly, Learning Effectiveness achieved a mean score of 4.73, suggesting that the majority of participants perceived the platform as beneficial for understanding pharmaceutical experiments and practical procedures.</w:t>
      </w:r>
    </w:p>
    <w:p w14:paraId="08D604C0" w14:textId="5091B5E3"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The scores for Visual Appeal (4.70) and Innovation (4.70) further indicate that students found the application aesthetically appealing and educationally unique when compared to conventional practical learning methods. Since most participants had limited prior exposure to virtual experiment-based pharmacy learning platforms, the prototype was perceived as a modern and innovative educational approach.</w:t>
      </w:r>
    </w:p>
    <w:p w14:paraId="0D700360" w14:textId="7340D556"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Additionally, Ease of Use achieved a mean score of 4.50, demonstrating that the application interface and workflow were generally considered user-friendly and accessible.</w:t>
      </w:r>
    </w:p>
    <w:p w14:paraId="773EB1C4" w14:textId="555950ED"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The overall findings suggest that </w:t>
      </w:r>
      <w:proofErr w:type="spellStart"/>
      <w:r w:rsidRPr="003D6AAF">
        <w:rPr>
          <w:rFonts w:ascii="Times New Roman" w:hAnsi="Times New Roman" w:cs="Times New Roman"/>
          <w:b w:val="0"/>
          <w:bCs w:val="0"/>
          <w:color w:val="000000" w:themeColor="text1"/>
          <w:sz w:val="24"/>
          <w:szCs w:val="24"/>
        </w:rPr>
        <w:t>VRx</w:t>
      </w:r>
      <w:proofErr w:type="spellEnd"/>
      <w:r w:rsidRPr="003D6AAF">
        <w:rPr>
          <w:rFonts w:ascii="Times New Roman" w:hAnsi="Times New Roman" w:cs="Times New Roman"/>
          <w:b w:val="0"/>
          <w:bCs w:val="0"/>
          <w:color w:val="000000" w:themeColor="text1"/>
          <w:sz w:val="24"/>
          <w:szCs w:val="24"/>
        </w:rPr>
        <w:t xml:space="preserve"> Labs effectively combines theoretical learning, immersive experiment visualization, and assessment-based reinforcement within a single educational platform. The ability to repeatedly access demonstrations, review experimental observations, and engage with interactive assessments likely contributed to the positive user responses observed during the study.</w:t>
      </w:r>
    </w:p>
    <w:p w14:paraId="3BC8C038" w14:textId="46E18933"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From an educational perspective, the prototype supports modern digital learning approaches by integrating visual learning, self-paced education, and active recall techniques through assessment modules. The mobile-based nature of the platform also improves accessibility and flexibility, making it potentially suitable for broader implementation in pharmacy education environments.</w:t>
      </w:r>
    </w:p>
    <w:p w14:paraId="498FA7F3" w14:textId="10E39C6F" w:rsidR="00F52B5B"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However, certain limitations should be acknowledged. The study was conducted with a relatively small sample size of </w:t>
      </w:r>
      <w:r w:rsidR="00F52B5B">
        <w:rPr>
          <w:rFonts w:ascii="Times New Roman" w:hAnsi="Times New Roman" w:cs="Times New Roman"/>
          <w:b w:val="0"/>
          <w:bCs w:val="0"/>
          <w:color w:val="000000" w:themeColor="text1"/>
          <w:sz w:val="24"/>
          <w:szCs w:val="24"/>
        </w:rPr>
        <w:t>3</w:t>
      </w:r>
      <w:r w:rsidRPr="003D6AAF">
        <w:rPr>
          <w:rFonts w:ascii="Times New Roman" w:hAnsi="Times New Roman" w:cs="Times New Roman"/>
          <w:b w:val="0"/>
          <w:bCs w:val="0"/>
          <w:color w:val="000000" w:themeColor="text1"/>
          <w:sz w:val="24"/>
          <w:szCs w:val="24"/>
        </w:rPr>
        <w:t>0 participants from a single institution, which may limit generalizability of the findings. Furthermore, the evaluation was performed over a short-term usage period and involved a limited number of experimental modules. Future studies involving larger populations, extended usage duration, and additional pharmaceutical experiments may provide deeper insights into the long-term educational effectiveness of the platfor</w:t>
      </w:r>
      <w:r>
        <w:rPr>
          <w:rFonts w:ascii="Times New Roman" w:hAnsi="Times New Roman" w:cs="Times New Roman"/>
          <w:b w:val="0"/>
          <w:bCs w:val="0"/>
          <w:color w:val="000000" w:themeColor="text1"/>
          <w:sz w:val="24"/>
          <w:szCs w:val="24"/>
        </w:rPr>
        <w:t>m.</w:t>
      </w:r>
    </w:p>
    <w:p w14:paraId="5F5F609D" w14:textId="574D2DC3" w:rsidR="00736127" w:rsidRPr="00FD1187" w:rsidRDefault="003D6AAF"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3D6AAF">
        <w:rPr>
          <w:rFonts w:ascii="Times New Roman" w:hAnsi="Times New Roman" w:cs="Times New Roman"/>
          <w:b w:val="0"/>
          <w:bCs w:val="0"/>
          <w:color w:val="FFFFFF" w:themeColor="background1"/>
          <w:sz w:val="24"/>
          <w:szCs w:val="24"/>
        </w:rPr>
        <w:t>.</w:t>
      </w:r>
      <w:r w:rsidRPr="00FD1187">
        <w:rPr>
          <w:rFonts w:ascii="Times New Roman" w:hAnsi="Times New Roman" w:cs="Times New Roman"/>
          <w:color w:val="000000" w:themeColor="text1"/>
          <w:sz w:val="28"/>
          <w:szCs w:val="28"/>
        </w:rPr>
        <w:t>6. ADVANTAGES OF VRX LABS</w:t>
      </w:r>
    </w:p>
    <w:p w14:paraId="48E648DE" w14:textId="32F3BDCA" w:rsidR="00736127" w:rsidRPr="00FD1187" w:rsidRDefault="00441575" w:rsidP="008107E1">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The following key advantages were identified through the development process and confirmed by student feedback during the</w:t>
      </w:r>
      <w:r w:rsidRPr="00FD1187">
        <w:rPr>
          <w:rFonts w:ascii="Times New Roman" w:hAnsi="Times New Roman" w:cs="Times New Roman"/>
          <w:color w:val="000000" w:themeColor="text1"/>
          <w:sz w:val="24"/>
          <w:szCs w:val="24"/>
        </w:rPr>
        <w:t xml:space="preserve"> evaluation:</w:t>
      </w:r>
    </w:p>
    <w:p w14:paraId="45863FAB"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Interactive and Structured Learning Pathway: Unlike passive video tutorials or PDF documents,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guides students through a structured sequence from preparation to assessment, mirroring the progression of an actual laboratory session. Thi</w:t>
      </w:r>
      <w:r w:rsidRPr="00FD1187">
        <w:rPr>
          <w:rFonts w:ascii="Times New Roman" w:hAnsi="Times New Roman" w:cs="Times New Roman"/>
          <w:color w:val="000000" w:themeColor="text1"/>
          <w:sz w:val="24"/>
          <w:szCs w:val="24"/>
        </w:rPr>
        <w:t>s structure encourages systematic learning and helps students develop a clear mental model of each experiment.</w:t>
      </w:r>
    </w:p>
    <w:p w14:paraId="4A4566DA"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Improved Procedural Visualisation: VR-compatible videos allow students to observe experimental procedures with a level of detail and clarity that</w:t>
      </w:r>
      <w:r w:rsidRPr="00FD1187">
        <w:rPr>
          <w:rFonts w:ascii="Times New Roman" w:hAnsi="Times New Roman" w:cs="Times New Roman"/>
          <w:color w:val="000000" w:themeColor="text1"/>
          <w:sz w:val="24"/>
          <w:szCs w:val="24"/>
        </w:rPr>
        <w:t xml:space="preserve"> is often difficult to achieve in a crowded laboratory environment. Close-up shots, annotations, and guided commentary enhance understanding of critical steps.</w:t>
      </w:r>
    </w:p>
    <w:p w14:paraId="638789F7"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Mobile Accessibility: The platform’s mobile-first design ensures that students can access learni</w:t>
      </w:r>
      <w:r w:rsidRPr="00FD1187">
        <w:rPr>
          <w:rFonts w:ascii="Times New Roman" w:hAnsi="Times New Roman" w:cs="Times New Roman"/>
          <w:color w:val="000000" w:themeColor="text1"/>
          <w:sz w:val="24"/>
          <w:szCs w:val="24"/>
        </w:rPr>
        <w:t>ng resources at any time and from any location. This is particularly valuable for students in semi-urban or rural areas, or those who face physical barriers to consistent laboratory attendance.</w:t>
      </w:r>
    </w:p>
    <w:p w14:paraId="5443972B" w14:textId="409236A0"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Assessment-Integrated Understanding: The MCQ module embedded a</w:t>
      </w:r>
      <w:r w:rsidRPr="00FD1187">
        <w:rPr>
          <w:rFonts w:ascii="Times New Roman" w:hAnsi="Times New Roman" w:cs="Times New Roman"/>
          <w:color w:val="000000" w:themeColor="text1"/>
          <w:sz w:val="24"/>
          <w:szCs w:val="24"/>
        </w:rPr>
        <w:t>t the end of each experiment unit ensures that learning is not limited to passive observation.</w:t>
      </w:r>
    </w:p>
    <w:p w14:paraId="400B3A3E"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Increased Engagement with Practical Content: By transforming potentially dry procedural content into an interactive, multi-modal experience,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increases s</w:t>
      </w:r>
      <w:r w:rsidRPr="00FD1187">
        <w:rPr>
          <w:rFonts w:ascii="Times New Roman" w:hAnsi="Times New Roman" w:cs="Times New Roman"/>
          <w:color w:val="000000" w:themeColor="text1"/>
          <w:sz w:val="24"/>
          <w:szCs w:val="24"/>
        </w:rPr>
        <w:t>tudent motivation to engage with practical topics outside of scheduled laboratory hours.</w:t>
      </w:r>
    </w:p>
    <w:p w14:paraId="09C62C67"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Support for Exam Preparation: The combination of structured content, visual demonstrations, observation templates, and practice questions makes the platform a practica</w:t>
      </w:r>
      <w:r w:rsidRPr="00FD1187">
        <w:rPr>
          <w:rFonts w:ascii="Times New Roman" w:hAnsi="Times New Roman" w:cs="Times New Roman"/>
          <w:color w:val="000000" w:themeColor="text1"/>
          <w:sz w:val="24"/>
          <w:szCs w:val="24"/>
        </w:rPr>
        <w:t>l and comprehensive revision tool for practical examinations.</w:t>
      </w:r>
    </w:p>
    <w:p w14:paraId="12A210A9" w14:textId="77777777"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7. LIMITATIONS</w:t>
      </w:r>
    </w:p>
    <w:p w14:paraId="55864873" w14:textId="68D6782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As with any prototype study, several limitations were identified that should be considered when interpreting the findings and planning future work:</w:t>
      </w:r>
    </w:p>
    <w:p w14:paraId="1B9637A0" w14:textId="52B2FDF8"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Prototype-Stage Development: </w:t>
      </w:r>
      <w:proofErr w:type="spellStart"/>
      <w:r w:rsidRPr="00FD1187">
        <w:rPr>
          <w:rFonts w:ascii="Times New Roman" w:hAnsi="Times New Roman" w:cs="Times New Roman"/>
          <w:color w:val="000000" w:themeColor="text1"/>
          <w:sz w:val="24"/>
          <w:szCs w:val="24"/>
        </w:rPr>
        <w:t>VR</w:t>
      </w:r>
      <w:r w:rsidRPr="00FD1187">
        <w:rPr>
          <w:rFonts w:ascii="Times New Roman" w:hAnsi="Times New Roman" w:cs="Times New Roman"/>
          <w:color w:val="000000" w:themeColor="text1"/>
          <w:sz w:val="24"/>
          <w:szCs w:val="24"/>
        </w:rPr>
        <w:t>x</w:t>
      </w:r>
      <w:proofErr w:type="spellEnd"/>
      <w:r w:rsidRPr="00FD1187">
        <w:rPr>
          <w:rFonts w:ascii="Times New Roman" w:hAnsi="Times New Roman" w:cs="Times New Roman"/>
          <w:color w:val="000000" w:themeColor="text1"/>
          <w:sz w:val="24"/>
          <w:szCs w:val="24"/>
        </w:rPr>
        <w:t xml:space="preserve"> Labs is currently a prototype and has not yet undergone full-scale software development, quality assurance testing, or institutional deployment. Many features that would be expected in a production-ready application — such as offline access, cloud-based </w:t>
      </w:r>
      <w:r w:rsidRPr="00FD1187">
        <w:rPr>
          <w:rFonts w:ascii="Times New Roman" w:hAnsi="Times New Roman" w:cs="Times New Roman"/>
          <w:color w:val="000000" w:themeColor="text1"/>
          <w:sz w:val="24"/>
          <w:szCs w:val="24"/>
        </w:rPr>
        <w:t>data storage, and administrative analytics dashboards</w:t>
      </w:r>
      <w:r w:rsidR="00F1423A">
        <w:rPr>
          <w:rFonts w:ascii="Times New Roman" w:hAnsi="Times New Roman" w:cs="Times New Roman"/>
          <w:color w:val="000000" w:themeColor="text1"/>
          <w:sz w:val="24"/>
          <w:szCs w:val="24"/>
        </w:rPr>
        <w:t xml:space="preserve">, AI Integration, </w:t>
      </w:r>
      <w:r w:rsidRPr="00FD1187">
        <w:rPr>
          <w:rFonts w:ascii="Times New Roman" w:hAnsi="Times New Roman" w:cs="Times New Roman"/>
          <w:color w:val="000000" w:themeColor="text1"/>
          <w:sz w:val="24"/>
          <w:szCs w:val="24"/>
        </w:rPr>
        <w:t xml:space="preserve"> </w:t>
      </w:r>
      <w:r w:rsidR="00F1423A">
        <w:rPr>
          <w:rFonts w:ascii="Times New Roman" w:hAnsi="Times New Roman" w:cs="Times New Roman"/>
          <w:color w:val="000000" w:themeColor="text1"/>
          <w:sz w:val="24"/>
          <w:szCs w:val="24"/>
        </w:rPr>
        <w:t xml:space="preserve">Multiple Subjects </w:t>
      </w:r>
      <w:r w:rsidRPr="00FD1187">
        <w:rPr>
          <w:rFonts w:ascii="Times New Roman" w:hAnsi="Times New Roman" w:cs="Times New Roman"/>
          <w:color w:val="000000" w:themeColor="text1"/>
          <w:sz w:val="24"/>
          <w:szCs w:val="24"/>
        </w:rPr>
        <w:t>— remain to be implemented.</w:t>
      </w:r>
    </w:p>
    <w:p w14:paraId="6CE0B26A" w14:textId="4D8D2984"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Limited Sample Size: The evaluation involved </w:t>
      </w:r>
      <w:r w:rsidR="00F52B5B">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students from a single institution. While this is appropriate for a pilot study, it limits</w:t>
      </w:r>
      <w:r w:rsidRPr="00FD1187">
        <w:rPr>
          <w:rFonts w:ascii="Times New Roman" w:hAnsi="Times New Roman" w:cs="Times New Roman"/>
          <w:color w:val="000000" w:themeColor="text1"/>
          <w:sz w:val="24"/>
          <w:szCs w:val="24"/>
        </w:rPr>
        <w:t xml:space="preserve"> the generalisability of the results to broader student populations across different pharmacy colleges and academic contexts.</w:t>
      </w:r>
    </w:p>
    <w:p w14:paraId="03297CAE" w14:textId="3732E134"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Limited Experiment Coverage: The current prototype includes only a small subset of the experiments covered in a full </w:t>
      </w:r>
      <w:r w:rsidR="000963CD">
        <w:rPr>
          <w:rFonts w:ascii="Times New Roman" w:hAnsi="Times New Roman" w:cs="Times New Roman"/>
          <w:color w:val="000000" w:themeColor="text1"/>
          <w:sz w:val="24"/>
          <w:szCs w:val="24"/>
        </w:rPr>
        <w:t xml:space="preserve">Pharmacological </w:t>
      </w:r>
      <w:r w:rsidRPr="00FD1187">
        <w:rPr>
          <w:rFonts w:ascii="Times New Roman" w:hAnsi="Times New Roman" w:cs="Times New Roman"/>
          <w:color w:val="000000" w:themeColor="text1"/>
          <w:sz w:val="24"/>
          <w:szCs w:val="24"/>
        </w:rPr>
        <w:t xml:space="preserve">curriculum. Expanding the experiment library </w:t>
      </w:r>
      <w:r w:rsidRPr="00FD1187">
        <w:rPr>
          <w:rFonts w:ascii="Times New Roman" w:hAnsi="Times New Roman" w:cs="Times New Roman"/>
          <w:color w:val="000000" w:themeColor="text1"/>
          <w:sz w:val="24"/>
          <w:szCs w:val="24"/>
        </w:rPr>
        <w:lastRenderedPageBreak/>
        <w:t>to cover all practical courses across all years of the programme is a significant undertaking that has not yet been addressed.</w:t>
      </w:r>
    </w:p>
    <w:p w14:paraId="69A0CF8A"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Absence of Physical VR Hardware Integration: While the application supports VR-co</w:t>
      </w:r>
      <w:r w:rsidRPr="00FD1187">
        <w:rPr>
          <w:rFonts w:ascii="Times New Roman" w:hAnsi="Times New Roman" w:cs="Times New Roman"/>
          <w:color w:val="000000" w:themeColor="text1"/>
          <w:sz w:val="24"/>
          <w:szCs w:val="24"/>
        </w:rPr>
        <w:t>mpatible video viewing through smartphone-based cardboard viewers, it does not yet integrate with dedicated VR headsets such as the Oculus Quest or HTC Vive, which would provide a significantly more immersive experience.</w:t>
      </w:r>
    </w:p>
    <w:p w14:paraId="5946C10B" w14:textId="2089FF51" w:rsidR="000963CD"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Single-Session Evaluation: The stud</w:t>
      </w:r>
      <w:r w:rsidRPr="00FD1187">
        <w:rPr>
          <w:rFonts w:ascii="Times New Roman" w:hAnsi="Times New Roman" w:cs="Times New Roman"/>
          <w:color w:val="000000" w:themeColor="text1"/>
          <w:sz w:val="24"/>
          <w:szCs w:val="24"/>
        </w:rPr>
        <w:t>y evaluated participant responses after a single demonstration session. Long-term studies assessing changes in academic performance, practical examination scores, and sustained engagement over a full semester of use are necessary to make stronger claims ab</w:t>
      </w:r>
      <w:r w:rsidRPr="00FD1187">
        <w:rPr>
          <w:rFonts w:ascii="Times New Roman" w:hAnsi="Times New Roman" w:cs="Times New Roman"/>
          <w:color w:val="000000" w:themeColor="text1"/>
          <w:sz w:val="24"/>
          <w:szCs w:val="24"/>
        </w:rPr>
        <w:t>out the platform’s educational effectiveness.</w:t>
      </w:r>
    </w:p>
    <w:p w14:paraId="45A3308A" w14:textId="7F47366D" w:rsidR="00736127" w:rsidRPr="000963CD" w:rsidRDefault="000963CD" w:rsidP="00F52B5B">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A68A0A9" w14:textId="77777777"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8. FUTURE SCOPE</w:t>
      </w:r>
    </w:p>
    <w:p w14:paraId="6AE828D1"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development trajectory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points toward several promising areas of enhancement and expansion:</w:t>
      </w:r>
    </w:p>
    <w:p w14:paraId="6772C752" w14:textId="77777777" w:rsidR="00736127" w:rsidRPr="00FD1187" w:rsidRDefault="00736127" w:rsidP="00F52B5B">
      <w:pPr>
        <w:spacing w:before="60" w:after="60" w:line="276" w:lineRule="auto"/>
        <w:jc w:val="both"/>
        <w:rPr>
          <w:rFonts w:ascii="Times New Roman" w:hAnsi="Times New Roman" w:cs="Times New Roman"/>
          <w:color w:val="000000" w:themeColor="text1"/>
          <w:sz w:val="24"/>
          <w:szCs w:val="24"/>
        </w:rPr>
      </w:pPr>
    </w:p>
    <w:p w14:paraId="3955761F"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AI-Assisted Personalised Learning: Future versions of the platform could incorporate</w:t>
      </w:r>
      <w:r w:rsidRPr="00FD1187">
        <w:rPr>
          <w:rFonts w:ascii="Times New Roman" w:hAnsi="Times New Roman" w:cs="Times New Roman"/>
          <w:color w:val="000000" w:themeColor="text1"/>
          <w:sz w:val="24"/>
          <w:szCs w:val="24"/>
        </w:rPr>
        <w:t xml:space="preserve"> artificial intelligence algorithms that analyse student performance on assessments and adapt content delivery accordingly. For example, students who repeatedly answer incorrectly on a particular concept could be directed to additional explanation modules </w:t>
      </w:r>
      <w:r w:rsidRPr="00FD1187">
        <w:rPr>
          <w:rFonts w:ascii="Times New Roman" w:hAnsi="Times New Roman" w:cs="Times New Roman"/>
          <w:color w:val="000000" w:themeColor="text1"/>
          <w:sz w:val="24"/>
          <w:szCs w:val="24"/>
        </w:rPr>
        <w:t>or alternative demonstrations.</w:t>
      </w:r>
    </w:p>
    <w:p w14:paraId="1EA15B3B" w14:textId="024B1A45"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Expanded Experiment Database: A comprehensive version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would cover the full range of experiments across all practical papers in the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curriculum, including pharmaceutical chemistry, pharmacognosy, pharmaceuti</w:t>
      </w:r>
      <w:r w:rsidRPr="00FD1187">
        <w:rPr>
          <w:rFonts w:ascii="Times New Roman" w:hAnsi="Times New Roman" w:cs="Times New Roman"/>
          <w:color w:val="000000" w:themeColor="text1"/>
          <w:sz w:val="24"/>
          <w:szCs w:val="24"/>
        </w:rPr>
        <w:t>cs</w:t>
      </w:r>
      <w:r w:rsidR="000963CD">
        <w:rPr>
          <w:rFonts w:ascii="Times New Roman" w:hAnsi="Times New Roman" w:cs="Times New Roman"/>
          <w:color w:val="000000" w:themeColor="text1"/>
          <w:sz w:val="24"/>
          <w:szCs w:val="24"/>
        </w:rPr>
        <w:t xml:space="preserve"> </w:t>
      </w:r>
      <w:r w:rsidRPr="00FD1187">
        <w:rPr>
          <w:rFonts w:ascii="Times New Roman" w:hAnsi="Times New Roman" w:cs="Times New Roman"/>
          <w:color w:val="000000" w:themeColor="text1"/>
          <w:sz w:val="24"/>
          <w:szCs w:val="24"/>
        </w:rPr>
        <w:t>and clinical pharmacy.</w:t>
      </w:r>
    </w:p>
    <w:p w14:paraId="2F35A35A"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Collaborative and Multiplayer Learning Environments: Future development could introduce collaborative features that allow groups of students to explore virtual laboratory environments simultaneously, replicating the social dimensi</w:t>
      </w:r>
      <w:r w:rsidRPr="00FD1187">
        <w:rPr>
          <w:rFonts w:ascii="Times New Roman" w:hAnsi="Times New Roman" w:cs="Times New Roman"/>
          <w:color w:val="000000" w:themeColor="text1"/>
          <w:sz w:val="24"/>
          <w:szCs w:val="24"/>
        </w:rPr>
        <w:t>ons of group laboratory work in a digital space.</w:t>
      </w:r>
    </w:p>
    <w:p w14:paraId="37C88106"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Real-Time Analytics for Faculty: Teacher Mode could be expanded to provide faculty with real-time insights into student engagement, assessment performance, and learning progression, enabling data-driven inst</w:t>
      </w:r>
      <w:r w:rsidRPr="00FD1187">
        <w:rPr>
          <w:rFonts w:ascii="Times New Roman" w:hAnsi="Times New Roman" w:cs="Times New Roman"/>
          <w:color w:val="000000" w:themeColor="text1"/>
          <w:sz w:val="24"/>
          <w:szCs w:val="24"/>
        </w:rPr>
        <w:t>ructional decisions.</w:t>
      </w:r>
    </w:p>
    <w:p w14:paraId="220A880A"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Full VR Headset Compatibility: Integration with commercial VR headsets would allow for a fully immersive laboratory simulation experience, potentially enabling students to virtually ‘perform’ experiments rather than simply observe them</w:t>
      </w:r>
      <w:r w:rsidRPr="00FD1187">
        <w:rPr>
          <w:rFonts w:ascii="Times New Roman" w:hAnsi="Times New Roman" w:cs="Times New Roman"/>
          <w:color w:val="000000" w:themeColor="text1"/>
          <w:sz w:val="24"/>
          <w:szCs w:val="24"/>
        </w:rPr>
        <w:t>.</w:t>
      </w:r>
    </w:p>
    <w:p w14:paraId="0911BEB4" w14:textId="77777777" w:rsidR="00736127" w:rsidRPr="00FD1187"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Gamification and Reward Systems: The introduction of achievement badges, progress milestones, and leaderboards could further increase student motivation and sustained engagement with the platform over extended periods.</w:t>
      </w:r>
    </w:p>
    <w:p w14:paraId="08CDB56B" w14:textId="548260FE" w:rsidR="000963CD" w:rsidRDefault="00441575"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Multilingual Support: Offering cont</w:t>
      </w:r>
      <w:r w:rsidRPr="00FD1187">
        <w:rPr>
          <w:rFonts w:ascii="Times New Roman" w:hAnsi="Times New Roman" w:cs="Times New Roman"/>
          <w:color w:val="000000" w:themeColor="text1"/>
          <w:sz w:val="24"/>
          <w:szCs w:val="24"/>
        </w:rPr>
        <w:t>ent in regional Indian languages in addition to English would significantly expand the platform’s accessibility and relevance for students in non-English-medium pharmacy institutions.</w:t>
      </w:r>
    </w:p>
    <w:p w14:paraId="019BE3E4" w14:textId="26EED3DC" w:rsidR="00736127" w:rsidRPr="000963CD" w:rsidRDefault="000963CD" w:rsidP="00F52B5B">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6B57BEC" w14:textId="235271C8" w:rsidR="00736127" w:rsidRDefault="00441575" w:rsidP="008107E1">
      <w:pPr>
        <w:pStyle w:val="Heading1"/>
        <w:numPr>
          <w:ilvl w:val="0"/>
          <w:numId w:val="4"/>
        </w:numPr>
        <w:pBdr>
          <w:bottom w:val="single" w:sz="6" w:space="4" w:color="2E7D8C"/>
        </w:pBdr>
        <w:spacing w:line="276" w:lineRule="auto"/>
        <w:ind w:left="417"/>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CONCLUSION</w:t>
      </w:r>
    </w:p>
    <w:p w14:paraId="0B1F9C03" w14:textId="24D6D5BC"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proofErr w:type="spellStart"/>
      <w:r w:rsidRPr="00F52B5B">
        <w:rPr>
          <w:rFonts w:ascii="Times New Roman" w:hAnsi="Times New Roman" w:cs="Times New Roman"/>
          <w:b w:val="0"/>
          <w:bCs w:val="0"/>
          <w:color w:val="000000" w:themeColor="text1"/>
          <w:sz w:val="24"/>
          <w:szCs w:val="24"/>
        </w:rPr>
        <w:t>VRx</w:t>
      </w:r>
      <w:proofErr w:type="spellEnd"/>
      <w:r w:rsidRPr="00F52B5B">
        <w:rPr>
          <w:rFonts w:ascii="Times New Roman" w:hAnsi="Times New Roman" w:cs="Times New Roman"/>
          <w:b w:val="0"/>
          <w:bCs w:val="0"/>
          <w:color w:val="000000" w:themeColor="text1"/>
          <w:sz w:val="24"/>
          <w:szCs w:val="24"/>
        </w:rPr>
        <w:t xml:space="preserve"> Labs represents a considered and student-centred response to a clearly identified gap in pharmacy practical education. By combining structured experimental content, VR-compatible procedural demonstrations, observation documentation, and MCQ-based formative assessment within a single mobile platform, it offers a cohesive and engaging learning experience that neither physical laboratory sessions nor traditional e-learning resources can fully replicate in isolation.</w:t>
      </w:r>
    </w:p>
    <w:p w14:paraId="56B0E49F" w14:textId="3AB840AF"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r w:rsidRPr="00F52B5B">
        <w:rPr>
          <w:rFonts w:ascii="Times New Roman" w:hAnsi="Times New Roman" w:cs="Times New Roman"/>
          <w:b w:val="0"/>
          <w:bCs w:val="0"/>
          <w:color w:val="000000" w:themeColor="text1"/>
          <w:sz w:val="24"/>
          <w:szCs w:val="24"/>
        </w:rPr>
        <w:t xml:space="preserve">The evaluation conducted among </w:t>
      </w:r>
      <w:r>
        <w:rPr>
          <w:rFonts w:ascii="Times New Roman" w:hAnsi="Times New Roman" w:cs="Times New Roman"/>
          <w:b w:val="0"/>
          <w:bCs w:val="0"/>
          <w:color w:val="000000" w:themeColor="text1"/>
          <w:sz w:val="24"/>
          <w:szCs w:val="24"/>
        </w:rPr>
        <w:t>3</w:t>
      </w:r>
      <w:r w:rsidRPr="00F52B5B">
        <w:rPr>
          <w:rFonts w:ascii="Times New Roman" w:hAnsi="Times New Roman" w:cs="Times New Roman"/>
          <w:b w:val="0"/>
          <w:bCs w:val="0"/>
          <w:color w:val="000000" w:themeColor="text1"/>
          <w:sz w:val="24"/>
          <w:szCs w:val="24"/>
        </w:rPr>
        <w:t>0 undergraduate pharmacy students produced consistently high mean scores across all six dimensions assessed — ease of use, visual appeal, learning effectiveness, engagement, innovation, and practical usefulness — with an overall mean of 4.</w:t>
      </w:r>
      <w:r>
        <w:rPr>
          <w:rFonts w:ascii="Times New Roman" w:hAnsi="Times New Roman" w:cs="Times New Roman"/>
          <w:b w:val="0"/>
          <w:bCs w:val="0"/>
          <w:color w:val="000000" w:themeColor="text1"/>
          <w:sz w:val="24"/>
          <w:szCs w:val="24"/>
        </w:rPr>
        <w:t>7</w:t>
      </w:r>
      <w:r w:rsidRPr="00F52B5B">
        <w:rPr>
          <w:rFonts w:ascii="Times New Roman" w:hAnsi="Times New Roman" w:cs="Times New Roman"/>
          <w:b w:val="0"/>
          <w:bCs w:val="0"/>
          <w:color w:val="000000" w:themeColor="text1"/>
          <w:sz w:val="24"/>
          <w:szCs w:val="24"/>
        </w:rPr>
        <w:t xml:space="preserve"> out of 5. Qualitative feedback further confirmed that students perceived genuine educational value in the platform, particularly appreciating its self-paced structure, visual clarity of demonstrations, and the immediacy of assessment feedback.</w:t>
      </w:r>
    </w:p>
    <w:p w14:paraId="207D214D" w14:textId="13469658"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r w:rsidRPr="00F52B5B">
        <w:rPr>
          <w:rFonts w:ascii="Times New Roman" w:hAnsi="Times New Roman" w:cs="Times New Roman"/>
          <w:b w:val="0"/>
          <w:bCs w:val="0"/>
          <w:color w:val="000000" w:themeColor="text1"/>
          <w:sz w:val="24"/>
          <w:szCs w:val="24"/>
        </w:rPr>
        <w:t>The study is, of course, a beginning rather than a conclusion. Much remains to be done in terms of expanding the experiment library, conducting longitudinal evaluation studies, and scaling the platform for institutional deployment. Nevertheless, the prototype has demonstrated that the core concept is both technically feasible and educationally valued by its intended users</w:t>
      </w:r>
      <w:r>
        <w:rPr>
          <w:rFonts w:ascii="Times New Roman" w:hAnsi="Times New Roman" w:cs="Times New Roman"/>
          <w:b w:val="0"/>
          <w:bCs w:val="0"/>
          <w:color w:val="000000" w:themeColor="text1"/>
          <w:sz w:val="24"/>
          <w:szCs w:val="24"/>
        </w:rPr>
        <w:t>.</w:t>
      </w:r>
    </w:p>
    <w:p w14:paraId="1FA568C6" w14:textId="7B734E00"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r w:rsidRPr="00F52B5B">
        <w:rPr>
          <w:rFonts w:ascii="Times New Roman" w:hAnsi="Times New Roman" w:cs="Times New Roman"/>
          <w:b w:val="0"/>
          <w:bCs w:val="0"/>
          <w:color w:val="000000" w:themeColor="text1"/>
          <w:sz w:val="24"/>
          <w:szCs w:val="24"/>
        </w:rPr>
        <w:t xml:space="preserve">As pharmacy education continues to evolve in the digital era, tools like </w:t>
      </w:r>
      <w:proofErr w:type="spellStart"/>
      <w:r w:rsidRPr="00F52B5B">
        <w:rPr>
          <w:rFonts w:ascii="Times New Roman" w:hAnsi="Times New Roman" w:cs="Times New Roman"/>
          <w:b w:val="0"/>
          <w:bCs w:val="0"/>
          <w:color w:val="000000" w:themeColor="text1"/>
          <w:sz w:val="24"/>
          <w:szCs w:val="24"/>
        </w:rPr>
        <w:t>VRx</w:t>
      </w:r>
      <w:proofErr w:type="spellEnd"/>
      <w:r w:rsidRPr="00F52B5B">
        <w:rPr>
          <w:rFonts w:ascii="Times New Roman" w:hAnsi="Times New Roman" w:cs="Times New Roman"/>
          <w:b w:val="0"/>
          <w:bCs w:val="0"/>
          <w:color w:val="000000" w:themeColor="text1"/>
          <w:sz w:val="24"/>
          <w:szCs w:val="24"/>
        </w:rPr>
        <w:t xml:space="preserve"> Labs have an important role to play — not as replacements for the irreplaceable experience of hands-on laboratory work, but as intelligent, accessible, and engaging companions that help students arrive at the laboratory better prepared, leave it better informed, and revisit it as many times as their learning requires.</w:t>
      </w:r>
    </w:p>
    <w:p w14:paraId="2A9E7AC2" w14:textId="77777777" w:rsidR="00736127" w:rsidRPr="00FD1187"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10. ACKNOWLEDGEMENT</w:t>
      </w:r>
    </w:p>
    <w:p w14:paraId="32374A91" w14:textId="2192444D" w:rsidR="00F52B5B" w:rsidRDefault="00F52B5B" w:rsidP="00F52B5B">
      <w:pPr>
        <w:spacing w:line="276" w:lineRule="auto"/>
        <w:jc w:val="both"/>
        <w:rPr>
          <w:rFonts w:ascii="Times New Roman" w:hAnsi="Times New Roman" w:cs="Times New Roman"/>
          <w:color w:val="000000" w:themeColor="text1"/>
          <w:sz w:val="24"/>
          <w:szCs w:val="24"/>
        </w:rPr>
      </w:pPr>
      <w:r w:rsidRPr="00F52B5B">
        <w:rPr>
          <w:rFonts w:ascii="Times New Roman" w:hAnsi="Times New Roman" w:cs="Times New Roman"/>
          <w:color w:val="000000" w:themeColor="text1"/>
          <w:sz w:val="24"/>
          <w:szCs w:val="24"/>
        </w:rPr>
        <w:t xml:space="preserve">The author expresses sincere gratitude to Dr. Ramteke Kuldeep H., Principal, Department of Pharmaceutics, Samarth Institute of Pharmacy, for his valuable guidance, motivation, and continuous support throughout the preparation of this </w:t>
      </w:r>
      <w:proofErr w:type="gramStart"/>
      <w:r w:rsidR="008107E1">
        <w:rPr>
          <w:rFonts w:ascii="Times New Roman" w:hAnsi="Times New Roman" w:cs="Times New Roman"/>
          <w:color w:val="000000" w:themeColor="text1"/>
          <w:sz w:val="24"/>
          <w:szCs w:val="24"/>
        </w:rPr>
        <w:t xml:space="preserve">research </w:t>
      </w:r>
      <w:r w:rsidRPr="00F52B5B">
        <w:rPr>
          <w:rFonts w:ascii="Times New Roman" w:hAnsi="Times New Roman" w:cs="Times New Roman"/>
          <w:color w:val="000000" w:themeColor="text1"/>
          <w:sz w:val="24"/>
          <w:szCs w:val="24"/>
        </w:rPr>
        <w:t xml:space="preserve"> paper</w:t>
      </w:r>
      <w:proofErr w:type="gramEnd"/>
      <w:r w:rsidRPr="00F52B5B">
        <w:rPr>
          <w:rFonts w:ascii="Times New Roman" w:hAnsi="Times New Roman" w:cs="Times New Roman"/>
          <w:color w:val="000000" w:themeColor="text1"/>
          <w:sz w:val="24"/>
          <w:szCs w:val="24"/>
        </w:rPr>
        <w:t xml:space="preserve">. The author also extends appreciation to </w:t>
      </w:r>
      <w:r w:rsidR="008107E1">
        <w:rPr>
          <w:rFonts w:ascii="Times New Roman" w:hAnsi="Times New Roman" w:cs="Times New Roman"/>
          <w:color w:val="000000" w:themeColor="text1"/>
          <w:sz w:val="24"/>
          <w:szCs w:val="24"/>
        </w:rPr>
        <w:t>Mr. Gadge S.C. Asst. Professor at</w:t>
      </w:r>
      <w:r w:rsidRPr="00F52B5B">
        <w:rPr>
          <w:rFonts w:ascii="Times New Roman" w:hAnsi="Times New Roman" w:cs="Times New Roman"/>
          <w:color w:val="000000" w:themeColor="text1"/>
          <w:sz w:val="24"/>
          <w:szCs w:val="24"/>
        </w:rPr>
        <w:t xml:space="preserve"> Samarth Institute of Pharmacy for providing the necessary facilities and encouragement to complete this work.</w:t>
      </w:r>
    </w:p>
    <w:p w14:paraId="0B77715D" w14:textId="77777777" w:rsidR="00F52B5B" w:rsidRDefault="00F52B5B" w:rsidP="00F52B5B">
      <w:pPr>
        <w:spacing w:line="276" w:lineRule="auto"/>
        <w:jc w:val="both"/>
        <w:rPr>
          <w:rFonts w:ascii="Times New Roman" w:hAnsi="Times New Roman" w:cs="Times New Roman"/>
          <w:color w:val="000000" w:themeColor="text1"/>
          <w:sz w:val="24"/>
          <w:szCs w:val="24"/>
        </w:rPr>
      </w:pPr>
    </w:p>
    <w:p w14:paraId="2DB92829" w14:textId="0E34679C" w:rsidR="00736127" w:rsidRPr="00F52B5B" w:rsidRDefault="00441575" w:rsidP="00F52B5B">
      <w:pPr>
        <w:spacing w:line="276" w:lineRule="auto"/>
        <w:jc w:val="both"/>
        <w:rPr>
          <w:rFonts w:ascii="Times New Roman" w:hAnsi="Times New Roman" w:cs="Times New Roman"/>
          <w:b/>
          <w:bCs/>
          <w:color w:val="000000" w:themeColor="text1"/>
          <w:sz w:val="24"/>
          <w:szCs w:val="24"/>
        </w:rPr>
      </w:pPr>
      <w:r w:rsidRPr="00F52B5B">
        <w:rPr>
          <w:rFonts w:ascii="Times New Roman" w:hAnsi="Times New Roman" w:cs="Times New Roman"/>
          <w:b/>
          <w:bCs/>
          <w:color w:val="000000" w:themeColor="text1"/>
          <w:sz w:val="28"/>
          <w:szCs w:val="28"/>
        </w:rPr>
        <w:t>11. CONFLICT OF INTEREST</w:t>
      </w:r>
    </w:p>
    <w:p w14:paraId="33468084" w14:textId="77777777" w:rsidR="0073612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authors declare that there are no </w:t>
      </w:r>
      <w:r w:rsidRPr="00FD1187">
        <w:rPr>
          <w:rFonts w:ascii="Times New Roman" w:hAnsi="Times New Roman" w:cs="Times New Roman"/>
          <w:color w:val="000000" w:themeColor="text1"/>
          <w:sz w:val="24"/>
          <w:szCs w:val="24"/>
        </w:rPr>
        <w:t xml:space="preserve">financial or personal conflicts of interest that could have influenced the design, conduct, or reporting of this study.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prototype was developed independently for educational research purposes, and no commercial interests were involved.</w:t>
      </w:r>
    </w:p>
    <w:p w14:paraId="684453D3" w14:textId="77777777" w:rsidR="00F52B5B" w:rsidRDefault="00F52B5B" w:rsidP="00F52B5B">
      <w:pPr>
        <w:spacing w:before="80" w:after="80" w:line="276" w:lineRule="auto"/>
        <w:jc w:val="both"/>
        <w:rPr>
          <w:rFonts w:ascii="Times New Roman" w:hAnsi="Times New Roman" w:cs="Times New Roman"/>
          <w:color w:val="000000" w:themeColor="text1"/>
          <w:sz w:val="24"/>
          <w:szCs w:val="24"/>
        </w:rPr>
      </w:pPr>
    </w:p>
    <w:p w14:paraId="5530A936" w14:textId="77777777" w:rsidR="00F52B5B" w:rsidRDefault="00F52B5B" w:rsidP="00F52B5B">
      <w:pPr>
        <w:spacing w:before="80" w:after="80" w:line="276" w:lineRule="auto"/>
        <w:jc w:val="both"/>
        <w:rPr>
          <w:rFonts w:ascii="Times New Roman" w:hAnsi="Times New Roman" w:cs="Times New Roman"/>
          <w:color w:val="000000" w:themeColor="text1"/>
          <w:sz w:val="24"/>
          <w:szCs w:val="24"/>
        </w:rPr>
      </w:pPr>
    </w:p>
    <w:p w14:paraId="7670A18A" w14:textId="77777777" w:rsidR="00F52B5B" w:rsidRDefault="00F52B5B" w:rsidP="00F52B5B">
      <w:pPr>
        <w:spacing w:before="80" w:after="80" w:line="276" w:lineRule="auto"/>
        <w:jc w:val="both"/>
        <w:rPr>
          <w:rFonts w:ascii="Times New Roman" w:hAnsi="Times New Roman" w:cs="Times New Roman"/>
          <w:color w:val="000000" w:themeColor="text1"/>
          <w:sz w:val="24"/>
          <w:szCs w:val="24"/>
        </w:rPr>
      </w:pPr>
    </w:p>
    <w:p w14:paraId="3B8C275F" w14:textId="77777777" w:rsidR="00F52B5B" w:rsidRPr="00FD1187" w:rsidRDefault="00F52B5B" w:rsidP="00F52B5B">
      <w:pPr>
        <w:spacing w:before="80" w:after="80" w:line="276" w:lineRule="auto"/>
        <w:jc w:val="both"/>
        <w:rPr>
          <w:rFonts w:ascii="Times New Roman" w:hAnsi="Times New Roman" w:cs="Times New Roman"/>
          <w:color w:val="000000" w:themeColor="text1"/>
          <w:sz w:val="24"/>
          <w:szCs w:val="24"/>
        </w:rPr>
      </w:pPr>
    </w:p>
    <w:p w14:paraId="3B06BC71" w14:textId="05F9DC9A" w:rsidR="00736127" w:rsidRPr="000963CD" w:rsidRDefault="00441575"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12.</w:t>
      </w:r>
      <w:r w:rsidRPr="00FD1187">
        <w:rPr>
          <w:rFonts w:ascii="Times New Roman" w:hAnsi="Times New Roman" w:cs="Times New Roman"/>
          <w:color w:val="000000" w:themeColor="text1"/>
          <w:sz w:val="28"/>
          <w:szCs w:val="28"/>
        </w:rPr>
        <w:t xml:space="preserve"> REFERENCES</w:t>
      </w:r>
    </w:p>
    <w:p w14:paraId="0C781E8F"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 Cook DA, Hatala R, Brydges R, Zendejas B, Szostek JH, Wang AT, et al. Technology-enhanced simulation for health professions education: a systematic review and meta-analysis. </w:t>
      </w:r>
      <w:proofErr w:type="gramStart"/>
      <w:r w:rsidRPr="00FD1187">
        <w:rPr>
          <w:rFonts w:ascii="Times New Roman" w:hAnsi="Times New Roman" w:cs="Times New Roman"/>
          <w:color w:val="000000" w:themeColor="text1"/>
          <w:sz w:val="24"/>
          <w:szCs w:val="24"/>
        </w:rPr>
        <w:t>JAMA.</w:t>
      </w:r>
      <w:proofErr w:type="gramEnd"/>
      <w:r w:rsidRPr="00FD1187">
        <w:rPr>
          <w:rFonts w:ascii="Times New Roman" w:hAnsi="Times New Roman" w:cs="Times New Roman"/>
          <w:color w:val="000000" w:themeColor="text1"/>
          <w:sz w:val="24"/>
          <w:szCs w:val="24"/>
        </w:rPr>
        <w:t xml:space="preserve"> 2011</w:t>
      </w:r>
      <w:proofErr w:type="gramStart"/>
      <w:r w:rsidRPr="00FD1187">
        <w:rPr>
          <w:rFonts w:ascii="Times New Roman" w:hAnsi="Times New Roman" w:cs="Times New Roman"/>
          <w:color w:val="000000" w:themeColor="text1"/>
          <w:sz w:val="24"/>
          <w:szCs w:val="24"/>
        </w:rPr>
        <w:t>;306</w:t>
      </w:r>
      <w:proofErr w:type="gramEnd"/>
      <w:r w:rsidRPr="00FD1187">
        <w:rPr>
          <w:rFonts w:ascii="Times New Roman" w:hAnsi="Times New Roman" w:cs="Times New Roman"/>
          <w:color w:val="000000" w:themeColor="text1"/>
          <w:sz w:val="24"/>
          <w:szCs w:val="24"/>
        </w:rPr>
        <w:t>(9):978–988.</w:t>
      </w:r>
    </w:p>
    <w:p w14:paraId="77390FD0"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proofErr w:type="gramStart"/>
      <w:r w:rsidRPr="00FD1187">
        <w:rPr>
          <w:rFonts w:ascii="Times New Roman" w:hAnsi="Times New Roman" w:cs="Times New Roman"/>
          <w:color w:val="000000" w:themeColor="text1"/>
          <w:sz w:val="24"/>
          <w:szCs w:val="24"/>
        </w:rPr>
        <w:t>2. Mosa ASM, Yoo I, Sheets L.</w:t>
      </w:r>
      <w:proofErr w:type="gramEnd"/>
      <w:r w:rsidRPr="00FD1187">
        <w:rPr>
          <w:rFonts w:ascii="Times New Roman" w:hAnsi="Times New Roman" w:cs="Times New Roman"/>
          <w:color w:val="000000" w:themeColor="text1"/>
          <w:sz w:val="24"/>
          <w:szCs w:val="24"/>
        </w:rPr>
        <w:t xml:space="preserve"> </w:t>
      </w:r>
      <w:proofErr w:type="gramStart"/>
      <w:r w:rsidRPr="00FD1187">
        <w:rPr>
          <w:rFonts w:ascii="Times New Roman" w:hAnsi="Times New Roman" w:cs="Times New Roman"/>
          <w:color w:val="000000" w:themeColor="text1"/>
          <w:sz w:val="24"/>
          <w:szCs w:val="24"/>
        </w:rPr>
        <w:t>A systematic review of healthcare applications for smartphones.</w:t>
      </w:r>
      <w:proofErr w:type="gramEnd"/>
      <w:r w:rsidRPr="00FD1187">
        <w:rPr>
          <w:rFonts w:ascii="Times New Roman" w:hAnsi="Times New Roman" w:cs="Times New Roman"/>
          <w:color w:val="000000" w:themeColor="text1"/>
          <w:sz w:val="24"/>
          <w:szCs w:val="24"/>
        </w:rPr>
        <w:t xml:space="preserve"> BMC Med Inform </w:t>
      </w:r>
      <w:proofErr w:type="spellStart"/>
      <w:r w:rsidRPr="00FD1187">
        <w:rPr>
          <w:rFonts w:ascii="Times New Roman" w:hAnsi="Times New Roman" w:cs="Times New Roman"/>
          <w:color w:val="000000" w:themeColor="text1"/>
          <w:sz w:val="24"/>
          <w:szCs w:val="24"/>
        </w:rPr>
        <w:t>Decis</w:t>
      </w:r>
      <w:proofErr w:type="spellEnd"/>
      <w:r w:rsidRPr="00FD1187">
        <w:rPr>
          <w:rFonts w:ascii="Times New Roman" w:hAnsi="Times New Roman" w:cs="Times New Roman"/>
          <w:color w:val="000000" w:themeColor="text1"/>
          <w:sz w:val="24"/>
          <w:szCs w:val="24"/>
        </w:rPr>
        <w:t xml:space="preserve"> </w:t>
      </w:r>
      <w:proofErr w:type="spellStart"/>
      <w:r w:rsidRPr="00FD1187">
        <w:rPr>
          <w:rFonts w:ascii="Times New Roman" w:hAnsi="Times New Roman" w:cs="Times New Roman"/>
          <w:color w:val="000000" w:themeColor="text1"/>
          <w:sz w:val="24"/>
          <w:szCs w:val="24"/>
        </w:rPr>
        <w:t>Mak</w:t>
      </w:r>
      <w:proofErr w:type="spellEnd"/>
      <w:r w:rsidRPr="00FD1187">
        <w:rPr>
          <w:rFonts w:ascii="Times New Roman" w:hAnsi="Times New Roman" w:cs="Times New Roman"/>
          <w:color w:val="000000" w:themeColor="text1"/>
          <w:sz w:val="24"/>
          <w:szCs w:val="24"/>
        </w:rPr>
        <w:t>. 2012</w:t>
      </w:r>
      <w:proofErr w:type="gramStart"/>
      <w:r w:rsidRPr="00FD1187">
        <w:rPr>
          <w:rFonts w:ascii="Times New Roman" w:hAnsi="Times New Roman" w:cs="Times New Roman"/>
          <w:color w:val="000000" w:themeColor="text1"/>
          <w:sz w:val="24"/>
          <w:szCs w:val="24"/>
        </w:rPr>
        <w:t>;12</w:t>
      </w:r>
      <w:proofErr w:type="gramEnd"/>
      <w:r w:rsidRPr="00FD1187">
        <w:rPr>
          <w:rFonts w:ascii="Times New Roman" w:hAnsi="Times New Roman" w:cs="Times New Roman"/>
          <w:color w:val="000000" w:themeColor="text1"/>
          <w:sz w:val="24"/>
          <w:szCs w:val="24"/>
        </w:rPr>
        <w:t>(1):67.</w:t>
      </w:r>
    </w:p>
    <w:p w14:paraId="6320A3C8"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3. Merchant Z, Goetz ET, Cifuentes L, Keeney-Kennicutt W, Davis TJ. Effectiveness of virtual reality-based instruction on</w:t>
      </w:r>
      <w:r w:rsidRPr="00FD1187">
        <w:rPr>
          <w:rFonts w:ascii="Times New Roman" w:hAnsi="Times New Roman" w:cs="Times New Roman"/>
          <w:color w:val="000000" w:themeColor="text1"/>
          <w:sz w:val="24"/>
          <w:szCs w:val="24"/>
        </w:rPr>
        <w:t xml:space="preserve"> students’ learning outcomes in K-12 and higher education: a meta-analysis. </w:t>
      </w:r>
      <w:proofErr w:type="spellStart"/>
      <w:r w:rsidRPr="00FD1187">
        <w:rPr>
          <w:rFonts w:ascii="Times New Roman" w:hAnsi="Times New Roman" w:cs="Times New Roman"/>
          <w:color w:val="000000" w:themeColor="text1"/>
          <w:sz w:val="24"/>
          <w:szCs w:val="24"/>
        </w:rPr>
        <w:t>Comput</w:t>
      </w:r>
      <w:proofErr w:type="spellEnd"/>
      <w:r w:rsidRPr="00FD1187">
        <w:rPr>
          <w:rFonts w:ascii="Times New Roman" w:hAnsi="Times New Roman" w:cs="Times New Roman"/>
          <w:color w:val="000000" w:themeColor="text1"/>
          <w:sz w:val="24"/>
          <w:szCs w:val="24"/>
        </w:rPr>
        <w:t xml:space="preserve"> Educ. 2014</w:t>
      </w:r>
      <w:proofErr w:type="gramStart"/>
      <w:r w:rsidRPr="00FD1187">
        <w:rPr>
          <w:rFonts w:ascii="Times New Roman" w:hAnsi="Times New Roman" w:cs="Times New Roman"/>
          <w:color w:val="000000" w:themeColor="text1"/>
          <w:sz w:val="24"/>
          <w:szCs w:val="24"/>
        </w:rPr>
        <w:t>;70:29</w:t>
      </w:r>
      <w:proofErr w:type="gramEnd"/>
      <w:r w:rsidRPr="00FD1187">
        <w:rPr>
          <w:rFonts w:ascii="Times New Roman" w:hAnsi="Times New Roman" w:cs="Times New Roman"/>
          <w:color w:val="000000" w:themeColor="text1"/>
          <w:sz w:val="24"/>
          <w:szCs w:val="24"/>
        </w:rPr>
        <w:t>–40.</w:t>
      </w:r>
    </w:p>
    <w:p w14:paraId="76382E5B"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4. Mayer RE. </w:t>
      </w:r>
      <w:proofErr w:type="gramStart"/>
      <w:r w:rsidRPr="00FD1187">
        <w:rPr>
          <w:rFonts w:ascii="Times New Roman" w:hAnsi="Times New Roman" w:cs="Times New Roman"/>
          <w:color w:val="000000" w:themeColor="text1"/>
          <w:sz w:val="24"/>
          <w:szCs w:val="24"/>
        </w:rPr>
        <w:t>Multimedia Learning.</w:t>
      </w:r>
      <w:proofErr w:type="gramEnd"/>
      <w:r w:rsidRPr="00FD1187">
        <w:rPr>
          <w:rFonts w:ascii="Times New Roman" w:hAnsi="Times New Roman" w:cs="Times New Roman"/>
          <w:color w:val="000000" w:themeColor="text1"/>
          <w:sz w:val="24"/>
          <w:szCs w:val="24"/>
        </w:rPr>
        <w:t xml:space="preserve"> 2nd ed. Cambridge: Cambridge University Press; 2009.</w:t>
      </w:r>
    </w:p>
    <w:p w14:paraId="64575F2E"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5. Ausubel DP. Educational Psychology: A Cognitive View. New York</w:t>
      </w:r>
      <w:r w:rsidRPr="00FD1187">
        <w:rPr>
          <w:rFonts w:ascii="Times New Roman" w:hAnsi="Times New Roman" w:cs="Times New Roman"/>
          <w:color w:val="000000" w:themeColor="text1"/>
          <w:sz w:val="24"/>
          <w:szCs w:val="24"/>
        </w:rPr>
        <w:t>: Holt, Rinehart and Winston; 1968.</w:t>
      </w:r>
    </w:p>
    <w:p w14:paraId="06EB46F3"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6. Kumar R, Patel S. Simulation-based pharmacy learning systems: student outcomes and faculty perspectives. Int J Pharm Sci. 2023</w:t>
      </w:r>
      <w:proofErr w:type="gramStart"/>
      <w:r w:rsidRPr="00FD1187">
        <w:rPr>
          <w:rFonts w:ascii="Times New Roman" w:hAnsi="Times New Roman" w:cs="Times New Roman"/>
          <w:color w:val="000000" w:themeColor="text1"/>
          <w:sz w:val="24"/>
          <w:szCs w:val="24"/>
        </w:rPr>
        <w:t>;10</w:t>
      </w:r>
      <w:proofErr w:type="gramEnd"/>
      <w:r w:rsidRPr="00FD1187">
        <w:rPr>
          <w:rFonts w:ascii="Times New Roman" w:hAnsi="Times New Roman" w:cs="Times New Roman"/>
          <w:color w:val="000000" w:themeColor="text1"/>
          <w:sz w:val="24"/>
          <w:szCs w:val="24"/>
        </w:rPr>
        <w:t>(4):55–62.</w:t>
      </w:r>
    </w:p>
    <w:p w14:paraId="0B0D8696"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7. Smith J, Brown T. Virtual learning in healthcare education: current eviden</w:t>
      </w:r>
      <w:r w:rsidRPr="00FD1187">
        <w:rPr>
          <w:rFonts w:ascii="Times New Roman" w:hAnsi="Times New Roman" w:cs="Times New Roman"/>
          <w:color w:val="000000" w:themeColor="text1"/>
          <w:sz w:val="24"/>
          <w:szCs w:val="24"/>
        </w:rPr>
        <w:t>ce and future directions. J Med Educ. 2022</w:t>
      </w:r>
      <w:proofErr w:type="gramStart"/>
      <w:r w:rsidRPr="00FD1187">
        <w:rPr>
          <w:rFonts w:ascii="Times New Roman" w:hAnsi="Times New Roman" w:cs="Times New Roman"/>
          <w:color w:val="000000" w:themeColor="text1"/>
          <w:sz w:val="24"/>
          <w:szCs w:val="24"/>
        </w:rPr>
        <w:t>;15</w:t>
      </w:r>
      <w:proofErr w:type="gramEnd"/>
      <w:r w:rsidRPr="00FD1187">
        <w:rPr>
          <w:rFonts w:ascii="Times New Roman" w:hAnsi="Times New Roman" w:cs="Times New Roman"/>
          <w:color w:val="000000" w:themeColor="text1"/>
          <w:sz w:val="24"/>
          <w:szCs w:val="24"/>
        </w:rPr>
        <w:t>(2):120–126.</w:t>
      </w:r>
    </w:p>
    <w:p w14:paraId="20F0E5B6"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8. Lee A, Wong P. Mobile learning technologies in healthcare education: a review of student adoption factors. Health </w:t>
      </w:r>
      <w:proofErr w:type="spellStart"/>
      <w:r w:rsidRPr="00FD1187">
        <w:rPr>
          <w:rFonts w:ascii="Times New Roman" w:hAnsi="Times New Roman" w:cs="Times New Roman"/>
          <w:color w:val="000000" w:themeColor="text1"/>
          <w:sz w:val="24"/>
          <w:szCs w:val="24"/>
        </w:rPr>
        <w:t>Educ</w:t>
      </w:r>
      <w:proofErr w:type="spellEnd"/>
      <w:r w:rsidRPr="00FD1187">
        <w:rPr>
          <w:rFonts w:ascii="Times New Roman" w:hAnsi="Times New Roman" w:cs="Times New Roman"/>
          <w:color w:val="000000" w:themeColor="text1"/>
          <w:sz w:val="24"/>
          <w:szCs w:val="24"/>
        </w:rPr>
        <w:t xml:space="preserve"> Rev. 2021</w:t>
      </w:r>
      <w:proofErr w:type="gramStart"/>
      <w:r w:rsidRPr="00FD1187">
        <w:rPr>
          <w:rFonts w:ascii="Times New Roman" w:hAnsi="Times New Roman" w:cs="Times New Roman"/>
          <w:color w:val="000000" w:themeColor="text1"/>
          <w:sz w:val="24"/>
          <w:szCs w:val="24"/>
        </w:rPr>
        <w:t>;8</w:t>
      </w:r>
      <w:proofErr w:type="gramEnd"/>
      <w:r w:rsidRPr="00FD1187">
        <w:rPr>
          <w:rFonts w:ascii="Times New Roman" w:hAnsi="Times New Roman" w:cs="Times New Roman"/>
          <w:color w:val="000000" w:themeColor="text1"/>
          <w:sz w:val="24"/>
          <w:szCs w:val="24"/>
        </w:rPr>
        <w:t>(1):44–51.</w:t>
      </w:r>
    </w:p>
    <w:p w14:paraId="54A939F4"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9. Huang HM, Rauch U, Liaw SS. Investigating learners’ attitudes toward virtual reality learning environments: based on a constructivist approach. </w:t>
      </w:r>
      <w:proofErr w:type="spellStart"/>
      <w:r w:rsidRPr="00FD1187">
        <w:rPr>
          <w:rFonts w:ascii="Times New Roman" w:hAnsi="Times New Roman" w:cs="Times New Roman"/>
          <w:color w:val="000000" w:themeColor="text1"/>
          <w:sz w:val="24"/>
          <w:szCs w:val="24"/>
        </w:rPr>
        <w:t>Comput</w:t>
      </w:r>
      <w:proofErr w:type="spellEnd"/>
      <w:r w:rsidRPr="00FD1187">
        <w:rPr>
          <w:rFonts w:ascii="Times New Roman" w:hAnsi="Times New Roman" w:cs="Times New Roman"/>
          <w:color w:val="000000" w:themeColor="text1"/>
          <w:sz w:val="24"/>
          <w:szCs w:val="24"/>
        </w:rPr>
        <w:t xml:space="preserve"> Educ. 2010</w:t>
      </w:r>
      <w:proofErr w:type="gramStart"/>
      <w:r w:rsidRPr="00FD1187">
        <w:rPr>
          <w:rFonts w:ascii="Times New Roman" w:hAnsi="Times New Roman" w:cs="Times New Roman"/>
          <w:color w:val="000000" w:themeColor="text1"/>
          <w:sz w:val="24"/>
          <w:szCs w:val="24"/>
        </w:rPr>
        <w:t>;55</w:t>
      </w:r>
      <w:proofErr w:type="gramEnd"/>
      <w:r w:rsidRPr="00FD1187">
        <w:rPr>
          <w:rFonts w:ascii="Times New Roman" w:hAnsi="Times New Roman" w:cs="Times New Roman"/>
          <w:color w:val="000000" w:themeColor="text1"/>
          <w:sz w:val="24"/>
          <w:szCs w:val="24"/>
        </w:rPr>
        <w:t>(3):1171–1182.</w:t>
      </w:r>
    </w:p>
    <w:p w14:paraId="7B212060"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10. Pottle J. Virtual reality and the transformation of medical education.</w:t>
      </w:r>
      <w:r w:rsidRPr="00FD1187">
        <w:rPr>
          <w:rFonts w:ascii="Times New Roman" w:hAnsi="Times New Roman" w:cs="Times New Roman"/>
          <w:color w:val="000000" w:themeColor="text1"/>
          <w:sz w:val="24"/>
          <w:szCs w:val="24"/>
        </w:rPr>
        <w:t xml:space="preserve"> Future </w:t>
      </w:r>
      <w:proofErr w:type="spellStart"/>
      <w:r w:rsidRPr="00FD1187">
        <w:rPr>
          <w:rFonts w:ascii="Times New Roman" w:hAnsi="Times New Roman" w:cs="Times New Roman"/>
          <w:color w:val="000000" w:themeColor="text1"/>
          <w:sz w:val="24"/>
          <w:szCs w:val="24"/>
        </w:rPr>
        <w:t>Healthc</w:t>
      </w:r>
      <w:proofErr w:type="spellEnd"/>
      <w:r w:rsidRPr="00FD1187">
        <w:rPr>
          <w:rFonts w:ascii="Times New Roman" w:hAnsi="Times New Roman" w:cs="Times New Roman"/>
          <w:color w:val="000000" w:themeColor="text1"/>
          <w:sz w:val="24"/>
          <w:szCs w:val="24"/>
        </w:rPr>
        <w:t xml:space="preserve"> J. 2019</w:t>
      </w:r>
      <w:proofErr w:type="gramStart"/>
      <w:r w:rsidRPr="00FD1187">
        <w:rPr>
          <w:rFonts w:ascii="Times New Roman" w:hAnsi="Times New Roman" w:cs="Times New Roman"/>
          <w:color w:val="000000" w:themeColor="text1"/>
          <w:sz w:val="24"/>
          <w:szCs w:val="24"/>
        </w:rPr>
        <w:t>;6</w:t>
      </w:r>
      <w:proofErr w:type="gramEnd"/>
      <w:r w:rsidRPr="00FD1187">
        <w:rPr>
          <w:rFonts w:ascii="Times New Roman" w:hAnsi="Times New Roman" w:cs="Times New Roman"/>
          <w:color w:val="000000" w:themeColor="text1"/>
          <w:sz w:val="24"/>
          <w:szCs w:val="24"/>
        </w:rPr>
        <w:t>(3):181–185.</w:t>
      </w:r>
    </w:p>
    <w:p w14:paraId="40E401CE"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11. Iqbal MZ, Campbell A. Embracing mobile game based learning as a future technology in higher education: a systematic literature review of trends, benefits and barriers. J Interact Media Educ. 2023</w:t>
      </w:r>
      <w:proofErr w:type="gramStart"/>
      <w:r w:rsidRPr="00FD1187">
        <w:rPr>
          <w:rFonts w:ascii="Times New Roman" w:hAnsi="Times New Roman" w:cs="Times New Roman"/>
          <w:color w:val="000000" w:themeColor="text1"/>
          <w:sz w:val="24"/>
          <w:szCs w:val="24"/>
        </w:rPr>
        <w:t>;2023</w:t>
      </w:r>
      <w:proofErr w:type="gramEnd"/>
      <w:r w:rsidRPr="00FD1187">
        <w:rPr>
          <w:rFonts w:ascii="Times New Roman" w:hAnsi="Times New Roman" w:cs="Times New Roman"/>
          <w:color w:val="000000" w:themeColor="text1"/>
          <w:sz w:val="24"/>
          <w:szCs w:val="24"/>
        </w:rPr>
        <w:t>(1):Art.5.</w:t>
      </w:r>
    </w:p>
    <w:p w14:paraId="06260A4A"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12.</w:t>
      </w:r>
      <w:r w:rsidRPr="00FD1187">
        <w:rPr>
          <w:rFonts w:ascii="Times New Roman" w:hAnsi="Times New Roman" w:cs="Times New Roman"/>
          <w:color w:val="000000" w:themeColor="text1"/>
          <w:sz w:val="24"/>
          <w:szCs w:val="24"/>
        </w:rPr>
        <w:t xml:space="preserve"> Chodorow S. Educators and education: educating for the information age. </w:t>
      </w:r>
      <w:proofErr w:type="spellStart"/>
      <w:r w:rsidRPr="00FD1187">
        <w:rPr>
          <w:rFonts w:ascii="Times New Roman" w:hAnsi="Times New Roman" w:cs="Times New Roman"/>
          <w:color w:val="000000" w:themeColor="text1"/>
          <w:sz w:val="24"/>
          <w:szCs w:val="24"/>
        </w:rPr>
        <w:t>Acad</w:t>
      </w:r>
      <w:proofErr w:type="spellEnd"/>
      <w:r w:rsidRPr="00FD1187">
        <w:rPr>
          <w:rFonts w:ascii="Times New Roman" w:hAnsi="Times New Roman" w:cs="Times New Roman"/>
          <w:color w:val="000000" w:themeColor="text1"/>
          <w:sz w:val="24"/>
          <w:szCs w:val="24"/>
        </w:rPr>
        <w:t xml:space="preserve"> Med. 1996</w:t>
      </w:r>
      <w:proofErr w:type="gramStart"/>
      <w:r w:rsidRPr="00FD1187">
        <w:rPr>
          <w:rFonts w:ascii="Times New Roman" w:hAnsi="Times New Roman" w:cs="Times New Roman"/>
          <w:color w:val="000000" w:themeColor="text1"/>
          <w:sz w:val="24"/>
          <w:szCs w:val="24"/>
        </w:rPr>
        <w:t>;71</w:t>
      </w:r>
      <w:proofErr w:type="gramEnd"/>
      <w:r w:rsidRPr="00FD1187">
        <w:rPr>
          <w:rFonts w:ascii="Times New Roman" w:hAnsi="Times New Roman" w:cs="Times New Roman"/>
          <w:color w:val="000000" w:themeColor="text1"/>
          <w:sz w:val="24"/>
          <w:szCs w:val="24"/>
        </w:rPr>
        <w:t>(6):569–579.</w:t>
      </w:r>
    </w:p>
    <w:p w14:paraId="7C65732C"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13. Daphne Bavelier D, Green CS, Hyun JS. </w:t>
      </w:r>
      <w:proofErr w:type="gramStart"/>
      <w:r w:rsidRPr="00FD1187">
        <w:rPr>
          <w:rFonts w:ascii="Times New Roman" w:hAnsi="Times New Roman" w:cs="Times New Roman"/>
          <w:color w:val="000000" w:themeColor="text1"/>
          <w:sz w:val="24"/>
          <w:szCs w:val="24"/>
        </w:rPr>
        <w:t>Stretching the limits of visual attention: the case of action video games.</w:t>
      </w:r>
      <w:proofErr w:type="gramEnd"/>
      <w:r w:rsidRPr="00FD1187">
        <w:rPr>
          <w:rFonts w:ascii="Times New Roman" w:hAnsi="Times New Roman" w:cs="Times New Roman"/>
          <w:color w:val="000000" w:themeColor="text1"/>
          <w:sz w:val="24"/>
          <w:szCs w:val="24"/>
        </w:rPr>
        <w:t xml:space="preserve"> Prog Brain Res. 2010</w:t>
      </w:r>
      <w:proofErr w:type="gramStart"/>
      <w:r w:rsidRPr="00FD1187">
        <w:rPr>
          <w:rFonts w:ascii="Times New Roman" w:hAnsi="Times New Roman" w:cs="Times New Roman"/>
          <w:color w:val="000000" w:themeColor="text1"/>
          <w:sz w:val="24"/>
          <w:szCs w:val="24"/>
        </w:rPr>
        <w:t>;176:71</w:t>
      </w:r>
      <w:proofErr w:type="gramEnd"/>
      <w:r w:rsidRPr="00FD1187">
        <w:rPr>
          <w:rFonts w:ascii="Times New Roman" w:hAnsi="Times New Roman" w:cs="Times New Roman"/>
          <w:color w:val="000000" w:themeColor="text1"/>
          <w:sz w:val="24"/>
          <w:szCs w:val="24"/>
        </w:rPr>
        <w:t>–88.</w:t>
      </w:r>
    </w:p>
    <w:p w14:paraId="5B006B53"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14. </w:t>
      </w:r>
      <w:r w:rsidRPr="00FD1187">
        <w:rPr>
          <w:rFonts w:ascii="Times New Roman" w:hAnsi="Times New Roman" w:cs="Times New Roman"/>
          <w:color w:val="000000" w:themeColor="text1"/>
          <w:sz w:val="24"/>
          <w:szCs w:val="24"/>
        </w:rPr>
        <w:t xml:space="preserve">Davis FD. </w:t>
      </w:r>
      <w:proofErr w:type="gramStart"/>
      <w:r w:rsidRPr="00FD1187">
        <w:rPr>
          <w:rFonts w:ascii="Times New Roman" w:hAnsi="Times New Roman" w:cs="Times New Roman"/>
          <w:color w:val="000000" w:themeColor="text1"/>
          <w:sz w:val="24"/>
          <w:szCs w:val="24"/>
        </w:rPr>
        <w:t>Perceived usefulness, perceived ease of use, and user acceptance of information technology.</w:t>
      </w:r>
      <w:proofErr w:type="gramEnd"/>
      <w:r w:rsidRPr="00FD1187">
        <w:rPr>
          <w:rFonts w:ascii="Times New Roman" w:hAnsi="Times New Roman" w:cs="Times New Roman"/>
          <w:color w:val="000000" w:themeColor="text1"/>
          <w:sz w:val="24"/>
          <w:szCs w:val="24"/>
        </w:rPr>
        <w:t xml:space="preserve"> MIS Q. 1989</w:t>
      </w:r>
      <w:proofErr w:type="gramStart"/>
      <w:r w:rsidRPr="00FD1187">
        <w:rPr>
          <w:rFonts w:ascii="Times New Roman" w:hAnsi="Times New Roman" w:cs="Times New Roman"/>
          <w:color w:val="000000" w:themeColor="text1"/>
          <w:sz w:val="24"/>
          <w:szCs w:val="24"/>
        </w:rPr>
        <w:t>;13</w:t>
      </w:r>
      <w:proofErr w:type="gramEnd"/>
      <w:r w:rsidRPr="00FD1187">
        <w:rPr>
          <w:rFonts w:ascii="Times New Roman" w:hAnsi="Times New Roman" w:cs="Times New Roman"/>
          <w:color w:val="000000" w:themeColor="text1"/>
          <w:sz w:val="24"/>
          <w:szCs w:val="24"/>
        </w:rPr>
        <w:t>(3):319–340.</w:t>
      </w:r>
    </w:p>
    <w:p w14:paraId="3A22313C"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15. Bloom BS, Engelhart MD, Furst EJ, Hill WH, Krathwohl DR. Taxonomy of Educational Objectives: The Classification of Educatio</w:t>
      </w:r>
      <w:r w:rsidRPr="00FD1187">
        <w:rPr>
          <w:rFonts w:ascii="Times New Roman" w:hAnsi="Times New Roman" w:cs="Times New Roman"/>
          <w:color w:val="000000" w:themeColor="text1"/>
          <w:sz w:val="24"/>
          <w:szCs w:val="24"/>
        </w:rPr>
        <w:t>nal Goals. Handbook 1: Cognitive Domain. New York: David McKay; 1956.</w:t>
      </w:r>
    </w:p>
    <w:p w14:paraId="4CC79BB8"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16. Roediger HL, Butler AC. </w:t>
      </w:r>
      <w:proofErr w:type="gramStart"/>
      <w:r w:rsidRPr="00FD1187">
        <w:rPr>
          <w:rFonts w:ascii="Times New Roman" w:hAnsi="Times New Roman" w:cs="Times New Roman"/>
          <w:color w:val="000000" w:themeColor="text1"/>
          <w:sz w:val="24"/>
          <w:szCs w:val="24"/>
        </w:rPr>
        <w:t>The critical role of retrieval practice in long-term retention.</w:t>
      </w:r>
      <w:proofErr w:type="gramEnd"/>
      <w:r w:rsidRPr="00FD1187">
        <w:rPr>
          <w:rFonts w:ascii="Times New Roman" w:hAnsi="Times New Roman" w:cs="Times New Roman"/>
          <w:color w:val="000000" w:themeColor="text1"/>
          <w:sz w:val="24"/>
          <w:szCs w:val="24"/>
        </w:rPr>
        <w:t xml:space="preserve"> Trends </w:t>
      </w:r>
      <w:proofErr w:type="spellStart"/>
      <w:r w:rsidRPr="00FD1187">
        <w:rPr>
          <w:rFonts w:ascii="Times New Roman" w:hAnsi="Times New Roman" w:cs="Times New Roman"/>
          <w:color w:val="000000" w:themeColor="text1"/>
          <w:sz w:val="24"/>
          <w:szCs w:val="24"/>
        </w:rPr>
        <w:t>Cogn</w:t>
      </w:r>
      <w:proofErr w:type="spellEnd"/>
      <w:r w:rsidRPr="00FD1187">
        <w:rPr>
          <w:rFonts w:ascii="Times New Roman" w:hAnsi="Times New Roman" w:cs="Times New Roman"/>
          <w:color w:val="000000" w:themeColor="text1"/>
          <w:sz w:val="24"/>
          <w:szCs w:val="24"/>
        </w:rPr>
        <w:t xml:space="preserve"> Sci. 2011</w:t>
      </w:r>
      <w:proofErr w:type="gramStart"/>
      <w:r w:rsidRPr="00FD1187">
        <w:rPr>
          <w:rFonts w:ascii="Times New Roman" w:hAnsi="Times New Roman" w:cs="Times New Roman"/>
          <w:color w:val="000000" w:themeColor="text1"/>
          <w:sz w:val="24"/>
          <w:szCs w:val="24"/>
        </w:rPr>
        <w:t>;15</w:t>
      </w:r>
      <w:proofErr w:type="gramEnd"/>
      <w:r w:rsidRPr="00FD1187">
        <w:rPr>
          <w:rFonts w:ascii="Times New Roman" w:hAnsi="Times New Roman" w:cs="Times New Roman"/>
          <w:color w:val="000000" w:themeColor="text1"/>
          <w:sz w:val="24"/>
          <w:szCs w:val="24"/>
        </w:rPr>
        <w:t>(1):20–27.</w:t>
      </w:r>
    </w:p>
    <w:p w14:paraId="20ADC247"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 xml:space="preserve">17. Prensky M. Digital natives, digital immigrants. </w:t>
      </w:r>
      <w:proofErr w:type="gramStart"/>
      <w:r w:rsidRPr="00FD1187">
        <w:rPr>
          <w:rFonts w:ascii="Times New Roman" w:hAnsi="Times New Roman" w:cs="Times New Roman"/>
          <w:color w:val="000000" w:themeColor="text1"/>
          <w:sz w:val="24"/>
          <w:szCs w:val="24"/>
        </w:rPr>
        <w:t xml:space="preserve">On the </w:t>
      </w:r>
      <w:r w:rsidRPr="00FD1187">
        <w:rPr>
          <w:rFonts w:ascii="Times New Roman" w:hAnsi="Times New Roman" w:cs="Times New Roman"/>
          <w:color w:val="000000" w:themeColor="text1"/>
          <w:sz w:val="24"/>
          <w:szCs w:val="24"/>
        </w:rPr>
        <w:t>Horizon.</w:t>
      </w:r>
      <w:proofErr w:type="gramEnd"/>
      <w:r w:rsidRPr="00FD1187">
        <w:rPr>
          <w:rFonts w:ascii="Times New Roman" w:hAnsi="Times New Roman" w:cs="Times New Roman"/>
          <w:color w:val="000000" w:themeColor="text1"/>
          <w:sz w:val="24"/>
          <w:szCs w:val="24"/>
        </w:rPr>
        <w:t xml:space="preserve"> 2001</w:t>
      </w:r>
      <w:proofErr w:type="gramStart"/>
      <w:r w:rsidRPr="00FD1187">
        <w:rPr>
          <w:rFonts w:ascii="Times New Roman" w:hAnsi="Times New Roman" w:cs="Times New Roman"/>
          <w:color w:val="000000" w:themeColor="text1"/>
          <w:sz w:val="24"/>
          <w:szCs w:val="24"/>
        </w:rPr>
        <w:t>;9</w:t>
      </w:r>
      <w:proofErr w:type="gramEnd"/>
      <w:r w:rsidRPr="00FD1187">
        <w:rPr>
          <w:rFonts w:ascii="Times New Roman" w:hAnsi="Times New Roman" w:cs="Times New Roman"/>
          <w:color w:val="000000" w:themeColor="text1"/>
          <w:sz w:val="24"/>
          <w:szCs w:val="24"/>
        </w:rPr>
        <w:t>(5):1–6.</w:t>
      </w:r>
    </w:p>
    <w:p w14:paraId="4502EEDE"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proofErr w:type="gramStart"/>
      <w:r w:rsidRPr="00FD1187">
        <w:rPr>
          <w:rFonts w:ascii="Times New Roman" w:hAnsi="Times New Roman" w:cs="Times New Roman"/>
          <w:color w:val="000000" w:themeColor="text1"/>
          <w:sz w:val="24"/>
          <w:szCs w:val="24"/>
        </w:rPr>
        <w:t xml:space="preserve">18. Patterson BJ, Deaney GL, Hughes CA, </w:t>
      </w:r>
      <w:proofErr w:type="spellStart"/>
      <w:r w:rsidRPr="00FD1187">
        <w:rPr>
          <w:rFonts w:ascii="Times New Roman" w:hAnsi="Times New Roman" w:cs="Times New Roman"/>
          <w:color w:val="000000" w:themeColor="text1"/>
          <w:sz w:val="24"/>
          <w:szCs w:val="24"/>
        </w:rPr>
        <w:t>Guirguis</w:t>
      </w:r>
      <w:proofErr w:type="spellEnd"/>
      <w:r w:rsidRPr="00FD1187">
        <w:rPr>
          <w:rFonts w:ascii="Times New Roman" w:hAnsi="Times New Roman" w:cs="Times New Roman"/>
          <w:color w:val="000000" w:themeColor="text1"/>
          <w:sz w:val="24"/>
          <w:szCs w:val="24"/>
        </w:rPr>
        <w:t xml:space="preserve"> LM, </w:t>
      </w:r>
      <w:proofErr w:type="spellStart"/>
      <w:r w:rsidRPr="00FD1187">
        <w:rPr>
          <w:rFonts w:ascii="Times New Roman" w:hAnsi="Times New Roman" w:cs="Times New Roman"/>
          <w:color w:val="000000" w:themeColor="text1"/>
          <w:sz w:val="24"/>
          <w:szCs w:val="24"/>
        </w:rPr>
        <w:t>Sorisky</w:t>
      </w:r>
      <w:proofErr w:type="spellEnd"/>
      <w:r w:rsidRPr="00FD1187">
        <w:rPr>
          <w:rFonts w:ascii="Times New Roman" w:hAnsi="Times New Roman" w:cs="Times New Roman"/>
          <w:color w:val="000000" w:themeColor="text1"/>
          <w:sz w:val="24"/>
          <w:szCs w:val="24"/>
        </w:rPr>
        <w:t xml:space="preserve"> A.</w:t>
      </w:r>
      <w:proofErr w:type="gramEnd"/>
      <w:r w:rsidRPr="00FD1187">
        <w:rPr>
          <w:rFonts w:ascii="Times New Roman" w:hAnsi="Times New Roman" w:cs="Times New Roman"/>
          <w:color w:val="000000" w:themeColor="text1"/>
          <w:sz w:val="24"/>
          <w:szCs w:val="24"/>
        </w:rPr>
        <w:t xml:space="preserve"> </w:t>
      </w:r>
      <w:proofErr w:type="gramStart"/>
      <w:r w:rsidRPr="00FD1187">
        <w:rPr>
          <w:rFonts w:ascii="Times New Roman" w:hAnsi="Times New Roman" w:cs="Times New Roman"/>
          <w:color w:val="000000" w:themeColor="text1"/>
          <w:sz w:val="24"/>
          <w:szCs w:val="24"/>
        </w:rPr>
        <w:t>A framework for evaluating digital health educational interventions for pharmacy students.</w:t>
      </w:r>
      <w:proofErr w:type="gramEnd"/>
      <w:r w:rsidRPr="00FD1187">
        <w:rPr>
          <w:rFonts w:ascii="Times New Roman" w:hAnsi="Times New Roman" w:cs="Times New Roman"/>
          <w:color w:val="000000" w:themeColor="text1"/>
          <w:sz w:val="24"/>
          <w:szCs w:val="24"/>
        </w:rPr>
        <w:t xml:space="preserve"> Am J Pharm Educ. 2019</w:t>
      </w:r>
      <w:proofErr w:type="gramStart"/>
      <w:r w:rsidRPr="00FD1187">
        <w:rPr>
          <w:rFonts w:ascii="Times New Roman" w:hAnsi="Times New Roman" w:cs="Times New Roman"/>
          <w:color w:val="000000" w:themeColor="text1"/>
          <w:sz w:val="24"/>
          <w:szCs w:val="24"/>
        </w:rPr>
        <w:t>;83</w:t>
      </w:r>
      <w:proofErr w:type="gramEnd"/>
      <w:r w:rsidRPr="00FD1187">
        <w:rPr>
          <w:rFonts w:ascii="Times New Roman" w:hAnsi="Times New Roman" w:cs="Times New Roman"/>
          <w:color w:val="000000" w:themeColor="text1"/>
          <w:sz w:val="24"/>
          <w:szCs w:val="24"/>
        </w:rPr>
        <w:t>(4):6988.</w:t>
      </w:r>
    </w:p>
    <w:p w14:paraId="1C9282A8"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19. Bhatt DL, Bhatt D. Simulation in clinic</w:t>
      </w:r>
      <w:r w:rsidRPr="00FD1187">
        <w:rPr>
          <w:rFonts w:ascii="Times New Roman" w:hAnsi="Times New Roman" w:cs="Times New Roman"/>
          <w:color w:val="000000" w:themeColor="text1"/>
          <w:sz w:val="24"/>
          <w:szCs w:val="24"/>
        </w:rPr>
        <w:t xml:space="preserve">al pharmacology: providing a safe environment for patient care. </w:t>
      </w:r>
      <w:proofErr w:type="gramStart"/>
      <w:r w:rsidRPr="00FD1187">
        <w:rPr>
          <w:rFonts w:ascii="Times New Roman" w:hAnsi="Times New Roman" w:cs="Times New Roman"/>
          <w:color w:val="000000" w:themeColor="text1"/>
          <w:sz w:val="24"/>
          <w:szCs w:val="24"/>
        </w:rPr>
        <w:t>Br J Clin Pharmacol.</w:t>
      </w:r>
      <w:proofErr w:type="gramEnd"/>
      <w:r w:rsidRPr="00FD1187">
        <w:rPr>
          <w:rFonts w:ascii="Times New Roman" w:hAnsi="Times New Roman" w:cs="Times New Roman"/>
          <w:color w:val="000000" w:themeColor="text1"/>
          <w:sz w:val="24"/>
          <w:szCs w:val="24"/>
        </w:rPr>
        <w:t xml:space="preserve"> 2012</w:t>
      </w:r>
      <w:proofErr w:type="gramStart"/>
      <w:r w:rsidRPr="00FD1187">
        <w:rPr>
          <w:rFonts w:ascii="Times New Roman" w:hAnsi="Times New Roman" w:cs="Times New Roman"/>
          <w:color w:val="000000" w:themeColor="text1"/>
          <w:sz w:val="24"/>
          <w:szCs w:val="24"/>
        </w:rPr>
        <w:t>;74</w:t>
      </w:r>
      <w:proofErr w:type="gramEnd"/>
      <w:r w:rsidRPr="00FD1187">
        <w:rPr>
          <w:rFonts w:ascii="Times New Roman" w:hAnsi="Times New Roman" w:cs="Times New Roman"/>
          <w:color w:val="000000" w:themeColor="text1"/>
          <w:sz w:val="24"/>
          <w:szCs w:val="24"/>
        </w:rPr>
        <w:t>(4):590–592.</w:t>
      </w:r>
    </w:p>
    <w:p w14:paraId="3BAB2FDD"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20. Bhatt K, Bhatt M, Bhatt B. Mobile applications in pharmacy practice and education: an updated systematic review. </w:t>
      </w:r>
      <w:proofErr w:type="gramStart"/>
      <w:r w:rsidRPr="00FD1187">
        <w:rPr>
          <w:rFonts w:ascii="Times New Roman" w:hAnsi="Times New Roman" w:cs="Times New Roman"/>
          <w:color w:val="000000" w:themeColor="text1"/>
          <w:sz w:val="24"/>
          <w:szCs w:val="24"/>
        </w:rPr>
        <w:t>Pharmacy (Basel).</w:t>
      </w:r>
      <w:proofErr w:type="gramEnd"/>
      <w:r w:rsidRPr="00FD1187">
        <w:rPr>
          <w:rFonts w:ascii="Times New Roman" w:hAnsi="Times New Roman" w:cs="Times New Roman"/>
          <w:color w:val="000000" w:themeColor="text1"/>
          <w:sz w:val="24"/>
          <w:szCs w:val="24"/>
        </w:rPr>
        <w:t xml:space="preserve"> 2020</w:t>
      </w:r>
      <w:proofErr w:type="gramStart"/>
      <w:r w:rsidRPr="00FD1187">
        <w:rPr>
          <w:rFonts w:ascii="Times New Roman" w:hAnsi="Times New Roman" w:cs="Times New Roman"/>
          <w:color w:val="000000" w:themeColor="text1"/>
          <w:sz w:val="24"/>
          <w:szCs w:val="24"/>
        </w:rPr>
        <w:t>;8</w:t>
      </w:r>
      <w:proofErr w:type="gramEnd"/>
      <w:r w:rsidRPr="00FD1187">
        <w:rPr>
          <w:rFonts w:ascii="Times New Roman" w:hAnsi="Times New Roman" w:cs="Times New Roman"/>
          <w:color w:val="000000" w:themeColor="text1"/>
          <w:sz w:val="24"/>
          <w:szCs w:val="24"/>
        </w:rPr>
        <w:t>(2):101.</w:t>
      </w:r>
    </w:p>
    <w:p w14:paraId="3157FA0B"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1. Gupta R, Mishra A. Digital transformation in pharmacy education: challenges and opportunities in the Indian context. Indian J Pharm </w:t>
      </w:r>
      <w:proofErr w:type="spellStart"/>
      <w:r w:rsidRPr="00FD1187">
        <w:rPr>
          <w:rFonts w:ascii="Times New Roman" w:hAnsi="Times New Roman" w:cs="Times New Roman"/>
          <w:color w:val="000000" w:themeColor="text1"/>
          <w:sz w:val="24"/>
          <w:szCs w:val="24"/>
        </w:rPr>
        <w:t>Educ</w:t>
      </w:r>
      <w:proofErr w:type="spellEnd"/>
      <w:r w:rsidRPr="00FD1187">
        <w:rPr>
          <w:rFonts w:ascii="Times New Roman" w:hAnsi="Times New Roman" w:cs="Times New Roman"/>
          <w:color w:val="000000" w:themeColor="text1"/>
          <w:sz w:val="24"/>
          <w:szCs w:val="24"/>
        </w:rPr>
        <w:t xml:space="preserve"> Res. 2022</w:t>
      </w:r>
      <w:proofErr w:type="gramStart"/>
      <w:r w:rsidRPr="00FD1187">
        <w:rPr>
          <w:rFonts w:ascii="Times New Roman" w:hAnsi="Times New Roman" w:cs="Times New Roman"/>
          <w:color w:val="000000" w:themeColor="text1"/>
          <w:sz w:val="24"/>
          <w:szCs w:val="24"/>
        </w:rPr>
        <w:t>;56</w:t>
      </w:r>
      <w:proofErr w:type="gramEnd"/>
      <w:r w:rsidRPr="00FD1187">
        <w:rPr>
          <w:rFonts w:ascii="Times New Roman" w:hAnsi="Times New Roman" w:cs="Times New Roman"/>
          <w:color w:val="000000" w:themeColor="text1"/>
          <w:sz w:val="24"/>
          <w:szCs w:val="24"/>
        </w:rPr>
        <w:t>(1):S1–S8.</w:t>
      </w:r>
    </w:p>
    <w:p w14:paraId="172039C9" w14:textId="77777777" w:rsidR="00736127" w:rsidRPr="00FD1187" w:rsidRDefault="00441575"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22. Siemens G. Connectivism: a learning theory for the digital age. </w:t>
      </w:r>
      <w:proofErr w:type="spellStart"/>
      <w:r w:rsidRPr="00FD1187">
        <w:rPr>
          <w:rFonts w:ascii="Times New Roman" w:hAnsi="Times New Roman" w:cs="Times New Roman"/>
          <w:color w:val="000000" w:themeColor="text1"/>
          <w:sz w:val="24"/>
          <w:szCs w:val="24"/>
        </w:rPr>
        <w:t>Int</w:t>
      </w:r>
      <w:proofErr w:type="spellEnd"/>
      <w:r w:rsidRPr="00FD1187">
        <w:rPr>
          <w:rFonts w:ascii="Times New Roman" w:hAnsi="Times New Roman" w:cs="Times New Roman"/>
          <w:color w:val="000000" w:themeColor="text1"/>
          <w:sz w:val="24"/>
          <w:szCs w:val="24"/>
        </w:rPr>
        <w:t xml:space="preserve"> J </w:t>
      </w:r>
      <w:proofErr w:type="spellStart"/>
      <w:r w:rsidRPr="00FD1187">
        <w:rPr>
          <w:rFonts w:ascii="Times New Roman" w:hAnsi="Times New Roman" w:cs="Times New Roman"/>
          <w:color w:val="000000" w:themeColor="text1"/>
          <w:sz w:val="24"/>
          <w:szCs w:val="24"/>
        </w:rPr>
        <w:t>Instr</w:t>
      </w:r>
      <w:proofErr w:type="spellEnd"/>
      <w:r w:rsidRPr="00FD1187">
        <w:rPr>
          <w:rFonts w:ascii="Times New Roman" w:hAnsi="Times New Roman" w:cs="Times New Roman"/>
          <w:color w:val="000000" w:themeColor="text1"/>
          <w:sz w:val="24"/>
          <w:szCs w:val="24"/>
        </w:rPr>
        <w:t xml:space="preserve"> </w:t>
      </w:r>
      <w:proofErr w:type="spellStart"/>
      <w:r w:rsidRPr="00FD1187">
        <w:rPr>
          <w:rFonts w:ascii="Times New Roman" w:hAnsi="Times New Roman" w:cs="Times New Roman"/>
          <w:color w:val="000000" w:themeColor="text1"/>
          <w:sz w:val="24"/>
          <w:szCs w:val="24"/>
        </w:rPr>
        <w:t>Technol</w:t>
      </w:r>
      <w:proofErr w:type="spellEnd"/>
      <w:r w:rsidRPr="00FD1187">
        <w:rPr>
          <w:rFonts w:ascii="Times New Roman" w:hAnsi="Times New Roman" w:cs="Times New Roman"/>
          <w:color w:val="000000" w:themeColor="text1"/>
          <w:sz w:val="24"/>
          <w:szCs w:val="24"/>
        </w:rPr>
        <w:t xml:space="preserve"> Dista</w:t>
      </w:r>
      <w:r w:rsidRPr="00FD1187">
        <w:rPr>
          <w:rFonts w:ascii="Times New Roman" w:hAnsi="Times New Roman" w:cs="Times New Roman"/>
          <w:color w:val="000000" w:themeColor="text1"/>
          <w:sz w:val="24"/>
          <w:szCs w:val="24"/>
        </w:rPr>
        <w:t>nce Learn. 2005</w:t>
      </w:r>
      <w:proofErr w:type="gramStart"/>
      <w:r w:rsidRPr="00FD1187">
        <w:rPr>
          <w:rFonts w:ascii="Times New Roman" w:hAnsi="Times New Roman" w:cs="Times New Roman"/>
          <w:color w:val="000000" w:themeColor="text1"/>
          <w:sz w:val="24"/>
          <w:szCs w:val="24"/>
        </w:rPr>
        <w:t>;2</w:t>
      </w:r>
      <w:proofErr w:type="gramEnd"/>
      <w:r w:rsidRPr="00FD1187">
        <w:rPr>
          <w:rFonts w:ascii="Times New Roman" w:hAnsi="Times New Roman" w:cs="Times New Roman"/>
          <w:color w:val="000000" w:themeColor="text1"/>
          <w:sz w:val="24"/>
          <w:szCs w:val="24"/>
        </w:rPr>
        <w:t>(1):3–10.</w:t>
      </w:r>
    </w:p>
    <w:p w14:paraId="626F73B1" w14:textId="199F24C7" w:rsidR="00736127" w:rsidRPr="00FD1187" w:rsidRDefault="00736127" w:rsidP="00F52B5B">
      <w:pPr>
        <w:spacing w:before="80" w:after="80" w:line="276" w:lineRule="auto"/>
        <w:jc w:val="both"/>
        <w:rPr>
          <w:rFonts w:ascii="Times New Roman" w:hAnsi="Times New Roman" w:cs="Times New Roman"/>
          <w:color w:val="000000" w:themeColor="text1"/>
          <w:sz w:val="24"/>
          <w:szCs w:val="24"/>
        </w:rPr>
      </w:pPr>
    </w:p>
    <w:sectPr w:rsidR="00736127" w:rsidRPr="00FD1187">
      <w:footerReference w:type="default" r:id="rId15"/>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19F4D" w14:textId="77777777" w:rsidR="00441575" w:rsidRDefault="00441575">
      <w:r>
        <w:separator/>
      </w:r>
    </w:p>
  </w:endnote>
  <w:endnote w:type="continuationSeparator" w:id="0">
    <w:p w14:paraId="59F2E1F0" w14:textId="77777777" w:rsidR="00441575" w:rsidRDefault="0044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56D72" w14:textId="1C9044F3" w:rsidR="00736127" w:rsidRPr="008107E1" w:rsidRDefault="00441575">
    <w:pPr>
      <w:jc w:val="center"/>
      <w:rPr>
        <w:color w:val="000000" w:themeColor="text1"/>
      </w:rPr>
    </w:pPr>
    <w:proofErr w:type="spellStart"/>
    <w:r w:rsidRPr="008107E1">
      <w:rPr>
        <w:color w:val="000000" w:themeColor="text1"/>
        <w:sz w:val="18"/>
        <w:szCs w:val="18"/>
      </w:rPr>
      <w:t>VRx</w:t>
    </w:r>
    <w:proofErr w:type="spellEnd"/>
    <w:r w:rsidRPr="008107E1">
      <w:rPr>
        <w:color w:val="000000" w:themeColor="text1"/>
        <w:sz w:val="18"/>
        <w:szCs w:val="18"/>
      </w:rPr>
      <w:t xml:space="preserve"> Labs </w:t>
    </w:r>
    <w:proofErr w:type="gramStart"/>
    <w:r w:rsidRPr="008107E1">
      <w:rPr>
        <w:color w:val="000000" w:themeColor="text1"/>
        <w:sz w:val="18"/>
        <w:szCs w:val="18"/>
      </w:rPr>
      <w:t>|  Page</w:t>
    </w:r>
    <w:proofErr w:type="gramEnd"/>
    <w:r w:rsidRPr="008107E1">
      <w:rPr>
        <w:color w:val="000000" w:themeColor="text1"/>
        <w:sz w:val="18"/>
        <w:szCs w:val="18"/>
      </w:rPr>
      <w:t xml:space="preserve"> </w:t>
    </w:r>
    <w:r w:rsidRPr="008107E1">
      <w:rPr>
        <w:color w:val="000000" w:themeColor="text1"/>
        <w:sz w:val="18"/>
        <w:szCs w:val="18"/>
      </w:rPr>
      <w:fldChar w:fldCharType="begin"/>
    </w:r>
    <w:r w:rsidRPr="008107E1">
      <w:rPr>
        <w:color w:val="000000" w:themeColor="text1"/>
        <w:sz w:val="18"/>
        <w:szCs w:val="18"/>
      </w:rPr>
      <w:instrText>PAGE</w:instrText>
    </w:r>
    <w:r w:rsidRPr="008107E1">
      <w:rPr>
        <w:color w:val="000000" w:themeColor="text1"/>
        <w:sz w:val="18"/>
        <w:szCs w:val="18"/>
      </w:rPr>
      <w:fldChar w:fldCharType="separate"/>
    </w:r>
    <w:r w:rsidR="00451410">
      <w:rPr>
        <w:noProof/>
        <w:color w:val="000000" w:themeColor="text1"/>
        <w:sz w:val="18"/>
        <w:szCs w:val="18"/>
      </w:rPr>
      <w:t>1</w:t>
    </w:r>
    <w:r w:rsidRPr="008107E1">
      <w:rPr>
        <w:color w:val="000000" w:themeColor="text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29CBC" w14:textId="77777777" w:rsidR="00441575" w:rsidRDefault="00441575">
      <w:r>
        <w:separator/>
      </w:r>
    </w:p>
  </w:footnote>
  <w:footnote w:type="continuationSeparator" w:id="0">
    <w:p w14:paraId="657419BD" w14:textId="77777777" w:rsidR="00441575" w:rsidRDefault="00441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45797"/>
    <w:multiLevelType w:val="hybridMultilevel"/>
    <w:tmpl w:val="1A14F5F4"/>
    <w:lvl w:ilvl="0" w:tplc="57BADDB2">
      <w:start w:val="1"/>
      <w:numFmt w:val="decimal"/>
      <w:lvlText w:val="%1."/>
      <w:lvlJc w:val="left"/>
      <w:pPr>
        <w:ind w:left="720" w:hanging="360"/>
      </w:pPr>
    </w:lvl>
    <w:lvl w:ilvl="1" w:tplc="8298971A">
      <w:numFmt w:val="decimal"/>
      <w:lvlText w:val=""/>
      <w:lvlJc w:val="left"/>
    </w:lvl>
    <w:lvl w:ilvl="2" w:tplc="396E862E">
      <w:numFmt w:val="decimal"/>
      <w:lvlText w:val=""/>
      <w:lvlJc w:val="left"/>
    </w:lvl>
    <w:lvl w:ilvl="3" w:tplc="2BEC58BA">
      <w:numFmt w:val="decimal"/>
      <w:lvlText w:val=""/>
      <w:lvlJc w:val="left"/>
    </w:lvl>
    <w:lvl w:ilvl="4" w:tplc="66927498">
      <w:numFmt w:val="decimal"/>
      <w:lvlText w:val=""/>
      <w:lvlJc w:val="left"/>
    </w:lvl>
    <w:lvl w:ilvl="5" w:tplc="628299E2">
      <w:numFmt w:val="decimal"/>
      <w:lvlText w:val=""/>
      <w:lvlJc w:val="left"/>
    </w:lvl>
    <w:lvl w:ilvl="6" w:tplc="F72007AE">
      <w:numFmt w:val="decimal"/>
      <w:lvlText w:val=""/>
      <w:lvlJc w:val="left"/>
    </w:lvl>
    <w:lvl w:ilvl="7" w:tplc="F8B4AEB4">
      <w:numFmt w:val="decimal"/>
      <w:lvlText w:val=""/>
      <w:lvlJc w:val="left"/>
    </w:lvl>
    <w:lvl w:ilvl="8" w:tplc="A712D7CC">
      <w:numFmt w:val="decimal"/>
      <w:lvlText w:val=""/>
      <w:lvlJc w:val="left"/>
    </w:lvl>
  </w:abstractNum>
  <w:abstractNum w:abstractNumId="1">
    <w:nsid w:val="41411B8B"/>
    <w:multiLevelType w:val="hybridMultilevel"/>
    <w:tmpl w:val="CF70811A"/>
    <w:lvl w:ilvl="0" w:tplc="2F3EE650">
      <w:start w:val="1"/>
      <w:numFmt w:val="bullet"/>
      <w:lvlText w:val="•"/>
      <w:lvlJc w:val="left"/>
      <w:pPr>
        <w:ind w:left="720" w:hanging="360"/>
      </w:pPr>
    </w:lvl>
    <w:lvl w:ilvl="1" w:tplc="4264546E">
      <w:numFmt w:val="decimal"/>
      <w:lvlText w:val=""/>
      <w:lvlJc w:val="left"/>
    </w:lvl>
    <w:lvl w:ilvl="2" w:tplc="54B41954">
      <w:numFmt w:val="decimal"/>
      <w:lvlText w:val=""/>
      <w:lvlJc w:val="left"/>
    </w:lvl>
    <w:lvl w:ilvl="3" w:tplc="357E88FA">
      <w:numFmt w:val="decimal"/>
      <w:lvlText w:val=""/>
      <w:lvlJc w:val="left"/>
    </w:lvl>
    <w:lvl w:ilvl="4" w:tplc="6AD84E54">
      <w:numFmt w:val="decimal"/>
      <w:lvlText w:val=""/>
      <w:lvlJc w:val="left"/>
    </w:lvl>
    <w:lvl w:ilvl="5" w:tplc="47FACBD4">
      <w:numFmt w:val="decimal"/>
      <w:lvlText w:val=""/>
      <w:lvlJc w:val="left"/>
    </w:lvl>
    <w:lvl w:ilvl="6" w:tplc="24CE5112">
      <w:numFmt w:val="decimal"/>
      <w:lvlText w:val=""/>
      <w:lvlJc w:val="left"/>
    </w:lvl>
    <w:lvl w:ilvl="7" w:tplc="86F62660">
      <w:numFmt w:val="decimal"/>
      <w:lvlText w:val=""/>
      <w:lvlJc w:val="left"/>
    </w:lvl>
    <w:lvl w:ilvl="8" w:tplc="B46AC2D2">
      <w:numFmt w:val="decimal"/>
      <w:lvlText w:val=""/>
      <w:lvlJc w:val="left"/>
    </w:lvl>
  </w:abstractNum>
  <w:abstractNum w:abstractNumId="2">
    <w:nsid w:val="61FF3F57"/>
    <w:multiLevelType w:val="hybridMultilevel"/>
    <w:tmpl w:val="F64452C8"/>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2C83CEA"/>
    <w:multiLevelType w:val="hybridMultilevel"/>
    <w:tmpl w:val="CD028126"/>
    <w:lvl w:ilvl="0" w:tplc="373AF9A6">
      <w:start w:val="1"/>
      <w:numFmt w:val="bullet"/>
      <w:lvlText w:val="●"/>
      <w:lvlJc w:val="left"/>
      <w:pPr>
        <w:ind w:left="720" w:hanging="360"/>
      </w:pPr>
    </w:lvl>
    <w:lvl w:ilvl="1" w:tplc="DF6CC6D6">
      <w:start w:val="1"/>
      <w:numFmt w:val="bullet"/>
      <w:lvlText w:val="○"/>
      <w:lvlJc w:val="left"/>
      <w:pPr>
        <w:ind w:left="1440" w:hanging="360"/>
      </w:pPr>
    </w:lvl>
    <w:lvl w:ilvl="2" w:tplc="9FFC2326">
      <w:start w:val="1"/>
      <w:numFmt w:val="bullet"/>
      <w:lvlText w:val="■"/>
      <w:lvlJc w:val="left"/>
      <w:pPr>
        <w:ind w:left="2160" w:hanging="360"/>
      </w:pPr>
    </w:lvl>
    <w:lvl w:ilvl="3" w:tplc="AD1216D8">
      <w:start w:val="1"/>
      <w:numFmt w:val="bullet"/>
      <w:lvlText w:val="●"/>
      <w:lvlJc w:val="left"/>
      <w:pPr>
        <w:ind w:left="2880" w:hanging="360"/>
      </w:pPr>
    </w:lvl>
    <w:lvl w:ilvl="4" w:tplc="B65EA210">
      <w:start w:val="1"/>
      <w:numFmt w:val="bullet"/>
      <w:lvlText w:val="○"/>
      <w:lvlJc w:val="left"/>
      <w:pPr>
        <w:ind w:left="3600" w:hanging="360"/>
      </w:pPr>
    </w:lvl>
    <w:lvl w:ilvl="5" w:tplc="F0663340">
      <w:start w:val="1"/>
      <w:numFmt w:val="bullet"/>
      <w:lvlText w:val="■"/>
      <w:lvlJc w:val="left"/>
      <w:pPr>
        <w:ind w:left="4320" w:hanging="360"/>
      </w:pPr>
    </w:lvl>
    <w:lvl w:ilvl="6" w:tplc="A00C6806">
      <w:start w:val="1"/>
      <w:numFmt w:val="bullet"/>
      <w:lvlText w:val="●"/>
      <w:lvlJc w:val="left"/>
      <w:pPr>
        <w:ind w:left="5040" w:hanging="360"/>
      </w:pPr>
    </w:lvl>
    <w:lvl w:ilvl="7" w:tplc="27BEFD40">
      <w:start w:val="1"/>
      <w:numFmt w:val="bullet"/>
      <w:lvlText w:val="●"/>
      <w:lvlJc w:val="left"/>
      <w:pPr>
        <w:ind w:left="5760" w:hanging="360"/>
      </w:pPr>
    </w:lvl>
    <w:lvl w:ilvl="8" w:tplc="3154F190">
      <w:start w:val="1"/>
      <w:numFmt w:val="bullet"/>
      <w:lvlText w:val="●"/>
      <w:lvlJc w:val="left"/>
      <w:pPr>
        <w:ind w:left="6480" w:hanging="360"/>
      </w:pPr>
    </w:lvl>
  </w:abstractNum>
  <w:num w:numId="1">
    <w:abstractNumId w:val="3"/>
    <w:lvlOverride w:ilvl="0">
      <w:startOverride w:val="1"/>
    </w:lvlOverride>
  </w:num>
  <w:num w:numId="2">
    <w:abstractNumId w:val="1"/>
    <w:lvlOverride w:ilvl="0">
      <w:startOverride w:val="1"/>
    </w:lvlOverride>
  </w:num>
  <w:num w:numId="3">
    <w:abstractNumId w:val="0"/>
    <w:lvlOverride w:ilvl="0">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127"/>
    <w:rsid w:val="00017B2C"/>
    <w:rsid w:val="00062CCF"/>
    <w:rsid w:val="000800C9"/>
    <w:rsid w:val="000903D3"/>
    <w:rsid w:val="000963CD"/>
    <w:rsid w:val="000E22E6"/>
    <w:rsid w:val="001F050F"/>
    <w:rsid w:val="00284DD9"/>
    <w:rsid w:val="003D6AAF"/>
    <w:rsid w:val="00441575"/>
    <w:rsid w:val="00451410"/>
    <w:rsid w:val="00522026"/>
    <w:rsid w:val="005A75AE"/>
    <w:rsid w:val="00736127"/>
    <w:rsid w:val="007C1969"/>
    <w:rsid w:val="008107E1"/>
    <w:rsid w:val="008C0FEC"/>
    <w:rsid w:val="00910853"/>
    <w:rsid w:val="00AA535E"/>
    <w:rsid w:val="00AD772B"/>
    <w:rsid w:val="00B9357F"/>
    <w:rsid w:val="00C45D73"/>
    <w:rsid w:val="00D82B01"/>
    <w:rsid w:val="00DF1BCB"/>
    <w:rsid w:val="00E75CEF"/>
    <w:rsid w:val="00E87332"/>
    <w:rsid w:val="00F1423A"/>
    <w:rsid w:val="00F52B5B"/>
    <w:rsid w:val="00F73A76"/>
    <w:rsid w:val="00FD118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4A4A4A"/>
        <w:sz w:val="22"/>
        <w:szCs w:val="22"/>
        <w:lang w:val="en-IN" w:eastAsia="en-IN"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D73"/>
  </w:style>
  <w:style w:type="paragraph" w:styleId="Heading1">
    <w:name w:val="heading 1"/>
    <w:uiPriority w:val="9"/>
    <w:qFormat/>
    <w:pPr>
      <w:spacing w:before="340" w:after="120"/>
      <w:outlineLvl w:val="0"/>
    </w:pPr>
    <w:rPr>
      <w:b/>
      <w:bCs/>
      <w:color w:val="1B3A6B"/>
      <w:sz w:val="26"/>
      <w:szCs w:val="26"/>
    </w:rPr>
  </w:style>
  <w:style w:type="paragraph" w:styleId="Heading2">
    <w:name w:val="heading 2"/>
    <w:uiPriority w:val="9"/>
    <w:unhideWhenUsed/>
    <w:qFormat/>
    <w:pPr>
      <w:spacing w:before="260" w:after="100"/>
      <w:outlineLvl w:val="1"/>
    </w:pPr>
    <w:rPr>
      <w:b/>
      <w:bCs/>
      <w:color w:val="2E7D8C"/>
      <w:sz w:val="24"/>
      <w:szCs w:val="24"/>
    </w:rPr>
  </w:style>
  <w:style w:type="paragraph" w:styleId="Heading3">
    <w:name w:val="heading 3"/>
    <w:uiPriority w:val="9"/>
    <w:unhideWhenUsed/>
    <w:qFormat/>
    <w:pPr>
      <w:spacing w:before="180" w:after="80"/>
      <w:outlineLvl w:val="2"/>
    </w:pPr>
    <w:rPr>
      <w:b/>
      <w:bCs/>
      <w:color w:val="1B3A6B"/>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17B2C"/>
    <w:pPr>
      <w:tabs>
        <w:tab w:val="center" w:pos="4513"/>
        <w:tab w:val="right" w:pos="9026"/>
      </w:tabs>
    </w:pPr>
    <w:rPr>
      <w:szCs w:val="20"/>
    </w:rPr>
  </w:style>
  <w:style w:type="character" w:customStyle="1" w:styleId="HeaderChar">
    <w:name w:val="Header Char"/>
    <w:basedOn w:val="DefaultParagraphFont"/>
    <w:link w:val="Header"/>
    <w:uiPriority w:val="99"/>
    <w:rsid w:val="00017B2C"/>
    <w:rPr>
      <w:szCs w:val="20"/>
    </w:rPr>
  </w:style>
  <w:style w:type="paragraph" w:styleId="Footer">
    <w:name w:val="footer"/>
    <w:basedOn w:val="Normal"/>
    <w:link w:val="FooterChar"/>
    <w:uiPriority w:val="99"/>
    <w:unhideWhenUsed/>
    <w:rsid w:val="00017B2C"/>
    <w:pPr>
      <w:tabs>
        <w:tab w:val="center" w:pos="4513"/>
        <w:tab w:val="right" w:pos="9026"/>
      </w:tabs>
    </w:pPr>
    <w:rPr>
      <w:szCs w:val="20"/>
    </w:rPr>
  </w:style>
  <w:style w:type="character" w:customStyle="1" w:styleId="FooterChar">
    <w:name w:val="Footer Char"/>
    <w:basedOn w:val="DefaultParagraphFont"/>
    <w:link w:val="Footer"/>
    <w:uiPriority w:val="99"/>
    <w:rsid w:val="00017B2C"/>
    <w:rPr>
      <w:szCs w:val="20"/>
    </w:rPr>
  </w:style>
  <w:style w:type="paragraph" w:styleId="NoSpacing">
    <w:name w:val="No Spacing"/>
    <w:uiPriority w:val="1"/>
    <w:qFormat/>
    <w:rsid w:val="00DF1BCB"/>
    <w:rPr>
      <w:rFonts w:ascii="Times New Roman" w:eastAsia="Times New Roman" w:hAnsi="Times New Roman" w:cs="Times New Roman"/>
      <w:color w:val="auto"/>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4A4A4A"/>
        <w:sz w:val="22"/>
        <w:szCs w:val="22"/>
        <w:lang w:val="en-IN" w:eastAsia="en-IN"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D73"/>
  </w:style>
  <w:style w:type="paragraph" w:styleId="Heading1">
    <w:name w:val="heading 1"/>
    <w:uiPriority w:val="9"/>
    <w:qFormat/>
    <w:pPr>
      <w:spacing w:before="340" w:after="120"/>
      <w:outlineLvl w:val="0"/>
    </w:pPr>
    <w:rPr>
      <w:b/>
      <w:bCs/>
      <w:color w:val="1B3A6B"/>
      <w:sz w:val="26"/>
      <w:szCs w:val="26"/>
    </w:rPr>
  </w:style>
  <w:style w:type="paragraph" w:styleId="Heading2">
    <w:name w:val="heading 2"/>
    <w:uiPriority w:val="9"/>
    <w:unhideWhenUsed/>
    <w:qFormat/>
    <w:pPr>
      <w:spacing w:before="260" w:after="100"/>
      <w:outlineLvl w:val="1"/>
    </w:pPr>
    <w:rPr>
      <w:b/>
      <w:bCs/>
      <w:color w:val="2E7D8C"/>
      <w:sz w:val="24"/>
      <w:szCs w:val="24"/>
    </w:rPr>
  </w:style>
  <w:style w:type="paragraph" w:styleId="Heading3">
    <w:name w:val="heading 3"/>
    <w:uiPriority w:val="9"/>
    <w:unhideWhenUsed/>
    <w:qFormat/>
    <w:pPr>
      <w:spacing w:before="180" w:after="80"/>
      <w:outlineLvl w:val="2"/>
    </w:pPr>
    <w:rPr>
      <w:b/>
      <w:bCs/>
      <w:color w:val="1B3A6B"/>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17B2C"/>
    <w:pPr>
      <w:tabs>
        <w:tab w:val="center" w:pos="4513"/>
        <w:tab w:val="right" w:pos="9026"/>
      </w:tabs>
    </w:pPr>
    <w:rPr>
      <w:szCs w:val="20"/>
    </w:rPr>
  </w:style>
  <w:style w:type="character" w:customStyle="1" w:styleId="HeaderChar">
    <w:name w:val="Header Char"/>
    <w:basedOn w:val="DefaultParagraphFont"/>
    <w:link w:val="Header"/>
    <w:uiPriority w:val="99"/>
    <w:rsid w:val="00017B2C"/>
    <w:rPr>
      <w:szCs w:val="20"/>
    </w:rPr>
  </w:style>
  <w:style w:type="paragraph" w:styleId="Footer">
    <w:name w:val="footer"/>
    <w:basedOn w:val="Normal"/>
    <w:link w:val="FooterChar"/>
    <w:uiPriority w:val="99"/>
    <w:unhideWhenUsed/>
    <w:rsid w:val="00017B2C"/>
    <w:pPr>
      <w:tabs>
        <w:tab w:val="center" w:pos="4513"/>
        <w:tab w:val="right" w:pos="9026"/>
      </w:tabs>
    </w:pPr>
    <w:rPr>
      <w:szCs w:val="20"/>
    </w:rPr>
  </w:style>
  <w:style w:type="character" w:customStyle="1" w:styleId="FooterChar">
    <w:name w:val="Footer Char"/>
    <w:basedOn w:val="DefaultParagraphFont"/>
    <w:link w:val="Footer"/>
    <w:uiPriority w:val="99"/>
    <w:rsid w:val="00017B2C"/>
    <w:rPr>
      <w:szCs w:val="20"/>
    </w:rPr>
  </w:style>
  <w:style w:type="paragraph" w:styleId="NoSpacing">
    <w:name w:val="No Spacing"/>
    <w:uiPriority w:val="1"/>
    <w:qFormat/>
    <w:rsid w:val="00DF1BCB"/>
    <w:rPr>
      <w:rFonts w:ascii="Times New Roman" w:eastAsia="Times New Roman" w:hAnsi="Times New Roman" w:cs="Times New Roman"/>
      <w:color w:val="auto"/>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8DC44B8-FF2D-4710-9810-D86F5350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5831</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6</cp:revision>
  <cp:lastPrinted>2026-05-19T13:36:00Z</cp:lastPrinted>
  <dcterms:created xsi:type="dcterms:W3CDTF">2026-05-19T13:32:00Z</dcterms:created>
  <dcterms:modified xsi:type="dcterms:W3CDTF">2026-05-20T07:40:00Z</dcterms:modified>
</cp:coreProperties>
</file>