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5FFA7" w14:textId="796C9953" w:rsidR="00220755" w:rsidRDefault="00220755" w:rsidP="00F0093D">
      <w:pPr>
        <w:spacing w:after="0" w:line="240" w:lineRule="auto"/>
        <w:jc w:val="center"/>
        <w:rPr>
          <w:b/>
          <w:bCs/>
          <w:color w:val="000000" w:themeColor="text1"/>
          <w:spacing w:val="0"/>
          <w:sz w:val="36"/>
          <w:szCs w:val="36"/>
        </w:rPr>
      </w:pPr>
      <w:r w:rsidRPr="00220755">
        <w:rPr>
          <w:b/>
          <w:bCs/>
          <w:color w:val="000000" w:themeColor="text1"/>
          <w:spacing w:val="0"/>
          <w:sz w:val="36"/>
          <w:szCs w:val="36"/>
        </w:rPr>
        <w:t>Toward a Unified Global Standard for Outdoor Trespass Lighting: Harmonizing Design, Metrics, and Environmental Protection Across Jurisdictions</w:t>
      </w:r>
    </w:p>
    <w:p w14:paraId="7BEEAD9E" w14:textId="77777777" w:rsidR="005D7E5A" w:rsidRPr="00EA712F" w:rsidRDefault="005D7E5A" w:rsidP="00F0093D">
      <w:pPr>
        <w:spacing w:after="0" w:line="240" w:lineRule="auto"/>
        <w:jc w:val="center"/>
        <w:rPr>
          <w:b/>
          <w:bCs/>
          <w:color w:val="000000" w:themeColor="text1"/>
          <w:spacing w:val="0"/>
          <w:sz w:val="36"/>
          <w:szCs w:val="36"/>
        </w:rPr>
      </w:pPr>
    </w:p>
    <w:p w14:paraId="4B8C3243" w14:textId="2F20CFE9" w:rsidR="009D145E" w:rsidRDefault="009D145E" w:rsidP="00F0093D">
      <w:pPr>
        <w:spacing w:after="0" w:line="240" w:lineRule="auto"/>
        <w:rPr>
          <w:rFonts w:eastAsia="Times New Roman"/>
          <w:b/>
          <w:bCs/>
          <w:snapToGrid/>
          <w:color w:val="000000" w:themeColor="text1"/>
          <w:spacing w:val="0"/>
          <w14:ligatures w14:val="none"/>
        </w:rPr>
      </w:pPr>
      <w:bookmarkStart w:id="0" w:name="_GoBack"/>
      <w:bookmarkEnd w:id="0"/>
    </w:p>
    <w:p w14:paraId="18D4E3DB" w14:textId="77777777" w:rsidR="00AF48E4" w:rsidRPr="00EA712F" w:rsidRDefault="00AF48E4" w:rsidP="00F0093D">
      <w:pPr>
        <w:spacing w:after="0" w:line="240" w:lineRule="auto"/>
        <w:rPr>
          <w:rFonts w:eastAsia="Times New Roman"/>
          <w:snapToGrid/>
          <w:color w:val="000000" w:themeColor="text1"/>
          <w:spacing w:val="0"/>
          <w14:ligatures w14:val="none"/>
        </w:rPr>
      </w:pPr>
    </w:p>
    <w:p w14:paraId="7E4103D6" w14:textId="24BA6397" w:rsidR="009874A8" w:rsidRPr="00EA712F" w:rsidRDefault="009874A8" w:rsidP="00F0093D">
      <w:pPr>
        <w:spacing w:after="0" w:line="240" w:lineRule="auto"/>
        <w:rPr>
          <w:b/>
          <w:bCs/>
          <w:color w:val="000000" w:themeColor="text1"/>
          <w:spacing w:val="0"/>
        </w:rPr>
      </w:pPr>
      <w:r w:rsidRPr="00EA712F">
        <w:rPr>
          <w:b/>
          <w:bCs/>
          <w:color w:val="000000" w:themeColor="text1"/>
          <w:spacing w:val="0"/>
        </w:rPr>
        <w:t>A</w:t>
      </w:r>
      <w:r w:rsidR="0060291A" w:rsidRPr="00EA712F">
        <w:rPr>
          <w:b/>
          <w:bCs/>
          <w:color w:val="000000" w:themeColor="text1"/>
          <w:spacing w:val="0"/>
        </w:rPr>
        <w:t>BSTRACT</w:t>
      </w:r>
    </w:p>
    <w:p w14:paraId="427393E5" w14:textId="77777777" w:rsidR="00DC07C0" w:rsidRPr="00EA712F" w:rsidRDefault="00DC07C0" w:rsidP="00F0093D">
      <w:pPr>
        <w:spacing w:after="0" w:line="240" w:lineRule="auto"/>
        <w:rPr>
          <w:b/>
          <w:bCs/>
          <w:color w:val="000000" w:themeColor="text1"/>
          <w:spacing w:val="0"/>
        </w:rPr>
      </w:pPr>
    </w:p>
    <w:p w14:paraId="4A2A348D" w14:textId="4FA4D36E" w:rsidR="00D74EAC" w:rsidRPr="00EF2F5B" w:rsidRDefault="00CE059F" w:rsidP="00DC07C0">
      <w:pPr>
        <w:jc w:val="both"/>
        <w:rPr>
          <w:color w:val="000000" w:themeColor="text1"/>
          <w:spacing w:val="0"/>
        </w:rPr>
      </w:pPr>
      <w:r w:rsidRPr="00EF2F5B">
        <w:rPr>
          <w:color w:val="000000" w:themeColor="text1"/>
          <w:spacing w:val="0"/>
        </w:rPr>
        <w:t xml:space="preserve">Outdoor Trespass Lighting (OTL) is regulated globally using vertical illuminance limits; however, significant divergence exists across six primary regulatory frameworks that were analysed (IES, CIE, ILP, AS/NZS, IDA, TAC), resulting in regulatory fragmentation and inconsistent environmental protection. </w:t>
      </w:r>
      <w:r w:rsidR="00E02258" w:rsidRPr="00EF2F5B">
        <w:rPr>
          <w:color w:val="000000" w:themeColor="text1"/>
          <w:spacing w:val="0"/>
        </w:rPr>
        <w:t xml:space="preserve">This study develops and validates a unified international OTL framework using a minimum-threshold convergence </w:t>
      </w:r>
      <w:r w:rsidR="00C212C8" w:rsidRPr="00EF2F5B">
        <w:rPr>
          <w:color w:val="000000" w:themeColor="text1"/>
          <w:spacing w:val="0"/>
        </w:rPr>
        <w:t xml:space="preserve">(MTC) </w:t>
      </w:r>
      <w:r w:rsidR="00E02258" w:rsidRPr="00EF2F5B">
        <w:rPr>
          <w:color w:val="000000" w:themeColor="text1"/>
          <w:spacing w:val="0"/>
        </w:rPr>
        <w:t xml:space="preserve">methodology, whereby the most restrictive permissible </w:t>
      </w:r>
      <w:r w:rsidR="00C212C8" w:rsidRPr="00EF2F5B">
        <w:rPr>
          <w:color w:val="000000" w:themeColor="text1"/>
          <w:spacing w:val="0"/>
        </w:rPr>
        <w:t>illuminance</w:t>
      </w:r>
      <w:r w:rsidR="00E02258" w:rsidRPr="00EF2F5B">
        <w:rPr>
          <w:color w:val="000000" w:themeColor="text1"/>
          <w:spacing w:val="0"/>
        </w:rPr>
        <w:t xml:space="preserve"> across standards is adopted for each environmental zone.</w:t>
      </w:r>
      <w:r w:rsidR="00F3411C" w:rsidRPr="00EF2F5B">
        <w:rPr>
          <w:color w:val="000000" w:themeColor="text1"/>
          <w:spacing w:val="0"/>
        </w:rPr>
        <w:t xml:space="preserve">  </w:t>
      </w:r>
      <w:r w:rsidR="00E02258" w:rsidRPr="00EF2F5B">
        <w:rPr>
          <w:color w:val="000000" w:themeColor="text1"/>
          <w:spacing w:val="0"/>
        </w:rPr>
        <w:t>A systematic comparative review (2010–2025) was conducted using Scopus, Web of Science, and professional standards databases. Regulatory divergence was quantified, and a harmonised four-zone framework (1, 3, 8, 15 lux) was derived. The framework was validated through simulation-based case studies using representative roadway lighting geometries and cross-comparison against IES RP-8 and CIE 150 compliance outcomes.</w:t>
      </w:r>
      <w:r w:rsidR="00F3411C" w:rsidRPr="00EF2F5B">
        <w:rPr>
          <w:color w:val="000000" w:themeColor="text1"/>
          <w:spacing w:val="0"/>
        </w:rPr>
        <w:t xml:space="preserve">  </w:t>
      </w:r>
      <w:r w:rsidR="00E02258" w:rsidRPr="00EF2F5B">
        <w:rPr>
          <w:color w:val="000000" w:themeColor="text1"/>
          <w:spacing w:val="0"/>
        </w:rPr>
        <w:t>Results demonstrate that the unified thresholds:</w:t>
      </w:r>
      <w:r w:rsidR="00F3411C" w:rsidRPr="00EF2F5B">
        <w:rPr>
          <w:color w:val="000000" w:themeColor="text1"/>
          <w:spacing w:val="0"/>
        </w:rPr>
        <w:t xml:space="preserve"> </w:t>
      </w:r>
      <w:r w:rsidR="00E02258" w:rsidRPr="00EF2F5B">
        <w:rPr>
          <w:color w:val="000000" w:themeColor="text1"/>
          <w:spacing w:val="0"/>
        </w:rPr>
        <w:t>(i) remain within all major international limits,</w:t>
      </w:r>
      <w:r w:rsidR="00F3411C" w:rsidRPr="00EF2F5B">
        <w:rPr>
          <w:color w:val="000000" w:themeColor="text1"/>
          <w:spacing w:val="0"/>
        </w:rPr>
        <w:t xml:space="preserve"> </w:t>
      </w:r>
      <w:r w:rsidR="00E02258" w:rsidRPr="00EF2F5B">
        <w:rPr>
          <w:color w:val="000000" w:themeColor="text1"/>
          <w:spacing w:val="0"/>
        </w:rPr>
        <w:t>(ii) reduce regulatory ambiguity, and</w:t>
      </w:r>
      <w:r w:rsidR="00F3411C" w:rsidRPr="00EF2F5B">
        <w:rPr>
          <w:color w:val="000000" w:themeColor="text1"/>
          <w:spacing w:val="0"/>
        </w:rPr>
        <w:t xml:space="preserve"> </w:t>
      </w:r>
      <w:r w:rsidR="00E02258" w:rsidRPr="00EF2F5B">
        <w:rPr>
          <w:color w:val="000000" w:themeColor="text1"/>
          <w:spacing w:val="0"/>
        </w:rPr>
        <w:t>(iii) do not compromise safety or compliance.</w:t>
      </w:r>
      <w:r w:rsidR="00F3411C" w:rsidRPr="00EF2F5B">
        <w:rPr>
          <w:color w:val="000000" w:themeColor="text1"/>
          <w:spacing w:val="0"/>
        </w:rPr>
        <w:t xml:space="preserve">  </w:t>
      </w:r>
      <w:r w:rsidR="00E02258" w:rsidRPr="00EF2F5B">
        <w:rPr>
          <w:color w:val="000000" w:themeColor="text1"/>
          <w:spacing w:val="0"/>
        </w:rPr>
        <w:t xml:space="preserve">Sensitivity analysis confirms that minimum-threshold convergence provides a robust, conservative, and legally defensible harmonisation strategy. </w:t>
      </w:r>
      <w:r w:rsidR="00D74EAC" w:rsidRPr="00EF2F5B">
        <w:rPr>
          <w:color w:val="000000" w:themeColor="text1"/>
          <w:spacing w:val="0"/>
        </w:rPr>
        <w:t>The study establishes a scalable model for global lighting governance, identifies the limitations of facade-based photometry, namely that vertical illumination does not fully capture circadian or biological light exposure, and recommends integrating it with eye-level and circadian metrics.</w:t>
      </w:r>
      <w:r w:rsidR="00D44C7B" w:rsidRPr="00EF2F5B">
        <w:rPr>
          <w:color w:val="000000" w:themeColor="text1"/>
          <w:spacing w:val="0"/>
        </w:rPr>
        <w:t xml:space="preserve">  This is a governance consequence for municipalities and engineering practitioners.</w:t>
      </w:r>
    </w:p>
    <w:p w14:paraId="5B118370" w14:textId="77777777" w:rsidR="00EE3213" w:rsidRPr="00EF2F5B" w:rsidRDefault="00EE3213" w:rsidP="00EE3213">
      <w:pPr>
        <w:spacing w:before="100" w:beforeAutospacing="1" w:after="100" w:afterAutospacing="1" w:line="240" w:lineRule="auto"/>
        <w:jc w:val="both"/>
        <w:rPr>
          <w:rFonts w:eastAsia="Times New Roman"/>
          <w:snapToGrid/>
          <w:color w:val="000000" w:themeColor="text1"/>
          <w:spacing w:val="0"/>
          <w:kern w:val="0"/>
          <w14:ligatures w14:val="none"/>
        </w:rPr>
      </w:pPr>
      <w:r w:rsidRPr="00EF2F5B">
        <w:rPr>
          <w:rFonts w:eastAsia="Times New Roman"/>
          <w:b/>
          <w:bCs/>
          <w:snapToGrid/>
          <w:color w:val="000000" w:themeColor="text1"/>
          <w:spacing w:val="0"/>
          <w:kern w:val="0"/>
          <w14:ligatures w14:val="none"/>
        </w:rPr>
        <w:t>Keywords:</w:t>
      </w:r>
      <w:r w:rsidRPr="00EF2F5B">
        <w:rPr>
          <w:rFonts w:eastAsia="Times New Roman"/>
          <w:snapToGrid/>
          <w:color w:val="000000" w:themeColor="text1"/>
          <w:spacing w:val="0"/>
          <w:kern w:val="0"/>
          <w14:ligatures w14:val="none"/>
        </w:rPr>
        <w:t xml:space="preserve"> Outdoor Trespass Lighting; Regulatory Harmonisation; Environmental Governance; Vertical Illuminance; Skyglow; Glare; Policy Convergence.</w:t>
      </w:r>
    </w:p>
    <w:p w14:paraId="556D5EEE" w14:textId="77777777" w:rsidR="00EE3213" w:rsidRPr="00EF2F5B" w:rsidRDefault="00EE3213" w:rsidP="00F0093D">
      <w:pPr>
        <w:spacing w:after="0" w:line="240" w:lineRule="auto"/>
        <w:rPr>
          <w:color w:val="000000" w:themeColor="text1"/>
          <w:spacing w:val="0"/>
        </w:rPr>
      </w:pPr>
    </w:p>
    <w:p w14:paraId="0AD024AF" w14:textId="55405674" w:rsidR="0060291A" w:rsidRPr="00EF2F5B" w:rsidRDefault="0060291A" w:rsidP="00EE3213">
      <w:pPr>
        <w:pStyle w:val="ListParagraph"/>
        <w:numPr>
          <w:ilvl w:val="0"/>
          <w:numId w:val="10"/>
        </w:numPr>
        <w:spacing w:after="0" w:line="240" w:lineRule="auto"/>
        <w:jc w:val="both"/>
        <w:rPr>
          <w:b/>
          <w:bCs/>
          <w:color w:val="000000" w:themeColor="text1"/>
          <w:spacing w:val="0"/>
        </w:rPr>
      </w:pPr>
      <w:r w:rsidRPr="00EF2F5B">
        <w:rPr>
          <w:b/>
          <w:bCs/>
          <w:color w:val="000000" w:themeColor="text1"/>
          <w:spacing w:val="0"/>
        </w:rPr>
        <w:t>INTRODUCTION</w:t>
      </w:r>
    </w:p>
    <w:p w14:paraId="5044C786" w14:textId="77777777" w:rsidR="00C27A18" w:rsidRPr="00EF2F5B" w:rsidRDefault="00C27A18" w:rsidP="00DA6259">
      <w:pPr>
        <w:spacing w:after="0" w:line="240" w:lineRule="auto"/>
        <w:jc w:val="both"/>
        <w:rPr>
          <w:color w:val="000000" w:themeColor="text1"/>
          <w:spacing w:val="0"/>
        </w:rPr>
      </w:pPr>
    </w:p>
    <w:p w14:paraId="4AAFC780" w14:textId="77777777" w:rsidR="00C27A18" w:rsidRPr="00EF2F5B" w:rsidRDefault="00C27A18" w:rsidP="00C27A18">
      <w:pPr>
        <w:spacing w:after="0"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Artificial Light at Night (ALAN) is integral to modern urban life, supporting public safety, economic activity, and nighttime mobility. However, an expanding body of peer</w:t>
      </w:r>
      <w:r w:rsidRPr="00EF2F5B">
        <w:rPr>
          <w:rFonts w:eastAsia="Times New Roman"/>
          <w:snapToGrid/>
          <w:color w:val="000000" w:themeColor="text1"/>
          <w:spacing w:val="0"/>
          <w:kern w:val="0"/>
          <w14:ligatures w14:val="none"/>
        </w:rPr>
        <w:noBreakHyphen/>
        <w:t>reviewed research demonstrates that excessive, misdirected, or poorly regulated outdoor lighting can produce significant adverse effects. These include ecological disruption, circadian rhythm interference, glare</w:t>
      </w:r>
      <w:r w:rsidRPr="00EF2F5B">
        <w:rPr>
          <w:rFonts w:eastAsia="Times New Roman"/>
          <w:snapToGrid/>
          <w:color w:val="000000" w:themeColor="text1"/>
          <w:spacing w:val="0"/>
          <w:kern w:val="0"/>
          <w14:ligatures w14:val="none"/>
        </w:rPr>
        <w:noBreakHyphen/>
        <w:t>related visual impairment, and the intensification of regional skyglow (Falchi et al., 2016; Kyba et al., 2017; Boyce, 2014).</w:t>
      </w:r>
    </w:p>
    <w:p w14:paraId="54855FA0" w14:textId="77777777" w:rsidR="00C27A18" w:rsidRPr="00EF2F5B" w:rsidRDefault="00C27A18" w:rsidP="00C27A18">
      <w:pPr>
        <w:spacing w:after="0" w:line="240" w:lineRule="auto"/>
        <w:jc w:val="both"/>
        <w:rPr>
          <w:rFonts w:eastAsia="Times New Roman"/>
          <w:snapToGrid/>
          <w:color w:val="000000" w:themeColor="text1"/>
          <w:spacing w:val="0"/>
          <w:kern w:val="0"/>
          <w14:ligatures w14:val="none"/>
        </w:rPr>
      </w:pPr>
    </w:p>
    <w:p w14:paraId="1BB26D12" w14:textId="77777777" w:rsidR="00C27A18" w:rsidRPr="00EF2F5B" w:rsidRDefault="00C27A18" w:rsidP="00C27A18">
      <w:pPr>
        <w:spacing w:after="0"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Outdoor Trespass Lighting (OTL) refers to artificial illumination that extends beyond its intended task area and intrudes into adjacent properties or environmentally sensitive zones. Internationally, OTL is most commonly regulated using maximum vertical illuminance (Ev) measured at property boundaries or building façades.</w:t>
      </w:r>
    </w:p>
    <w:p w14:paraId="270F0D41" w14:textId="77777777" w:rsidR="00C27A18" w:rsidRPr="00EF2F5B" w:rsidRDefault="00C27A18" w:rsidP="00C27A18">
      <w:pPr>
        <w:spacing w:after="0" w:line="240" w:lineRule="auto"/>
        <w:jc w:val="both"/>
        <w:rPr>
          <w:rFonts w:eastAsia="Times New Roman"/>
          <w:snapToGrid/>
          <w:color w:val="000000" w:themeColor="text1"/>
          <w:spacing w:val="0"/>
          <w:kern w:val="0"/>
          <w14:ligatures w14:val="none"/>
        </w:rPr>
      </w:pPr>
    </w:p>
    <w:p w14:paraId="077C358F" w14:textId="77777777" w:rsidR="00C27A18" w:rsidRPr="00EF2F5B" w:rsidRDefault="00C27A18" w:rsidP="00C27A18">
      <w:pPr>
        <w:spacing w:after="0"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Although there is broad professional agreement on measurement methodology, existing regulatory frameworks vary substantially with respect to:</w:t>
      </w:r>
    </w:p>
    <w:p w14:paraId="431F523E" w14:textId="77777777" w:rsidR="00C27A18" w:rsidRPr="00EF2F5B" w:rsidRDefault="00C27A18" w:rsidP="00C27A18">
      <w:pPr>
        <w:numPr>
          <w:ilvl w:val="0"/>
          <w:numId w:val="34"/>
        </w:numPr>
        <w:spacing w:before="120" w:after="12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Environmental zoning classifications</w:t>
      </w:r>
    </w:p>
    <w:p w14:paraId="23A2DD35" w14:textId="77777777" w:rsidR="00C27A18" w:rsidRPr="00EF2F5B" w:rsidRDefault="00C27A18" w:rsidP="00C27A18">
      <w:pPr>
        <w:numPr>
          <w:ilvl w:val="0"/>
          <w:numId w:val="34"/>
        </w:numPr>
        <w:spacing w:before="120" w:after="12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Maximum allowable vertical illuminance limits</w:t>
      </w:r>
    </w:p>
    <w:p w14:paraId="3A0CF513" w14:textId="77777777" w:rsidR="00C27A18" w:rsidRPr="00EF2F5B" w:rsidRDefault="00C27A18" w:rsidP="00C27A18">
      <w:pPr>
        <w:numPr>
          <w:ilvl w:val="0"/>
          <w:numId w:val="34"/>
        </w:numPr>
        <w:spacing w:before="120" w:after="12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Curfew provisions</w:t>
      </w:r>
    </w:p>
    <w:p w14:paraId="1E22A3EF" w14:textId="77777777" w:rsidR="00C27A18" w:rsidRPr="00EF2F5B" w:rsidRDefault="00C27A18" w:rsidP="00C27A18">
      <w:pPr>
        <w:numPr>
          <w:ilvl w:val="0"/>
          <w:numId w:val="34"/>
        </w:numPr>
        <w:spacing w:before="120" w:after="12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Treatment of adaptive or dynamic lighting</w:t>
      </w:r>
    </w:p>
    <w:p w14:paraId="31F7CCFC" w14:textId="77777777" w:rsidR="00C27A18" w:rsidRPr="00EF2F5B" w:rsidRDefault="00C27A18" w:rsidP="00C27A18">
      <w:pPr>
        <w:numPr>
          <w:ilvl w:val="0"/>
          <w:numId w:val="34"/>
        </w:numPr>
        <w:spacing w:before="120" w:after="12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Documentation, interpretation, and enforcement practices</w:t>
      </w:r>
    </w:p>
    <w:p w14:paraId="0A7FAC21" w14:textId="77777777" w:rsidR="00C27A18" w:rsidRPr="00EF2F5B" w:rsidRDefault="00C27A18" w:rsidP="00C27A18">
      <w:pPr>
        <w:spacing w:after="0"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This divergence creates regulatory fragmentation. From an institutional standpoint, fragmentation increases compliance complexity, reduces regulatory predictability, and heightens the potential for inconsistent or discretionary enforcement.</w:t>
      </w:r>
    </w:p>
    <w:p w14:paraId="5EFB1387" w14:textId="77777777" w:rsidR="00C27A18" w:rsidRPr="00EF2F5B" w:rsidRDefault="00C27A18" w:rsidP="00C27A18">
      <w:pPr>
        <w:spacing w:after="0" w:line="240" w:lineRule="auto"/>
        <w:jc w:val="both"/>
        <w:rPr>
          <w:rFonts w:eastAsia="Times New Roman"/>
          <w:snapToGrid/>
          <w:color w:val="000000" w:themeColor="text1"/>
          <w:spacing w:val="0"/>
          <w:kern w:val="0"/>
          <w14:ligatures w14:val="none"/>
        </w:rPr>
      </w:pPr>
    </w:p>
    <w:p w14:paraId="6128FBF5" w14:textId="6F582ABB" w:rsidR="00C27A18" w:rsidRPr="00EF2F5B" w:rsidRDefault="00C27A18" w:rsidP="00C27A18">
      <w:pPr>
        <w:spacing w:after="0"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Scholarship on regulatory harmonisation demonstrates that convergence across jurisdictions reduces transaction costs and improves policy coherence (</w:t>
      </w:r>
      <w:r w:rsidR="00553C72" w:rsidRPr="00EF2F5B">
        <w:rPr>
          <w:rFonts w:eastAsia="Times New Roman"/>
          <w:snapToGrid/>
          <w:color w:val="000000" w:themeColor="text1"/>
          <w:spacing w:val="0"/>
          <w:kern w:val="0"/>
          <w14:ligatures w14:val="none"/>
        </w:rPr>
        <w:t xml:space="preserve">Alexandros, 2025; Holzinger et. al., 2008; </w:t>
      </w:r>
      <w:r w:rsidRPr="00EF2F5B">
        <w:rPr>
          <w:rFonts w:eastAsia="Times New Roman"/>
          <w:snapToGrid/>
          <w:color w:val="000000" w:themeColor="text1"/>
          <w:spacing w:val="0"/>
          <w:kern w:val="0"/>
          <w14:ligatures w14:val="none"/>
        </w:rPr>
        <w:t>Abbott &amp; Snidal, 2001; Vogel, 1995). Similarly, research on standards convergence shows that technical alignment improves interoperability and minimises interpretive conflict (Blind, 2013). The absence of a unified framework for OTL, therefore, represents both a technical deficiency and a governance gap. This study responds to that gap through systematic comparative analysis and the development of a harmonised, precautionary illuminance standard. Accordingly, the following section reviews and contextualises existing OTL guidelines used internationally.</w:t>
      </w:r>
    </w:p>
    <w:p w14:paraId="6E839685" w14:textId="77777777" w:rsidR="00553C72" w:rsidRPr="00EF2F5B" w:rsidRDefault="00553C72" w:rsidP="00C27A18">
      <w:pPr>
        <w:spacing w:after="0" w:line="240" w:lineRule="auto"/>
        <w:jc w:val="both"/>
        <w:rPr>
          <w:rFonts w:eastAsia="Times New Roman"/>
          <w:snapToGrid/>
          <w:color w:val="000000" w:themeColor="text1"/>
          <w:spacing w:val="0"/>
          <w:kern w:val="0"/>
          <w14:ligatures w14:val="none"/>
        </w:rPr>
      </w:pPr>
    </w:p>
    <w:p w14:paraId="14087752" w14:textId="77777777" w:rsidR="00C27A18" w:rsidRPr="00EF2F5B" w:rsidRDefault="00C27A18" w:rsidP="00C27A18">
      <w:pPr>
        <w:spacing w:after="0"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Although findings from animal studies do not always translate directly to humans, epidemiological evidence consistently associates higher ALAN exposure with increased disease prevalence in human populations. Establishing direct causation remains methodologically challenging due to confounding variables such as lifestyle, genetics, and environmental context. Nevertheless, the strength and consistency of observed associations underscore the importance of continued investigation and regulatory attention.</w:t>
      </w:r>
    </w:p>
    <w:p w14:paraId="23D63412" w14:textId="77777777" w:rsidR="00C27A18" w:rsidRPr="00EF2F5B" w:rsidRDefault="00C27A18" w:rsidP="00C27A18">
      <w:pPr>
        <w:spacing w:after="0" w:line="240" w:lineRule="auto"/>
        <w:jc w:val="both"/>
        <w:rPr>
          <w:rFonts w:eastAsia="Times New Roman"/>
          <w:snapToGrid/>
          <w:color w:val="000000" w:themeColor="text1"/>
          <w:spacing w:val="0"/>
          <w:kern w:val="0"/>
          <w14:ligatures w14:val="none"/>
        </w:rPr>
      </w:pPr>
    </w:p>
    <w:p w14:paraId="6B98619D" w14:textId="77777777" w:rsidR="00C27A18" w:rsidRPr="00EF2F5B" w:rsidRDefault="00C27A18" w:rsidP="00C27A18">
      <w:pPr>
        <w:spacing w:after="0"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The rapid expansion of outdoor lighting infrastructure may also increase vulnerability to communicable and non</w:t>
      </w:r>
      <w:r w:rsidRPr="00EF2F5B">
        <w:rPr>
          <w:rFonts w:eastAsia="Times New Roman"/>
          <w:snapToGrid/>
          <w:color w:val="000000" w:themeColor="text1"/>
          <w:spacing w:val="0"/>
          <w:kern w:val="0"/>
          <w14:ligatures w14:val="none"/>
        </w:rPr>
        <w:noBreakHyphen/>
        <w:t>communicable illnesses (Kernbach, 2021). Managing ALAN exposure—particularly short</w:t>
      </w:r>
      <w:r w:rsidRPr="00EF2F5B">
        <w:rPr>
          <w:rFonts w:eastAsia="Times New Roman"/>
          <w:snapToGrid/>
          <w:color w:val="000000" w:themeColor="text1"/>
          <w:spacing w:val="0"/>
          <w:kern w:val="0"/>
          <w14:ligatures w14:val="none"/>
        </w:rPr>
        <w:noBreakHyphen/>
        <w:t>wavelength (blue) light—supports circadian regulation (CR) and may reduce physiological disruptions associated with disease risk (Nagai et al., 2019). ALAN is now widely recognised as a disruptor of human sleep and circadian health (SaCH) (AMA, 2016; Thurairajah et al., 2021a, 2021b; Thurairajah, 2017; Kaushik et al., 2022; Phillips, 2019; Walker et al., 2021).</w:t>
      </w:r>
    </w:p>
    <w:p w14:paraId="4FE5C463" w14:textId="77777777" w:rsidR="00C27A18" w:rsidRPr="00EF2F5B" w:rsidRDefault="00C27A18" w:rsidP="00C27A18">
      <w:pPr>
        <w:spacing w:after="0" w:line="240" w:lineRule="auto"/>
        <w:jc w:val="both"/>
        <w:rPr>
          <w:rFonts w:eastAsia="Times New Roman"/>
          <w:snapToGrid/>
          <w:color w:val="000000" w:themeColor="text1"/>
          <w:spacing w:val="0"/>
          <w:kern w:val="0"/>
          <w14:ligatures w14:val="none"/>
        </w:rPr>
      </w:pPr>
    </w:p>
    <w:p w14:paraId="192A4C7A" w14:textId="639BC568" w:rsidR="001B39FA" w:rsidRPr="00EF2F5B" w:rsidRDefault="001B39FA" w:rsidP="00C27A18">
      <w:pPr>
        <w:spacing w:after="0"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The </w:t>
      </w:r>
      <w:r w:rsidR="004C28CF" w:rsidRPr="00EF2F5B">
        <w:rPr>
          <w:rFonts w:eastAsia="Times New Roman"/>
          <w:snapToGrid/>
          <w:color w:val="000000" w:themeColor="text1"/>
          <w:spacing w:val="0"/>
          <w:kern w:val="0"/>
          <w14:ligatures w14:val="none"/>
        </w:rPr>
        <w:t xml:space="preserve">outdoor light </w:t>
      </w:r>
      <w:r w:rsidRPr="00EF2F5B">
        <w:rPr>
          <w:rFonts w:eastAsia="Times New Roman"/>
          <w:snapToGrid/>
          <w:color w:val="000000" w:themeColor="text1"/>
          <w:spacing w:val="0"/>
          <w:kern w:val="0"/>
          <w14:ligatures w14:val="none"/>
        </w:rPr>
        <w:t xml:space="preserve">source pre-qualification, outdoor wireless control system, and lighting calculation method can control outdoor light pollution, outdoor trespass lighting (OTL) levels, and the health impacts on residents (Thurairajah et al., 2021a, 2021b, 2022a; Thurairajah U., 2022b, 2023b).  Visibility can improve trespass lighting, glare, and health in outdoor lighting design (Thurairajah, U., 2023a, and 2023c).  </w:t>
      </w:r>
    </w:p>
    <w:p w14:paraId="4313AFD6" w14:textId="77777777" w:rsidR="001B39FA" w:rsidRPr="00EF2F5B" w:rsidRDefault="001B39FA" w:rsidP="00C27A18">
      <w:pPr>
        <w:spacing w:after="0" w:line="240" w:lineRule="auto"/>
        <w:jc w:val="both"/>
        <w:rPr>
          <w:rFonts w:eastAsia="Times New Roman"/>
          <w:snapToGrid/>
          <w:color w:val="000000" w:themeColor="text1"/>
          <w:spacing w:val="0"/>
          <w:kern w:val="0"/>
          <w14:ligatures w14:val="none"/>
        </w:rPr>
      </w:pPr>
    </w:p>
    <w:p w14:paraId="3CABE9A6" w14:textId="654D7E5B" w:rsidR="00C27A18" w:rsidRPr="00EF2F5B" w:rsidRDefault="00C27A18" w:rsidP="00C27A18">
      <w:pPr>
        <w:spacing w:after="0"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lastRenderedPageBreak/>
        <w:t>The central challenge lies in linking real</w:t>
      </w:r>
      <w:r w:rsidRPr="00EF2F5B">
        <w:rPr>
          <w:rFonts w:eastAsia="Times New Roman"/>
          <w:snapToGrid/>
          <w:color w:val="000000" w:themeColor="text1"/>
          <w:spacing w:val="0"/>
          <w:kern w:val="0"/>
          <w14:ligatures w14:val="none"/>
        </w:rPr>
        <w:noBreakHyphen/>
        <w:t>world outdoor lighting exposure to measurable SaCH outcomes. While causation cannot always be established, the persistent correlation between intrusive nighttime lighting and adverse human health indicators highlights a collective responsibility to mitigate exposure. This research contributes to that effort by strengthening the evidentiary basis for linking excessive OTL to degraded SaCH among affected residential populations.</w:t>
      </w:r>
    </w:p>
    <w:p w14:paraId="1E56A080" w14:textId="77777777" w:rsidR="00C27A18" w:rsidRPr="00EF2F5B" w:rsidRDefault="00C27A18" w:rsidP="00DA6259">
      <w:pPr>
        <w:spacing w:after="0" w:line="240" w:lineRule="auto"/>
        <w:jc w:val="both"/>
        <w:rPr>
          <w:color w:val="000000" w:themeColor="text1"/>
          <w:spacing w:val="0"/>
        </w:rPr>
      </w:pPr>
    </w:p>
    <w:p w14:paraId="45C0D396" w14:textId="56550769" w:rsidR="00336F99" w:rsidRPr="00EF2F5B" w:rsidRDefault="00336F99" w:rsidP="004B6CEC">
      <w:pPr>
        <w:pStyle w:val="ListParagraph"/>
        <w:numPr>
          <w:ilvl w:val="0"/>
          <w:numId w:val="10"/>
        </w:numPr>
        <w:spacing w:after="0" w:line="240" w:lineRule="auto"/>
        <w:jc w:val="both"/>
        <w:rPr>
          <w:b/>
          <w:bCs/>
          <w:color w:val="000000" w:themeColor="text1"/>
          <w:spacing w:val="0"/>
        </w:rPr>
      </w:pPr>
      <w:r w:rsidRPr="00EF2F5B">
        <w:rPr>
          <w:b/>
          <w:bCs/>
          <w:color w:val="000000" w:themeColor="text1"/>
          <w:spacing w:val="0"/>
        </w:rPr>
        <w:t>B</w:t>
      </w:r>
      <w:r w:rsidR="009D145E" w:rsidRPr="00EF2F5B">
        <w:rPr>
          <w:b/>
          <w:bCs/>
          <w:color w:val="000000" w:themeColor="text1"/>
          <w:spacing w:val="0"/>
        </w:rPr>
        <w:t>ACKGROUND</w:t>
      </w:r>
    </w:p>
    <w:p w14:paraId="444B89C4" w14:textId="77777777" w:rsidR="00336F99" w:rsidRPr="00EF2F5B" w:rsidRDefault="00336F99" w:rsidP="00F0093D">
      <w:pPr>
        <w:spacing w:after="0" w:line="240" w:lineRule="auto"/>
        <w:jc w:val="both"/>
        <w:rPr>
          <w:color w:val="000000" w:themeColor="text1"/>
          <w:spacing w:val="0"/>
        </w:rPr>
      </w:pPr>
    </w:p>
    <w:p w14:paraId="75B10A10" w14:textId="77777777" w:rsidR="00336F99" w:rsidRPr="00EF2F5B" w:rsidRDefault="00336F99" w:rsidP="00F0093D">
      <w:pPr>
        <w:keepNext/>
        <w:keepLines/>
        <w:numPr>
          <w:ilvl w:val="1"/>
          <w:numId w:val="0"/>
        </w:numPr>
        <w:spacing w:after="0" w:line="240" w:lineRule="auto"/>
        <w:jc w:val="both"/>
        <w:outlineLvl w:val="1"/>
        <w:rPr>
          <w:rFonts w:ascii="Times New Roman Bold" w:eastAsiaTheme="majorEastAsia" w:hAnsi="Times New Roman Bold" w:cstheme="majorBidi"/>
          <w:b/>
          <w:bCs/>
          <w:snapToGrid/>
          <w:color w:val="000000" w:themeColor="text1"/>
          <w:spacing w:val="0"/>
          <w:kern w:val="0"/>
          <w:sz w:val="28"/>
          <w:szCs w:val="28"/>
          <w:lang w:val="en-ZA" w:bidi="ar-SA"/>
          <w14:ligatures w14:val="none"/>
        </w:rPr>
      </w:pPr>
      <w:r w:rsidRPr="00EF2F5B">
        <w:rPr>
          <w:rFonts w:ascii="Times New Roman Bold" w:eastAsiaTheme="majorEastAsia" w:hAnsi="Times New Roman Bold" w:cstheme="majorBidi"/>
          <w:b/>
          <w:bCs/>
          <w:snapToGrid/>
          <w:color w:val="000000" w:themeColor="text1"/>
          <w:spacing w:val="0"/>
          <w:kern w:val="0"/>
          <w:sz w:val="28"/>
          <w:szCs w:val="28"/>
          <w:lang w:val="en-ZA" w:bidi="ar-SA"/>
          <w14:ligatures w14:val="none"/>
        </w:rPr>
        <w:t>Existing outdoor OTL guidelines worldwide</w:t>
      </w:r>
    </w:p>
    <w:p w14:paraId="1A85F73A" w14:textId="77777777" w:rsidR="009D145E" w:rsidRPr="00EF2F5B" w:rsidRDefault="009D145E" w:rsidP="00F0093D">
      <w:pPr>
        <w:keepNext/>
        <w:keepLines/>
        <w:numPr>
          <w:ilvl w:val="1"/>
          <w:numId w:val="0"/>
        </w:numPr>
        <w:spacing w:after="0" w:line="240" w:lineRule="auto"/>
        <w:jc w:val="both"/>
        <w:outlineLvl w:val="1"/>
        <w:rPr>
          <w:rFonts w:ascii="Times New Roman Bold" w:eastAsiaTheme="majorEastAsia" w:hAnsi="Times New Roman Bold" w:cstheme="majorBidi"/>
          <w:b/>
          <w:bCs/>
          <w:snapToGrid/>
          <w:color w:val="000000" w:themeColor="text1"/>
          <w:spacing w:val="0"/>
          <w:kern w:val="0"/>
          <w:sz w:val="28"/>
          <w:szCs w:val="28"/>
          <w:lang w:val="en-ZA" w:bidi="ar-SA"/>
          <w14:ligatures w14:val="none"/>
        </w:rPr>
      </w:pPr>
    </w:p>
    <w:p w14:paraId="23DBFB34" w14:textId="1AAA7A6B" w:rsidR="00336F99" w:rsidRPr="00EF2F5B" w:rsidRDefault="00336F99" w:rsidP="009D145E">
      <w:pPr>
        <w:spacing w:after="0" w:line="240" w:lineRule="auto"/>
        <w:jc w:val="both"/>
        <w:rPr>
          <w:color w:val="000000" w:themeColor="text1"/>
          <w:spacing w:val="0"/>
        </w:rPr>
      </w:pPr>
      <w:r w:rsidRPr="00EF2F5B">
        <w:rPr>
          <w:color w:val="000000" w:themeColor="text1"/>
          <w:spacing w:val="0"/>
        </w:rPr>
        <w:t xml:space="preserve">It is essential to have a clear understanding of what constitutes OTL and how it can be controlled to support residents' CH and well-being.  Various components are associated with OTL, such as mounting height, improper installation, overlighting, and clutter, which refers to the excessive use of light that can cause glare and discomfort (IES RP-8, 2021). For instance, adjusting the mounting height, ensuring proper installation, and using OL controls can help mitigate these issues.    Identifying these elements that affect resident well-being is crucial. International literature search tools, databases, and publishers, such as Google Scholar, MetSearch, Scopus, Elsevier, and professional authorities, were used to review all available technical documents on OTL to determine the task proposed clearly.  Some of the leading authorities contacted on Published Standards are: </w:t>
      </w:r>
    </w:p>
    <w:p w14:paraId="4940C93D" w14:textId="16EBA202" w:rsidR="00336F99" w:rsidRPr="00EF2F5B" w:rsidRDefault="00336F99" w:rsidP="00F0093D">
      <w:pPr>
        <w:pStyle w:val="ListParagraph"/>
        <w:numPr>
          <w:ilvl w:val="0"/>
          <w:numId w:val="5"/>
        </w:numPr>
        <w:spacing w:after="0" w:line="240" w:lineRule="auto"/>
        <w:rPr>
          <w:color w:val="000000" w:themeColor="text1"/>
          <w:spacing w:val="0"/>
        </w:rPr>
      </w:pPr>
      <w:r w:rsidRPr="00EF2F5B">
        <w:rPr>
          <w:color w:val="000000" w:themeColor="text1"/>
          <w:spacing w:val="0"/>
        </w:rPr>
        <w:t xml:space="preserve">IES (TM-15, 2021), </w:t>
      </w:r>
      <w:r w:rsidR="00670963" w:rsidRPr="00EF2F5B">
        <w:rPr>
          <w:color w:val="000000" w:themeColor="text1"/>
          <w:spacing w:val="0"/>
        </w:rPr>
        <w:t xml:space="preserve">IES RP-8-25, </w:t>
      </w:r>
      <w:r w:rsidRPr="00EF2F5B">
        <w:rPr>
          <w:color w:val="000000" w:themeColor="text1"/>
          <w:spacing w:val="0"/>
        </w:rPr>
        <w:t xml:space="preserve">North America  </w:t>
      </w:r>
    </w:p>
    <w:p w14:paraId="557510B6" w14:textId="77777777" w:rsidR="00336F99" w:rsidRPr="00EF2F5B" w:rsidRDefault="00336F99" w:rsidP="00F0093D">
      <w:pPr>
        <w:pStyle w:val="ListParagraph"/>
        <w:numPr>
          <w:ilvl w:val="0"/>
          <w:numId w:val="5"/>
        </w:numPr>
        <w:spacing w:after="0" w:line="240" w:lineRule="auto"/>
        <w:rPr>
          <w:color w:val="000000" w:themeColor="text1"/>
          <w:spacing w:val="0"/>
        </w:rPr>
      </w:pPr>
      <w:r w:rsidRPr="00EF2F5B">
        <w:rPr>
          <w:color w:val="000000" w:themeColor="text1"/>
          <w:spacing w:val="0"/>
        </w:rPr>
        <w:t xml:space="preserve">CIE (CIE-150, 2017), Europe </w:t>
      </w:r>
    </w:p>
    <w:p w14:paraId="070EF102" w14:textId="033C2281" w:rsidR="00336F99" w:rsidRPr="00EF2F5B" w:rsidRDefault="00336F99" w:rsidP="00F0093D">
      <w:pPr>
        <w:pStyle w:val="ListParagraph"/>
        <w:numPr>
          <w:ilvl w:val="0"/>
          <w:numId w:val="5"/>
        </w:numPr>
        <w:spacing w:after="0" w:line="240" w:lineRule="auto"/>
        <w:rPr>
          <w:color w:val="000000" w:themeColor="text1"/>
          <w:spacing w:val="0"/>
        </w:rPr>
      </w:pPr>
      <w:r w:rsidRPr="00EF2F5B">
        <w:rPr>
          <w:color w:val="000000" w:themeColor="text1"/>
          <w:spacing w:val="0"/>
        </w:rPr>
        <w:t xml:space="preserve">IDA (2021), </w:t>
      </w:r>
      <w:r w:rsidR="00670963" w:rsidRPr="00EF2F5B">
        <w:rPr>
          <w:color w:val="000000" w:themeColor="text1"/>
          <w:spacing w:val="0"/>
        </w:rPr>
        <w:t xml:space="preserve">International </w:t>
      </w:r>
    </w:p>
    <w:p w14:paraId="634099DD" w14:textId="77777777" w:rsidR="00336F99" w:rsidRPr="00EF2F5B" w:rsidRDefault="00336F99" w:rsidP="00F0093D">
      <w:pPr>
        <w:pStyle w:val="ListParagraph"/>
        <w:numPr>
          <w:ilvl w:val="0"/>
          <w:numId w:val="5"/>
        </w:numPr>
        <w:spacing w:after="0" w:line="240" w:lineRule="auto"/>
        <w:rPr>
          <w:color w:val="000000" w:themeColor="text1"/>
          <w:spacing w:val="0"/>
        </w:rPr>
      </w:pPr>
      <w:r w:rsidRPr="00EF2F5B">
        <w:rPr>
          <w:color w:val="000000" w:themeColor="text1"/>
          <w:spacing w:val="0"/>
        </w:rPr>
        <w:t xml:space="preserve">AIES (AS/NZS 42822019, 2019), Australia </w:t>
      </w:r>
    </w:p>
    <w:p w14:paraId="405B9FB5" w14:textId="77777777" w:rsidR="00336F99" w:rsidRPr="00EF2F5B" w:rsidRDefault="00336F99" w:rsidP="00F0093D">
      <w:pPr>
        <w:pStyle w:val="ListParagraph"/>
        <w:numPr>
          <w:ilvl w:val="0"/>
          <w:numId w:val="5"/>
        </w:numPr>
        <w:spacing w:after="0" w:line="240" w:lineRule="auto"/>
        <w:rPr>
          <w:color w:val="000000" w:themeColor="text1"/>
          <w:spacing w:val="0"/>
        </w:rPr>
      </w:pPr>
      <w:r w:rsidRPr="00EF2F5B">
        <w:rPr>
          <w:color w:val="000000" w:themeColor="text1"/>
          <w:spacing w:val="0"/>
        </w:rPr>
        <w:t xml:space="preserve">ILP (GN01, 2020), U.K. </w:t>
      </w:r>
    </w:p>
    <w:p w14:paraId="160AB63A" w14:textId="77777777" w:rsidR="00336F99" w:rsidRPr="00EF2F5B" w:rsidRDefault="00336F99" w:rsidP="00F0093D">
      <w:pPr>
        <w:pStyle w:val="ListParagraph"/>
        <w:numPr>
          <w:ilvl w:val="0"/>
          <w:numId w:val="5"/>
        </w:numPr>
        <w:spacing w:after="0" w:line="240" w:lineRule="auto"/>
        <w:rPr>
          <w:color w:val="000000" w:themeColor="text1"/>
          <w:spacing w:val="0"/>
        </w:rPr>
      </w:pPr>
      <w:r w:rsidRPr="00EF2F5B">
        <w:rPr>
          <w:color w:val="000000" w:themeColor="text1"/>
          <w:spacing w:val="0"/>
        </w:rPr>
        <w:t>TAC (TAC, 2006), Canada</w:t>
      </w:r>
    </w:p>
    <w:p w14:paraId="241ABA95" w14:textId="77777777" w:rsidR="009D145E" w:rsidRPr="00EF2F5B" w:rsidRDefault="009D145E" w:rsidP="00F0093D">
      <w:pPr>
        <w:spacing w:after="0" w:line="240" w:lineRule="auto"/>
        <w:rPr>
          <w:color w:val="000000" w:themeColor="text1"/>
          <w:spacing w:val="0"/>
        </w:rPr>
      </w:pPr>
    </w:p>
    <w:p w14:paraId="33FD8FE2" w14:textId="739F7397" w:rsidR="00336F99" w:rsidRPr="00EF2F5B" w:rsidRDefault="00336F99" w:rsidP="009D145E">
      <w:pPr>
        <w:spacing w:after="0" w:line="240" w:lineRule="auto"/>
        <w:jc w:val="both"/>
        <w:rPr>
          <w:color w:val="000000" w:themeColor="text1"/>
          <w:spacing w:val="0"/>
        </w:rPr>
      </w:pPr>
      <w:r w:rsidRPr="00EF2F5B">
        <w:rPr>
          <w:color w:val="000000" w:themeColor="text1"/>
          <w:spacing w:val="0"/>
        </w:rPr>
        <w:t xml:space="preserve">The author has been familiar with North American published literature on OTL during his professional </w:t>
      </w:r>
      <w:r w:rsidR="00570D5F" w:rsidRPr="00EF2F5B">
        <w:rPr>
          <w:color w:val="000000" w:themeColor="text1"/>
          <w:spacing w:val="0"/>
        </w:rPr>
        <w:t>practice but</w:t>
      </w:r>
      <w:r w:rsidRPr="00EF2F5B">
        <w:rPr>
          <w:color w:val="000000" w:themeColor="text1"/>
          <w:spacing w:val="0"/>
        </w:rPr>
        <w:t xml:space="preserve"> initiated a complete literature search (from 2019 to 202</w:t>
      </w:r>
      <w:r w:rsidR="00670963" w:rsidRPr="00EF2F5B">
        <w:rPr>
          <w:color w:val="000000" w:themeColor="text1"/>
          <w:spacing w:val="0"/>
        </w:rPr>
        <w:t>5</w:t>
      </w:r>
      <w:r w:rsidRPr="00EF2F5B">
        <w:rPr>
          <w:color w:val="000000" w:themeColor="text1"/>
          <w:spacing w:val="0"/>
        </w:rPr>
        <w:t>) to identify and assemble all available publications on OTL. Some of the publications are identified as follows:</w:t>
      </w:r>
    </w:p>
    <w:p w14:paraId="2185AF83" w14:textId="77777777" w:rsidR="00336F99" w:rsidRPr="00EF2F5B" w:rsidRDefault="00336F99" w:rsidP="00F0093D">
      <w:pPr>
        <w:pStyle w:val="ListParagraph"/>
        <w:numPr>
          <w:ilvl w:val="0"/>
          <w:numId w:val="4"/>
        </w:numPr>
        <w:spacing w:after="0" w:line="240" w:lineRule="auto"/>
        <w:rPr>
          <w:color w:val="000000" w:themeColor="text1"/>
          <w:spacing w:val="0"/>
        </w:rPr>
      </w:pPr>
      <w:r w:rsidRPr="00EF2F5B">
        <w:rPr>
          <w:color w:val="000000" w:themeColor="text1"/>
          <w:spacing w:val="0"/>
        </w:rPr>
        <w:t xml:space="preserve">The CIE, “Guide on the Limitation of the Effects of Obtrusive Light from OL Installations, 2nd Edition” (CIE-150, 2017).   </w:t>
      </w:r>
    </w:p>
    <w:p w14:paraId="20AB0956" w14:textId="77777777" w:rsidR="00336F99" w:rsidRPr="00EF2F5B" w:rsidRDefault="00336F99" w:rsidP="00F0093D">
      <w:pPr>
        <w:pStyle w:val="ListParagraph"/>
        <w:numPr>
          <w:ilvl w:val="0"/>
          <w:numId w:val="4"/>
        </w:numPr>
        <w:spacing w:after="0" w:line="240" w:lineRule="auto"/>
        <w:rPr>
          <w:color w:val="000000" w:themeColor="text1"/>
          <w:spacing w:val="0"/>
        </w:rPr>
      </w:pPr>
      <w:r w:rsidRPr="00EF2F5B">
        <w:rPr>
          <w:color w:val="000000" w:themeColor="text1"/>
          <w:spacing w:val="0"/>
        </w:rPr>
        <w:t xml:space="preserve">The AS/NZS, “Control of the obtrusive effects of OL” (AS/NZS 42822019, 2019). </w:t>
      </w:r>
    </w:p>
    <w:p w14:paraId="5C91EC6D" w14:textId="77777777" w:rsidR="00336F99" w:rsidRPr="00EF2F5B" w:rsidRDefault="00336F99" w:rsidP="00F0093D">
      <w:pPr>
        <w:pStyle w:val="ListParagraph"/>
        <w:numPr>
          <w:ilvl w:val="0"/>
          <w:numId w:val="4"/>
        </w:numPr>
        <w:spacing w:after="0" w:line="240" w:lineRule="auto"/>
        <w:rPr>
          <w:color w:val="000000" w:themeColor="text1"/>
          <w:spacing w:val="0"/>
        </w:rPr>
      </w:pPr>
      <w:r w:rsidRPr="00EF2F5B">
        <w:rPr>
          <w:color w:val="000000" w:themeColor="text1"/>
          <w:spacing w:val="0"/>
        </w:rPr>
        <w:t xml:space="preserve">The ILP, “Guidance Note 1 for the reduction of obtrusive light 2020” (ILP GN01, 2020).  </w:t>
      </w:r>
    </w:p>
    <w:p w14:paraId="6527F6AD" w14:textId="77777777" w:rsidR="00336F99" w:rsidRPr="00EF2F5B" w:rsidRDefault="00336F99" w:rsidP="00F0093D">
      <w:pPr>
        <w:pStyle w:val="ListParagraph"/>
        <w:numPr>
          <w:ilvl w:val="0"/>
          <w:numId w:val="4"/>
        </w:numPr>
        <w:spacing w:after="0" w:line="240" w:lineRule="auto"/>
        <w:rPr>
          <w:color w:val="000000" w:themeColor="text1"/>
          <w:spacing w:val="0"/>
        </w:rPr>
      </w:pPr>
      <w:r w:rsidRPr="00EF2F5B">
        <w:rPr>
          <w:color w:val="000000" w:themeColor="text1"/>
          <w:spacing w:val="0"/>
        </w:rPr>
        <w:t xml:space="preserve">The IDA, “lighting zone rating and characteristics zones” (IDA, 2021). </w:t>
      </w:r>
    </w:p>
    <w:p w14:paraId="492F25F6" w14:textId="77777777" w:rsidR="00336F99" w:rsidRPr="00EF2F5B" w:rsidRDefault="00336F99" w:rsidP="00F0093D">
      <w:pPr>
        <w:pStyle w:val="ListParagraph"/>
        <w:numPr>
          <w:ilvl w:val="0"/>
          <w:numId w:val="4"/>
        </w:numPr>
        <w:spacing w:after="0" w:line="240" w:lineRule="auto"/>
        <w:rPr>
          <w:color w:val="000000" w:themeColor="text1"/>
          <w:spacing w:val="0"/>
        </w:rPr>
      </w:pPr>
      <w:r w:rsidRPr="00EF2F5B">
        <w:rPr>
          <w:color w:val="000000" w:themeColor="text1"/>
          <w:spacing w:val="0"/>
        </w:rPr>
        <w:t xml:space="preserve">The IES, “Recommended practice for lighting roadway and parking facilities” (ANSI/IES RP-8, 2021).   </w:t>
      </w:r>
    </w:p>
    <w:p w14:paraId="30D02369" w14:textId="77777777" w:rsidR="00336F99" w:rsidRPr="00EF2F5B" w:rsidRDefault="00336F99" w:rsidP="00F0093D">
      <w:pPr>
        <w:pStyle w:val="ListParagraph"/>
        <w:numPr>
          <w:ilvl w:val="0"/>
          <w:numId w:val="4"/>
        </w:numPr>
        <w:spacing w:after="0" w:line="240" w:lineRule="auto"/>
        <w:rPr>
          <w:color w:val="000000" w:themeColor="text1"/>
          <w:spacing w:val="0"/>
        </w:rPr>
      </w:pPr>
      <w:r w:rsidRPr="00EF2F5B">
        <w:rPr>
          <w:color w:val="000000" w:themeColor="text1"/>
          <w:spacing w:val="0"/>
        </w:rPr>
        <w:t xml:space="preserve">The TAC, “Guide for the Design of Roadway Lighting” (TAC, 2006).  </w:t>
      </w:r>
    </w:p>
    <w:p w14:paraId="0793FA30" w14:textId="77777777" w:rsidR="009D145E" w:rsidRPr="00EF2F5B" w:rsidRDefault="009D145E" w:rsidP="00F0093D">
      <w:pPr>
        <w:spacing w:after="0" w:line="240" w:lineRule="auto"/>
        <w:rPr>
          <w:color w:val="000000" w:themeColor="text1"/>
          <w:spacing w:val="0"/>
        </w:rPr>
      </w:pPr>
    </w:p>
    <w:p w14:paraId="3BEB5334" w14:textId="7200146A" w:rsidR="00336F99" w:rsidRPr="00EF2F5B" w:rsidRDefault="00336F99" w:rsidP="009D145E">
      <w:pPr>
        <w:spacing w:after="0" w:line="240" w:lineRule="auto"/>
        <w:jc w:val="both"/>
        <w:rPr>
          <w:color w:val="000000" w:themeColor="text1"/>
          <w:spacing w:val="0"/>
        </w:rPr>
      </w:pPr>
      <w:r w:rsidRPr="00EF2F5B">
        <w:rPr>
          <w:color w:val="000000" w:themeColor="text1"/>
          <w:spacing w:val="0"/>
        </w:rPr>
        <w:t xml:space="preserve">The published data from these documents </w:t>
      </w:r>
      <w:r w:rsidR="00670963" w:rsidRPr="00EF2F5B">
        <w:rPr>
          <w:color w:val="000000" w:themeColor="text1"/>
          <w:spacing w:val="0"/>
        </w:rPr>
        <w:t>were</w:t>
      </w:r>
      <w:r w:rsidRPr="00EF2F5B">
        <w:rPr>
          <w:color w:val="000000" w:themeColor="text1"/>
          <w:spacing w:val="0"/>
        </w:rPr>
        <w:t xml:space="preserve"> used to establish definitions, design criteria, calculations, and measurement practices and form a basis for determining limiting values for OTL. This approach will help establish a robust scientific basis for the proposed OTL design </w:t>
      </w:r>
      <w:r w:rsidRPr="00EF2F5B">
        <w:rPr>
          <w:color w:val="000000" w:themeColor="text1"/>
          <w:spacing w:val="0"/>
        </w:rPr>
        <w:lastRenderedPageBreak/>
        <w:t>criteria. Later</w:t>
      </w:r>
      <w:r w:rsidR="00670963" w:rsidRPr="00EF2F5B">
        <w:rPr>
          <w:color w:val="000000" w:themeColor="text1"/>
          <w:spacing w:val="0"/>
        </w:rPr>
        <w:t xml:space="preserve">, the </w:t>
      </w:r>
      <w:r w:rsidRPr="00EF2F5B">
        <w:rPr>
          <w:color w:val="000000" w:themeColor="text1"/>
          <w:spacing w:val="0"/>
        </w:rPr>
        <w:t xml:space="preserve">author conducts a thorough analysis and theoretical exploration of the current design criteria for OTL and their variations. </w:t>
      </w:r>
      <w:r w:rsidR="001D5BEC" w:rsidRPr="00EF2F5B">
        <w:rPr>
          <w:color w:val="000000" w:themeColor="text1"/>
          <w:spacing w:val="0"/>
        </w:rPr>
        <w:t>The methodology section aims to address the existing knowledge gap.</w:t>
      </w:r>
    </w:p>
    <w:p w14:paraId="1CA45076" w14:textId="77777777" w:rsidR="009D145E" w:rsidRPr="00EF2F5B" w:rsidRDefault="009D145E" w:rsidP="00F0093D">
      <w:pPr>
        <w:spacing w:after="0" w:line="240" w:lineRule="auto"/>
        <w:rPr>
          <w:color w:val="000000" w:themeColor="text1"/>
          <w:spacing w:val="0"/>
        </w:rPr>
      </w:pPr>
    </w:p>
    <w:p w14:paraId="4DE3C67C" w14:textId="74B067CD" w:rsidR="00336F99" w:rsidRPr="00EF2F5B" w:rsidRDefault="00336F99" w:rsidP="004057F5">
      <w:pPr>
        <w:spacing w:after="0" w:line="240" w:lineRule="auto"/>
        <w:jc w:val="both"/>
        <w:rPr>
          <w:color w:val="000000" w:themeColor="text1"/>
          <w:spacing w:val="0"/>
        </w:rPr>
      </w:pPr>
      <w:r w:rsidRPr="00EF2F5B">
        <w:rPr>
          <w:color w:val="000000" w:themeColor="text1"/>
          <w:spacing w:val="0"/>
        </w:rPr>
        <w:t xml:space="preserve">Sometimes OL from luminaires falls on or spreads around green spaces and dwellings when the intended area in which they are installed illuminates an outdoor environment, including roadways, parking lots, pathways, and sports fields. Most importantly, the ALAN </w:t>
      </w:r>
      <w:r w:rsidR="008770F4" w:rsidRPr="00EF2F5B">
        <w:rPr>
          <w:color w:val="000000" w:themeColor="text1"/>
          <w:spacing w:val="0"/>
        </w:rPr>
        <w:t>falls</w:t>
      </w:r>
      <w:r w:rsidRPr="00EF2F5B">
        <w:rPr>
          <w:color w:val="000000" w:themeColor="text1"/>
          <w:spacing w:val="0"/>
        </w:rPr>
        <w:t xml:space="preserve"> in residential areas, where it can be </w:t>
      </w:r>
      <w:r w:rsidR="008770F4" w:rsidRPr="00EF2F5B">
        <w:rPr>
          <w:color w:val="000000" w:themeColor="text1"/>
          <w:spacing w:val="0"/>
        </w:rPr>
        <w:t xml:space="preserve">an </w:t>
      </w:r>
      <w:r w:rsidRPr="00EF2F5B">
        <w:rPr>
          <w:color w:val="000000" w:themeColor="text1"/>
          <w:spacing w:val="0"/>
        </w:rPr>
        <w:t>unwanted O</w:t>
      </w:r>
      <w:r w:rsidR="00EA1D8D" w:rsidRPr="00EF2F5B">
        <w:rPr>
          <w:color w:val="000000" w:themeColor="text1"/>
          <w:spacing w:val="0"/>
        </w:rPr>
        <w:t>TL</w:t>
      </w:r>
      <w:r w:rsidRPr="00EF2F5B">
        <w:rPr>
          <w:color w:val="000000" w:themeColor="text1"/>
          <w:spacing w:val="0"/>
        </w:rPr>
        <w:t xml:space="preserve"> and subsequently annoys </w:t>
      </w:r>
      <w:r w:rsidR="008770F4" w:rsidRPr="00EF2F5B">
        <w:rPr>
          <w:color w:val="000000" w:themeColor="text1"/>
          <w:spacing w:val="0"/>
        </w:rPr>
        <w:t xml:space="preserve">the </w:t>
      </w:r>
      <w:r w:rsidRPr="00EF2F5B">
        <w:rPr>
          <w:color w:val="000000" w:themeColor="text1"/>
          <w:spacing w:val="0"/>
        </w:rPr>
        <w:t xml:space="preserve">public and deprives them </w:t>
      </w:r>
      <w:r w:rsidR="008770F4" w:rsidRPr="00EF2F5B">
        <w:rPr>
          <w:color w:val="000000" w:themeColor="text1"/>
          <w:spacing w:val="0"/>
        </w:rPr>
        <w:t xml:space="preserve">of sleep </w:t>
      </w:r>
      <w:r w:rsidRPr="00EF2F5B">
        <w:rPr>
          <w:color w:val="000000" w:themeColor="text1"/>
          <w:spacing w:val="0"/>
        </w:rPr>
        <w:t xml:space="preserve">and may also obstruct the operation of security cameras </w:t>
      </w:r>
      <w:r w:rsidR="005A324B" w:rsidRPr="00EF2F5B">
        <w:rPr>
          <w:color w:val="000000" w:themeColor="text1"/>
          <w:spacing w:val="0"/>
        </w:rPr>
        <w:t>(ANSI/IES RP-8, 2025)</w:t>
      </w:r>
      <w:r w:rsidR="0008305D" w:rsidRPr="00EF2F5B">
        <w:rPr>
          <w:color w:val="000000" w:themeColor="text1"/>
          <w:spacing w:val="0"/>
        </w:rPr>
        <w:t xml:space="preserve">. </w:t>
      </w:r>
      <w:r w:rsidRPr="00EF2F5B">
        <w:rPr>
          <w:color w:val="000000" w:themeColor="text1"/>
          <w:spacing w:val="0"/>
        </w:rPr>
        <w:t>Avoiding high-mast lighting near residential areas, hospitals, hotels, and airports is a more effective way to control OTL.  However, it can be validated by OLD.</w:t>
      </w:r>
    </w:p>
    <w:p w14:paraId="744C656E" w14:textId="77777777" w:rsidR="009D145E" w:rsidRPr="00EF2F5B" w:rsidRDefault="009D145E" w:rsidP="004057F5">
      <w:pPr>
        <w:spacing w:after="0" w:line="240" w:lineRule="auto"/>
        <w:jc w:val="both"/>
        <w:rPr>
          <w:color w:val="000000" w:themeColor="text1"/>
          <w:spacing w:val="0"/>
        </w:rPr>
      </w:pPr>
    </w:p>
    <w:p w14:paraId="36425FA9" w14:textId="0CF538E6" w:rsidR="00336F99" w:rsidRPr="00EF2F5B" w:rsidRDefault="00336F99" w:rsidP="004057F5">
      <w:pPr>
        <w:spacing w:after="0" w:line="240" w:lineRule="auto"/>
        <w:jc w:val="both"/>
        <w:rPr>
          <w:color w:val="000000" w:themeColor="text1"/>
          <w:spacing w:val="0"/>
        </w:rPr>
      </w:pPr>
      <w:r w:rsidRPr="00EF2F5B">
        <w:rPr>
          <w:color w:val="000000" w:themeColor="text1"/>
          <w:spacing w:val="0"/>
        </w:rPr>
        <w:t xml:space="preserve">The limiting values for OTL are affected by the transient adaptation and ambient brightness of the traffic corridor's environment (Pothukuchi 2021). For example, a higher limiting value of OTL may be tolerated in an urban environment where the ambient and adaptation brightness may be relatively high (compared to the rural setting). Conversely, no OTL may be accepted in an environmentally sensitive area </w:t>
      </w:r>
      <w:r w:rsidR="005A324B" w:rsidRPr="00EF2F5B">
        <w:rPr>
          <w:color w:val="000000" w:themeColor="text1"/>
          <w:spacing w:val="0"/>
        </w:rPr>
        <w:t>(ANSI/IES RP-8, 2025)</w:t>
      </w:r>
      <w:r w:rsidRPr="00EF2F5B">
        <w:rPr>
          <w:color w:val="000000" w:themeColor="text1"/>
          <w:spacing w:val="0"/>
        </w:rPr>
        <w:t>. Thus, the following organisations have proposed OL Zones</w:t>
      </w:r>
      <w:r w:rsidR="0008305D" w:rsidRPr="00EF2F5B">
        <w:rPr>
          <w:color w:val="000000" w:themeColor="text1"/>
          <w:spacing w:val="0"/>
        </w:rPr>
        <w:t xml:space="preserve">. </w:t>
      </w:r>
    </w:p>
    <w:p w14:paraId="65C64120" w14:textId="77777777" w:rsidR="009D145E" w:rsidRPr="00EF2F5B" w:rsidRDefault="009D145E" w:rsidP="00F0093D">
      <w:pPr>
        <w:spacing w:after="0" w:line="240" w:lineRule="auto"/>
        <w:rPr>
          <w:rFonts w:ascii="Times New Roman Bold" w:hAnsi="Times New Roman Bold"/>
          <w:color w:val="000000" w:themeColor="text1"/>
          <w:spacing w:val="0"/>
        </w:rPr>
      </w:pPr>
    </w:p>
    <w:p w14:paraId="2B5C9D5A" w14:textId="5B12FE36" w:rsidR="00336F99" w:rsidRPr="00EF2F5B" w:rsidRDefault="00BD7DA0" w:rsidP="00F0093D">
      <w:pPr>
        <w:spacing w:after="0" w:line="240" w:lineRule="auto"/>
        <w:rPr>
          <w:b/>
          <w:bCs/>
          <w:color w:val="000000" w:themeColor="text1"/>
          <w:spacing w:val="0"/>
        </w:rPr>
      </w:pPr>
      <w:r w:rsidRPr="00EF2F5B">
        <w:rPr>
          <w:rFonts w:ascii="Times New Roman Bold" w:hAnsi="Times New Roman Bold"/>
          <w:b/>
          <w:bCs/>
          <w:color w:val="000000" w:themeColor="text1"/>
          <w:spacing w:val="0"/>
        </w:rPr>
        <w:t xml:space="preserve">Transportation Association of Canada (TAC, 2006) </w:t>
      </w:r>
    </w:p>
    <w:p w14:paraId="570465DF" w14:textId="77777777" w:rsidR="009D145E" w:rsidRPr="00EF2F5B" w:rsidRDefault="009D145E" w:rsidP="00F0093D">
      <w:pPr>
        <w:spacing w:after="0" w:line="240" w:lineRule="auto"/>
        <w:rPr>
          <w:color w:val="000000" w:themeColor="text1"/>
          <w:spacing w:val="0"/>
        </w:rPr>
      </w:pPr>
    </w:p>
    <w:p w14:paraId="1B0D6010" w14:textId="5171701E" w:rsidR="00336F99" w:rsidRPr="00EF2F5B" w:rsidRDefault="00336F99" w:rsidP="004057F5">
      <w:pPr>
        <w:spacing w:after="0" w:line="240" w:lineRule="auto"/>
        <w:jc w:val="both"/>
        <w:rPr>
          <w:color w:val="000000" w:themeColor="text1"/>
          <w:spacing w:val="0"/>
        </w:rPr>
      </w:pPr>
      <w:r w:rsidRPr="00EF2F5B">
        <w:rPr>
          <w:color w:val="000000" w:themeColor="text1"/>
          <w:spacing w:val="0"/>
        </w:rPr>
        <w:t xml:space="preserve">TAC has published a design guide for roadway lighting, which includes OL zones. As shown in </w:t>
      </w:r>
      <w:r w:rsidRPr="00EF2F5B">
        <w:rPr>
          <w:color w:val="000000" w:themeColor="text1"/>
          <w:spacing w:val="0"/>
        </w:rPr>
        <w:fldChar w:fldCharType="begin"/>
      </w:r>
      <w:r w:rsidRPr="00EF2F5B">
        <w:rPr>
          <w:color w:val="000000" w:themeColor="text1"/>
          <w:spacing w:val="0"/>
        </w:rPr>
        <w:instrText xml:space="preserve"> REF _Ref123331563 \h  \* MERGEFORMAT </w:instrText>
      </w:r>
      <w:r w:rsidRPr="00EF2F5B">
        <w:rPr>
          <w:color w:val="000000" w:themeColor="text1"/>
          <w:spacing w:val="0"/>
        </w:rPr>
      </w:r>
      <w:r w:rsidRPr="00EF2F5B">
        <w:rPr>
          <w:color w:val="000000" w:themeColor="text1"/>
          <w:spacing w:val="0"/>
        </w:rPr>
        <w:fldChar w:fldCharType="separate"/>
      </w:r>
      <w:r w:rsidRPr="00EF2F5B">
        <w:rPr>
          <w:color w:val="000000" w:themeColor="text1"/>
          <w:spacing w:val="0"/>
        </w:rPr>
        <w:t>Table 1</w:t>
      </w:r>
      <w:r w:rsidRPr="00EF2F5B">
        <w:rPr>
          <w:color w:val="000000" w:themeColor="text1"/>
          <w:spacing w:val="0"/>
        </w:rPr>
        <w:fldChar w:fldCharType="end"/>
      </w:r>
      <w:proofErr w:type="gramStart"/>
      <w:r w:rsidRPr="00EF2F5B">
        <w:rPr>
          <w:color w:val="000000" w:themeColor="text1"/>
          <w:spacing w:val="0"/>
        </w:rPr>
        <w:t>.,</w:t>
      </w:r>
      <w:proofErr w:type="gramEnd"/>
      <w:r w:rsidRPr="00EF2F5B">
        <w:rPr>
          <w:color w:val="000000" w:themeColor="text1"/>
          <w:spacing w:val="0"/>
        </w:rPr>
        <w:t xml:space="preserve"> areas are categorized into four lighting zones (LZ1 to LZ4), with LZ1 being the most restrictive and LZ4 the least.</w:t>
      </w:r>
    </w:p>
    <w:p w14:paraId="7AAFCFA2" w14:textId="77777777" w:rsidR="009D145E" w:rsidRPr="00EF2F5B" w:rsidRDefault="009D145E" w:rsidP="00F0093D">
      <w:pPr>
        <w:spacing w:after="0" w:line="240" w:lineRule="auto"/>
        <w:rPr>
          <w:color w:val="000000" w:themeColor="text1"/>
          <w:spacing w:val="0"/>
        </w:rPr>
      </w:pPr>
    </w:p>
    <w:p w14:paraId="6B2AFB89" w14:textId="48B3C4E3" w:rsidR="00336F99" w:rsidRPr="00EF2F5B" w:rsidRDefault="00336F99" w:rsidP="00F0093D">
      <w:pPr>
        <w:spacing w:after="0" w:line="240" w:lineRule="auto"/>
        <w:jc w:val="center"/>
        <w:rPr>
          <w:rFonts w:ascii="Times New Roman Bold" w:hAnsi="Times New Roman Bold"/>
          <w:snapToGrid/>
          <w:color w:val="000000" w:themeColor="text1"/>
          <w:spacing w:val="0"/>
          <w:kern w:val="0"/>
          <w:sz w:val="20"/>
          <w:szCs w:val="20"/>
          <w:lang w:eastAsia="en-CA" w:bidi="ar-SA"/>
          <w14:ligatures w14:val="none"/>
        </w:rPr>
      </w:pPr>
      <w:bookmarkStart w:id="1" w:name="_Ref123331563"/>
      <w:bookmarkStart w:id="2" w:name="_Toc205658511"/>
      <w:bookmarkStart w:id="3" w:name="_Toc109780799"/>
      <w:r w:rsidRPr="00EF2F5B">
        <w:rPr>
          <w:rFonts w:ascii="Times New Roman Bold" w:hAnsi="Times New Roman Bold"/>
          <w:snapToGrid/>
          <w:color w:val="000000" w:themeColor="text1"/>
          <w:spacing w:val="0"/>
          <w:kern w:val="0"/>
          <w:sz w:val="20"/>
          <w:szCs w:val="20"/>
          <w:lang w:val="en-CA" w:eastAsia="en-CA" w:bidi="ar-SA"/>
          <w14:ligatures w14:val="none"/>
        </w:rPr>
        <w:t xml:space="preserve">Table </w:t>
      </w:r>
      <w:r w:rsidRPr="00EF2F5B">
        <w:rPr>
          <w:rFonts w:ascii="Times New Roman Bold" w:hAnsi="Times New Roman Bold"/>
          <w:snapToGrid/>
          <w:color w:val="000000" w:themeColor="text1"/>
          <w:spacing w:val="0"/>
          <w:kern w:val="0"/>
          <w:sz w:val="20"/>
          <w:szCs w:val="20"/>
          <w:lang w:val="en-CA" w:eastAsia="en-CA" w:bidi="ar-SA"/>
          <w14:ligatures w14:val="none"/>
        </w:rPr>
        <w:fldChar w:fldCharType="begin"/>
      </w:r>
      <w:r w:rsidRPr="00EF2F5B">
        <w:rPr>
          <w:rFonts w:ascii="Times New Roman Bold" w:hAnsi="Times New Roman Bold"/>
          <w:snapToGrid/>
          <w:color w:val="000000" w:themeColor="text1"/>
          <w:spacing w:val="0"/>
          <w:kern w:val="0"/>
          <w:sz w:val="20"/>
          <w:szCs w:val="20"/>
          <w:lang w:val="en-CA" w:eastAsia="en-CA" w:bidi="ar-SA"/>
          <w14:ligatures w14:val="none"/>
        </w:rPr>
        <w:instrText xml:space="preserve"> SEQ Table \* ARABIC \s 1 </w:instrText>
      </w:r>
      <w:r w:rsidRPr="00EF2F5B">
        <w:rPr>
          <w:rFonts w:ascii="Times New Roman Bold" w:hAnsi="Times New Roman Bold"/>
          <w:snapToGrid/>
          <w:color w:val="000000" w:themeColor="text1"/>
          <w:spacing w:val="0"/>
          <w:kern w:val="0"/>
          <w:sz w:val="20"/>
          <w:szCs w:val="20"/>
          <w:lang w:val="en-CA" w:eastAsia="en-CA" w:bidi="ar-SA"/>
          <w14:ligatures w14:val="none"/>
        </w:rPr>
        <w:fldChar w:fldCharType="separate"/>
      </w:r>
      <w:r w:rsidRPr="00EF2F5B">
        <w:rPr>
          <w:rFonts w:ascii="Times New Roman Bold" w:hAnsi="Times New Roman Bold"/>
          <w:noProof/>
          <w:snapToGrid/>
          <w:color w:val="000000" w:themeColor="text1"/>
          <w:spacing w:val="0"/>
          <w:kern w:val="0"/>
          <w:sz w:val="20"/>
          <w:szCs w:val="20"/>
          <w:lang w:val="en-CA" w:eastAsia="en-CA" w:bidi="ar-SA"/>
          <w14:ligatures w14:val="none"/>
        </w:rPr>
        <w:t>1</w:t>
      </w:r>
      <w:r w:rsidRPr="00EF2F5B">
        <w:rPr>
          <w:rFonts w:ascii="Times New Roman Bold" w:hAnsi="Times New Roman Bold"/>
          <w:noProof/>
          <w:snapToGrid/>
          <w:color w:val="000000" w:themeColor="text1"/>
          <w:spacing w:val="0"/>
          <w:kern w:val="0"/>
          <w:sz w:val="20"/>
          <w:szCs w:val="20"/>
          <w:lang w:val="en-CA" w:eastAsia="en-CA" w:bidi="ar-SA"/>
          <w14:ligatures w14:val="none"/>
        </w:rPr>
        <w:fldChar w:fldCharType="end"/>
      </w:r>
      <w:bookmarkEnd w:id="1"/>
      <w:r w:rsidRPr="00EF2F5B">
        <w:rPr>
          <w:rFonts w:ascii="Times New Roman Bold" w:hAnsi="Times New Roman Bold"/>
          <w:snapToGrid/>
          <w:color w:val="000000" w:themeColor="text1"/>
          <w:spacing w:val="0"/>
          <w:kern w:val="0"/>
          <w:sz w:val="20"/>
          <w:szCs w:val="20"/>
          <w:lang w:eastAsia="en-CA" w:bidi="ar-SA"/>
          <w14:ligatures w14:val="none"/>
        </w:rPr>
        <w:t>. Environmental OL Zones by TAC</w:t>
      </w:r>
      <w:bookmarkEnd w:id="2"/>
    </w:p>
    <w:bookmarkEnd w:id="3"/>
    <w:p w14:paraId="6B0099AC" w14:textId="77777777" w:rsidR="00336F99" w:rsidRPr="00EF2F5B" w:rsidRDefault="00336F99" w:rsidP="00F0093D">
      <w:pPr>
        <w:spacing w:after="0" w:line="240" w:lineRule="auto"/>
        <w:jc w:val="center"/>
        <w:rPr>
          <w:rFonts w:eastAsia="Times New Roman"/>
          <w:snapToGrid/>
          <w:color w:val="000000" w:themeColor="text1"/>
          <w:spacing w:val="0"/>
          <w:kern w:val="0"/>
          <w:sz w:val="16"/>
          <w:szCs w:val="16"/>
          <w:lang w:val="en-GB" w:eastAsia="en-GB"/>
          <w14:ligatures w14:val="none"/>
        </w:rPr>
      </w:pPr>
      <w:r w:rsidRPr="00EF2F5B">
        <w:rPr>
          <w:rFonts w:eastAsia="Times New Roman"/>
          <w:snapToGrid/>
          <w:color w:val="000000" w:themeColor="text1"/>
          <w:spacing w:val="0"/>
          <w:kern w:val="0"/>
          <w:sz w:val="16"/>
          <w:szCs w:val="16"/>
          <w:lang w:val="en-GB" w:eastAsia="en-GB"/>
          <w14:ligatures w14:val="none"/>
        </w:rPr>
        <w:t>Source: Compiled by the author (TAC, 2006)</w:t>
      </w:r>
    </w:p>
    <w:tbl>
      <w:tblPr>
        <w:tblStyle w:val="TableGrid11"/>
        <w:tblpPr w:leftFromText="180" w:rightFromText="180" w:vertAnchor="text" w:tblpXSpec="center" w:tblpY="1"/>
        <w:tblOverlap w:val="never"/>
        <w:tblW w:w="0" w:type="auto"/>
        <w:tblLook w:val="01E0" w:firstRow="1" w:lastRow="1" w:firstColumn="1" w:lastColumn="1" w:noHBand="0" w:noVBand="0"/>
      </w:tblPr>
      <w:tblGrid>
        <w:gridCol w:w="846"/>
        <w:gridCol w:w="908"/>
        <w:gridCol w:w="7033"/>
      </w:tblGrid>
      <w:tr w:rsidR="00EF2F5B" w:rsidRPr="00EF2F5B" w14:paraId="47C55799" w14:textId="77777777" w:rsidTr="006617F6">
        <w:trPr>
          <w:trHeight w:val="463"/>
        </w:trPr>
        <w:tc>
          <w:tcPr>
            <w:tcW w:w="846" w:type="dxa"/>
            <w:vAlign w:val="center"/>
          </w:tcPr>
          <w:p w14:paraId="111452B3" w14:textId="77777777" w:rsidR="00336F99" w:rsidRPr="00EF2F5B" w:rsidRDefault="00336F99" w:rsidP="00F0093D">
            <w:pPr>
              <w:spacing w:before="0"/>
              <w:rPr>
                <w:color w:val="000000" w:themeColor="text1"/>
                <w:lang w:val="en-CA" w:bidi="ar-SA"/>
              </w:rPr>
            </w:pPr>
            <w:r w:rsidRPr="00EF2F5B">
              <w:rPr>
                <w:color w:val="000000" w:themeColor="text1"/>
                <w:lang w:val="en-CA" w:bidi="ar-SA"/>
              </w:rPr>
              <w:t>No.</w:t>
            </w:r>
          </w:p>
        </w:tc>
        <w:tc>
          <w:tcPr>
            <w:tcW w:w="908" w:type="dxa"/>
            <w:vAlign w:val="center"/>
          </w:tcPr>
          <w:p w14:paraId="53B55034" w14:textId="77777777" w:rsidR="00336F99" w:rsidRPr="00EF2F5B" w:rsidRDefault="00336F99" w:rsidP="00F0093D">
            <w:pPr>
              <w:spacing w:before="0"/>
              <w:rPr>
                <w:color w:val="000000" w:themeColor="text1"/>
                <w:lang w:val="en-CA" w:bidi="ar-SA"/>
              </w:rPr>
            </w:pPr>
            <w:r w:rsidRPr="00EF2F5B">
              <w:rPr>
                <w:color w:val="000000" w:themeColor="text1"/>
                <w:lang w:val="en-CA" w:bidi="ar-SA"/>
              </w:rPr>
              <w:t>ZONE</w:t>
            </w:r>
          </w:p>
        </w:tc>
        <w:tc>
          <w:tcPr>
            <w:tcW w:w="7033" w:type="dxa"/>
            <w:vAlign w:val="center"/>
          </w:tcPr>
          <w:p w14:paraId="6DD2B70D" w14:textId="77777777" w:rsidR="00336F99" w:rsidRPr="00EF2F5B" w:rsidRDefault="00336F99" w:rsidP="00F0093D">
            <w:pPr>
              <w:spacing w:before="0"/>
              <w:ind w:left="34"/>
              <w:jc w:val="center"/>
              <w:rPr>
                <w:color w:val="000000" w:themeColor="text1"/>
                <w:lang w:val="en-CA" w:bidi="ar-SA"/>
              </w:rPr>
            </w:pPr>
            <w:r w:rsidRPr="00EF2F5B">
              <w:rPr>
                <w:color w:val="000000" w:themeColor="text1"/>
                <w:lang w:val="en-CA" w:bidi="ar-SA"/>
              </w:rPr>
              <w:t>DESCRIPTION</w:t>
            </w:r>
          </w:p>
        </w:tc>
      </w:tr>
      <w:tr w:rsidR="00EF2F5B" w:rsidRPr="00EF2F5B" w14:paraId="5FEF046D" w14:textId="77777777" w:rsidTr="006617F6">
        <w:trPr>
          <w:trHeight w:val="1358"/>
        </w:trPr>
        <w:tc>
          <w:tcPr>
            <w:tcW w:w="846" w:type="dxa"/>
            <w:vAlign w:val="center"/>
          </w:tcPr>
          <w:p w14:paraId="78BE5561" w14:textId="7D509A99" w:rsidR="00336F99" w:rsidRPr="00EF2F5B" w:rsidRDefault="00336F99" w:rsidP="00F0093D">
            <w:pPr>
              <w:spacing w:before="0"/>
              <w:rPr>
                <w:color w:val="000000" w:themeColor="text1"/>
                <w:lang w:val="en-CA" w:bidi="ar-SA"/>
              </w:rPr>
            </w:pPr>
            <w:r w:rsidRPr="00EF2F5B">
              <w:rPr>
                <w:color w:val="000000" w:themeColor="text1"/>
                <w:lang w:val="en-CA" w:bidi="ar-SA"/>
              </w:rPr>
              <w:t>1a</w:t>
            </w:r>
          </w:p>
        </w:tc>
        <w:tc>
          <w:tcPr>
            <w:tcW w:w="908" w:type="dxa"/>
            <w:vAlign w:val="center"/>
          </w:tcPr>
          <w:p w14:paraId="38DE7169" w14:textId="77777777" w:rsidR="00336F99" w:rsidRPr="00EF2F5B" w:rsidRDefault="00336F99" w:rsidP="00F0093D">
            <w:pPr>
              <w:spacing w:before="0"/>
              <w:rPr>
                <w:color w:val="000000" w:themeColor="text1"/>
                <w:lang w:val="en-CA" w:bidi="ar-SA"/>
              </w:rPr>
            </w:pPr>
            <w:r w:rsidRPr="00EF2F5B">
              <w:rPr>
                <w:color w:val="000000" w:themeColor="text1"/>
                <w:lang w:val="en-CA" w:bidi="ar-SA"/>
              </w:rPr>
              <w:t>LZ1</w:t>
            </w:r>
          </w:p>
        </w:tc>
        <w:tc>
          <w:tcPr>
            <w:tcW w:w="7033" w:type="dxa"/>
            <w:vAlign w:val="center"/>
          </w:tcPr>
          <w:p w14:paraId="48B196B2" w14:textId="77777777" w:rsidR="00336F99" w:rsidRPr="00EF2F5B" w:rsidRDefault="00336F99" w:rsidP="00F0093D">
            <w:pPr>
              <w:spacing w:before="0"/>
              <w:ind w:left="34"/>
              <w:rPr>
                <w:color w:val="000000" w:themeColor="text1"/>
                <w:lang w:val="en-CA" w:bidi="ar-SA"/>
              </w:rPr>
            </w:pPr>
            <w:r w:rsidRPr="00EF2F5B">
              <w:rPr>
                <w:color w:val="000000" w:themeColor="text1"/>
                <w:lang w:val="en-CA" w:bidi="ar-SA"/>
              </w:rPr>
              <w:t>These are very rural areas outside a city with little or no ambient OL, no commercial development and no outside public night-time pedestrian activity. Where OL is required in an LZ1 area, the OTL measurements would be taken at the place being inhabited by humans as opposed to the property boundary line or edge of road allowance (TAC, 2006).</w:t>
            </w:r>
          </w:p>
        </w:tc>
      </w:tr>
      <w:tr w:rsidR="00EF2F5B" w:rsidRPr="00EF2F5B" w14:paraId="7F460BA4" w14:textId="77777777" w:rsidTr="006617F6">
        <w:trPr>
          <w:trHeight w:val="142"/>
        </w:trPr>
        <w:tc>
          <w:tcPr>
            <w:tcW w:w="846" w:type="dxa"/>
            <w:vAlign w:val="center"/>
          </w:tcPr>
          <w:p w14:paraId="6F89BAA9" w14:textId="160DEE77" w:rsidR="00336F99" w:rsidRPr="00EF2F5B" w:rsidRDefault="00336F99" w:rsidP="00F0093D">
            <w:pPr>
              <w:spacing w:before="0"/>
              <w:rPr>
                <w:color w:val="000000" w:themeColor="text1"/>
                <w:lang w:val="en-CA" w:bidi="ar-SA"/>
              </w:rPr>
            </w:pPr>
            <w:r w:rsidRPr="00EF2F5B">
              <w:rPr>
                <w:color w:val="000000" w:themeColor="text1"/>
                <w:lang w:val="en-CA" w:bidi="ar-SA"/>
              </w:rPr>
              <w:t>1b</w:t>
            </w:r>
          </w:p>
        </w:tc>
        <w:tc>
          <w:tcPr>
            <w:tcW w:w="908" w:type="dxa"/>
            <w:vAlign w:val="center"/>
          </w:tcPr>
          <w:p w14:paraId="11CAE945" w14:textId="77777777" w:rsidR="00336F99" w:rsidRPr="00EF2F5B" w:rsidRDefault="00336F99" w:rsidP="00F0093D">
            <w:pPr>
              <w:spacing w:before="0"/>
              <w:rPr>
                <w:color w:val="000000" w:themeColor="text1"/>
                <w:lang w:val="en-CA" w:bidi="ar-SA"/>
              </w:rPr>
            </w:pPr>
            <w:r w:rsidRPr="00EF2F5B">
              <w:rPr>
                <w:color w:val="000000" w:themeColor="text1"/>
                <w:lang w:val="en-CA" w:bidi="ar-SA"/>
              </w:rPr>
              <w:t>LZ2</w:t>
            </w:r>
          </w:p>
        </w:tc>
        <w:tc>
          <w:tcPr>
            <w:tcW w:w="7033" w:type="dxa"/>
            <w:vAlign w:val="center"/>
          </w:tcPr>
          <w:p w14:paraId="3063C9EB" w14:textId="77777777" w:rsidR="00336F99" w:rsidRPr="00EF2F5B" w:rsidRDefault="00336F99" w:rsidP="00F0093D">
            <w:pPr>
              <w:spacing w:before="0"/>
              <w:rPr>
                <w:color w:val="000000" w:themeColor="text1"/>
                <w:lang w:val="en-CA" w:bidi="ar-SA"/>
              </w:rPr>
            </w:pPr>
            <w:r w:rsidRPr="00EF2F5B">
              <w:rPr>
                <w:color w:val="000000" w:themeColor="text1"/>
                <w:lang w:val="en-CA" w:bidi="ar-SA"/>
              </w:rPr>
              <w:t>These are rural areas outside of a city with very low population density, no commercial development, minimal outdoor night-time pedestrian activity and no security issues or concerns. Where OL is required in an LZ2 area, the OTL measurement would be taken at the place being inhabited by humans as opposed to the property boundary line or edge of road allowance (TAC, 2006).</w:t>
            </w:r>
          </w:p>
        </w:tc>
      </w:tr>
      <w:tr w:rsidR="00EF2F5B" w:rsidRPr="00EF2F5B" w14:paraId="74EBF5A5" w14:textId="77777777" w:rsidTr="006617F6">
        <w:trPr>
          <w:trHeight w:val="568"/>
        </w:trPr>
        <w:tc>
          <w:tcPr>
            <w:tcW w:w="846" w:type="dxa"/>
            <w:vAlign w:val="center"/>
          </w:tcPr>
          <w:p w14:paraId="3D399986" w14:textId="2A5FC88E" w:rsidR="00336F99" w:rsidRPr="00EF2F5B" w:rsidRDefault="00336F99" w:rsidP="00F0093D">
            <w:pPr>
              <w:spacing w:before="0"/>
              <w:rPr>
                <w:color w:val="000000" w:themeColor="text1"/>
                <w:lang w:val="en-CA" w:bidi="ar-SA"/>
              </w:rPr>
            </w:pPr>
            <w:r w:rsidRPr="00EF2F5B">
              <w:rPr>
                <w:color w:val="000000" w:themeColor="text1"/>
                <w:lang w:val="en-CA" w:bidi="ar-SA"/>
              </w:rPr>
              <w:t>1c</w:t>
            </w:r>
          </w:p>
        </w:tc>
        <w:tc>
          <w:tcPr>
            <w:tcW w:w="908" w:type="dxa"/>
            <w:vAlign w:val="center"/>
          </w:tcPr>
          <w:p w14:paraId="65C388C3" w14:textId="77777777" w:rsidR="00336F99" w:rsidRPr="00EF2F5B" w:rsidRDefault="00336F99" w:rsidP="00F0093D">
            <w:pPr>
              <w:spacing w:before="0"/>
              <w:rPr>
                <w:color w:val="000000" w:themeColor="text1"/>
                <w:lang w:val="en-CA" w:bidi="ar-SA"/>
              </w:rPr>
            </w:pPr>
            <w:r w:rsidRPr="00EF2F5B">
              <w:rPr>
                <w:color w:val="000000" w:themeColor="text1"/>
                <w:lang w:val="en-CA" w:bidi="ar-SA"/>
              </w:rPr>
              <w:t>LZ3</w:t>
            </w:r>
          </w:p>
        </w:tc>
        <w:tc>
          <w:tcPr>
            <w:tcW w:w="7033" w:type="dxa"/>
            <w:vAlign w:val="center"/>
          </w:tcPr>
          <w:p w14:paraId="19628DF0" w14:textId="77777777" w:rsidR="00336F99" w:rsidRPr="00EF2F5B" w:rsidRDefault="00336F99" w:rsidP="00F0093D">
            <w:pPr>
              <w:spacing w:before="0"/>
              <w:rPr>
                <w:color w:val="000000" w:themeColor="text1"/>
                <w:lang w:val="en-CA" w:bidi="ar-SA"/>
              </w:rPr>
            </w:pPr>
            <w:r w:rsidRPr="00EF2F5B">
              <w:rPr>
                <w:color w:val="000000" w:themeColor="text1"/>
                <w:lang w:val="en-CA" w:bidi="ar-SA"/>
              </w:rPr>
              <w:t>These are areas within a city, with low to medium population density, some outdoor pedestrian night-time activity and no security issues or concerns. Potential traffic conflict between vehicles, pedestrians and cyclists is inevitably mild. Such areas include residential subdivisions, town house developments on local and collector roads, as well as highways and freeways. Where OL is required in an LZ3 area, the OTL measurements would be taken at the property boundary line or edge of road allowance (TAC, 2006).</w:t>
            </w:r>
          </w:p>
        </w:tc>
      </w:tr>
      <w:tr w:rsidR="00EF2F5B" w:rsidRPr="00EF2F5B" w14:paraId="4B194ED4" w14:textId="77777777" w:rsidTr="006617F6">
        <w:trPr>
          <w:trHeight w:val="841"/>
        </w:trPr>
        <w:tc>
          <w:tcPr>
            <w:tcW w:w="846" w:type="dxa"/>
            <w:vAlign w:val="center"/>
          </w:tcPr>
          <w:p w14:paraId="1B3BA365" w14:textId="392BA474" w:rsidR="00336F99" w:rsidRPr="00EF2F5B" w:rsidRDefault="00336F99" w:rsidP="00F0093D">
            <w:pPr>
              <w:spacing w:before="0"/>
              <w:rPr>
                <w:color w:val="000000" w:themeColor="text1"/>
                <w:lang w:val="en-CA" w:bidi="ar-SA"/>
              </w:rPr>
            </w:pPr>
            <w:r w:rsidRPr="00EF2F5B">
              <w:rPr>
                <w:color w:val="000000" w:themeColor="text1"/>
                <w:lang w:val="en-CA" w:bidi="ar-SA"/>
              </w:rPr>
              <w:lastRenderedPageBreak/>
              <w:t>1d</w:t>
            </w:r>
          </w:p>
        </w:tc>
        <w:tc>
          <w:tcPr>
            <w:tcW w:w="908" w:type="dxa"/>
            <w:vAlign w:val="center"/>
          </w:tcPr>
          <w:p w14:paraId="59F81542" w14:textId="77777777" w:rsidR="00336F99" w:rsidRPr="00EF2F5B" w:rsidRDefault="00336F99" w:rsidP="00F0093D">
            <w:pPr>
              <w:spacing w:before="0"/>
              <w:rPr>
                <w:color w:val="000000" w:themeColor="text1"/>
                <w:lang w:val="en-CA" w:bidi="ar-SA"/>
              </w:rPr>
            </w:pPr>
            <w:r w:rsidRPr="00EF2F5B">
              <w:rPr>
                <w:color w:val="000000" w:themeColor="text1"/>
                <w:lang w:val="en-CA" w:bidi="ar-SA"/>
              </w:rPr>
              <w:t>LZ4</w:t>
            </w:r>
          </w:p>
        </w:tc>
        <w:tc>
          <w:tcPr>
            <w:tcW w:w="7033" w:type="dxa"/>
            <w:vAlign w:val="center"/>
          </w:tcPr>
          <w:p w14:paraId="1D546E54" w14:textId="77777777" w:rsidR="00336F99" w:rsidRPr="00EF2F5B" w:rsidRDefault="00336F99" w:rsidP="00F0093D">
            <w:pPr>
              <w:spacing w:before="0"/>
              <w:rPr>
                <w:color w:val="000000" w:themeColor="text1"/>
                <w:lang w:val="en-CA" w:bidi="ar-SA"/>
              </w:rPr>
            </w:pPr>
            <w:r w:rsidRPr="00EF2F5B">
              <w:rPr>
                <w:color w:val="000000" w:themeColor="text1"/>
                <w:lang w:val="en-CA" w:bidi="ar-SA"/>
              </w:rPr>
              <w:t xml:space="preserve">These are areas within a city with medium to high population density, or areas intended for heavy public and commercial activity. Potential traffic conflicts between vehicles, pedestrians and cyclists are inevitable and intense. </w:t>
            </w:r>
            <w:r w:rsidRPr="00EF2F5B">
              <w:rPr>
                <w:color w:val="000000" w:themeColor="text1"/>
              </w:rPr>
              <w:t xml:space="preserve"> </w:t>
            </w:r>
            <w:r w:rsidRPr="00EF2F5B">
              <w:rPr>
                <w:color w:val="000000" w:themeColor="text1"/>
                <w:lang w:val="en-CA" w:bidi="ar-SA"/>
              </w:rPr>
              <w:t>Urban areas with both commercial and residential developments encounter a high level of nighttime vehicular and public activities. Such areas include those with multi-family housing (apartments), those in a downtown core, as well as areas of commercial and industrial development on local, collector and arterial roads, as well as highways and freeways. Where OL is required in an LZ4 area, the OTL measurements would be taken at the property boundary line or edge of road allowance (TAC, 2006).</w:t>
            </w:r>
          </w:p>
        </w:tc>
      </w:tr>
    </w:tbl>
    <w:p w14:paraId="24F1EB57" w14:textId="77777777" w:rsidR="00336F99" w:rsidRPr="00EF2F5B" w:rsidRDefault="00336F99" w:rsidP="00F0093D">
      <w:pPr>
        <w:spacing w:after="0" w:line="240" w:lineRule="auto"/>
        <w:rPr>
          <w:color w:val="000000" w:themeColor="text1"/>
          <w:spacing w:val="0"/>
        </w:rPr>
      </w:pPr>
    </w:p>
    <w:p w14:paraId="6FDE37A7" w14:textId="07F58E72" w:rsidR="00336F99" w:rsidRPr="00EF2F5B" w:rsidRDefault="00336F99" w:rsidP="004057F5">
      <w:pPr>
        <w:spacing w:after="0" w:line="240" w:lineRule="auto"/>
        <w:jc w:val="both"/>
        <w:rPr>
          <w:color w:val="000000" w:themeColor="text1"/>
          <w:spacing w:val="0"/>
        </w:rPr>
      </w:pPr>
      <w:r w:rsidRPr="00EF2F5B">
        <w:rPr>
          <w:color w:val="000000" w:themeColor="text1"/>
          <w:spacing w:val="0"/>
        </w:rPr>
        <w:t xml:space="preserve">The recommended acceptable maximum OL level value for the OTL limit is “vertical illuminance on properties” (TAC, 2006). The TAC values serve a critical function in determining the proposed highest values of vertical illuminance at the residence or boundary line/edge of road allowance as defined. Limitations on OTL extend to nearby or prospective dwellings, especially concerning the surfaces of those properties exposed to OL. The values consider the summary of all the OL installations (TAC, 2006).  </w:t>
      </w:r>
      <w:r w:rsidRPr="00EF2F5B">
        <w:rPr>
          <w:color w:val="000000" w:themeColor="text1"/>
          <w:spacing w:val="0"/>
        </w:rPr>
        <w:fldChar w:fldCharType="begin"/>
      </w:r>
      <w:r w:rsidRPr="00EF2F5B">
        <w:rPr>
          <w:color w:val="000000" w:themeColor="text1"/>
          <w:spacing w:val="0"/>
        </w:rPr>
        <w:instrText xml:space="preserve"> REF _Ref205045683 \h  \* MERGEFORMAT </w:instrText>
      </w:r>
      <w:r w:rsidRPr="00EF2F5B">
        <w:rPr>
          <w:color w:val="000000" w:themeColor="text1"/>
          <w:spacing w:val="0"/>
        </w:rPr>
      </w:r>
      <w:r w:rsidRPr="00EF2F5B">
        <w:rPr>
          <w:color w:val="000000" w:themeColor="text1"/>
          <w:spacing w:val="0"/>
        </w:rPr>
        <w:fldChar w:fldCharType="separate"/>
      </w:r>
      <w:r w:rsidRPr="00EF2F5B">
        <w:rPr>
          <w:color w:val="000000" w:themeColor="text1"/>
          <w:spacing w:val="0"/>
        </w:rPr>
        <w:t>Table 2</w:t>
      </w:r>
      <w:r w:rsidRPr="00EF2F5B">
        <w:rPr>
          <w:color w:val="000000" w:themeColor="text1"/>
          <w:spacing w:val="0"/>
        </w:rPr>
        <w:fldChar w:fldCharType="end"/>
      </w:r>
      <w:r w:rsidRPr="00EF2F5B">
        <w:rPr>
          <w:color w:val="000000" w:themeColor="text1"/>
          <w:spacing w:val="0"/>
        </w:rPr>
        <w:t xml:space="preserve"> below gives the proposed highest vertical illuminance levels at property lines.</w:t>
      </w:r>
    </w:p>
    <w:p w14:paraId="75972BD5" w14:textId="77777777" w:rsidR="004057F5" w:rsidRPr="00EF2F5B" w:rsidRDefault="004057F5" w:rsidP="00F0093D">
      <w:pPr>
        <w:spacing w:after="0" w:line="240" w:lineRule="auto"/>
        <w:rPr>
          <w:color w:val="000000" w:themeColor="text1"/>
          <w:spacing w:val="0"/>
        </w:rPr>
      </w:pPr>
    </w:p>
    <w:p w14:paraId="3B09F3B6" w14:textId="59059C3B" w:rsidR="00336F99" w:rsidRPr="00EF2F5B" w:rsidRDefault="00336F99" w:rsidP="004057F5">
      <w:pPr>
        <w:spacing w:after="0" w:line="240" w:lineRule="auto"/>
        <w:jc w:val="center"/>
        <w:rPr>
          <w:b/>
          <w:bCs/>
          <w:color w:val="000000" w:themeColor="text1"/>
          <w:spacing w:val="0"/>
          <w:sz w:val="20"/>
          <w:szCs w:val="20"/>
        </w:rPr>
      </w:pPr>
      <w:bookmarkStart w:id="4" w:name="_Ref205045683"/>
      <w:bookmarkStart w:id="5" w:name="_Toc205658512"/>
      <w:r w:rsidRPr="00EF2F5B">
        <w:rPr>
          <w:b/>
          <w:bCs/>
          <w:color w:val="000000" w:themeColor="text1"/>
          <w:spacing w:val="0"/>
          <w:sz w:val="20"/>
          <w:szCs w:val="20"/>
        </w:rPr>
        <w:t xml:space="preserve">Table </w:t>
      </w:r>
      <w:r w:rsidRPr="00EF2F5B">
        <w:rPr>
          <w:b/>
          <w:bCs/>
          <w:color w:val="000000" w:themeColor="text1"/>
          <w:spacing w:val="0"/>
          <w:sz w:val="20"/>
          <w:szCs w:val="20"/>
        </w:rPr>
        <w:fldChar w:fldCharType="begin"/>
      </w:r>
      <w:r w:rsidRPr="00EF2F5B">
        <w:rPr>
          <w:b/>
          <w:bCs/>
          <w:color w:val="000000" w:themeColor="text1"/>
          <w:spacing w:val="0"/>
          <w:sz w:val="20"/>
          <w:szCs w:val="20"/>
        </w:rPr>
        <w:instrText xml:space="preserve"> SEQ Table \* ARABIC \s 1 </w:instrText>
      </w:r>
      <w:r w:rsidRPr="00EF2F5B">
        <w:rPr>
          <w:b/>
          <w:bCs/>
          <w:color w:val="000000" w:themeColor="text1"/>
          <w:spacing w:val="0"/>
          <w:sz w:val="20"/>
          <w:szCs w:val="20"/>
        </w:rPr>
        <w:fldChar w:fldCharType="separate"/>
      </w:r>
      <w:r w:rsidRPr="00EF2F5B">
        <w:rPr>
          <w:b/>
          <w:bCs/>
          <w:color w:val="000000" w:themeColor="text1"/>
          <w:spacing w:val="0"/>
          <w:sz w:val="20"/>
          <w:szCs w:val="20"/>
        </w:rPr>
        <w:t>2</w:t>
      </w:r>
      <w:r w:rsidRPr="00EF2F5B">
        <w:rPr>
          <w:b/>
          <w:bCs/>
          <w:color w:val="000000" w:themeColor="text1"/>
          <w:spacing w:val="0"/>
          <w:sz w:val="20"/>
          <w:szCs w:val="20"/>
        </w:rPr>
        <w:fldChar w:fldCharType="end"/>
      </w:r>
      <w:bookmarkEnd w:id="4"/>
      <w:r w:rsidRPr="00EF2F5B">
        <w:rPr>
          <w:b/>
          <w:bCs/>
          <w:color w:val="000000" w:themeColor="text1"/>
          <w:spacing w:val="0"/>
          <w:sz w:val="20"/>
          <w:szCs w:val="20"/>
        </w:rPr>
        <w:t xml:space="preserve">. The proposed maximum vertical illuminance on </w:t>
      </w:r>
      <w:r w:rsidR="004057F5" w:rsidRPr="00EF2F5B">
        <w:rPr>
          <w:b/>
          <w:bCs/>
          <w:color w:val="000000" w:themeColor="text1"/>
          <w:spacing w:val="0"/>
          <w:sz w:val="20"/>
          <w:szCs w:val="20"/>
        </w:rPr>
        <w:t xml:space="preserve">the </w:t>
      </w:r>
      <w:r w:rsidRPr="00EF2F5B">
        <w:rPr>
          <w:b/>
          <w:bCs/>
          <w:color w:val="000000" w:themeColor="text1"/>
          <w:spacing w:val="0"/>
          <w:sz w:val="20"/>
          <w:szCs w:val="20"/>
        </w:rPr>
        <w:t>ROW</w:t>
      </w:r>
      <w:bookmarkEnd w:id="5"/>
    </w:p>
    <w:p w14:paraId="07D75248" w14:textId="77777777" w:rsidR="00336F99" w:rsidRPr="00EF2F5B" w:rsidRDefault="00336F99" w:rsidP="004057F5">
      <w:pPr>
        <w:spacing w:after="0" w:line="240" w:lineRule="auto"/>
        <w:jc w:val="center"/>
        <w:rPr>
          <w:color w:val="000000" w:themeColor="text1"/>
          <w:spacing w:val="0"/>
          <w:sz w:val="20"/>
          <w:szCs w:val="20"/>
        </w:rPr>
      </w:pPr>
      <w:r w:rsidRPr="00EF2F5B">
        <w:rPr>
          <w:color w:val="000000" w:themeColor="text1"/>
          <w:spacing w:val="0"/>
          <w:sz w:val="20"/>
          <w:szCs w:val="20"/>
        </w:rPr>
        <w:t>Source: Compiled by the author (TAC, 2006)</w:t>
      </w:r>
    </w:p>
    <w:p w14:paraId="25FA8828" w14:textId="77777777" w:rsidR="004057F5" w:rsidRPr="00EF2F5B" w:rsidRDefault="004057F5" w:rsidP="00F0093D">
      <w:pPr>
        <w:spacing w:after="0" w:line="240" w:lineRule="auto"/>
        <w:rPr>
          <w:color w:val="000000" w:themeColor="text1"/>
          <w:spacing w:val="0"/>
        </w:rPr>
      </w:pPr>
    </w:p>
    <w:tbl>
      <w:tblPr>
        <w:tblpPr w:leftFromText="180" w:rightFromText="180" w:vertAnchor="text" w:tblpXSpec="center" w:tblpY="1"/>
        <w:tblOverlap w:val="never"/>
        <w:tblW w:w="8505" w:type="dxa"/>
        <w:tblLayout w:type="fixed"/>
        <w:tblCellMar>
          <w:left w:w="70" w:type="dxa"/>
          <w:right w:w="70" w:type="dxa"/>
        </w:tblCellMar>
        <w:tblLook w:val="0000" w:firstRow="0" w:lastRow="0" w:firstColumn="0" w:lastColumn="0" w:noHBand="0" w:noVBand="0"/>
      </w:tblPr>
      <w:tblGrid>
        <w:gridCol w:w="2411"/>
        <w:gridCol w:w="1701"/>
        <w:gridCol w:w="703"/>
        <w:gridCol w:w="856"/>
        <w:gridCol w:w="850"/>
        <w:gridCol w:w="993"/>
        <w:gridCol w:w="991"/>
      </w:tblGrid>
      <w:tr w:rsidR="00EF2F5B" w:rsidRPr="00EF2F5B" w14:paraId="5D53BDE0" w14:textId="77777777" w:rsidTr="006617F6">
        <w:tc>
          <w:tcPr>
            <w:tcW w:w="2411" w:type="dxa"/>
            <w:vMerge w:val="restart"/>
            <w:tcBorders>
              <w:top w:val="single" w:sz="4" w:space="0" w:color="auto"/>
              <w:left w:val="single" w:sz="4" w:space="0" w:color="auto"/>
              <w:bottom w:val="single" w:sz="4" w:space="0" w:color="auto"/>
              <w:right w:val="single" w:sz="4" w:space="0" w:color="auto"/>
            </w:tcBorders>
            <w:vAlign w:val="center"/>
          </w:tcPr>
          <w:p w14:paraId="6A7C3A5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cs/>
                <w14:ligatures w14:val="none"/>
              </w:rPr>
            </w:pPr>
            <w:r w:rsidRPr="00EF2F5B">
              <w:rPr>
                <w:rFonts w:eastAsia="Times New Roman"/>
                <w:color w:val="000000" w:themeColor="text1"/>
                <w:spacing w:val="0"/>
                <w:kern w:val="0"/>
                <w:sz w:val="20"/>
                <w:szCs w:val="20"/>
                <w14:ligatures w14:val="none"/>
              </w:rPr>
              <w:t>OL Technical Parameter</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AD81A6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Application Conditions</w:t>
            </w:r>
          </w:p>
        </w:tc>
        <w:tc>
          <w:tcPr>
            <w:tcW w:w="4393" w:type="dxa"/>
            <w:gridSpan w:val="5"/>
            <w:tcBorders>
              <w:top w:val="single" w:sz="4" w:space="0" w:color="auto"/>
              <w:left w:val="single" w:sz="4" w:space="0" w:color="auto"/>
              <w:bottom w:val="single" w:sz="4" w:space="0" w:color="auto"/>
              <w:right w:val="single" w:sz="4" w:space="0" w:color="auto"/>
            </w:tcBorders>
            <w:vAlign w:val="center"/>
          </w:tcPr>
          <w:p w14:paraId="0F7A2E6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b/>
                <w:bCs/>
                <w:color w:val="000000" w:themeColor="text1"/>
                <w:spacing w:val="0"/>
                <w:kern w:val="0"/>
                <w:sz w:val="20"/>
                <w:szCs w:val="20"/>
                <w14:ligatures w14:val="none"/>
              </w:rPr>
              <w:t>Environmental</w:t>
            </w:r>
            <w:r w:rsidRPr="00EF2F5B">
              <w:rPr>
                <w:rFonts w:eastAsia="Times New Roman"/>
                <w:color w:val="000000" w:themeColor="text1"/>
                <w:spacing w:val="0"/>
                <w:kern w:val="0"/>
                <w:sz w:val="20"/>
                <w:szCs w:val="20"/>
                <w14:ligatures w14:val="none"/>
              </w:rPr>
              <w:t xml:space="preserve"> </w:t>
            </w:r>
            <w:r w:rsidRPr="00EF2F5B">
              <w:rPr>
                <w:rFonts w:eastAsia="Times New Roman"/>
                <w:b/>
                <w:bCs/>
                <w:color w:val="000000" w:themeColor="text1"/>
                <w:spacing w:val="0"/>
                <w:kern w:val="0"/>
                <w:sz w:val="20"/>
                <w:szCs w:val="20"/>
                <w14:ligatures w14:val="none"/>
              </w:rPr>
              <w:t>Zones</w:t>
            </w:r>
          </w:p>
        </w:tc>
      </w:tr>
      <w:tr w:rsidR="00EF2F5B" w:rsidRPr="00EF2F5B" w14:paraId="5169ABF6" w14:textId="77777777" w:rsidTr="006617F6">
        <w:trPr>
          <w:trHeight w:val="284"/>
        </w:trPr>
        <w:tc>
          <w:tcPr>
            <w:tcW w:w="2411" w:type="dxa"/>
            <w:vMerge/>
            <w:tcBorders>
              <w:top w:val="single" w:sz="4" w:space="0" w:color="auto"/>
              <w:left w:val="single" w:sz="4" w:space="0" w:color="auto"/>
              <w:bottom w:val="single" w:sz="4" w:space="0" w:color="auto"/>
              <w:right w:val="single" w:sz="4" w:space="0" w:color="auto"/>
            </w:tcBorders>
            <w:vAlign w:val="center"/>
          </w:tcPr>
          <w:p w14:paraId="70A80FA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A6CFB8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p>
        </w:tc>
        <w:tc>
          <w:tcPr>
            <w:tcW w:w="703" w:type="dxa"/>
            <w:tcBorders>
              <w:top w:val="single" w:sz="4" w:space="0" w:color="auto"/>
              <w:left w:val="single" w:sz="4" w:space="0" w:color="auto"/>
              <w:bottom w:val="single" w:sz="4" w:space="0" w:color="auto"/>
              <w:right w:val="single" w:sz="4" w:space="0" w:color="auto"/>
            </w:tcBorders>
            <w:vAlign w:val="center"/>
          </w:tcPr>
          <w:p w14:paraId="41FACBC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E0</w:t>
            </w:r>
          </w:p>
          <w:p w14:paraId="4D695C4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856" w:type="dxa"/>
            <w:tcBorders>
              <w:top w:val="single" w:sz="4" w:space="0" w:color="auto"/>
              <w:left w:val="single" w:sz="4" w:space="0" w:color="auto"/>
              <w:bottom w:val="single" w:sz="4" w:space="0" w:color="auto"/>
              <w:right w:val="single" w:sz="4" w:space="0" w:color="auto"/>
            </w:tcBorders>
            <w:vAlign w:val="center"/>
          </w:tcPr>
          <w:p w14:paraId="5E04E8D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E1</w:t>
            </w:r>
          </w:p>
          <w:p w14:paraId="7D65D8B8"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850" w:type="dxa"/>
            <w:tcBorders>
              <w:top w:val="single" w:sz="4" w:space="0" w:color="auto"/>
              <w:left w:val="single" w:sz="4" w:space="0" w:color="auto"/>
              <w:bottom w:val="single" w:sz="4" w:space="0" w:color="auto"/>
              <w:right w:val="single" w:sz="4" w:space="0" w:color="auto"/>
            </w:tcBorders>
            <w:vAlign w:val="center"/>
          </w:tcPr>
          <w:p w14:paraId="47380FC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E2</w:t>
            </w:r>
          </w:p>
          <w:p w14:paraId="4CC1B508"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993" w:type="dxa"/>
            <w:tcBorders>
              <w:top w:val="single" w:sz="4" w:space="0" w:color="auto"/>
              <w:left w:val="single" w:sz="4" w:space="0" w:color="auto"/>
              <w:bottom w:val="single" w:sz="4" w:space="0" w:color="auto"/>
              <w:right w:val="single" w:sz="4" w:space="0" w:color="auto"/>
            </w:tcBorders>
            <w:vAlign w:val="center"/>
          </w:tcPr>
          <w:p w14:paraId="3E4AE426"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E3</w:t>
            </w:r>
          </w:p>
          <w:p w14:paraId="5A1F636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991" w:type="dxa"/>
            <w:tcBorders>
              <w:top w:val="single" w:sz="4" w:space="0" w:color="auto"/>
              <w:left w:val="single" w:sz="4" w:space="0" w:color="auto"/>
              <w:bottom w:val="single" w:sz="4" w:space="0" w:color="auto"/>
              <w:right w:val="single" w:sz="4" w:space="0" w:color="auto"/>
            </w:tcBorders>
            <w:vAlign w:val="center"/>
          </w:tcPr>
          <w:p w14:paraId="0134C82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E4</w:t>
            </w:r>
          </w:p>
          <w:p w14:paraId="60EF24F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r>
      <w:tr w:rsidR="00EF2F5B" w:rsidRPr="00EF2F5B" w14:paraId="55F24A60" w14:textId="77777777" w:rsidTr="006617F6">
        <w:trPr>
          <w:trHeight w:val="241"/>
        </w:trPr>
        <w:tc>
          <w:tcPr>
            <w:tcW w:w="2411" w:type="dxa"/>
            <w:tcBorders>
              <w:top w:val="single" w:sz="4" w:space="0" w:color="auto"/>
              <w:left w:val="single" w:sz="4" w:space="0" w:color="auto"/>
              <w:bottom w:val="single" w:sz="4" w:space="0" w:color="auto"/>
              <w:right w:val="single" w:sz="4" w:space="0" w:color="auto"/>
            </w:tcBorders>
            <w:vAlign w:val="center"/>
          </w:tcPr>
          <w:p w14:paraId="5DF6E351"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Illuminance in Vertical Plane (E</w:t>
            </w:r>
            <w:r w:rsidRPr="00EF2F5B">
              <w:rPr>
                <w:rFonts w:eastAsia="Times New Roman"/>
                <w:color w:val="000000" w:themeColor="text1"/>
                <w:spacing w:val="0"/>
                <w:kern w:val="0"/>
                <w:sz w:val="20"/>
                <w:szCs w:val="20"/>
                <w:vertAlign w:val="subscript"/>
                <w14:ligatures w14:val="none"/>
              </w:rPr>
              <w:t>v</w:t>
            </w:r>
            <w:r w:rsidRPr="00EF2F5B">
              <w:rPr>
                <w:rFonts w:eastAsia="Times New Roman"/>
                <w:color w:val="000000" w:themeColor="text1"/>
                <w:spacing w:val="0"/>
                <w:kern w:val="0"/>
                <w:sz w:val="20"/>
                <w:szCs w:val="20"/>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tcPr>
          <w:p w14:paraId="637B8A4B"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Pre-Curfew</w:t>
            </w:r>
          </w:p>
          <w:p w14:paraId="1575405B"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Post-Curfew not applicable</w:t>
            </w:r>
          </w:p>
        </w:tc>
        <w:tc>
          <w:tcPr>
            <w:tcW w:w="703" w:type="dxa"/>
            <w:tcBorders>
              <w:top w:val="single" w:sz="4" w:space="0" w:color="auto"/>
              <w:left w:val="single" w:sz="4" w:space="0" w:color="auto"/>
              <w:bottom w:val="single" w:sz="4" w:space="0" w:color="auto"/>
              <w:right w:val="single" w:sz="4" w:space="0" w:color="auto"/>
            </w:tcBorders>
            <w:vAlign w:val="center"/>
          </w:tcPr>
          <w:p w14:paraId="4E32A61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N/A</w:t>
            </w:r>
          </w:p>
        </w:tc>
        <w:tc>
          <w:tcPr>
            <w:tcW w:w="856" w:type="dxa"/>
            <w:tcBorders>
              <w:top w:val="single" w:sz="4" w:space="0" w:color="auto"/>
              <w:left w:val="single" w:sz="4" w:space="0" w:color="auto"/>
              <w:bottom w:val="single" w:sz="4" w:space="0" w:color="auto"/>
              <w:right w:val="single" w:sz="4" w:space="0" w:color="auto"/>
            </w:tcBorders>
            <w:vAlign w:val="center"/>
          </w:tcPr>
          <w:p w14:paraId="081BBC8C"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1</w:t>
            </w:r>
          </w:p>
        </w:tc>
        <w:tc>
          <w:tcPr>
            <w:tcW w:w="850" w:type="dxa"/>
            <w:tcBorders>
              <w:top w:val="single" w:sz="4" w:space="0" w:color="auto"/>
              <w:left w:val="single" w:sz="4" w:space="0" w:color="auto"/>
              <w:bottom w:val="single" w:sz="4" w:space="0" w:color="auto"/>
              <w:right w:val="single" w:sz="4" w:space="0" w:color="auto"/>
            </w:tcBorders>
            <w:vAlign w:val="center"/>
          </w:tcPr>
          <w:p w14:paraId="2B1CECB3"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3</w:t>
            </w:r>
          </w:p>
        </w:tc>
        <w:tc>
          <w:tcPr>
            <w:tcW w:w="993" w:type="dxa"/>
            <w:tcBorders>
              <w:top w:val="single" w:sz="4" w:space="0" w:color="auto"/>
              <w:left w:val="single" w:sz="4" w:space="0" w:color="auto"/>
              <w:bottom w:val="single" w:sz="4" w:space="0" w:color="auto"/>
              <w:right w:val="single" w:sz="4" w:space="0" w:color="auto"/>
            </w:tcBorders>
            <w:vAlign w:val="center"/>
          </w:tcPr>
          <w:p w14:paraId="0FB15E7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8</w:t>
            </w:r>
          </w:p>
        </w:tc>
        <w:tc>
          <w:tcPr>
            <w:tcW w:w="991" w:type="dxa"/>
            <w:tcBorders>
              <w:top w:val="single" w:sz="4" w:space="0" w:color="auto"/>
              <w:left w:val="single" w:sz="4" w:space="0" w:color="auto"/>
              <w:bottom w:val="single" w:sz="4" w:space="0" w:color="auto"/>
              <w:right w:val="single" w:sz="4" w:space="0" w:color="auto"/>
            </w:tcBorders>
            <w:vAlign w:val="center"/>
          </w:tcPr>
          <w:p w14:paraId="2281504C"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15</w:t>
            </w:r>
          </w:p>
        </w:tc>
      </w:tr>
      <w:tr w:rsidR="00EF2F5B" w:rsidRPr="00EF2F5B" w14:paraId="12C74DA7" w14:textId="77777777" w:rsidTr="006617F6">
        <w:trPr>
          <w:trHeight w:val="284"/>
        </w:trPr>
        <w:tc>
          <w:tcPr>
            <w:tcW w:w="8505" w:type="dxa"/>
            <w:gridSpan w:val="7"/>
            <w:tcBorders>
              <w:top w:val="single" w:sz="4" w:space="0" w:color="auto"/>
              <w:left w:val="single" w:sz="4" w:space="0" w:color="auto"/>
              <w:bottom w:val="single" w:sz="4" w:space="0" w:color="auto"/>
              <w:right w:val="single" w:sz="4" w:space="0" w:color="auto"/>
            </w:tcBorders>
            <w:vAlign w:val="center"/>
          </w:tcPr>
          <w:p w14:paraId="4B1C2BC0" w14:textId="197DF816" w:rsidR="00336F99" w:rsidRPr="00EF2F5B" w:rsidRDefault="00336F99" w:rsidP="00F0093D">
            <w:pPr>
              <w:overflowPunct w:val="0"/>
              <w:autoSpaceDE w:val="0"/>
              <w:autoSpaceDN w:val="0"/>
              <w:adjustRightInd w:val="0"/>
              <w:spacing w:after="0" w:line="240" w:lineRule="auto"/>
              <w:jc w:val="both"/>
              <w:textAlignment w:val="baseline"/>
              <w:rPr>
                <w:rFonts w:eastAsia="Times New Roman"/>
                <w:color w:val="000000" w:themeColor="text1"/>
                <w:spacing w:val="0"/>
                <w:kern w:val="0"/>
                <w:sz w:val="20"/>
                <w:szCs w:val="20"/>
                <w:lang w:bidi="ar-SA"/>
                <w14:ligatures w14:val="none"/>
              </w:rPr>
            </w:pPr>
            <w:bookmarkStart w:id="6" w:name="_Hlk205622934"/>
            <w:r w:rsidRPr="00EF2F5B">
              <w:rPr>
                <w:rFonts w:eastAsia="Times New Roman"/>
                <w:color w:val="000000" w:themeColor="text1"/>
                <w:spacing w:val="0"/>
                <w:kern w:val="0"/>
                <w:sz w:val="20"/>
                <w:szCs w:val="20"/>
                <w14:ligatures w14:val="none"/>
              </w:rPr>
              <w:t>Note</w:t>
            </w:r>
            <w:r w:rsidR="004057F5" w:rsidRPr="00EF2F5B">
              <w:rPr>
                <w:rFonts w:eastAsia="Times New Roman"/>
                <w:color w:val="000000" w:themeColor="text1"/>
                <w:spacing w:val="0"/>
                <w:kern w:val="0"/>
                <w:sz w:val="20"/>
                <w:szCs w:val="20"/>
                <w14:ligatures w14:val="none"/>
              </w:rPr>
              <w:t>:</w:t>
            </w:r>
            <w:r w:rsidRPr="00EF2F5B">
              <w:rPr>
                <w:snapToGrid/>
                <w:color w:val="000000" w:themeColor="text1"/>
                <w:spacing w:val="0"/>
                <w:kern w:val="0"/>
                <w:lang w:val="en-ZA" w:bidi="ar-SA"/>
                <w14:ligatures w14:val="none"/>
              </w:rPr>
              <w:t xml:space="preserve"> </w:t>
            </w:r>
            <w:r w:rsidRPr="00EF2F5B">
              <w:rPr>
                <w:rFonts w:eastAsia="Times New Roman"/>
                <w:color w:val="000000" w:themeColor="text1"/>
                <w:spacing w:val="0"/>
                <w:kern w:val="0"/>
                <w:sz w:val="20"/>
                <w:szCs w:val="20"/>
                <w14:ligatures w14:val="none"/>
              </w:rPr>
              <w:t>Maximum allowable light level anywhere along the vertical surface of the RPL.</w:t>
            </w:r>
          </w:p>
        </w:tc>
      </w:tr>
      <w:bookmarkEnd w:id="6"/>
    </w:tbl>
    <w:p w14:paraId="02FABE89" w14:textId="77777777" w:rsidR="00336F99" w:rsidRPr="00EF2F5B" w:rsidRDefault="00336F99" w:rsidP="00F0093D">
      <w:pPr>
        <w:spacing w:after="0" w:line="240" w:lineRule="auto"/>
        <w:jc w:val="both"/>
        <w:rPr>
          <w:color w:val="000000" w:themeColor="text1"/>
          <w:spacing w:val="0"/>
          <w:kern w:val="0"/>
          <w:lang w:val="en-GB"/>
          <w14:ligatures w14:val="none"/>
        </w:rPr>
      </w:pPr>
    </w:p>
    <w:p w14:paraId="686C5074" w14:textId="75361EDD" w:rsidR="00336F99" w:rsidRPr="00EF2F5B" w:rsidRDefault="00D764B5" w:rsidP="00F0093D">
      <w:pPr>
        <w:spacing w:after="0" w:line="240" w:lineRule="auto"/>
        <w:rPr>
          <w:b/>
          <w:bCs/>
          <w:color w:val="000000" w:themeColor="text1"/>
          <w:spacing w:val="0"/>
        </w:rPr>
      </w:pPr>
      <w:bookmarkStart w:id="7" w:name="_Toc192358071"/>
      <w:bookmarkEnd w:id="7"/>
      <w:r w:rsidRPr="00EF2F5B">
        <w:rPr>
          <w:b/>
          <w:bCs/>
          <w:color w:val="000000" w:themeColor="text1"/>
          <w:spacing w:val="0"/>
        </w:rPr>
        <w:t xml:space="preserve">Illuminating Engineering Society (ANSI/IES RP-8, 2025) </w:t>
      </w:r>
    </w:p>
    <w:p w14:paraId="18D4A44D" w14:textId="77777777" w:rsidR="004057F5" w:rsidRPr="00EF2F5B" w:rsidRDefault="004057F5" w:rsidP="00F0093D">
      <w:pPr>
        <w:spacing w:after="0" w:line="240" w:lineRule="auto"/>
        <w:rPr>
          <w:b/>
          <w:bCs/>
          <w:color w:val="000000" w:themeColor="text1"/>
          <w:spacing w:val="0"/>
        </w:rPr>
      </w:pPr>
    </w:p>
    <w:p w14:paraId="1E57654F" w14:textId="62FE7599" w:rsidR="00336F99" w:rsidRPr="00EF2F5B" w:rsidRDefault="00336F99" w:rsidP="00F0093D">
      <w:pPr>
        <w:spacing w:after="0" w:line="240" w:lineRule="auto"/>
        <w:rPr>
          <w:color w:val="000000" w:themeColor="text1"/>
          <w:spacing w:val="0"/>
        </w:rPr>
      </w:pPr>
      <w:r w:rsidRPr="00EF2F5B">
        <w:rPr>
          <w:color w:val="000000" w:themeColor="text1"/>
          <w:spacing w:val="0"/>
        </w:rPr>
        <w:t xml:space="preserve">The IES published a document proposing introducing OL zones in all OL systems </w:t>
      </w:r>
      <w:r w:rsidR="0008305D" w:rsidRPr="00EF2F5B">
        <w:rPr>
          <w:color w:val="000000" w:themeColor="text1"/>
          <w:spacing w:val="0"/>
        </w:rPr>
        <w:t xml:space="preserve">(ANSI/IES RP-8, 2025).  </w:t>
      </w:r>
      <w:r w:rsidRPr="00EF2F5B">
        <w:rPr>
          <w:color w:val="000000" w:themeColor="text1"/>
          <w:spacing w:val="0"/>
        </w:rPr>
        <w:t>Table 3 below provides the proposed OL zones and brief descriptions.</w:t>
      </w:r>
    </w:p>
    <w:p w14:paraId="6467A16C" w14:textId="77777777" w:rsidR="004057F5" w:rsidRPr="00EF2F5B" w:rsidRDefault="004057F5" w:rsidP="00F0093D">
      <w:pPr>
        <w:spacing w:after="0" w:line="240" w:lineRule="auto"/>
        <w:rPr>
          <w:color w:val="000000" w:themeColor="text1"/>
          <w:spacing w:val="0"/>
        </w:rPr>
      </w:pPr>
    </w:p>
    <w:p w14:paraId="19D65926" w14:textId="72DE4DD4" w:rsidR="00336F99" w:rsidRPr="00EF2F5B" w:rsidRDefault="00336F99" w:rsidP="004057F5">
      <w:pPr>
        <w:spacing w:after="0" w:line="240" w:lineRule="auto"/>
        <w:jc w:val="center"/>
        <w:rPr>
          <w:b/>
          <w:bCs/>
          <w:color w:val="000000" w:themeColor="text1"/>
          <w:spacing w:val="0"/>
          <w:sz w:val="20"/>
          <w:szCs w:val="20"/>
        </w:rPr>
      </w:pPr>
      <w:bookmarkStart w:id="8" w:name="_Toc205658513"/>
      <w:r w:rsidRPr="00EF2F5B">
        <w:rPr>
          <w:b/>
          <w:bCs/>
          <w:color w:val="000000" w:themeColor="text1"/>
          <w:spacing w:val="0"/>
          <w:sz w:val="20"/>
          <w:szCs w:val="20"/>
        </w:rPr>
        <w:t xml:space="preserve">Table </w:t>
      </w:r>
      <w:r w:rsidRPr="00EF2F5B">
        <w:rPr>
          <w:b/>
          <w:bCs/>
          <w:color w:val="000000" w:themeColor="text1"/>
          <w:spacing w:val="0"/>
          <w:sz w:val="20"/>
          <w:szCs w:val="20"/>
        </w:rPr>
        <w:fldChar w:fldCharType="begin"/>
      </w:r>
      <w:r w:rsidRPr="00EF2F5B">
        <w:rPr>
          <w:b/>
          <w:bCs/>
          <w:color w:val="000000" w:themeColor="text1"/>
          <w:spacing w:val="0"/>
          <w:sz w:val="20"/>
          <w:szCs w:val="20"/>
        </w:rPr>
        <w:instrText xml:space="preserve"> SEQ Table \* ARABIC \s 1 </w:instrText>
      </w:r>
      <w:r w:rsidRPr="00EF2F5B">
        <w:rPr>
          <w:b/>
          <w:bCs/>
          <w:color w:val="000000" w:themeColor="text1"/>
          <w:spacing w:val="0"/>
          <w:sz w:val="20"/>
          <w:szCs w:val="20"/>
        </w:rPr>
        <w:fldChar w:fldCharType="separate"/>
      </w:r>
      <w:r w:rsidRPr="00EF2F5B">
        <w:rPr>
          <w:b/>
          <w:bCs/>
          <w:color w:val="000000" w:themeColor="text1"/>
          <w:spacing w:val="0"/>
          <w:sz w:val="20"/>
          <w:szCs w:val="20"/>
        </w:rPr>
        <w:t>3</w:t>
      </w:r>
      <w:r w:rsidRPr="00EF2F5B">
        <w:rPr>
          <w:b/>
          <w:bCs/>
          <w:color w:val="000000" w:themeColor="text1"/>
          <w:spacing w:val="0"/>
          <w:sz w:val="20"/>
          <w:szCs w:val="20"/>
        </w:rPr>
        <w:fldChar w:fldCharType="end"/>
      </w:r>
      <w:r w:rsidRPr="00EF2F5B">
        <w:rPr>
          <w:b/>
          <w:bCs/>
          <w:color w:val="000000" w:themeColor="text1"/>
          <w:spacing w:val="0"/>
          <w:sz w:val="20"/>
          <w:szCs w:val="20"/>
        </w:rPr>
        <w:t>. Environmental OL Zones by IES</w:t>
      </w:r>
      <w:bookmarkEnd w:id="8"/>
    </w:p>
    <w:p w14:paraId="4F26CB4A" w14:textId="00EC2EA5" w:rsidR="00336F99" w:rsidRPr="00EF2F5B" w:rsidRDefault="00336F99" w:rsidP="004057F5">
      <w:pPr>
        <w:spacing w:after="0" w:line="240" w:lineRule="auto"/>
        <w:jc w:val="center"/>
        <w:rPr>
          <w:color w:val="000000" w:themeColor="text1"/>
          <w:spacing w:val="0"/>
          <w:sz w:val="16"/>
          <w:szCs w:val="16"/>
        </w:rPr>
      </w:pPr>
      <w:r w:rsidRPr="00EF2F5B">
        <w:rPr>
          <w:color w:val="000000" w:themeColor="text1"/>
          <w:spacing w:val="0"/>
          <w:sz w:val="16"/>
          <w:szCs w:val="16"/>
        </w:rPr>
        <w:t xml:space="preserve">Source: Compiled by the author </w:t>
      </w:r>
      <w:r w:rsidR="0008305D" w:rsidRPr="00EF2F5B">
        <w:rPr>
          <w:color w:val="000000" w:themeColor="text1"/>
          <w:spacing w:val="0"/>
          <w:sz w:val="16"/>
          <w:szCs w:val="16"/>
        </w:rPr>
        <w:t xml:space="preserve">(ANSI/IES RP-8, 2025). </w:t>
      </w:r>
    </w:p>
    <w:tbl>
      <w:tblPr>
        <w:tblStyle w:val="TableGrid21"/>
        <w:tblW w:w="0" w:type="auto"/>
        <w:jc w:val="center"/>
        <w:tblLook w:val="01E0" w:firstRow="1" w:lastRow="1" w:firstColumn="1" w:lastColumn="1" w:noHBand="0" w:noVBand="0"/>
      </w:tblPr>
      <w:tblGrid>
        <w:gridCol w:w="655"/>
        <w:gridCol w:w="750"/>
        <w:gridCol w:w="7443"/>
      </w:tblGrid>
      <w:tr w:rsidR="00EF2F5B" w:rsidRPr="00EF2F5B" w14:paraId="6184543D" w14:textId="77777777" w:rsidTr="006617F6">
        <w:trPr>
          <w:trHeight w:val="418"/>
          <w:jc w:val="center"/>
        </w:trPr>
        <w:tc>
          <w:tcPr>
            <w:tcW w:w="655" w:type="dxa"/>
            <w:vAlign w:val="center"/>
          </w:tcPr>
          <w:p w14:paraId="1E51B079" w14:textId="77777777" w:rsidR="00336F99" w:rsidRPr="00EF2F5B" w:rsidRDefault="00336F99" w:rsidP="00F0093D">
            <w:pPr>
              <w:spacing w:before="0"/>
              <w:jc w:val="center"/>
              <w:rPr>
                <w:color w:val="000000" w:themeColor="text1"/>
                <w:lang w:val="en-CA"/>
              </w:rPr>
            </w:pPr>
            <w:r w:rsidRPr="00EF2F5B">
              <w:rPr>
                <w:color w:val="000000" w:themeColor="text1"/>
                <w:lang w:val="en-CA"/>
              </w:rPr>
              <w:t>No.</w:t>
            </w:r>
          </w:p>
        </w:tc>
        <w:tc>
          <w:tcPr>
            <w:tcW w:w="750" w:type="dxa"/>
            <w:vAlign w:val="center"/>
          </w:tcPr>
          <w:p w14:paraId="3EEBDC96" w14:textId="77777777" w:rsidR="00336F99" w:rsidRPr="00EF2F5B" w:rsidRDefault="00336F99" w:rsidP="00F0093D">
            <w:pPr>
              <w:spacing w:before="0"/>
              <w:jc w:val="center"/>
              <w:rPr>
                <w:color w:val="000000" w:themeColor="text1"/>
                <w:lang w:val="en-CA"/>
              </w:rPr>
            </w:pPr>
            <w:r w:rsidRPr="00EF2F5B">
              <w:rPr>
                <w:color w:val="000000" w:themeColor="text1"/>
                <w:lang w:val="en-CA"/>
              </w:rPr>
              <w:t>ZONE</w:t>
            </w:r>
          </w:p>
        </w:tc>
        <w:tc>
          <w:tcPr>
            <w:tcW w:w="7443" w:type="dxa"/>
            <w:vAlign w:val="center"/>
          </w:tcPr>
          <w:p w14:paraId="797A3D08" w14:textId="77777777" w:rsidR="00336F99" w:rsidRPr="00EF2F5B" w:rsidRDefault="00336F99" w:rsidP="00F0093D">
            <w:pPr>
              <w:spacing w:before="0"/>
              <w:ind w:left="34"/>
              <w:jc w:val="center"/>
              <w:rPr>
                <w:color w:val="000000" w:themeColor="text1"/>
                <w:lang w:val="en-CA"/>
              </w:rPr>
            </w:pPr>
            <w:r w:rsidRPr="00EF2F5B">
              <w:rPr>
                <w:color w:val="000000" w:themeColor="text1"/>
                <w:lang w:val="en-CA"/>
              </w:rPr>
              <w:t>DESCRIPTION</w:t>
            </w:r>
          </w:p>
        </w:tc>
      </w:tr>
      <w:tr w:rsidR="00EF2F5B" w:rsidRPr="00EF2F5B" w14:paraId="7E931037" w14:textId="77777777" w:rsidTr="006617F6">
        <w:trPr>
          <w:trHeight w:val="1842"/>
          <w:jc w:val="center"/>
        </w:trPr>
        <w:tc>
          <w:tcPr>
            <w:tcW w:w="655" w:type="dxa"/>
            <w:vAlign w:val="center"/>
          </w:tcPr>
          <w:p w14:paraId="2CA09D93" w14:textId="77777777" w:rsidR="00336F99" w:rsidRPr="00EF2F5B" w:rsidRDefault="00336F99" w:rsidP="00F0093D">
            <w:pPr>
              <w:spacing w:before="0"/>
              <w:rPr>
                <w:color w:val="000000" w:themeColor="text1"/>
              </w:rPr>
            </w:pPr>
            <w:bookmarkStart w:id="9" w:name="_Hlk183899306"/>
            <w:r w:rsidRPr="00EF2F5B">
              <w:rPr>
                <w:color w:val="000000" w:themeColor="text1"/>
              </w:rPr>
              <w:t>2.3a</w:t>
            </w:r>
          </w:p>
        </w:tc>
        <w:tc>
          <w:tcPr>
            <w:tcW w:w="750" w:type="dxa"/>
            <w:vAlign w:val="center"/>
          </w:tcPr>
          <w:p w14:paraId="28C9DC15" w14:textId="77777777" w:rsidR="00336F99" w:rsidRPr="00EF2F5B" w:rsidRDefault="00336F99" w:rsidP="00F0093D">
            <w:pPr>
              <w:spacing w:before="0"/>
              <w:rPr>
                <w:color w:val="000000" w:themeColor="text1"/>
              </w:rPr>
            </w:pPr>
            <w:r w:rsidRPr="00EF2F5B">
              <w:rPr>
                <w:color w:val="000000" w:themeColor="text1"/>
              </w:rPr>
              <w:t>LZ0</w:t>
            </w:r>
          </w:p>
        </w:tc>
        <w:tc>
          <w:tcPr>
            <w:tcW w:w="7443" w:type="dxa"/>
            <w:vAlign w:val="center"/>
          </w:tcPr>
          <w:p w14:paraId="630CD6A3" w14:textId="77777777" w:rsidR="00336F99" w:rsidRPr="00EF2F5B" w:rsidRDefault="00336F99" w:rsidP="00F0093D">
            <w:pPr>
              <w:spacing w:before="0"/>
              <w:rPr>
                <w:color w:val="000000" w:themeColor="text1"/>
                <w:lang w:val="en-CA"/>
              </w:rPr>
            </w:pPr>
            <w:r w:rsidRPr="00EF2F5B">
              <w:rPr>
                <w:color w:val="000000" w:themeColor="text1"/>
                <w:lang w:val="en-CA"/>
              </w:rPr>
              <w:t>OL Zone 0 applies to areas where permanent outdoor lighting is not expected.  When used, lighting must be minimal in intensity and duration.  Typical locations include wilderness parks, observatories, and protected dark-sky areas.  Permanent lighting requires special review.  Some rural communities may adopt Zone 0 for residential preservation.</w:t>
            </w:r>
          </w:p>
        </w:tc>
      </w:tr>
      <w:bookmarkEnd w:id="9"/>
      <w:tr w:rsidR="00EF2F5B" w:rsidRPr="00EF2F5B" w14:paraId="600AB4F1" w14:textId="77777777" w:rsidTr="006617F6">
        <w:trPr>
          <w:trHeight w:val="1286"/>
          <w:jc w:val="center"/>
        </w:trPr>
        <w:tc>
          <w:tcPr>
            <w:tcW w:w="655" w:type="dxa"/>
            <w:vAlign w:val="center"/>
          </w:tcPr>
          <w:p w14:paraId="6AE2087C" w14:textId="77777777" w:rsidR="00336F99" w:rsidRPr="00EF2F5B" w:rsidRDefault="00336F99" w:rsidP="00F0093D">
            <w:pPr>
              <w:spacing w:before="0"/>
              <w:rPr>
                <w:color w:val="000000" w:themeColor="text1"/>
              </w:rPr>
            </w:pPr>
            <w:r w:rsidRPr="00EF2F5B">
              <w:rPr>
                <w:color w:val="000000" w:themeColor="text1"/>
              </w:rPr>
              <w:t>2.3b</w:t>
            </w:r>
          </w:p>
        </w:tc>
        <w:tc>
          <w:tcPr>
            <w:tcW w:w="750" w:type="dxa"/>
            <w:vAlign w:val="center"/>
          </w:tcPr>
          <w:p w14:paraId="7C6C7CA5" w14:textId="77777777" w:rsidR="00336F99" w:rsidRPr="00EF2F5B" w:rsidRDefault="00336F99" w:rsidP="00F0093D">
            <w:pPr>
              <w:spacing w:before="0"/>
              <w:rPr>
                <w:color w:val="000000" w:themeColor="text1"/>
              </w:rPr>
            </w:pPr>
            <w:r w:rsidRPr="00EF2F5B">
              <w:rPr>
                <w:color w:val="000000" w:themeColor="text1"/>
              </w:rPr>
              <w:t>LZ1</w:t>
            </w:r>
          </w:p>
        </w:tc>
        <w:tc>
          <w:tcPr>
            <w:tcW w:w="7443" w:type="dxa"/>
            <w:vAlign w:val="center"/>
          </w:tcPr>
          <w:p w14:paraId="68F6D307" w14:textId="77777777" w:rsidR="00336F99" w:rsidRPr="00EF2F5B" w:rsidRDefault="00336F99" w:rsidP="00F0093D">
            <w:pPr>
              <w:spacing w:before="0"/>
              <w:rPr>
                <w:color w:val="000000" w:themeColor="text1"/>
                <w:lang w:val="en-CA"/>
              </w:rPr>
            </w:pPr>
            <w:r w:rsidRPr="00EF2F5B">
              <w:rPr>
                <w:color w:val="000000" w:themeColor="text1"/>
                <w:lang w:val="en-CA"/>
              </w:rPr>
              <w:t>OL Zone 1 applies to areas requiring low ambient lighting, such as single-family homes, rural centers, business parks, and low-activity commercial or industrial zones.  It may also include developed sections of parks or natural areas with limited nighttime use.</w:t>
            </w:r>
          </w:p>
        </w:tc>
      </w:tr>
      <w:tr w:rsidR="00EF2F5B" w:rsidRPr="00EF2F5B" w14:paraId="00D05C8A" w14:textId="77777777" w:rsidTr="006617F6">
        <w:trPr>
          <w:trHeight w:val="123"/>
          <w:jc w:val="center"/>
        </w:trPr>
        <w:tc>
          <w:tcPr>
            <w:tcW w:w="655" w:type="dxa"/>
            <w:vAlign w:val="center"/>
          </w:tcPr>
          <w:p w14:paraId="15CC75FE" w14:textId="77777777" w:rsidR="00336F99" w:rsidRPr="00EF2F5B" w:rsidRDefault="00336F99" w:rsidP="00F0093D">
            <w:pPr>
              <w:spacing w:before="0"/>
              <w:rPr>
                <w:color w:val="000000" w:themeColor="text1"/>
              </w:rPr>
            </w:pPr>
            <w:r w:rsidRPr="00EF2F5B">
              <w:rPr>
                <w:color w:val="000000" w:themeColor="text1"/>
              </w:rPr>
              <w:lastRenderedPageBreak/>
              <w:t>2.3c</w:t>
            </w:r>
          </w:p>
        </w:tc>
        <w:tc>
          <w:tcPr>
            <w:tcW w:w="750" w:type="dxa"/>
            <w:vAlign w:val="center"/>
          </w:tcPr>
          <w:p w14:paraId="5FD74F16" w14:textId="77777777" w:rsidR="00336F99" w:rsidRPr="00EF2F5B" w:rsidRDefault="00336F99" w:rsidP="00F0093D">
            <w:pPr>
              <w:spacing w:before="0"/>
              <w:rPr>
                <w:color w:val="000000" w:themeColor="text1"/>
              </w:rPr>
            </w:pPr>
            <w:r w:rsidRPr="00EF2F5B">
              <w:rPr>
                <w:color w:val="000000" w:themeColor="text1"/>
              </w:rPr>
              <w:t>LZ2</w:t>
            </w:r>
          </w:p>
        </w:tc>
        <w:tc>
          <w:tcPr>
            <w:tcW w:w="7443" w:type="dxa"/>
            <w:vAlign w:val="center"/>
          </w:tcPr>
          <w:p w14:paraId="6201F993" w14:textId="77777777" w:rsidR="00336F99" w:rsidRPr="00EF2F5B" w:rsidRDefault="00336F99" w:rsidP="00F0093D">
            <w:pPr>
              <w:spacing w:before="0"/>
              <w:rPr>
                <w:color w:val="000000" w:themeColor="text1"/>
                <w:lang w:val="en-CA"/>
              </w:rPr>
            </w:pPr>
            <w:r w:rsidRPr="00EF2F5B">
              <w:rPr>
                <w:color w:val="000000" w:themeColor="text1"/>
                <w:lang w:val="en-CA"/>
              </w:rPr>
              <w:t>OL Zone 2 applies to areas with moderate ambient lighting, including multifamily housing, schools, hospitals, mixed-use zones with residential focus, and community recreation areas.  It may also accommodate outdoor sales or industry within otherwise LZ-1 designated areas.</w:t>
            </w:r>
          </w:p>
        </w:tc>
      </w:tr>
      <w:tr w:rsidR="00EF2F5B" w:rsidRPr="00EF2F5B" w14:paraId="025C2087" w14:textId="77777777" w:rsidTr="006617F6">
        <w:trPr>
          <w:trHeight w:val="695"/>
          <w:jc w:val="center"/>
        </w:trPr>
        <w:tc>
          <w:tcPr>
            <w:tcW w:w="655" w:type="dxa"/>
            <w:vAlign w:val="center"/>
          </w:tcPr>
          <w:p w14:paraId="547ACF55" w14:textId="77777777" w:rsidR="00336F99" w:rsidRPr="00EF2F5B" w:rsidRDefault="00336F99" w:rsidP="00F0093D">
            <w:pPr>
              <w:spacing w:before="0"/>
              <w:rPr>
                <w:color w:val="000000" w:themeColor="text1"/>
                <w:lang w:val="en-CA"/>
              </w:rPr>
            </w:pPr>
            <w:r w:rsidRPr="00EF2F5B">
              <w:rPr>
                <w:color w:val="000000" w:themeColor="text1"/>
                <w:lang w:val="en-CA"/>
              </w:rPr>
              <w:t>2.3d</w:t>
            </w:r>
          </w:p>
        </w:tc>
        <w:tc>
          <w:tcPr>
            <w:tcW w:w="750" w:type="dxa"/>
            <w:vAlign w:val="center"/>
          </w:tcPr>
          <w:p w14:paraId="0670C860" w14:textId="77777777" w:rsidR="00336F99" w:rsidRPr="00EF2F5B" w:rsidRDefault="00336F99" w:rsidP="00F0093D">
            <w:pPr>
              <w:spacing w:before="0"/>
              <w:rPr>
                <w:color w:val="000000" w:themeColor="text1"/>
                <w:lang w:val="en-CA"/>
              </w:rPr>
            </w:pPr>
            <w:r w:rsidRPr="00EF2F5B">
              <w:rPr>
                <w:color w:val="000000" w:themeColor="text1"/>
                <w:lang w:val="en-CA"/>
              </w:rPr>
              <w:t>LZ3</w:t>
            </w:r>
          </w:p>
        </w:tc>
        <w:tc>
          <w:tcPr>
            <w:tcW w:w="7443" w:type="dxa"/>
            <w:vAlign w:val="center"/>
          </w:tcPr>
          <w:p w14:paraId="2FC3B74F" w14:textId="77777777" w:rsidR="00336F99" w:rsidRPr="00EF2F5B" w:rsidRDefault="00336F99" w:rsidP="00F0093D">
            <w:pPr>
              <w:spacing w:before="0"/>
              <w:rPr>
                <w:color w:val="000000" w:themeColor="text1"/>
                <w:lang w:val="en-CA"/>
              </w:rPr>
            </w:pPr>
            <w:r w:rsidRPr="00EF2F5B">
              <w:rPr>
                <w:color w:val="000000" w:themeColor="text1"/>
                <w:lang w:val="en-CA"/>
              </w:rPr>
              <w:t>OL Zone 3 applies to areas with moderately high lighting needs, including commercial corridors, town centers, mixed-use zones, industrial areas, rail yards, active recreation fields, malls, car dealerships, gas stations, and other exterior retail spaces with significant nighttime activity.</w:t>
            </w:r>
          </w:p>
        </w:tc>
      </w:tr>
      <w:tr w:rsidR="00EF2F5B" w:rsidRPr="00EF2F5B" w14:paraId="7E6F2D6A" w14:textId="77777777" w:rsidTr="006617F6">
        <w:trPr>
          <w:trHeight w:val="406"/>
          <w:jc w:val="center"/>
        </w:trPr>
        <w:tc>
          <w:tcPr>
            <w:tcW w:w="655" w:type="dxa"/>
            <w:vAlign w:val="center"/>
          </w:tcPr>
          <w:p w14:paraId="235891D1" w14:textId="77777777" w:rsidR="00336F99" w:rsidRPr="00EF2F5B" w:rsidRDefault="00336F99" w:rsidP="00F0093D">
            <w:pPr>
              <w:spacing w:before="0"/>
              <w:jc w:val="center"/>
              <w:rPr>
                <w:color w:val="000000" w:themeColor="text1"/>
                <w:lang w:val="en-CA"/>
              </w:rPr>
            </w:pPr>
            <w:r w:rsidRPr="00EF2F5B">
              <w:rPr>
                <w:color w:val="000000" w:themeColor="text1"/>
                <w:lang w:val="en-CA"/>
              </w:rPr>
              <w:t>2.3e</w:t>
            </w:r>
          </w:p>
        </w:tc>
        <w:tc>
          <w:tcPr>
            <w:tcW w:w="750" w:type="dxa"/>
            <w:vAlign w:val="center"/>
          </w:tcPr>
          <w:p w14:paraId="17DED04E" w14:textId="77777777" w:rsidR="00336F99" w:rsidRPr="00EF2F5B" w:rsidRDefault="00336F99" w:rsidP="00F0093D">
            <w:pPr>
              <w:spacing w:before="0"/>
              <w:jc w:val="center"/>
              <w:rPr>
                <w:color w:val="000000" w:themeColor="text1"/>
                <w:lang w:val="en-CA"/>
              </w:rPr>
            </w:pPr>
            <w:r w:rsidRPr="00EF2F5B">
              <w:rPr>
                <w:color w:val="000000" w:themeColor="text1"/>
                <w:lang w:val="en-CA"/>
              </w:rPr>
              <w:t>LZ4</w:t>
            </w:r>
          </w:p>
        </w:tc>
        <w:tc>
          <w:tcPr>
            <w:tcW w:w="7443" w:type="dxa"/>
            <w:vAlign w:val="center"/>
          </w:tcPr>
          <w:p w14:paraId="59E9EE7E" w14:textId="77777777" w:rsidR="00336F99" w:rsidRPr="00EF2F5B" w:rsidRDefault="00336F99" w:rsidP="00F0093D">
            <w:pPr>
              <w:spacing w:before="0"/>
              <w:rPr>
                <w:color w:val="000000" w:themeColor="text1"/>
                <w:lang w:val="en-CA"/>
              </w:rPr>
            </w:pPr>
            <w:r w:rsidRPr="00EF2F5B">
              <w:rPr>
                <w:color w:val="000000" w:themeColor="text1"/>
                <w:lang w:val="en-CA"/>
              </w:rPr>
              <w:t>OL Zone 4 applies to areas with very high ambient lighting and is reserved for exceptional cases, such as high-density entertainment districts or heavy industrial zones.  It is generally unsuitable for typical urban or suburban settings.</w:t>
            </w:r>
          </w:p>
        </w:tc>
      </w:tr>
    </w:tbl>
    <w:p w14:paraId="0A2E2CF4" w14:textId="7EBBEE57" w:rsidR="00336F99" w:rsidRPr="00EF2F5B" w:rsidRDefault="00336F99" w:rsidP="004057F5">
      <w:pPr>
        <w:spacing w:after="0" w:line="240" w:lineRule="auto"/>
        <w:jc w:val="both"/>
        <w:rPr>
          <w:color w:val="000000" w:themeColor="text1"/>
          <w:spacing w:val="0"/>
        </w:rPr>
      </w:pPr>
      <w:r w:rsidRPr="00EF2F5B">
        <w:rPr>
          <w:color w:val="000000" w:themeColor="text1"/>
          <w:spacing w:val="0"/>
        </w:rPr>
        <w:t xml:space="preserve">The recommended maximum OL level value for the OTL limit is “vertical illuminance on properties” </w:t>
      </w:r>
      <w:r w:rsidR="0008305D" w:rsidRPr="00EF2F5B">
        <w:rPr>
          <w:color w:val="000000" w:themeColor="text1"/>
          <w:spacing w:val="0"/>
        </w:rPr>
        <w:t xml:space="preserve">(ANSI/IES RP-8, 2025). </w:t>
      </w:r>
      <w:r w:rsidRPr="00EF2F5B">
        <w:rPr>
          <w:color w:val="000000" w:themeColor="text1"/>
          <w:spacing w:val="0"/>
        </w:rPr>
        <w:t xml:space="preserve"> The OTL limitations “apply to nearby dwellings or potential dwellings, especially to their relevant surface or surfaces on properties.” The values consider the summary of all the OL installations </w:t>
      </w:r>
      <w:r w:rsidR="0008305D" w:rsidRPr="00EF2F5B">
        <w:rPr>
          <w:color w:val="000000" w:themeColor="text1"/>
          <w:spacing w:val="0"/>
        </w:rPr>
        <w:t xml:space="preserve">(ANSI/IES RP-8, 2025). </w:t>
      </w:r>
      <w:r w:rsidRPr="00EF2F5B">
        <w:rPr>
          <w:color w:val="000000" w:themeColor="text1"/>
          <w:spacing w:val="0"/>
        </w:rPr>
        <w:t xml:space="preserve"> </w:t>
      </w:r>
      <w:r w:rsidRPr="00EF2F5B">
        <w:rPr>
          <w:color w:val="000000" w:themeColor="text1"/>
          <w:spacing w:val="0"/>
        </w:rPr>
        <w:fldChar w:fldCharType="begin"/>
      </w:r>
      <w:r w:rsidRPr="00EF2F5B">
        <w:rPr>
          <w:color w:val="000000" w:themeColor="text1"/>
          <w:spacing w:val="0"/>
        </w:rPr>
        <w:instrText xml:space="preserve"> REF _Ref123331609 \h  \* MERGEFORMAT </w:instrText>
      </w:r>
      <w:r w:rsidRPr="00EF2F5B">
        <w:rPr>
          <w:color w:val="000000" w:themeColor="text1"/>
          <w:spacing w:val="0"/>
        </w:rPr>
      </w:r>
      <w:r w:rsidRPr="00EF2F5B">
        <w:rPr>
          <w:color w:val="000000" w:themeColor="text1"/>
          <w:spacing w:val="0"/>
        </w:rPr>
        <w:fldChar w:fldCharType="separate"/>
      </w:r>
      <w:r w:rsidRPr="00EF2F5B">
        <w:rPr>
          <w:color w:val="000000" w:themeColor="text1"/>
          <w:spacing w:val="0"/>
        </w:rPr>
        <w:t>Table 4</w:t>
      </w:r>
      <w:r w:rsidRPr="00EF2F5B">
        <w:rPr>
          <w:color w:val="000000" w:themeColor="text1"/>
          <w:spacing w:val="0"/>
        </w:rPr>
        <w:fldChar w:fldCharType="end"/>
      </w:r>
      <w:r w:rsidRPr="00EF2F5B">
        <w:rPr>
          <w:color w:val="000000" w:themeColor="text1"/>
          <w:spacing w:val="0"/>
        </w:rPr>
        <w:t xml:space="preserve"> below gives the proposed highest values of vertical illuminance on property lines.</w:t>
      </w:r>
    </w:p>
    <w:p w14:paraId="5B08F645" w14:textId="77777777" w:rsidR="004057F5" w:rsidRPr="00EF2F5B" w:rsidRDefault="004057F5" w:rsidP="00F0093D">
      <w:pPr>
        <w:spacing w:after="0" w:line="240" w:lineRule="auto"/>
        <w:rPr>
          <w:color w:val="000000" w:themeColor="text1"/>
          <w:spacing w:val="0"/>
        </w:rPr>
      </w:pPr>
    </w:p>
    <w:p w14:paraId="287F406B" w14:textId="5A50D2E7" w:rsidR="00336F99" w:rsidRPr="00EF2F5B" w:rsidRDefault="00336F99" w:rsidP="004057F5">
      <w:pPr>
        <w:spacing w:after="0" w:line="240" w:lineRule="auto"/>
        <w:jc w:val="center"/>
        <w:rPr>
          <w:b/>
          <w:bCs/>
          <w:color w:val="000000" w:themeColor="text1"/>
          <w:spacing w:val="0"/>
          <w:sz w:val="20"/>
          <w:szCs w:val="20"/>
        </w:rPr>
      </w:pPr>
      <w:bookmarkStart w:id="10" w:name="_Toc205658514"/>
      <w:r w:rsidRPr="00EF2F5B">
        <w:rPr>
          <w:b/>
          <w:bCs/>
          <w:color w:val="000000" w:themeColor="text1"/>
          <w:spacing w:val="0"/>
          <w:sz w:val="20"/>
          <w:szCs w:val="20"/>
        </w:rPr>
        <w:t xml:space="preserve">Table </w:t>
      </w:r>
      <w:r w:rsidRPr="00EF2F5B">
        <w:rPr>
          <w:b/>
          <w:bCs/>
          <w:color w:val="000000" w:themeColor="text1"/>
          <w:spacing w:val="0"/>
          <w:sz w:val="20"/>
          <w:szCs w:val="20"/>
        </w:rPr>
        <w:fldChar w:fldCharType="begin"/>
      </w:r>
      <w:r w:rsidRPr="00EF2F5B">
        <w:rPr>
          <w:b/>
          <w:bCs/>
          <w:color w:val="000000" w:themeColor="text1"/>
          <w:spacing w:val="0"/>
          <w:sz w:val="20"/>
          <w:szCs w:val="20"/>
        </w:rPr>
        <w:instrText xml:space="preserve"> SEQ Table \* ARABIC \s 1 </w:instrText>
      </w:r>
      <w:r w:rsidRPr="00EF2F5B">
        <w:rPr>
          <w:b/>
          <w:bCs/>
          <w:color w:val="000000" w:themeColor="text1"/>
          <w:spacing w:val="0"/>
          <w:sz w:val="20"/>
          <w:szCs w:val="20"/>
        </w:rPr>
        <w:fldChar w:fldCharType="separate"/>
      </w:r>
      <w:r w:rsidRPr="00EF2F5B">
        <w:rPr>
          <w:b/>
          <w:bCs/>
          <w:color w:val="000000" w:themeColor="text1"/>
          <w:spacing w:val="0"/>
          <w:sz w:val="20"/>
          <w:szCs w:val="20"/>
        </w:rPr>
        <w:t>4</w:t>
      </w:r>
      <w:r w:rsidRPr="00EF2F5B">
        <w:rPr>
          <w:b/>
          <w:bCs/>
          <w:color w:val="000000" w:themeColor="text1"/>
          <w:spacing w:val="0"/>
          <w:sz w:val="20"/>
          <w:szCs w:val="20"/>
        </w:rPr>
        <w:fldChar w:fldCharType="end"/>
      </w:r>
      <w:r w:rsidRPr="00EF2F5B">
        <w:rPr>
          <w:b/>
          <w:bCs/>
          <w:color w:val="000000" w:themeColor="text1"/>
          <w:spacing w:val="0"/>
          <w:sz w:val="20"/>
          <w:szCs w:val="20"/>
        </w:rPr>
        <w:t xml:space="preserve">. The proposed maximum vertical illuminance on </w:t>
      </w:r>
      <w:r w:rsidR="0008305D" w:rsidRPr="00EF2F5B">
        <w:rPr>
          <w:b/>
          <w:bCs/>
          <w:color w:val="000000" w:themeColor="text1"/>
          <w:spacing w:val="0"/>
          <w:sz w:val="20"/>
          <w:szCs w:val="20"/>
        </w:rPr>
        <w:t xml:space="preserve">the </w:t>
      </w:r>
      <w:r w:rsidRPr="00EF2F5B">
        <w:rPr>
          <w:b/>
          <w:bCs/>
          <w:color w:val="000000" w:themeColor="text1"/>
          <w:spacing w:val="0"/>
          <w:sz w:val="20"/>
          <w:szCs w:val="20"/>
        </w:rPr>
        <w:t>ROW</w:t>
      </w:r>
      <w:bookmarkEnd w:id="10"/>
    </w:p>
    <w:p w14:paraId="34D7100E" w14:textId="7BDF084C" w:rsidR="00336F99" w:rsidRPr="00EF2F5B" w:rsidRDefault="00336F99" w:rsidP="004057F5">
      <w:pPr>
        <w:spacing w:after="0" w:line="240" w:lineRule="auto"/>
        <w:jc w:val="center"/>
        <w:rPr>
          <w:color w:val="000000" w:themeColor="text1"/>
          <w:spacing w:val="0"/>
          <w:sz w:val="20"/>
          <w:szCs w:val="20"/>
        </w:rPr>
      </w:pPr>
      <w:bookmarkStart w:id="11" w:name="_Hlk194772143"/>
      <w:r w:rsidRPr="00EF2F5B">
        <w:rPr>
          <w:color w:val="000000" w:themeColor="text1"/>
          <w:spacing w:val="0"/>
          <w:sz w:val="20"/>
          <w:szCs w:val="20"/>
        </w:rPr>
        <w:t xml:space="preserve">Source: Compiled by the author </w:t>
      </w:r>
      <w:r w:rsidR="0008305D" w:rsidRPr="00EF2F5B">
        <w:rPr>
          <w:color w:val="000000" w:themeColor="text1"/>
          <w:spacing w:val="0"/>
          <w:sz w:val="20"/>
          <w:szCs w:val="20"/>
        </w:rPr>
        <w:t xml:space="preserve">(ANSI/IES RP-8, 2025). </w:t>
      </w:r>
    </w:p>
    <w:p w14:paraId="266596E6" w14:textId="77777777" w:rsidR="004057F5" w:rsidRPr="00EF2F5B" w:rsidRDefault="004057F5" w:rsidP="004057F5">
      <w:pPr>
        <w:spacing w:after="0" w:line="240" w:lineRule="auto"/>
        <w:jc w:val="center"/>
        <w:rPr>
          <w:color w:val="000000" w:themeColor="text1"/>
          <w:spacing w:val="0"/>
          <w:sz w:val="20"/>
          <w:szCs w:val="20"/>
        </w:rPr>
      </w:pPr>
    </w:p>
    <w:tbl>
      <w:tblPr>
        <w:tblpPr w:leftFromText="180" w:rightFromText="180" w:vertAnchor="text" w:tblpXSpec="center" w:tblpY="1"/>
        <w:tblOverlap w:val="never"/>
        <w:tblW w:w="8642" w:type="dxa"/>
        <w:tblLayout w:type="fixed"/>
        <w:tblCellMar>
          <w:left w:w="70" w:type="dxa"/>
          <w:right w:w="70" w:type="dxa"/>
        </w:tblCellMar>
        <w:tblLook w:val="0000" w:firstRow="0" w:lastRow="0" w:firstColumn="0" w:lastColumn="0" w:noHBand="0" w:noVBand="0"/>
      </w:tblPr>
      <w:tblGrid>
        <w:gridCol w:w="2411"/>
        <w:gridCol w:w="1701"/>
        <w:gridCol w:w="845"/>
        <w:gridCol w:w="714"/>
        <w:gridCol w:w="850"/>
        <w:gridCol w:w="993"/>
        <w:gridCol w:w="1128"/>
      </w:tblGrid>
      <w:tr w:rsidR="00EF2F5B" w:rsidRPr="00EF2F5B" w14:paraId="223D6468" w14:textId="77777777" w:rsidTr="006617F6">
        <w:tc>
          <w:tcPr>
            <w:tcW w:w="2411" w:type="dxa"/>
            <w:vMerge w:val="restart"/>
            <w:tcBorders>
              <w:top w:val="single" w:sz="4" w:space="0" w:color="auto"/>
              <w:left w:val="single" w:sz="4" w:space="0" w:color="auto"/>
              <w:bottom w:val="single" w:sz="4" w:space="0" w:color="auto"/>
              <w:right w:val="single" w:sz="4" w:space="0" w:color="auto"/>
            </w:tcBorders>
            <w:vAlign w:val="center"/>
          </w:tcPr>
          <w:p w14:paraId="398FB1F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cs/>
                <w14:ligatures w14:val="none"/>
              </w:rPr>
            </w:pPr>
            <w:r w:rsidRPr="00EF2F5B">
              <w:rPr>
                <w:rFonts w:eastAsia="Times New Roman"/>
                <w:color w:val="000000" w:themeColor="text1"/>
                <w:spacing w:val="0"/>
                <w:kern w:val="0"/>
                <w:sz w:val="20"/>
                <w:szCs w:val="20"/>
                <w14:ligatures w14:val="none"/>
              </w:rPr>
              <w:t>OL Technical Parameter</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8AC2CFF"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Application Conditions</w:t>
            </w:r>
          </w:p>
        </w:tc>
        <w:tc>
          <w:tcPr>
            <w:tcW w:w="4530" w:type="dxa"/>
            <w:gridSpan w:val="5"/>
            <w:tcBorders>
              <w:top w:val="single" w:sz="4" w:space="0" w:color="auto"/>
              <w:left w:val="single" w:sz="4" w:space="0" w:color="auto"/>
              <w:bottom w:val="single" w:sz="4" w:space="0" w:color="auto"/>
              <w:right w:val="single" w:sz="4" w:space="0" w:color="auto"/>
            </w:tcBorders>
            <w:vAlign w:val="center"/>
          </w:tcPr>
          <w:p w14:paraId="604716A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b/>
                <w:bCs/>
                <w:color w:val="000000" w:themeColor="text1"/>
                <w:spacing w:val="0"/>
                <w:kern w:val="0"/>
                <w:sz w:val="20"/>
                <w:szCs w:val="20"/>
                <w14:ligatures w14:val="none"/>
              </w:rPr>
              <w:t>Environmental</w:t>
            </w:r>
            <w:r w:rsidRPr="00EF2F5B">
              <w:rPr>
                <w:rFonts w:eastAsia="Times New Roman"/>
                <w:color w:val="000000" w:themeColor="text1"/>
                <w:spacing w:val="0"/>
                <w:kern w:val="0"/>
                <w:sz w:val="20"/>
                <w:szCs w:val="20"/>
                <w14:ligatures w14:val="none"/>
              </w:rPr>
              <w:t xml:space="preserve"> </w:t>
            </w:r>
            <w:r w:rsidRPr="00EF2F5B">
              <w:rPr>
                <w:rFonts w:eastAsia="Times New Roman"/>
                <w:b/>
                <w:bCs/>
                <w:color w:val="000000" w:themeColor="text1"/>
                <w:spacing w:val="0"/>
                <w:kern w:val="0"/>
                <w:sz w:val="20"/>
                <w:szCs w:val="20"/>
                <w14:ligatures w14:val="none"/>
              </w:rPr>
              <w:t>Zones</w:t>
            </w:r>
          </w:p>
        </w:tc>
      </w:tr>
      <w:tr w:rsidR="00EF2F5B" w:rsidRPr="00EF2F5B" w14:paraId="306F3F3F" w14:textId="77777777" w:rsidTr="006617F6">
        <w:trPr>
          <w:trHeight w:val="284"/>
        </w:trPr>
        <w:tc>
          <w:tcPr>
            <w:tcW w:w="2411" w:type="dxa"/>
            <w:vMerge/>
            <w:tcBorders>
              <w:top w:val="single" w:sz="4" w:space="0" w:color="auto"/>
              <w:left w:val="single" w:sz="4" w:space="0" w:color="auto"/>
              <w:bottom w:val="single" w:sz="4" w:space="0" w:color="auto"/>
              <w:right w:val="single" w:sz="4" w:space="0" w:color="auto"/>
            </w:tcBorders>
            <w:vAlign w:val="center"/>
          </w:tcPr>
          <w:p w14:paraId="2841ABCB"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A68658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p>
        </w:tc>
        <w:tc>
          <w:tcPr>
            <w:tcW w:w="845" w:type="dxa"/>
            <w:tcBorders>
              <w:top w:val="single" w:sz="4" w:space="0" w:color="auto"/>
              <w:left w:val="single" w:sz="4" w:space="0" w:color="auto"/>
              <w:bottom w:val="single" w:sz="4" w:space="0" w:color="auto"/>
              <w:right w:val="single" w:sz="4" w:space="0" w:color="auto"/>
            </w:tcBorders>
            <w:vAlign w:val="center"/>
          </w:tcPr>
          <w:p w14:paraId="120CFE7C"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E0</w:t>
            </w:r>
          </w:p>
          <w:p w14:paraId="178BA54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714" w:type="dxa"/>
            <w:tcBorders>
              <w:top w:val="single" w:sz="4" w:space="0" w:color="auto"/>
              <w:left w:val="single" w:sz="4" w:space="0" w:color="auto"/>
              <w:bottom w:val="single" w:sz="4" w:space="0" w:color="auto"/>
              <w:right w:val="single" w:sz="4" w:space="0" w:color="auto"/>
            </w:tcBorders>
            <w:vAlign w:val="center"/>
          </w:tcPr>
          <w:p w14:paraId="63515509"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E1</w:t>
            </w:r>
          </w:p>
          <w:p w14:paraId="423820D9"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850" w:type="dxa"/>
            <w:tcBorders>
              <w:top w:val="single" w:sz="4" w:space="0" w:color="auto"/>
              <w:left w:val="single" w:sz="4" w:space="0" w:color="auto"/>
              <w:bottom w:val="single" w:sz="4" w:space="0" w:color="auto"/>
              <w:right w:val="single" w:sz="4" w:space="0" w:color="auto"/>
            </w:tcBorders>
            <w:vAlign w:val="center"/>
          </w:tcPr>
          <w:p w14:paraId="7E50F1DB"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E2</w:t>
            </w:r>
          </w:p>
          <w:p w14:paraId="025B5446"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993" w:type="dxa"/>
            <w:tcBorders>
              <w:top w:val="single" w:sz="4" w:space="0" w:color="auto"/>
              <w:left w:val="single" w:sz="4" w:space="0" w:color="auto"/>
              <w:bottom w:val="single" w:sz="4" w:space="0" w:color="auto"/>
              <w:right w:val="single" w:sz="4" w:space="0" w:color="auto"/>
            </w:tcBorders>
            <w:vAlign w:val="center"/>
          </w:tcPr>
          <w:p w14:paraId="04BCC2B2"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E3</w:t>
            </w:r>
          </w:p>
          <w:p w14:paraId="5885E229"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1128" w:type="dxa"/>
            <w:tcBorders>
              <w:top w:val="single" w:sz="4" w:space="0" w:color="auto"/>
              <w:left w:val="single" w:sz="4" w:space="0" w:color="auto"/>
              <w:bottom w:val="single" w:sz="4" w:space="0" w:color="auto"/>
              <w:right w:val="single" w:sz="4" w:space="0" w:color="auto"/>
            </w:tcBorders>
            <w:vAlign w:val="center"/>
          </w:tcPr>
          <w:p w14:paraId="234211E8"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E4</w:t>
            </w:r>
          </w:p>
          <w:p w14:paraId="38B5C5B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r>
      <w:tr w:rsidR="00EF2F5B" w:rsidRPr="00EF2F5B" w14:paraId="2086D27A" w14:textId="77777777" w:rsidTr="006617F6">
        <w:trPr>
          <w:trHeight w:val="241"/>
        </w:trPr>
        <w:tc>
          <w:tcPr>
            <w:tcW w:w="2411" w:type="dxa"/>
            <w:tcBorders>
              <w:top w:val="single" w:sz="4" w:space="0" w:color="auto"/>
              <w:left w:val="single" w:sz="4" w:space="0" w:color="auto"/>
              <w:bottom w:val="single" w:sz="4" w:space="0" w:color="auto"/>
              <w:right w:val="single" w:sz="4" w:space="0" w:color="auto"/>
            </w:tcBorders>
            <w:vAlign w:val="center"/>
          </w:tcPr>
          <w:p w14:paraId="36DA2316"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Illuminance in Vertical Plane (E</w:t>
            </w:r>
            <w:r w:rsidRPr="00EF2F5B">
              <w:rPr>
                <w:rFonts w:eastAsia="Times New Roman"/>
                <w:color w:val="000000" w:themeColor="text1"/>
                <w:spacing w:val="0"/>
                <w:kern w:val="0"/>
                <w:sz w:val="20"/>
                <w:szCs w:val="20"/>
                <w:vertAlign w:val="subscript"/>
                <w14:ligatures w14:val="none"/>
              </w:rPr>
              <w:t>v</w:t>
            </w:r>
            <w:r w:rsidRPr="00EF2F5B">
              <w:rPr>
                <w:rFonts w:eastAsia="Times New Roman"/>
                <w:color w:val="000000" w:themeColor="text1"/>
                <w:spacing w:val="0"/>
                <w:kern w:val="0"/>
                <w:sz w:val="20"/>
                <w:szCs w:val="20"/>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tcPr>
          <w:p w14:paraId="6980DC9B"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No curfew</w:t>
            </w:r>
          </w:p>
        </w:tc>
        <w:tc>
          <w:tcPr>
            <w:tcW w:w="845" w:type="dxa"/>
            <w:tcBorders>
              <w:top w:val="single" w:sz="4" w:space="0" w:color="auto"/>
              <w:left w:val="single" w:sz="4" w:space="0" w:color="auto"/>
              <w:bottom w:val="single" w:sz="4" w:space="0" w:color="auto"/>
              <w:right w:val="single" w:sz="4" w:space="0" w:color="auto"/>
            </w:tcBorders>
            <w:vAlign w:val="center"/>
          </w:tcPr>
          <w:p w14:paraId="0F9C0971"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0.5</w:t>
            </w:r>
          </w:p>
        </w:tc>
        <w:tc>
          <w:tcPr>
            <w:tcW w:w="714" w:type="dxa"/>
            <w:tcBorders>
              <w:top w:val="single" w:sz="4" w:space="0" w:color="auto"/>
              <w:left w:val="single" w:sz="4" w:space="0" w:color="auto"/>
              <w:bottom w:val="single" w:sz="4" w:space="0" w:color="auto"/>
              <w:right w:val="single" w:sz="4" w:space="0" w:color="auto"/>
            </w:tcBorders>
            <w:vAlign w:val="center"/>
          </w:tcPr>
          <w:p w14:paraId="7022F37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1</w:t>
            </w:r>
          </w:p>
        </w:tc>
        <w:tc>
          <w:tcPr>
            <w:tcW w:w="850" w:type="dxa"/>
            <w:tcBorders>
              <w:top w:val="single" w:sz="4" w:space="0" w:color="auto"/>
              <w:left w:val="single" w:sz="4" w:space="0" w:color="auto"/>
              <w:bottom w:val="single" w:sz="4" w:space="0" w:color="auto"/>
              <w:right w:val="single" w:sz="4" w:space="0" w:color="auto"/>
            </w:tcBorders>
            <w:vAlign w:val="center"/>
          </w:tcPr>
          <w:p w14:paraId="07E20328"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3</w:t>
            </w:r>
          </w:p>
        </w:tc>
        <w:tc>
          <w:tcPr>
            <w:tcW w:w="993" w:type="dxa"/>
            <w:tcBorders>
              <w:top w:val="single" w:sz="4" w:space="0" w:color="auto"/>
              <w:left w:val="single" w:sz="4" w:space="0" w:color="auto"/>
              <w:bottom w:val="single" w:sz="4" w:space="0" w:color="auto"/>
              <w:right w:val="single" w:sz="4" w:space="0" w:color="auto"/>
            </w:tcBorders>
            <w:vAlign w:val="center"/>
          </w:tcPr>
          <w:p w14:paraId="049FC59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8</w:t>
            </w:r>
          </w:p>
        </w:tc>
        <w:tc>
          <w:tcPr>
            <w:tcW w:w="1128" w:type="dxa"/>
            <w:tcBorders>
              <w:top w:val="single" w:sz="4" w:space="0" w:color="auto"/>
              <w:left w:val="single" w:sz="4" w:space="0" w:color="auto"/>
              <w:bottom w:val="single" w:sz="4" w:space="0" w:color="auto"/>
              <w:right w:val="single" w:sz="4" w:space="0" w:color="auto"/>
            </w:tcBorders>
            <w:vAlign w:val="center"/>
          </w:tcPr>
          <w:p w14:paraId="006AE95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15</w:t>
            </w:r>
          </w:p>
        </w:tc>
      </w:tr>
      <w:tr w:rsidR="00EF2F5B" w:rsidRPr="00EF2F5B" w14:paraId="51008FDC" w14:textId="77777777" w:rsidTr="006617F6">
        <w:trPr>
          <w:trHeight w:val="241"/>
        </w:trPr>
        <w:tc>
          <w:tcPr>
            <w:tcW w:w="8642" w:type="dxa"/>
            <w:gridSpan w:val="7"/>
            <w:tcBorders>
              <w:top w:val="single" w:sz="4" w:space="0" w:color="auto"/>
              <w:left w:val="single" w:sz="4" w:space="0" w:color="auto"/>
              <w:bottom w:val="single" w:sz="4" w:space="0" w:color="auto"/>
              <w:right w:val="single" w:sz="4" w:space="0" w:color="auto"/>
            </w:tcBorders>
            <w:vAlign w:val="center"/>
          </w:tcPr>
          <w:p w14:paraId="6F454F50" w14:textId="77777777" w:rsidR="00336F99" w:rsidRPr="00EF2F5B" w:rsidRDefault="00336F99" w:rsidP="00F0093D">
            <w:pPr>
              <w:overflowPunct w:val="0"/>
              <w:autoSpaceDE w:val="0"/>
              <w:autoSpaceDN w:val="0"/>
              <w:adjustRightInd w:val="0"/>
              <w:spacing w:after="0" w:line="240" w:lineRule="auto"/>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Note: Maximum allowable light level anywhere along the vertical surface of the RPL.</w:t>
            </w:r>
          </w:p>
        </w:tc>
      </w:tr>
    </w:tbl>
    <w:p w14:paraId="1D9BBA6C" w14:textId="77777777" w:rsidR="00336F99" w:rsidRPr="00EF2F5B" w:rsidRDefault="00336F99" w:rsidP="00F0093D">
      <w:pPr>
        <w:spacing w:after="0" w:line="240" w:lineRule="auto"/>
        <w:jc w:val="both"/>
        <w:rPr>
          <w:color w:val="000000" w:themeColor="text1"/>
          <w:spacing w:val="0"/>
          <w:kern w:val="0"/>
          <w:lang w:val="en-GB"/>
          <w14:ligatures w14:val="none"/>
        </w:rPr>
      </w:pPr>
    </w:p>
    <w:bookmarkEnd w:id="11"/>
    <w:p w14:paraId="7A4B905B" w14:textId="7F830454" w:rsidR="00336F99" w:rsidRPr="00EF2F5B" w:rsidRDefault="00A61DD9" w:rsidP="004057F5">
      <w:pPr>
        <w:rPr>
          <w:rFonts w:ascii="Times New Roman Bold" w:hAnsi="Times New Roman Bold"/>
          <w:b/>
          <w:bCs/>
          <w:color w:val="000000" w:themeColor="text1"/>
          <w:spacing w:val="0"/>
          <w:lang w:val="fr-FR"/>
        </w:rPr>
      </w:pPr>
      <w:r w:rsidRPr="00EF2F5B">
        <w:rPr>
          <w:rFonts w:ascii="Times New Roman Bold" w:hAnsi="Times New Roman Bold"/>
          <w:b/>
          <w:bCs/>
          <w:color w:val="000000" w:themeColor="text1"/>
          <w:spacing w:val="0"/>
          <w:lang w:val="fr-FR"/>
        </w:rPr>
        <w:t xml:space="preserve">International Commission on Illumination (CIE-150, 2017) </w:t>
      </w:r>
    </w:p>
    <w:p w14:paraId="3FEDEC11" w14:textId="1B3800F9" w:rsidR="00336F99" w:rsidRPr="00EF2F5B" w:rsidRDefault="00336F99" w:rsidP="00F0093D">
      <w:pPr>
        <w:spacing w:after="0" w:line="240" w:lineRule="auto"/>
        <w:rPr>
          <w:color w:val="000000" w:themeColor="text1"/>
          <w:spacing w:val="0"/>
        </w:rPr>
      </w:pPr>
      <w:r w:rsidRPr="00EF2F5B">
        <w:rPr>
          <w:color w:val="000000" w:themeColor="text1"/>
          <w:spacing w:val="0"/>
        </w:rPr>
        <w:t xml:space="preserve">The CIE has introduced OL zones in a latest publication titled “Guide on the Limitation of the Effects of Obtrusive Light from OL Installations, 2nd Edition” (CIE-150, 2017). </w:t>
      </w:r>
      <w:r w:rsidRPr="00EF2F5B">
        <w:rPr>
          <w:color w:val="000000" w:themeColor="text1"/>
          <w:spacing w:val="0"/>
        </w:rPr>
        <w:fldChar w:fldCharType="begin"/>
      </w:r>
      <w:r w:rsidRPr="00EF2F5B">
        <w:rPr>
          <w:color w:val="000000" w:themeColor="text1"/>
          <w:spacing w:val="0"/>
        </w:rPr>
        <w:instrText xml:space="preserve"> REF _Ref123331597 \h </w:instrText>
      </w:r>
      <w:r w:rsidR="00E2784B" w:rsidRPr="00EF2F5B">
        <w:rPr>
          <w:color w:val="000000" w:themeColor="text1"/>
          <w:spacing w:val="0"/>
        </w:rPr>
        <w:instrText xml:space="preserve"> \* MERGEFORMAT </w:instrText>
      </w:r>
      <w:r w:rsidRPr="00EF2F5B">
        <w:rPr>
          <w:color w:val="000000" w:themeColor="text1"/>
          <w:spacing w:val="0"/>
        </w:rPr>
      </w:r>
      <w:r w:rsidRPr="00EF2F5B">
        <w:rPr>
          <w:color w:val="000000" w:themeColor="text1"/>
          <w:spacing w:val="0"/>
        </w:rPr>
        <w:fldChar w:fldCharType="separate"/>
      </w:r>
      <w:r w:rsidRPr="00EF2F5B">
        <w:rPr>
          <w:color w:val="000000" w:themeColor="text1"/>
          <w:spacing w:val="0"/>
        </w:rPr>
        <w:t>Table 5</w:t>
      </w:r>
      <w:r w:rsidRPr="00EF2F5B">
        <w:rPr>
          <w:color w:val="000000" w:themeColor="text1"/>
          <w:spacing w:val="0"/>
        </w:rPr>
        <w:fldChar w:fldCharType="end"/>
      </w:r>
      <w:r w:rsidRPr="00EF2F5B">
        <w:rPr>
          <w:color w:val="000000" w:themeColor="text1"/>
          <w:spacing w:val="0"/>
        </w:rPr>
        <w:t xml:space="preserve"> below indicates the proposed OL zones and provides brief descriptions.</w:t>
      </w:r>
    </w:p>
    <w:p w14:paraId="0C3BD313" w14:textId="77777777" w:rsidR="004057F5" w:rsidRPr="00EF2F5B" w:rsidRDefault="004057F5" w:rsidP="00F0093D">
      <w:pPr>
        <w:spacing w:after="0" w:line="240" w:lineRule="auto"/>
        <w:rPr>
          <w:color w:val="000000" w:themeColor="text1"/>
          <w:spacing w:val="0"/>
        </w:rPr>
      </w:pPr>
    </w:p>
    <w:p w14:paraId="25862F81" w14:textId="529CE64E" w:rsidR="00336F99" w:rsidRPr="00EF2F5B" w:rsidRDefault="00336F99" w:rsidP="00F0093D">
      <w:pPr>
        <w:spacing w:after="0" w:line="240" w:lineRule="auto"/>
        <w:jc w:val="center"/>
        <w:rPr>
          <w:rFonts w:ascii="Times New Roman Bold" w:hAnsi="Times New Roman Bold"/>
          <w:color w:val="000000" w:themeColor="text1"/>
          <w:spacing w:val="0"/>
          <w:kern w:val="0"/>
          <w:sz w:val="20"/>
          <w:szCs w:val="20"/>
          <w:lang w:eastAsia="en-CA"/>
          <w14:ligatures w14:val="none"/>
        </w:rPr>
      </w:pPr>
      <w:bookmarkStart w:id="12" w:name="_Ref123331597"/>
      <w:bookmarkStart w:id="13" w:name="_Toc109780801"/>
      <w:bookmarkStart w:id="14" w:name="_Toc205658515"/>
      <w:r w:rsidRPr="00EF2F5B">
        <w:rPr>
          <w:rFonts w:ascii="Times New Roman Bold" w:hAnsi="Times New Roman Bold"/>
          <w:snapToGrid/>
          <w:color w:val="000000" w:themeColor="text1"/>
          <w:spacing w:val="0"/>
          <w:kern w:val="0"/>
          <w:sz w:val="20"/>
          <w:szCs w:val="20"/>
          <w:lang w:val="en-CA" w:eastAsia="en-CA" w:bidi="ar-SA"/>
          <w14:ligatures w14:val="none"/>
        </w:rPr>
        <w:t xml:space="preserve">Table </w:t>
      </w:r>
      <w:r w:rsidRPr="00EF2F5B">
        <w:rPr>
          <w:rFonts w:ascii="Times New Roman Bold" w:hAnsi="Times New Roman Bold"/>
          <w:snapToGrid/>
          <w:color w:val="000000" w:themeColor="text1"/>
          <w:spacing w:val="0"/>
          <w:kern w:val="0"/>
          <w:sz w:val="20"/>
          <w:szCs w:val="20"/>
          <w:lang w:val="en-CA" w:eastAsia="en-CA" w:bidi="ar-SA"/>
          <w14:ligatures w14:val="none"/>
        </w:rPr>
        <w:fldChar w:fldCharType="begin"/>
      </w:r>
      <w:r w:rsidRPr="00EF2F5B">
        <w:rPr>
          <w:rFonts w:ascii="Times New Roman Bold" w:hAnsi="Times New Roman Bold"/>
          <w:snapToGrid/>
          <w:color w:val="000000" w:themeColor="text1"/>
          <w:spacing w:val="0"/>
          <w:kern w:val="0"/>
          <w:sz w:val="20"/>
          <w:szCs w:val="20"/>
          <w:lang w:val="en-CA" w:eastAsia="en-CA" w:bidi="ar-SA"/>
          <w14:ligatures w14:val="none"/>
        </w:rPr>
        <w:instrText xml:space="preserve"> SEQ Table \* ARABIC \s 1 </w:instrText>
      </w:r>
      <w:r w:rsidRPr="00EF2F5B">
        <w:rPr>
          <w:rFonts w:ascii="Times New Roman Bold" w:hAnsi="Times New Roman Bold"/>
          <w:snapToGrid/>
          <w:color w:val="000000" w:themeColor="text1"/>
          <w:spacing w:val="0"/>
          <w:kern w:val="0"/>
          <w:sz w:val="20"/>
          <w:szCs w:val="20"/>
          <w:lang w:val="en-CA" w:eastAsia="en-CA" w:bidi="ar-SA"/>
          <w14:ligatures w14:val="none"/>
        </w:rPr>
        <w:fldChar w:fldCharType="separate"/>
      </w:r>
      <w:r w:rsidRPr="00EF2F5B">
        <w:rPr>
          <w:rFonts w:ascii="Times New Roman Bold" w:hAnsi="Times New Roman Bold"/>
          <w:noProof/>
          <w:snapToGrid/>
          <w:color w:val="000000" w:themeColor="text1"/>
          <w:spacing w:val="0"/>
          <w:kern w:val="0"/>
          <w:sz w:val="20"/>
          <w:szCs w:val="20"/>
          <w:lang w:val="en-CA" w:eastAsia="en-CA" w:bidi="ar-SA"/>
          <w14:ligatures w14:val="none"/>
        </w:rPr>
        <w:t>5</w:t>
      </w:r>
      <w:r w:rsidRPr="00EF2F5B">
        <w:rPr>
          <w:rFonts w:ascii="Times New Roman Bold" w:hAnsi="Times New Roman Bold"/>
          <w:noProof/>
          <w:snapToGrid/>
          <w:color w:val="000000" w:themeColor="text1"/>
          <w:spacing w:val="0"/>
          <w:kern w:val="0"/>
          <w:sz w:val="20"/>
          <w:szCs w:val="20"/>
          <w:lang w:val="en-CA" w:eastAsia="en-CA" w:bidi="ar-SA"/>
          <w14:ligatures w14:val="none"/>
        </w:rPr>
        <w:fldChar w:fldCharType="end"/>
      </w:r>
      <w:bookmarkEnd w:id="12"/>
      <w:r w:rsidRPr="00EF2F5B">
        <w:rPr>
          <w:rFonts w:ascii="Times New Roman Bold" w:hAnsi="Times New Roman Bold"/>
          <w:color w:val="000000" w:themeColor="text1"/>
          <w:spacing w:val="0"/>
          <w:kern w:val="0"/>
          <w:sz w:val="20"/>
          <w:szCs w:val="20"/>
          <w:lang w:eastAsia="en-CA" w:bidi="ar-SA"/>
          <w14:ligatures w14:val="none"/>
        </w:rPr>
        <w:t xml:space="preserve"> </w:t>
      </w:r>
      <w:r w:rsidRPr="00EF2F5B">
        <w:rPr>
          <w:rFonts w:ascii="Times New Roman Bold" w:hAnsi="Times New Roman Bold"/>
          <w:color w:val="000000" w:themeColor="text1"/>
          <w:spacing w:val="0"/>
          <w:kern w:val="0"/>
          <w:sz w:val="20"/>
          <w:szCs w:val="20"/>
          <w:lang w:eastAsia="en-CA"/>
          <w14:ligatures w14:val="none"/>
        </w:rPr>
        <w:t>Environmental OL Zones by CIE</w:t>
      </w:r>
      <w:bookmarkEnd w:id="13"/>
      <w:bookmarkEnd w:id="14"/>
    </w:p>
    <w:p w14:paraId="27D92DD9" w14:textId="77777777" w:rsidR="00336F99" w:rsidRPr="00EF2F5B" w:rsidRDefault="00336F99" w:rsidP="00F0093D">
      <w:pPr>
        <w:spacing w:after="0" w:line="240" w:lineRule="auto"/>
        <w:jc w:val="center"/>
        <w:rPr>
          <w:rFonts w:eastAsia="Times New Roman"/>
          <w:color w:val="000000" w:themeColor="text1"/>
          <w:spacing w:val="0"/>
          <w:kern w:val="0"/>
          <w:sz w:val="16"/>
          <w:szCs w:val="16"/>
          <w:lang w:val="en-GB" w:eastAsia="en-GB"/>
          <w14:ligatures w14:val="none"/>
        </w:rPr>
      </w:pPr>
      <w:r w:rsidRPr="00EF2F5B">
        <w:rPr>
          <w:rFonts w:eastAsia="Times New Roman"/>
          <w:color w:val="000000" w:themeColor="text1"/>
          <w:spacing w:val="0"/>
          <w:kern w:val="0"/>
          <w:sz w:val="16"/>
          <w:szCs w:val="16"/>
          <w:lang w:val="en-GB" w:eastAsia="en-GB"/>
          <w14:ligatures w14:val="none"/>
        </w:rPr>
        <w:t>Source: Compiled by the author (CIE-150, 2017)</w:t>
      </w:r>
    </w:p>
    <w:p w14:paraId="724B9645" w14:textId="77777777" w:rsidR="004057F5" w:rsidRPr="00EF2F5B" w:rsidRDefault="004057F5" w:rsidP="00F0093D">
      <w:pPr>
        <w:spacing w:after="0" w:line="240" w:lineRule="auto"/>
        <w:jc w:val="center"/>
        <w:rPr>
          <w:rFonts w:eastAsia="Times New Roman"/>
          <w:color w:val="000000" w:themeColor="text1"/>
          <w:spacing w:val="0"/>
          <w:kern w:val="0"/>
          <w:sz w:val="16"/>
          <w:szCs w:val="16"/>
          <w:lang w:val="en-GB" w:eastAsia="en-GB"/>
          <w14:ligatures w14:val="none"/>
        </w:rPr>
      </w:pP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7"/>
        <w:gridCol w:w="1562"/>
        <w:gridCol w:w="1701"/>
        <w:gridCol w:w="3961"/>
      </w:tblGrid>
      <w:tr w:rsidR="00EF2F5B" w:rsidRPr="00EF2F5B" w14:paraId="383AB670" w14:textId="77777777" w:rsidTr="006617F6">
        <w:trPr>
          <w:jc w:val="center"/>
        </w:trPr>
        <w:tc>
          <w:tcPr>
            <w:tcW w:w="1277" w:type="dxa"/>
            <w:vAlign w:val="center"/>
          </w:tcPr>
          <w:p w14:paraId="51C0AA5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cs/>
                <w14:ligatures w14:val="none"/>
              </w:rPr>
            </w:pPr>
            <w:r w:rsidRPr="00EF2F5B">
              <w:rPr>
                <w:rFonts w:eastAsia="Times New Roman"/>
                <w:color w:val="000000" w:themeColor="text1"/>
                <w:spacing w:val="0"/>
                <w:kern w:val="0"/>
                <w:sz w:val="20"/>
                <w:szCs w:val="20"/>
                <w:cs/>
                <w14:ligatures w14:val="none"/>
              </w:rPr>
              <w:t>No.</w:t>
            </w:r>
          </w:p>
        </w:tc>
        <w:tc>
          <w:tcPr>
            <w:tcW w:w="1562" w:type="dxa"/>
          </w:tcPr>
          <w:p w14:paraId="67536A2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OL Zones</w:t>
            </w:r>
          </w:p>
        </w:tc>
        <w:tc>
          <w:tcPr>
            <w:tcW w:w="1701" w:type="dxa"/>
          </w:tcPr>
          <w:p w14:paraId="061D1E63"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OL Environment</w:t>
            </w:r>
          </w:p>
        </w:tc>
        <w:tc>
          <w:tcPr>
            <w:tcW w:w="3961" w:type="dxa"/>
          </w:tcPr>
          <w:p w14:paraId="26236DD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Examples</w:t>
            </w:r>
          </w:p>
        </w:tc>
      </w:tr>
      <w:tr w:rsidR="00EF2F5B" w:rsidRPr="00EF2F5B" w14:paraId="08D5F70A" w14:textId="77777777" w:rsidTr="006617F6">
        <w:trPr>
          <w:trHeight w:val="284"/>
          <w:jc w:val="center"/>
        </w:trPr>
        <w:tc>
          <w:tcPr>
            <w:tcW w:w="1277" w:type="dxa"/>
            <w:vAlign w:val="center"/>
          </w:tcPr>
          <w:p w14:paraId="3F75C9E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cs/>
                <w14:ligatures w14:val="none"/>
              </w:rPr>
            </w:pPr>
            <w:r w:rsidRPr="00EF2F5B">
              <w:rPr>
                <w:rFonts w:eastAsia="Times New Roman"/>
                <w:color w:val="000000" w:themeColor="text1"/>
                <w:spacing w:val="0"/>
                <w:kern w:val="0"/>
                <w:sz w:val="20"/>
                <w:szCs w:val="20"/>
                <w14:ligatures w14:val="none"/>
              </w:rPr>
              <w:t>2.5a</w:t>
            </w:r>
          </w:p>
        </w:tc>
        <w:tc>
          <w:tcPr>
            <w:tcW w:w="1562" w:type="dxa"/>
            <w:vAlign w:val="center"/>
          </w:tcPr>
          <w:p w14:paraId="24CF1C8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E0</w:t>
            </w:r>
          </w:p>
        </w:tc>
        <w:tc>
          <w:tcPr>
            <w:tcW w:w="1701" w:type="dxa"/>
            <w:vAlign w:val="center"/>
          </w:tcPr>
          <w:p w14:paraId="3887163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“Intrinsically dark”</w:t>
            </w:r>
          </w:p>
        </w:tc>
        <w:tc>
          <w:tcPr>
            <w:tcW w:w="3961" w:type="dxa"/>
          </w:tcPr>
          <w:p w14:paraId="316B9F9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“IDA-designated Dark Sky Parks, UNESCO Starlight Reserves, and major optical observatories” (CIE-150, 2017).</w:t>
            </w:r>
          </w:p>
        </w:tc>
      </w:tr>
      <w:tr w:rsidR="00EF2F5B" w:rsidRPr="00EF2F5B" w14:paraId="514D5605" w14:textId="77777777" w:rsidTr="006617F6">
        <w:trPr>
          <w:trHeight w:val="284"/>
          <w:jc w:val="center"/>
        </w:trPr>
        <w:tc>
          <w:tcPr>
            <w:tcW w:w="1277" w:type="dxa"/>
            <w:vAlign w:val="center"/>
          </w:tcPr>
          <w:p w14:paraId="1373014B"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2.5b</w:t>
            </w:r>
          </w:p>
        </w:tc>
        <w:tc>
          <w:tcPr>
            <w:tcW w:w="1562" w:type="dxa"/>
            <w:vAlign w:val="center"/>
          </w:tcPr>
          <w:p w14:paraId="3E0558B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E1</w:t>
            </w:r>
          </w:p>
        </w:tc>
        <w:tc>
          <w:tcPr>
            <w:tcW w:w="1701" w:type="dxa"/>
            <w:vAlign w:val="center"/>
          </w:tcPr>
          <w:p w14:paraId="6E2A10D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Dark</w:t>
            </w:r>
          </w:p>
        </w:tc>
        <w:tc>
          <w:tcPr>
            <w:tcW w:w="3961" w:type="dxa"/>
          </w:tcPr>
          <w:p w14:paraId="5ED5F60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“Relatively uninhabited rural areas” (CIE-150, 2017).</w:t>
            </w:r>
          </w:p>
        </w:tc>
      </w:tr>
      <w:tr w:rsidR="00EF2F5B" w:rsidRPr="00EF2F5B" w14:paraId="529DB20D" w14:textId="77777777" w:rsidTr="006617F6">
        <w:trPr>
          <w:trHeight w:val="284"/>
          <w:jc w:val="center"/>
        </w:trPr>
        <w:tc>
          <w:tcPr>
            <w:tcW w:w="1277" w:type="dxa"/>
            <w:vAlign w:val="center"/>
          </w:tcPr>
          <w:p w14:paraId="1EE9DCF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2.5c</w:t>
            </w:r>
          </w:p>
        </w:tc>
        <w:tc>
          <w:tcPr>
            <w:tcW w:w="1562" w:type="dxa"/>
            <w:vAlign w:val="center"/>
          </w:tcPr>
          <w:p w14:paraId="0CCF3086"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E2</w:t>
            </w:r>
          </w:p>
        </w:tc>
        <w:tc>
          <w:tcPr>
            <w:tcW w:w="1701" w:type="dxa"/>
            <w:vAlign w:val="center"/>
          </w:tcPr>
          <w:p w14:paraId="0385460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“Low</w:t>
            </w:r>
            <w:r w:rsidRPr="00EF2F5B">
              <w:rPr>
                <w:color w:val="000000" w:themeColor="text1"/>
                <w:spacing w:val="0"/>
                <w:kern w:val="0"/>
                <w:sz w:val="20"/>
                <w:szCs w:val="20"/>
                <w14:ligatures w14:val="none"/>
              </w:rPr>
              <w:t xml:space="preserve"> </w:t>
            </w:r>
            <w:r w:rsidRPr="00EF2F5B">
              <w:rPr>
                <w:rFonts w:eastAsia="Times New Roman"/>
                <w:color w:val="000000" w:themeColor="text1"/>
                <w:spacing w:val="0"/>
                <w:kern w:val="0"/>
                <w:sz w:val="20"/>
                <w:szCs w:val="20"/>
                <w14:ligatures w14:val="none"/>
              </w:rPr>
              <w:t>district brightness”</w:t>
            </w:r>
          </w:p>
        </w:tc>
        <w:tc>
          <w:tcPr>
            <w:tcW w:w="3961" w:type="dxa"/>
          </w:tcPr>
          <w:p w14:paraId="2ADBF048"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lang w:bidi="ar-SA"/>
                <w14:ligatures w14:val="none"/>
              </w:rPr>
              <w:t>“Sparsely inhabited rural areas” (CIE-150, 2017).</w:t>
            </w:r>
          </w:p>
        </w:tc>
      </w:tr>
      <w:tr w:rsidR="00EF2F5B" w:rsidRPr="00EF2F5B" w14:paraId="7A861775" w14:textId="77777777" w:rsidTr="006617F6">
        <w:trPr>
          <w:trHeight w:val="518"/>
          <w:jc w:val="center"/>
        </w:trPr>
        <w:tc>
          <w:tcPr>
            <w:tcW w:w="1277" w:type="dxa"/>
            <w:vAlign w:val="center"/>
          </w:tcPr>
          <w:p w14:paraId="06C489E6"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2.5d</w:t>
            </w:r>
          </w:p>
        </w:tc>
        <w:tc>
          <w:tcPr>
            <w:tcW w:w="1562" w:type="dxa"/>
            <w:vAlign w:val="center"/>
          </w:tcPr>
          <w:p w14:paraId="3CEAE29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E3</w:t>
            </w:r>
          </w:p>
        </w:tc>
        <w:tc>
          <w:tcPr>
            <w:tcW w:w="1701" w:type="dxa"/>
            <w:vAlign w:val="center"/>
          </w:tcPr>
          <w:p w14:paraId="1A04ABBB"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“Medium</w:t>
            </w:r>
            <w:r w:rsidRPr="00EF2F5B">
              <w:rPr>
                <w:color w:val="000000" w:themeColor="text1"/>
                <w:spacing w:val="0"/>
                <w:kern w:val="0"/>
                <w:sz w:val="20"/>
                <w:szCs w:val="20"/>
                <w14:ligatures w14:val="none"/>
              </w:rPr>
              <w:t xml:space="preserve"> </w:t>
            </w:r>
            <w:r w:rsidRPr="00EF2F5B">
              <w:rPr>
                <w:rFonts w:eastAsia="Times New Roman"/>
                <w:color w:val="000000" w:themeColor="text1"/>
                <w:spacing w:val="0"/>
                <w:kern w:val="0"/>
                <w:sz w:val="20"/>
                <w:szCs w:val="20"/>
                <w:lang w:bidi="ar-SA"/>
                <w14:ligatures w14:val="none"/>
              </w:rPr>
              <w:t>district brightness”</w:t>
            </w:r>
          </w:p>
        </w:tc>
        <w:tc>
          <w:tcPr>
            <w:tcW w:w="3961" w:type="dxa"/>
          </w:tcPr>
          <w:p w14:paraId="403CE0BA" w14:textId="232CE32B"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w:t>
            </w:r>
            <w:r w:rsidR="00BD7DA0" w:rsidRPr="00EF2F5B">
              <w:rPr>
                <w:rFonts w:eastAsia="Times New Roman"/>
                <w:color w:val="000000" w:themeColor="text1"/>
                <w:spacing w:val="0"/>
                <w:kern w:val="0"/>
                <w:sz w:val="20"/>
                <w:szCs w:val="20"/>
                <w:lang w:bidi="ar-SA"/>
                <w14:ligatures w14:val="none"/>
              </w:rPr>
              <w:t>Well-inhabited</w:t>
            </w:r>
            <w:r w:rsidRPr="00EF2F5B">
              <w:rPr>
                <w:rFonts w:eastAsia="Times New Roman"/>
                <w:color w:val="000000" w:themeColor="text1"/>
                <w:spacing w:val="0"/>
                <w:kern w:val="0"/>
                <w:sz w:val="20"/>
                <w:szCs w:val="20"/>
                <w:lang w:bidi="ar-SA"/>
                <w14:ligatures w14:val="none"/>
              </w:rPr>
              <w:t xml:space="preserve"> rural and urban settlements” (CIE-150, 2017).</w:t>
            </w:r>
          </w:p>
        </w:tc>
      </w:tr>
      <w:tr w:rsidR="00336F99" w:rsidRPr="00EF2F5B" w14:paraId="5A25CBA5" w14:textId="77777777" w:rsidTr="006617F6">
        <w:trPr>
          <w:trHeight w:val="284"/>
          <w:jc w:val="center"/>
        </w:trPr>
        <w:tc>
          <w:tcPr>
            <w:tcW w:w="1277" w:type="dxa"/>
            <w:vAlign w:val="center"/>
          </w:tcPr>
          <w:p w14:paraId="053EE62F"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2.5e</w:t>
            </w:r>
          </w:p>
        </w:tc>
        <w:tc>
          <w:tcPr>
            <w:tcW w:w="1562" w:type="dxa"/>
            <w:vAlign w:val="center"/>
          </w:tcPr>
          <w:p w14:paraId="59114428"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E4</w:t>
            </w:r>
          </w:p>
        </w:tc>
        <w:tc>
          <w:tcPr>
            <w:tcW w:w="1701" w:type="dxa"/>
            <w:vAlign w:val="center"/>
          </w:tcPr>
          <w:p w14:paraId="06709D62"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“High district brightness”</w:t>
            </w:r>
          </w:p>
        </w:tc>
        <w:tc>
          <w:tcPr>
            <w:tcW w:w="3961" w:type="dxa"/>
          </w:tcPr>
          <w:p w14:paraId="29526CD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“Town and city centres and other commercial areas” (CIE-150, 2017).</w:t>
            </w:r>
          </w:p>
        </w:tc>
      </w:tr>
    </w:tbl>
    <w:p w14:paraId="77024F7B" w14:textId="77777777" w:rsidR="00336F99" w:rsidRPr="00EF2F5B" w:rsidRDefault="00336F99" w:rsidP="00F0093D">
      <w:pPr>
        <w:spacing w:after="0" w:line="240" w:lineRule="auto"/>
        <w:jc w:val="both"/>
        <w:rPr>
          <w:rFonts w:eastAsia="Times New Roman"/>
          <w:b/>
          <w:color w:val="000000" w:themeColor="text1"/>
          <w:spacing w:val="0"/>
          <w:kern w:val="0"/>
          <w:lang w:val="en-CA" w:eastAsia="en-CA" w:bidi="ar-SA"/>
          <w14:ligatures w14:val="none"/>
        </w:rPr>
      </w:pPr>
      <w:bookmarkStart w:id="15" w:name="_7.2_PRELIMINARY_DESIGN"/>
      <w:bookmarkEnd w:id="15"/>
    </w:p>
    <w:p w14:paraId="2EB01A05" w14:textId="5D6130A9" w:rsidR="00336F99" w:rsidRPr="00EF2F5B" w:rsidRDefault="00336F99" w:rsidP="004057F5">
      <w:pPr>
        <w:spacing w:after="0" w:line="240" w:lineRule="auto"/>
        <w:jc w:val="both"/>
        <w:rPr>
          <w:color w:val="000000" w:themeColor="text1"/>
          <w:spacing w:val="0"/>
        </w:rPr>
      </w:pPr>
      <w:r w:rsidRPr="00EF2F5B">
        <w:rPr>
          <w:color w:val="000000" w:themeColor="text1"/>
          <w:spacing w:val="0"/>
        </w:rPr>
        <w:t xml:space="preserve">The recommended maximum OL level value for the OTL limit is applies to nearby dwellings, specifically their relevant surfaces, especially where windows are (CIE-150, 2017).  OTL </w:t>
      </w:r>
      <w:r w:rsidRPr="00EF2F5B">
        <w:rPr>
          <w:color w:val="000000" w:themeColor="text1"/>
          <w:spacing w:val="0"/>
        </w:rPr>
        <w:lastRenderedPageBreak/>
        <w:t xml:space="preserve">restrictions apply to adjacent existing or future dwellings, with specific focus on the impacted surfaces of those properties. The values consider the summary of all the OL installations (CIE-150, 2017).  </w:t>
      </w:r>
      <w:r w:rsidRPr="00EF2F5B">
        <w:rPr>
          <w:color w:val="000000" w:themeColor="text1"/>
          <w:spacing w:val="0"/>
        </w:rPr>
        <w:fldChar w:fldCharType="begin"/>
      </w:r>
      <w:r w:rsidRPr="00EF2F5B">
        <w:rPr>
          <w:color w:val="000000" w:themeColor="text1"/>
          <w:spacing w:val="0"/>
        </w:rPr>
        <w:instrText xml:space="preserve"> REF _Ref123331609 \h </w:instrText>
      </w:r>
      <w:r w:rsidR="00E2784B" w:rsidRPr="00EF2F5B">
        <w:rPr>
          <w:color w:val="000000" w:themeColor="text1"/>
          <w:spacing w:val="0"/>
        </w:rPr>
        <w:instrText xml:space="preserve"> \* MERGEFORMAT </w:instrText>
      </w:r>
      <w:r w:rsidRPr="00EF2F5B">
        <w:rPr>
          <w:color w:val="000000" w:themeColor="text1"/>
          <w:spacing w:val="0"/>
        </w:rPr>
      </w:r>
      <w:r w:rsidRPr="00EF2F5B">
        <w:rPr>
          <w:color w:val="000000" w:themeColor="text1"/>
          <w:spacing w:val="0"/>
        </w:rPr>
        <w:fldChar w:fldCharType="separate"/>
      </w:r>
      <w:r w:rsidRPr="00EF2F5B">
        <w:rPr>
          <w:color w:val="000000" w:themeColor="text1"/>
          <w:spacing w:val="0"/>
        </w:rPr>
        <w:t>Table 6</w:t>
      </w:r>
      <w:r w:rsidRPr="00EF2F5B">
        <w:rPr>
          <w:color w:val="000000" w:themeColor="text1"/>
          <w:spacing w:val="0"/>
        </w:rPr>
        <w:fldChar w:fldCharType="end"/>
      </w:r>
      <w:r w:rsidRPr="00EF2F5B">
        <w:rPr>
          <w:color w:val="000000" w:themeColor="text1"/>
          <w:spacing w:val="0"/>
        </w:rPr>
        <w:t xml:space="preserve"> below gives the proposed highest values of vertical illuminance on property lines.</w:t>
      </w:r>
    </w:p>
    <w:p w14:paraId="34E300DE" w14:textId="74956BE4" w:rsidR="00336F99" w:rsidRPr="00EF2F5B" w:rsidRDefault="00336F99" w:rsidP="00F0093D">
      <w:pPr>
        <w:spacing w:after="0" w:line="240" w:lineRule="auto"/>
        <w:jc w:val="center"/>
        <w:rPr>
          <w:rFonts w:ascii="Times New Roman Bold" w:hAnsi="Times New Roman Bold"/>
          <w:color w:val="000000" w:themeColor="text1"/>
          <w:spacing w:val="0"/>
          <w:kern w:val="0"/>
          <w:sz w:val="20"/>
          <w:szCs w:val="20"/>
          <w:lang w:eastAsia="en-CA"/>
          <w14:ligatures w14:val="none"/>
        </w:rPr>
      </w:pPr>
      <w:bookmarkStart w:id="16" w:name="_Ref123331609"/>
      <w:bookmarkStart w:id="17" w:name="_Toc109780802"/>
      <w:bookmarkStart w:id="18" w:name="_Toc205658516"/>
      <w:r w:rsidRPr="00EF2F5B">
        <w:rPr>
          <w:rFonts w:ascii="Times New Roman Bold" w:hAnsi="Times New Roman Bold"/>
          <w:snapToGrid/>
          <w:color w:val="000000" w:themeColor="text1"/>
          <w:spacing w:val="0"/>
          <w:kern w:val="0"/>
          <w:sz w:val="20"/>
          <w:szCs w:val="20"/>
          <w:lang w:val="en-CA" w:eastAsia="en-CA" w:bidi="ar-SA"/>
          <w14:ligatures w14:val="none"/>
        </w:rPr>
        <w:t xml:space="preserve">Table </w:t>
      </w:r>
      <w:r w:rsidRPr="00EF2F5B">
        <w:rPr>
          <w:rFonts w:ascii="Times New Roman Bold" w:hAnsi="Times New Roman Bold"/>
          <w:snapToGrid/>
          <w:color w:val="000000" w:themeColor="text1"/>
          <w:spacing w:val="0"/>
          <w:kern w:val="0"/>
          <w:sz w:val="20"/>
          <w:szCs w:val="20"/>
          <w:lang w:val="en-CA" w:eastAsia="en-CA" w:bidi="ar-SA"/>
          <w14:ligatures w14:val="none"/>
        </w:rPr>
        <w:fldChar w:fldCharType="begin"/>
      </w:r>
      <w:r w:rsidRPr="00EF2F5B">
        <w:rPr>
          <w:rFonts w:ascii="Times New Roman Bold" w:hAnsi="Times New Roman Bold"/>
          <w:snapToGrid/>
          <w:color w:val="000000" w:themeColor="text1"/>
          <w:spacing w:val="0"/>
          <w:kern w:val="0"/>
          <w:sz w:val="20"/>
          <w:szCs w:val="20"/>
          <w:lang w:val="en-CA" w:eastAsia="en-CA" w:bidi="ar-SA"/>
          <w14:ligatures w14:val="none"/>
        </w:rPr>
        <w:instrText xml:space="preserve"> SEQ Table \* ARABIC \s 1 </w:instrText>
      </w:r>
      <w:r w:rsidRPr="00EF2F5B">
        <w:rPr>
          <w:rFonts w:ascii="Times New Roman Bold" w:hAnsi="Times New Roman Bold"/>
          <w:snapToGrid/>
          <w:color w:val="000000" w:themeColor="text1"/>
          <w:spacing w:val="0"/>
          <w:kern w:val="0"/>
          <w:sz w:val="20"/>
          <w:szCs w:val="20"/>
          <w:lang w:val="en-CA" w:eastAsia="en-CA" w:bidi="ar-SA"/>
          <w14:ligatures w14:val="none"/>
        </w:rPr>
        <w:fldChar w:fldCharType="separate"/>
      </w:r>
      <w:r w:rsidRPr="00EF2F5B">
        <w:rPr>
          <w:rFonts w:ascii="Times New Roman Bold" w:hAnsi="Times New Roman Bold"/>
          <w:noProof/>
          <w:snapToGrid/>
          <w:color w:val="000000" w:themeColor="text1"/>
          <w:spacing w:val="0"/>
          <w:kern w:val="0"/>
          <w:sz w:val="20"/>
          <w:szCs w:val="20"/>
          <w:lang w:val="en-CA" w:eastAsia="en-CA" w:bidi="ar-SA"/>
          <w14:ligatures w14:val="none"/>
        </w:rPr>
        <w:t>6</w:t>
      </w:r>
      <w:r w:rsidRPr="00EF2F5B">
        <w:rPr>
          <w:rFonts w:ascii="Times New Roman Bold" w:hAnsi="Times New Roman Bold"/>
          <w:noProof/>
          <w:snapToGrid/>
          <w:color w:val="000000" w:themeColor="text1"/>
          <w:spacing w:val="0"/>
          <w:kern w:val="0"/>
          <w:sz w:val="20"/>
          <w:szCs w:val="20"/>
          <w:lang w:val="en-CA" w:eastAsia="en-CA" w:bidi="ar-SA"/>
          <w14:ligatures w14:val="none"/>
        </w:rPr>
        <w:fldChar w:fldCharType="end"/>
      </w:r>
      <w:bookmarkEnd w:id="16"/>
      <w:r w:rsidRPr="00EF2F5B">
        <w:rPr>
          <w:rFonts w:ascii="Times New Roman Bold" w:hAnsi="Times New Roman Bold"/>
          <w:color w:val="000000" w:themeColor="text1"/>
          <w:spacing w:val="0"/>
          <w:kern w:val="0"/>
          <w:sz w:val="20"/>
          <w:szCs w:val="20"/>
          <w:lang w:eastAsia="en-CA" w:bidi="ar-SA"/>
          <w14:ligatures w14:val="none"/>
        </w:rPr>
        <w:t xml:space="preserve"> </w:t>
      </w:r>
      <w:r w:rsidRPr="00EF2F5B">
        <w:rPr>
          <w:rFonts w:ascii="Times New Roman Bold" w:hAnsi="Times New Roman Bold"/>
          <w:color w:val="000000" w:themeColor="text1"/>
          <w:spacing w:val="0"/>
          <w:kern w:val="0"/>
          <w:sz w:val="20"/>
          <w:szCs w:val="20"/>
          <w:lang w:eastAsia="en-CA"/>
          <w14:ligatures w14:val="none"/>
        </w:rPr>
        <w:t xml:space="preserve">The proposed maximum vertical illuminance on </w:t>
      </w:r>
      <w:r w:rsidR="00A61DD9" w:rsidRPr="00EF2F5B">
        <w:rPr>
          <w:rFonts w:ascii="Times New Roman Bold" w:hAnsi="Times New Roman Bold"/>
          <w:color w:val="000000" w:themeColor="text1"/>
          <w:spacing w:val="0"/>
          <w:kern w:val="0"/>
          <w:sz w:val="20"/>
          <w:szCs w:val="20"/>
          <w:lang w:eastAsia="en-CA"/>
          <w14:ligatures w14:val="none"/>
        </w:rPr>
        <w:t xml:space="preserve">the </w:t>
      </w:r>
      <w:r w:rsidRPr="00EF2F5B">
        <w:rPr>
          <w:rFonts w:ascii="Times New Roman Bold" w:hAnsi="Times New Roman Bold"/>
          <w:color w:val="000000" w:themeColor="text1"/>
          <w:spacing w:val="0"/>
          <w:kern w:val="0"/>
          <w:sz w:val="20"/>
          <w:szCs w:val="20"/>
          <w:lang w:eastAsia="en-CA"/>
          <w14:ligatures w14:val="none"/>
        </w:rPr>
        <w:t>ROW</w:t>
      </w:r>
      <w:bookmarkEnd w:id="17"/>
      <w:bookmarkEnd w:id="18"/>
    </w:p>
    <w:p w14:paraId="03A51054" w14:textId="77777777" w:rsidR="00336F99" w:rsidRPr="00EF2F5B" w:rsidRDefault="00336F99" w:rsidP="00F0093D">
      <w:pPr>
        <w:spacing w:after="0" w:line="240" w:lineRule="auto"/>
        <w:jc w:val="center"/>
        <w:rPr>
          <w:rFonts w:eastAsia="Times New Roman"/>
          <w:color w:val="000000" w:themeColor="text1"/>
          <w:spacing w:val="0"/>
          <w:kern w:val="0"/>
          <w:sz w:val="16"/>
          <w:szCs w:val="16"/>
          <w:lang w:val="en-GB" w:eastAsia="en-GB"/>
          <w14:ligatures w14:val="none"/>
        </w:rPr>
      </w:pPr>
      <w:r w:rsidRPr="00EF2F5B">
        <w:rPr>
          <w:rFonts w:eastAsia="Times New Roman"/>
          <w:color w:val="000000" w:themeColor="text1"/>
          <w:spacing w:val="0"/>
          <w:kern w:val="0"/>
          <w:sz w:val="16"/>
          <w:szCs w:val="16"/>
          <w:lang w:val="en-GB" w:eastAsia="en-GB"/>
          <w14:ligatures w14:val="none"/>
        </w:rPr>
        <w:t>Source: Compiled by the author (CIE-150, 2017)</w:t>
      </w:r>
    </w:p>
    <w:tbl>
      <w:tblPr>
        <w:tblpPr w:leftFromText="180" w:rightFromText="180" w:vertAnchor="text" w:tblpXSpec="center" w:tblpY="1"/>
        <w:tblOverlap w:val="never"/>
        <w:tblW w:w="8505" w:type="dxa"/>
        <w:tblLayout w:type="fixed"/>
        <w:tblCellMar>
          <w:left w:w="70" w:type="dxa"/>
          <w:right w:w="70" w:type="dxa"/>
        </w:tblCellMar>
        <w:tblLook w:val="0000" w:firstRow="0" w:lastRow="0" w:firstColumn="0" w:lastColumn="0" w:noHBand="0" w:noVBand="0"/>
      </w:tblPr>
      <w:tblGrid>
        <w:gridCol w:w="2411"/>
        <w:gridCol w:w="1701"/>
        <w:gridCol w:w="703"/>
        <w:gridCol w:w="856"/>
        <w:gridCol w:w="850"/>
        <w:gridCol w:w="993"/>
        <w:gridCol w:w="991"/>
      </w:tblGrid>
      <w:tr w:rsidR="00EF2F5B" w:rsidRPr="00EF2F5B" w14:paraId="6AC77D02" w14:textId="77777777" w:rsidTr="006617F6">
        <w:tc>
          <w:tcPr>
            <w:tcW w:w="2411" w:type="dxa"/>
            <w:vMerge w:val="restart"/>
            <w:tcBorders>
              <w:top w:val="single" w:sz="4" w:space="0" w:color="auto"/>
              <w:left w:val="single" w:sz="4" w:space="0" w:color="auto"/>
              <w:bottom w:val="single" w:sz="4" w:space="0" w:color="auto"/>
              <w:right w:val="single" w:sz="4" w:space="0" w:color="auto"/>
            </w:tcBorders>
            <w:vAlign w:val="center"/>
          </w:tcPr>
          <w:p w14:paraId="6E702B86"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cs/>
                <w14:ligatures w14:val="none"/>
              </w:rPr>
            </w:pPr>
            <w:r w:rsidRPr="00EF2F5B">
              <w:rPr>
                <w:rFonts w:eastAsia="Times New Roman"/>
                <w:color w:val="000000" w:themeColor="text1"/>
                <w:spacing w:val="0"/>
                <w:kern w:val="0"/>
                <w:sz w:val="20"/>
                <w:szCs w:val="20"/>
                <w14:ligatures w14:val="none"/>
              </w:rPr>
              <w:t>OL Technical Parameter</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04298A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Application Conditions</w:t>
            </w:r>
          </w:p>
        </w:tc>
        <w:tc>
          <w:tcPr>
            <w:tcW w:w="4393" w:type="dxa"/>
            <w:gridSpan w:val="5"/>
            <w:tcBorders>
              <w:top w:val="single" w:sz="4" w:space="0" w:color="auto"/>
              <w:left w:val="single" w:sz="4" w:space="0" w:color="auto"/>
              <w:bottom w:val="single" w:sz="4" w:space="0" w:color="auto"/>
              <w:right w:val="single" w:sz="4" w:space="0" w:color="auto"/>
            </w:tcBorders>
            <w:vAlign w:val="center"/>
          </w:tcPr>
          <w:p w14:paraId="75E845B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b/>
                <w:bCs/>
                <w:color w:val="000000" w:themeColor="text1"/>
                <w:spacing w:val="0"/>
                <w:kern w:val="0"/>
                <w:sz w:val="20"/>
                <w:szCs w:val="20"/>
                <w14:ligatures w14:val="none"/>
              </w:rPr>
              <w:t>Environmental</w:t>
            </w:r>
            <w:r w:rsidRPr="00EF2F5B">
              <w:rPr>
                <w:rFonts w:eastAsia="Times New Roman"/>
                <w:color w:val="000000" w:themeColor="text1"/>
                <w:spacing w:val="0"/>
                <w:kern w:val="0"/>
                <w:sz w:val="20"/>
                <w:szCs w:val="20"/>
                <w14:ligatures w14:val="none"/>
              </w:rPr>
              <w:t xml:space="preserve"> </w:t>
            </w:r>
            <w:r w:rsidRPr="00EF2F5B">
              <w:rPr>
                <w:rFonts w:eastAsia="Times New Roman"/>
                <w:b/>
                <w:bCs/>
                <w:color w:val="000000" w:themeColor="text1"/>
                <w:spacing w:val="0"/>
                <w:kern w:val="0"/>
                <w:sz w:val="20"/>
                <w:szCs w:val="20"/>
                <w14:ligatures w14:val="none"/>
              </w:rPr>
              <w:t>Zones</w:t>
            </w:r>
          </w:p>
        </w:tc>
      </w:tr>
      <w:tr w:rsidR="00EF2F5B" w:rsidRPr="00EF2F5B" w14:paraId="06DD5154" w14:textId="77777777" w:rsidTr="006617F6">
        <w:trPr>
          <w:trHeight w:val="284"/>
        </w:trPr>
        <w:tc>
          <w:tcPr>
            <w:tcW w:w="2411" w:type="dxa"/>
            <w:vMerge/>
            <w:tcBorders>
              <w:top w:val="single" w:sz="4" w:space="0" w:color="auto"/>
              <w:left w:val="single" w:sz="4" w:space="0" w:color="auto"/>
              <w:bottom w:val="single" w:sz="4" w:space="0" w:color="auto"/>
              <w:right w:val="single" w:sz="4" w:space="0" w:color="auto"/>
            </w:tcBorders>
            <w:vAlign w:val="center"/>
          </w:tcPr>
          <w:p w14:paraId="0213959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45D751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p>
        </w:tc>
        <w:tc>
          <w:tcPr>
            <w:tcW w:w="703" w:type="dxa"/>
            <w:tcBorders>
              <w:top w:val="single" w:sz="4" w:space="0" w:color="auto"/>
              <w:left w:val="single" w:sz="4" w:space="0" w:color="auto"/>
              <w:bottom w:val="single" w:sz="4" w:space="0" w:color="auto"/>
              <w:right w:val="single" w:sz="4" w:space="0" w:color="auto"/>
            </w:tcBorders>
            <w:vAlign w:val="center"/>
          </w:tcPr>
          <w:p w14:paraId="506149D9"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E0</w:t>
            </w:r>
          </w:p>
          <w:p w14:paraId="3F5AE28C"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856" w:type="dxa"/>
            <w:tcBorders>
              <w:top w:val="single" w:sz="4" w:space="0" w:color="auto"/>
              <w:left w:val="single" w:sz="4" w:space="0" w:color="auto"/>
              <w:bottom w:val="single" w:sz="4" w:space="0" w:color="auto"/>
              <w:right w:val="single" w:sz="4" w:space="0" w:color="auto"/>
            </w:tcBorders>
            <w:vAlign w:val="center"/>
          </w:tcPr>
          <w:p w14:paraId="1CB1F119"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E1</w:t>
            </w:r>
          </w:p>
          <w:p w14:paraId="717B168F"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850" w:type="dxa"/>
            <w:tcBorders>
              <w:top w:val="single" w:sz="4" w:space="0" w:color="auto"/>
              <w:left w:val="single" w:sz="4" w:space="0" w:color="auto"/>
              <w:bottom w:val="single" w:sz="4" w:space="0" w:color="auto"/>
              <w:right w:val="single" w:sz="4" w:space="0" w:color="auto"/>
            </w:tcBorders>
            <w:vAlign w:val="center"/>
          </w:tcPr>
          <w:p w14:paraId="1A1D5AEC"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E2</w:t>
            </w:r>
          </w:p>
          <w:p w14:paraId="7335C3A8"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993" w:type="dxa"/>
            <w:tcBorders>
              <w:top w:val="single" w:sz="4" w:space="0" w:color="auto"/>
              <w:left w:val="single" w:sz="4" w:space="0" w:color="auto"/>
              <w:bottom w:val="single" w:sz="4" w:space="0" w:color="auto"/>
              <w:right w:val="single" w:sz="4" w:space="0" w:color="auto"/>
            </w:tcBorders>
            <w:vAlign w:val="center"/>
          </w:tcPr>
          <w:p w14:paraId="709FFF83"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E3</w:t>
            </w:r>
          </w:p>
          <w:p w14:paraId="451A2B9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991" w:type="dxa"/>
            <w:tcBorders>
              <w:top w:val="single" w:sz="4" w:space="0" w:color="auto"/>
              <w:left w:val="single" w:sz="4" w:space="0" w:color="auto"/>
              <w:bottom w:val="single" w:sz="4" w:space="0" w:color="auto"/>
              <w:right w:val="single" w:sz="4" w:space="0" w:color="auto"/>
            </w:tcBorders>
            <w:vAlign w:val="center"/>
          </w:tcPr>
          <w:p w14:paraId="18081CF3"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E4</w:t>
            </w:r>
          </w:p>
          <w:p w14:paraId="0A4B53DF"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r>
      <w:tr w:rsidR="00EF2F5B" w:rsidRPr="00EF2F5B" w14:paraId="425E44B2" w14:textId="77777777" w:rsidTr="006617F6">
        <w:trPr>
          <w:trHeight w:val="284"/>
        </w:trPr>
        <w:tc>
          <w:tcPr>
            <w:tcW w:w="2411" w:type="dxa"/>
            <w:vMerge w:val="restart"/>
            <w:tcBorders>
              <w:top w:val="single" w:sz="4" w:space="0" w:color="auto"/>
              <w:left w:val="single" w:sz="4" w:space="0" w:color="auto"/>
              <w:bottom w:val="single" w:sz="4" w:space="0" w:color="auto"/>
              <w:right w:val="single" w:sz="4" w:space="0" w:color="auto"/>
            </w:tcBorders>
          </w:tcPr>
          <w:p w14:paraId="7385C9A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Illuminance in Vertical Plane (E</w:t>
            </w:r>
            <w:r w:rsidRPr="00EF2F5B">
              <w:rPr>
                <w:rFonts w:eastAsia="Times New Roman"/>
                <w:color w:val="000000" w:themeColor="text1"/>
                <w:spacing w:val="0"/>
                <w:kern w:val="0"/>
                <w:sz w:val="20"/>
                <w:szCs w:val="20"/>
                <w:vertAlign w:val="subscript"/>
                <w14:ligatures w14:val="none"/>
              </w:rPr>
              <w:t>v</w:t>
            </w:r>
            <w:r w:rsidRPr="00EF2F5B">
              <w:rPr>
                <w:rFonts w:eastAsia="Times New Roman"/>
                <w:color w:val="000000" w:themeColor="text1"/>
                <w:spacing w:val="0"/>
                <w:kern w:val="0"/>
                <w:sz w:val="20"/>
                <w:szCs w:val="20"/>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tcPr>
          <w:p w14:paraId="6E95BFB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“Pre-curfew”</w:t>
            </w:r>
          </w:p>
        </w:tc>
        <w:tc>
          <w:tcPr>
            <w:tcW w:w="703" w:type="dxa"/>
            <w:tcBorders>
              <w:top w:val="single" w:sz="4" w:space="0" w:color="auto"/>
              <w:left w:val="single" w:sz="4" w:space="0" w:color="auto"/>
              <w:bottom w:val="single" w:sz="4" w:space="0" w:color="auto"/>
              <w:right w:val="single" w:sz="4" w:space="0" w:color="auto"/>
            </w:tcBorders>
          </w:tcPr>
          <w:p w14:paraId="01E9BF28"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N/A</w:t>
            </w:r>
          </w:p>
        </w:tc>
        <w:tc>
          <w:tcPr>
            <w:tcW w:w="856" w:type="dxa"/>
            <w:tcBorders>
              <w:top w:val="single" w:sz="4" w:space="0" w:color="auto"/>
              <w:left w:val="single" w:sz="4" w:space="0" w:color="auto"/>
              <w:bottom w:val="single" w:sz="4" w:space="0" w:color="auto"/>
              <w:right w:val="single" w:sz="4" w:space="0" w:color="auto"/>
            </w:tcBorders>
            <w:vAlign w:val="center"/>
          </w:tcPr>
          <w:p w14:paraId="7F5720F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2</w:t>
            </w:r>
          </w:p>
        </w:tc>
        <w:tc>
          <w:tcPr>
            <w:tcW w:w="850" w:type="dxa"/>
            <w:tcBorders>
              <w:top w:val="single" w:sz="4" w:space="0" w:color="auto"/>
              <w:left w:val="single" w:sz="4" w:space="0" w:color="auto"/>
              <w:bottom w:val="single" w:sz="4" w:space="0" w:color="auto"/>
              <w:right w:val="single" w:sz="4" w:space="0" w:color="auto"/>
            </w:tcBorders>
          </w:tcPr>
          <w:p w14:paraId="4C99AAB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5</w:t>
            </w:r>
          </w:p>
        </w:tc>
        <w:tc>
          <w:tcPr>
            <w:tcW w:w="993" w:type="dxa"/>
            <w:tcBorders>
              <w:top w:val="single" w:sz="4" w:space="0" w:color="auto"/>
              <w:left w:val="single" w:sz="4" w:space="0" w:color="auto"/>
              <w:bottom w:val="single" w:sz="4" w:space="0" w:color="auto"/>
              <w:right w:val="single" w:sz="4" w:space="0" w:color="auto"/>
            </w:tcBorders>
          </w:tcPr>
          <w:p w14:paraId="3E36CB0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10</w:t>
            </w:r>
          </w:p>
        </w:tc>
        <w:tc>
          <w:tcPr>
            <w:tcW w:w="991" w:type="dxa"/>
            <w:tcBorders>
              <w:top w:val="single" w:sz="4" w:space="0" w:color="auto"/>
              <w:left w:val="single" w:sz="4" w:space="0" w:color="auto"/>
              <w:bottom w:val="single" w:sz="4" w:space="0" w:color="auto"/>
              <w:right w:val="single" w:sz="4" w:space="0" w:color="auto"/>
            </w:tcBorders>
          </w:tcPr>
          <w:p w14:paraId="5717AD4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25</w:t>
            </w:r>
          </w:p>
        </w:tc>
      </w:tr>
      <w:tr w:rsidR="00EF2F5B" w:rsidRPr="00EF2F5B" w14:paraId="6AB92371" w14:textId="77777777" w:rsidTr="006617F6">
        <w:trPr>
          <w:trHeight w:val="284"/>
        </w:trPr>
        <w:tc>
          <w:tcPr>
            <w:tcW w:w="2411" w:type="dxa"/>
            <w:vMerge/>
            <w:tcBorders>
              <w:top w:val="single" w:sz="4" w:space="0" w:color="auto"/>
              <w:left w:val="single" w:sz="4" w:space="0" w:color="auto"/>
              <w:bottom w:val="single" w:sz="4" w:space="0" w:color="auto"/>
              <w:right w:val="single" w:sz="4" w:space="0" w:color="auto"/>
            </w:tcBorders>
          </w:tcPr>
          <w:p w14:paraId="357E2F5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44EAEBC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“Post-curfew”</w:t>
            </w:r>
          </w:p>
        </w:tc>
        <w:tc>
          <w:tcPr>
            <w:tcW w:w="703" w:type="dxa"/>
            <w:tcBorders>
              <w:top w:val="single" w:sz="4" w:space="0" w:color="auto"/>
              <w:left w:val="single" w:sz="4" w:space="0" w:color="auto"/>
              <w:bottom w:val="single" w:sz="4" w:space="0" w:color="auto"/>
              <w:right w:val="single" w:sz="4" w:space="0" w:color="auto"/>
            </w:tcBorders>
          </w:tcPr>
          <w:p w14:paraId="0365177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N/A</w:t>
            </w:r>
          </w:p>
        </w:tc>
        <w:tc>
          <w:tcPr>
            <w:tcW w:w="856" w:type="dxa"/>
            <w:tcBorders>
              <w:top w:val="single" w:sz="4" w:space="0" w:color="auto"/>
              <w:left w:val="single" w:sz="4" w:space="0" w:color="auto"/>
              <w:bottom w:val="single" w:sz="4" w:space="0" w:color="auto"/>
              <w:right w:val="single" w:sz="4" w:space="0" w:color="auto"/>
            </w:tcBorders>
            <w:vAlign w:val="center"/>
          </w:tcPr>
          <w:p w14:paraId="584179E8"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&lt;0.1*</w:t>
            </w:r>
          </w:p>
        </w:tc>
        <w:tc>
          <w:tcPr>
            <w:tcW w:w="850" w:type="dxa"/>
            <w:tcBorders>
              <w:top w:val="single" w:sz="4" w:space="0" w:color="auto"/>
              <w:left w:val="single" w:sz="4" w:space="0" w:color="auto"/>
              <w:bottom w:val="single" w:sz="4" w:space="0" w:color="auto"/>
              <w:right w:val="single" w:sz="4" w:space="0" w:color="auto"/>
            </w:tcBorders>
          </w:tcPr>
          <w:p w14:paraId="62EE9F08"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1</w:t>
            </w:r>
          </w:p>
        </w:tc>
        <w:tc>
          <w:tcPr>
            <w:tcW w:w="993" w:type="dxa"/>
            <w:tcBorders>
              <w:top w:val="single" w:sz="4" w:space="0" w:color="auto"/>
              <w:left w:val="single" w:sz="4" w:space="0" w:color="auto"/>
              <w:bottom w:val="single" w:sz="4" w:space="0" w:color="auto"/>
              <w:right w:val="single" w:sz="4" w:space="0" w:color="auto"/>
            </w:tcBorders>
          </w:tcPr>
          <w:p w14:paraId="7757E95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2</w:t>
            </w:r>
          </w:p>
        </w:tc>
        <w:tc>
          <w:tcPr>
            <w:tcW w:w="991" w:type="dxa"/>
            <w:tcBorders>
              <w:top w:val="single" w:sz="4" w:space="0" w:color="auto"/>
              <w:left w:val="single" w:sz="4" w:space="0" w:color="auto"/>
              <w:bottom w:val="single" w:sz="4" w:space="0" w:color="auto"/>
              <w:right w:val="single" w:sz="4" w:space="0" w:color="auto"/>
            </w:tcBorders>
          </w:tcPr>
          <w:p w14:paraId="02A0B7D5" w14:textId="77777777" w:rsidR="00336F99" w:rsidRPr="00EF2F5B" w:rsidRDefault="00336F99" w:rsidP="00F0093D">
            <w:pPr>
              <w:numPr>
                <w:ilvl w:val="0"/>
                <w:numId w:val="1"/>
              </w:numPr>
              <w:overflowPunct w:val="0"/>
              <w:autoSpaceDE w:val="0"/>
              <w:autoSpaceDN w:val="0"/>
              <w:adjustRightInd w:val="0"/>
              <w:spacing w:after="0" w:line="240" w:lineRule="auto"/>
              <w:ind w:left="215" w:hanging="215"/>
              <w:jc w:val="center"/>
              <w:textAlignment w:val="baseline"/>
              <w:rPr>
                <w:rFonts w:eastAsia="Times New Roman"/>
                <w:color w:val="000000" w:themeColor="text1"/>
                <w:spacing w:val="0"/>
                <w:kern w:val="0"/>
                <w:sz w:val="20"/>
                <w:szCs w:val="20"/>
                <w14:ligatures w14:val="none"/>
              </w:rPr>
            </w:pPr>
          </w:p>
        </w:tc>
      </w:tr>
      <w:tr w:rsidR="00EF2F5B" w:rsidRPr="00EF2F5B" w14:paraId="7DDA91D4" w14:textId="77777777" w:rsidTr="006617F6">
        <w:trPr>
          <w:trHeight w:val="284"/>
        </w:trPr>
        <w:tc>
          <w:tcPr>
            <w:tcW w:w="8505" w:type="dxa"/>
            <w:gridSpan w:val="7"/>
            <w:tcBorders>
              <w:top w:val="single" w:sz="4" w:space="0" w:color="auto"/>
              <w:left w:val="single" w:sz="4" w:space="0" w:color="auto"/>
              <w:bottom w:val="single" w:sz="4" w:space="0" w:color="auto"/>
              <w:right w:val="single" w:sz="4" w:space="0" w:color="auto"/>
            </w:tcBorders>
          </w:tcPr>
          <w:p w14:paraId="5B91A7AD" w14:textId="77777777" w:rsidR="00336F99" w:rsidRPr="00EF2F5B" w:rsidRDefault="00336F99" w:rsidP="00F0093D">
            <w:pPr>
              <w:overflowPunct w:val="0"/>
              <w:autoSpaceDE w:val="0"/>
              <w:autoSpaceDN w:val="0"/>
              <w:adjustRightInd w:val="0"/>
              <w:spacing w:after="0" w:line="240" w:lineRule="auto"/>
              <w:jc w:val="both"/>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*If the installation is for public OL, then this value may be up to 1 Lux</w:t>
            </w:r>
          </w:p>
        </w:tc>
      </w:tr>
    </w:tbl>
    <w:p w14:paraId="45196721" w14:textId="77777777" w:rsidR="00336F99" w:rsidRPr="00EF2F5B" w:rsidRDefault="00336F99" w:rsidP="00F0093D">
      <w:pPr>
        <w:spacing w:after="0" w:line="240" w:lineRule="auto"/>
        <w:jc w:val="both"/>
        <w:rPr>
          <w:color w:val="000000" w:themeColor="text1"/>
          <w:spacing w:val="0"/>
          <w:kern w:val="0"/>
          <w:lang w:val="en-GB"/>
          <w14:ligatures w14:val="none"/>
        </w:rPr>
      </w:pPr>
    </w:p>
    <w:p w14:paraId="7A96333A" w14:textId="118D0CDC" w:rsidR="00336F99" w:rsidRPr="00EF2F5B" w:rsidRDefault="00A61DD9" w:rsidP="004057F5">
      <w:pPr>
        <w:rPr>
          <w:rFonts w:ascii="Times New Roman Bold" w:hAnsi="Times New Roman Bold"/>
          <w:b/>
          <w:bCs/>
          <w:color w:val="000000" w:themeColor="text1"/>
          <w:spacing w:val="0"/>
        </w:rPr>
      </w:pPr>
      <w:r w:rsidRPr="00EF2F5B">
        <w:rPr>
          <w:rFonts w:ascii="Times New Roman Bold" w:hAnsi="Times New Roman Bold"/>
          <w:b/>
          <w:bCs/>
          <w:color w:val="000000" w:themeColor="text1"/>
          <w:spacing w:val="0"/>
        </w:rPr>
        <w:t xml:space="preserve">Institution of Lighting Professionals (ILP GN01, 2021) </w:t>
      </w:r>
    </w:p>
    <w:p w14:paraId="6F383AE4" w14:textId="3FDBE4A1" w:rsidR="00336F99" w:rsidRPr="00EF2F5B" w:rsidRDefault="00336F99" w:rsidP="004057F5">
      <w:pPr>
        <w:spacing w:after="0" w:line="240" w:lineRule="auto"/>
        <w:jc w:val="both"/>
        <w:rPr>
          <w:color w:val="000000" w:themeColor="text1"/>
          <w:spacing w:val="0"/>
        </w:rPr>
      </w:pPr>
      <w:r w:rsidRPr="00EF2F5B">
        <w:rPr>
          <w:color w:val="000000" w:themeColor="text1"/>
          <w:spacing w:val="0"/>
        </w:rPr>
        <w:t xml:space="preserve">The ILP has introduced </w:t>
      </w:r>
      <w:r w:rsidR="004057F5" w:rsidRPr="00EF2F5B">
        <w:rPr>
          <w:color w:val="000000" w:themeColor="text1"/>
          <w:spacing w:val="0"/>
        </w:rPr>
        <w:t xml:space="preserve">an </w:t>
      </w:r>
      <w:r w:rsidRPr="00EF2F5B">
        <w:rPr>
          <w:color w:val="000000" w:themeColor="text1"/>
          <w:spacing w:val="0"/>
        </w:rPr>
        <w:t>OL zones publication titled “Guidance Note 1 for reducing obtrusive light” (ILP GN01, 2021), based on the published CIE standard</w:t>
      </w:r>
      <w:r w:rsidR="004057F5" w:rsidRPr="00EF2F5B">
        <w:rPr>
          <w:color w:val="000000" w:themeColor="text1"/>
          <w:spacing w:val="0"/>
        </w:rPr>
        <w:t>,</w:t>
      </w:r>
      <w:r w:rsidRPr="00EF2F5B">
        <w:rPr>
          <w:color w:val="000000" w:themeColor="text1"/>
          <w:spacing w:val="0"/>
        </w:rPr>
        <w:t xml:space="preserve"> but </w:t>
      </w:r>
      <w:r w:rsidR="004057F5" w:rsidRPr="00EF2F5B">
        <w:rPr>
          <w:color w:val="000000" w:themeColor="text1"/>
          <w:spacing w:val="0"/>
        </w:rPr>
        <w:t xml:space="preserve">it </w:t>
      </w:r>
      <w:r w:rsidRPr="00EF2F5B">
        <w:rPr>
          <w:color w:val="000000" w:themeColor="text1"/>
          <w:spacing w:val="0"/>
        </w:rPr>
        <w:t xml:space="preserve">indicates some minor deviations from the CIE standard.  </w:t>
      </w:r>
      <w:r w:rsidRPr="00EF2F5B">
        <w:rPr>
          <w:color w:val="000000" w:themeColor="text1"/>
          <w:spacing w:val="0"/>
        </w:rPr>
        <w:fldChar w:fldCharType="begin"/>
      </w:r>
      <w:r w:rsidRPr="00EF2F5B">
        <w:rPr>
          <w:color w:val="000000" w:themeColor="text1"/>
          <w:spacing w:val="0"/>
        </w:rPr>
        <w:instrText xml:space="preserve"> REF _Ref123331620 \h </w:instrText>
      </w:r>
      <w:r w:rsidR="00E2784B" w:rsidRPr="00EF2F5B">
        <w:rPr>
          <w:color w:val="000000" w:themeColor="text1"/>
          <w:spacing w:val="0"/>
        </w:rPr>
        <w:instrText xml:space="preserve"> \* MERGEFORMAT </w:instrText>
      </w:r>
      <w:r w:rsidRPr="00EF2F5B">
        <w:rPr>
          <w:color w:val="000000" w:themeColor="text1"/>
          <w:spacing w:val="0"/>
        </w:rPr>
      </w:r>
      <w:r w:rsidRPr="00EF2F5B">
        <w:rPr>
          <w:color w:val="000000" w:themeColor="text1"/>
          <w:spacing w:val="0"/>
        </w:rPr>
        <w:fldChar w:fldCharType="separate"/>
      </w:r>
      <w:r w:rsidRPr="00EF2F5B">
        <w:rPr>
          <w:color w:val="000000" w:themeColor="text1"/>
          <w:spacing w:val="0"/>
        </w:rPr>
        <w:t>Table 7</w:t>
      </w:r>
      <w:r w:rsidRPr="00EF2F5B">
        <w:rPr>
          <w:color w:val="000000" w:themeColor="text1"/>
          <w:spacing w:val="0"/>
        </w:rPr>
        <w:fldChar w:fldCharType="end"/>
      </w:r>
      <w:r w:rsidRPr="00EF2F5B">
        <w:rPr>
          <w:color w:val="000000" w:themeColor="text1"/>
          <w:spacing w:val="0"/>
        </w:rPr>
        <w:t xml:space="preserve"> below gives the proposed OL zones and brief descriptions.</w:t>
      </w:r>
    </w:p>
    <w:p w14:paraId="5B3842B9" w14:textId="691E1F20" w:rsidR="00336F99" w:rsidRPr="00EF2F5B" w:rsidRDefault="00336F99" w:rsidP="00F0093D">
      <w:pPr>
        <w:spacing w:after="0" w:line="240" w:lineRule="auto"/>
        <w:jc w:val="center"/>
        <w:rPr>
          <w:rFonts w:ascii="Times New Roman Bold" w:hAnsi="Times New Roman Bold"/>
          <w:color w:val="000000" w:themeColor="text1"/>
          <w:spacing w:val="0"/>
          <w:kern w:val="0"/>
          <w:sz w:val="20"/>
          <w:szCs w:val="20"/>
          <w:lang w:eastAsia="en-CA"/>
          <w14:ligatures w14:val="none"/>
        </w:rPr>
      </w:pPr>
      <w:bookmarkStart w:id="19" w:name="_Ref123331620"/>
      <w:bookmarkStart w:id="20" w:name="_Toc109780803"/>
      <w:bookmarkStart w:id="21" w:name="_Toc205658517"/>
      <w:r w:rsidRPr="00EF2F5B">
        <w:rPr>
          <w:rFonts w:ascii="Times New Roman Bold" w:hAnsi="Times New Roman Bold"/>
          <w:snapToGrid/>
          <w:color w:val="000000" w:themeColor="text1"/>
          <w:spacing w:val="0"/>
          <w:kern w:val="0"/>
          <w:sz w:val="20"/>
          <w:szCs w:val="20"/>
          <w:lang w:val="en-CA" w:eastAsia="en-CA" w:bidi="ar-SA"/>
          <w14:ligatures w14:val="none"/>
        </w:rPr>
        <w:t xml:space="preserve">Table </w:t>
      </w:r>
      <w:r w:rsidRPr="00EF2F5B">
        <w:rPr>
          <w:rFonts w:ascii="Times New Roman Bold" w:hAnsi="Times New Roman Bold"/>
          <w:snapToGrid/>
          <w:color w:val="000000" w:themeColor="text1"/>
          <w:spacing w:val="0"/>
          <w:kern w:val="0"/>
          <w:sz w:val="20"/>
          <w:szCs w:val="20"/>
          <w:lang w:val="en-CA" w:eastAsia="en-CA" w:bidi="ar-SA"/>
          <w14:ligatures w14:val="none"/>
        </w:rPr>
        <w:fldChar w:fldCharType="begin"/>
      </w:r>
      <w:r w:rsidRPr="00EF2F5B">
        <w:rPr>
          <w:rFonts w:ascii="Times New Roman Bold" w:hAnsi="Times New Roman Bold"/>
          <w:snapToGrid/>
          <w:color w:val="000000" w:themeColor="text1"/>
          <w:spacing w:val="0"/>
          <w:kern w:val="0"/>
          <w:sz w:val="20"/>
          <w:szCs w:val="20"/>
          <w:lang w:val="en-CA" w:eastAsia="en-CA" w:bidi="ar-SA"/>
          <w14:ligatures w14:val="none"/>
        </w:rPr>
        <w:instrText xml:space="preserve"> SEQ Table \* ARABIC \s 1 </w:instrText>
      </w:r>
      <w:r w:rsidRPr="00EF2F5B">
        <w:rPr>
          <w:rFonts w:ascii="Times New Roman Bold" w:hAnsi="Times New Roman Bold"/>
          <w:snapToGrid/>
          <w:color w:val="000000" w:themeColor="text1"/>
          <w:spacing w:val="0"/>
          <w:kern w:val="0"/>
          <w:sz w:val="20"/>
          <w:szCs w:val="20"/>
          <w:lang w:val="en-CA" w:eastAsia="en-CA" w:bidi="ar-SA"/>
          <w14:ligatures w14:val="none"/>
        </w:rPr>
        <w:fldChar w:fldCharType="separate"/>
      </w:r>
      <w:r w:rsidRPr="00EF2F5B">
        <w:rPr>
          <w:rFonts w:ascii="Times New Roman Bold" w:hAnsi="Times New Roman Bold"/>
          <w:noProof/>
          <w:snapToGrid/>
          <w:color w:val="000000" w:themeColor="text1"/>
          <w:spacing w:val="0"/>
          <w:kern w:val="0"/>
          <w:sz w:val="20"/>
          <w:szCs w:val="20"/>
          <w:lang w:val="en-CA" w:eastAsia="en-CA" w:bidi="ar-SA"/>
          <w14:ligatures w14:val="none"/>
        </w:rPr>
        <w:t>7</w:t>
      </w:r>
      <w:r w:rsidRPr="00EF2F5B">
        <w:rPr>
          <w:rFonts w:ascii="Times New Roman Bold" w:hAnsi="Times New Roman Bold"/>
          <w:noProof/>
          <w:snapToGrid/>
          <w:color w:val="000000" w:themeColor="text1"/>
          <w:spacing w:val="0"/>
          <w:kern w:val="0"/>
          <w:sz w:val="20"/>
          <w:szCs w:val="20"/>
          <w:lang w:val="en-CA" w:eastAsia="en-CA" w:bidi="ar-SA"/>
          <w14:ligatures w14:val="none"/>
        </w:rPr>
        <w:fldChar w:fldCharType="end"/>
      </w:r>
      <w:bookmarkEnd w:id="19"/>
      <w:r w:rsidRPr="00EF2F5B">
        <w:rPr>
          <w:rFonts w:ascii="Times New Roman Bold" w:hAnsi="Times New Roman Bold"/>
          <w:color w:val="000000" w:themeColor="text1"/>
          <w:spacing w:val="0"/>
          <w:kern w:val="0"/>
          <w:sz w:val="20"/>
          <w:szCs w:val="20"/>
          <w:lang w:eastAsia="en-CA" w:bidi="ar-SA"/>
          <w14:ligatures w14:val="none"/>
        </w:rPr>
        <w:t xml:space="preserve"> </w:t>
      </w:r>
      <w:r w:rsidRPr="00EF2F5B">
        <w:rPr>
          <w:rFonts w:ascii="Times New Roman Bold" w:hAnsi="Times New Roman Bold"/>
          <w:color w:val="000000" w:themeColor="text1"/>
          <w:spacing w:val="0"/>
          <w:kern w:val="0"/>
          <w:sz w:val="20"/>
          <w:szCs w:val="20"/>
          <w:lang w:eastAsia="en-CA"/>
          <w14:ligatures w14:val="none"/>
        </w:rPr>
        <w:t>Environmental Zones by ILP</w:t>
      </w:r>
      <w:bookmarkEnd w:id="20"/>
      <w:bookmarkEnd w:id="21"/>
    </w:p>
    <w:p w14:paraId="1864A3D4" w14:textId="77777777" w:rsidR="00336F99" w:rsidRPr="00EF2F5B" w:rsidRDefault="00336F99" w:rsidP="00F0093D">
      <w:pPr>
        <w:spacing w:after="0" w:line="240" w:lineRule="auto"/>
        <w:jc w:val="center"/>
        <w:rPr>
          <w:rFonts w:eastAsia="Times New Roman"/>
          <w:color w:val="000000" w:themeColor="text1"/>
          <w:spacing w:val="0"/>
          <w:kern w:val="0"/>
          <w:sz w:val="16"/>
          <w:szCs w:val="16"/>
          <w:lang w:val="en-GB" w:eastAsia="en-GB"/>
          <w14:ligatures w14:val="none"/>
        </w:rPr>
      </w:pPr>
      <w:r w:rsidRPr="00EF2F5B">
        <w:rPr>
          <w:rFonts w:eastAsia="Times New Roman"/>
          <w:color w:val="000000" w:themeColor="text1"/>
          <w:spacing w:val="0"/>
          <w:kern w:val="0"/>
          <w:sz w:val="16"/>
          <w:szCs w:val="16"/>
          <w:lang w:val="en-GB" w:eastAsia="en-GB"/>
          <w14:ligatures w14:val="none"/>
        </w:rPr>
        <w:t>Source: Compiled by the author (ILP GN01, 2021)</w:t>
      </w:r>
    </w:p>
    <w:p w14:paraId="662FD62F" w14:textId="77777777" w:rsidR="004057F5" w:rsidRPr="00EF2F5B" w:rsidRDefault="004057F5" w:rsidP="00F0093D">
      <w:pPr>
        <w:spacing w:after="0" w:line="240" w:lineRule="auto"/>
        <w:jc w:val="center"/>
        <w:rPr>
          <w:rFonts w:eastAsia="Times New Roman"/>
          <w:color w:val="000000" w:themeColor="text1"/>
          <w:spacing w:val="0"/>
          <w:kern w:val="0"/>
          <w:sz w:val="16"/>
          <w:szCs w:val="16"/>
          <w:lang w:val="en-GB" w:eastAsia="en-GB"/>
          <w14:ligatures w14:val="none"/>
        </w:rPr>
      </w:pPr>
    </w:p>
    <w:tbl>
      <w:tblPr>
        <w:tblpPr w:leftFromText="180" w:rightFromText="180" w:vertAnchor="text" w:tblpXSpec="center"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276"/>
        <w:gridCol w:w="992"/>
        <w:gridCol w:w="2126"/>
        <w:gridCol w:w="3681"/>
      </w:tblGrid>
      <w:tr w:rsidR="00EF2F5B" w:rsidRPr="00EF2F5B" w14:paraId="401EBD5F" w14:textId="77777777" w:rsidTr="006617F6">
        <w:tc>
          <w:tcPr>
            <w:tcW w:w="851" w:type="dxa"/>
            <w:vAlign w:val="center"/>
          </w:tcPr>
          <w:p w14:paraId="67EDAFB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cs/>
                <w14:ligatures w14:val="none"/>
              </w:rPr>
            </w:pPr>
            <w:r w:rsidRPr="00EF2F5B">
              <w:rPr>
                <w:rFonts w:eastAsia="Times New Roman"/>
                <w:color w:val="000000" w:themeColor="text1"/>
                <w:spacing w:val="0"/>
                <w:kern w:val="0"/>
                <w:sz w:val="20"/>
                <w:szCs w:val="20"/>
                <w:cs/>
                <w14:ligatures w14:val="none"/>
              </w:rPr>
              <w:t>No.</w:t>
            </w:r>
          </w:p>
        </w:tc>
        <w:tc>
          <w:tcPr>
            <w:tcW w:w="1276" w:type="dxa"/>
            <w:vAlign w:val="center"/>
          </w:tcPr>
          <w:p w14:paraId="247AE60F"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Surrounding</w:t>
            </w:r>
          </w:p>
        </w:tc>
        <w:tc>
          <w:tcPr>
            <w:tcW w:w="992" w:type="dxa"/>
          </w:tcPr>
          <w:p w14:paraId="19D89A7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OL Zones</w:t>
            </w:r>
          </w:p>
        </w:tc>
        <w:tc>
          <w:tcPr>
            <w:tcW w:w="2126" w:type="dxa"/>
          </w:tcPr>
          <w:p w14:paraId="25AB09AC"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OL Environment</w:t>
            </w:r>
          </w:p>
        </w:tc>
        <w:tc>
          <w:tcPr>
            <w:tcW w:w="3681" w:type="dxa"/>
          </w:tcPr>
          <w:p w14:paraId="2D9ECCAC"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Examples</w:t>
            </w:r>
          </w:p>
        </w:tc>
      </w:tr>
      <w:tr w:rsidR="00EF2F5B" w:rsidRPr="00EF2F5B" w14:paraId="2164AEB8" w14:textId="77777777" w:rsidTr="006617F6">
        <w:trPr>
          <w:trHeight w:val="284"/>
        </w:trPr>
        <w:tc>
          <w:tcPr>
            <w:tcW w:w="851" w:type="dxa"/>
            <w:vAlign w:val="center"/>
          </w:tcPr>
          <w:p w14:paraId="7653CC03" w14:textId="16F9E34B"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cs/>
                <w14:ligatures w14:val="none"/>
              </w:rPr>
            </w:pPr>
            <w:r w:rsidRPr="00EF2F5B">
              <w:rPr>
                <w:rFonts w:eastAsia="Times New Roman"/>
                <w:color w:val="000000" w:themeColor="text1"/>
                <w:spacing w:val="0"/>
                <w:kern w:val="0"/>
                <w:sz w:val="20"/>
                <w:szCs w:val="20"/>
                <w14:ligatures w14:val="none"/>
              </w:rPr>
              <w:t>7a</w:t>
            </w:r>
          </w:p>
        </w:tc>
        <w:tc>
          <w:tcPr>
            <w:tcW w:w="1276" w:type="dxa"/>
            <w:vAlign w:val="center"/>
          </w:tcPr>
          <w:p w14:paraId="07C67B8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Protected</w:t>
            </w:r>
          </w:p>
        </w:tc>
        <w:tc>
          <w:tcPr>
            <w:tcW w:w="992" w:type="dxa"/>
            <w:vAlign w:val="center"/>
          </w:tcPr>
          <w:p w14:paraId="647D2422"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E0</w:t>
            </w:r>
          </w:p>
        </w:tc>
        <w:tc>
          <w:tcPr>
            <w:tcW w:w="2126" w:type="dxa"/>
            <w:vAlign w:val="center"/>
          </w:tcPr>
          <w:p w14:paraId="2FE01A7F"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“Dark” (SQM 20.5+)</w:t>
            </w:r>
          </w:p>
        </w:tc>
        <w:tc>
          <w:tcPr>
            <w:tcW w:w="3681" w:type="dxa"/>
          </w:tcPr>
          <w:p w14:paraId="4365546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 xml:space="preserve">“Astronomical observable dark skies, UNESCO Starlight Reserves, IDA Dark Sky Places” (ILP GN01, 2021). </w:t>
            </w:r>
          </w:p>
        </w:tc>
      </w:tr>
      <w:tr w:rsidR="00EF2F5B" w:rsidRPr="00EF2F5B" w14:paraId="6F884486" w14:textId="77777777" w:rsidTr="006617F6">
        <w:trPr>
          <w:trHeight w:val="284"/>
        </w:trPr>
        <w:tc>
          <w:tcPr>
            <w:tcW w:w="851" w:type="dxa"/>
            <w:vAlign w:val="center"/>
          </w:tcPr>
          <w:p w14:paraId="2E8F8982" w14:textId="686F65E6"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7b</w:t>
            </w:r>
          </w:p>
        </w:tc>
        <w:tc>
          <w:tcPr>
            <w:tcW w:w="1276" w:type="dxa"/>
            <w:vAlign w:val="center"/>
          </w:tcPr>
          <w:p w14:paraId="539B10B3"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Natural</w:t>
            </w:r>
          </w:p>
        </w:tc>
        <w:tc>
          <w:tcPr>
            <w:tcW w:w="992" w:type="dxa"/>
            <w:vAlign w:val="center"/>
          </w:tcPr>
          <w:p w14:paraId="7EDC8003"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E1</w:t>
            </w:r>
          </w:p>
        </w:tc>
        <w:tc>
          <w:tcPr>
            <w:tcW w:w="2126" w:type="dxa"/>
            <w:vAlign w:val="center"/>
          </w:tcPr>
          <w:p w14:paraId="6C27DCE3"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“Dark” (SQM20 to 20.5)</w:t>
            </w:r>
          </w:p>
        </w:tc>
        <w:tc>
          <w:tcPr>
            <w:tcW w:w="3681" w:type="dxa"/>
          </w:tcPr>
          <w:p w14:paraId="5051DC96"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“Relatively uninhabited rural areas, National Parks, Areas of Outstanding Natural Beauty, IDA buffer zones, etc.” (ILP GN01, 2021).</w:t>
            </w:r>
          </w:p>
        </w:tc>
      </w:tr>
      <w:tr w:rsidR="00EF2F5B" w:rsidRPr="00EF2F5B" w14:paraId="665B17EF" w14:textId="77777777" w:rsidTr="006617F6">
        <w:trPr>
          <w:trHeight w:val="284"/>
        </w:trPr>
        <w:tc>
          <w:tcPr>
            <w:tcW w:w="851" w:type="dxa"/>
            <w:vAlign w:val="center"/>
          </w:tcPr>
          <w:p w14:paraId="59B9C74F" w14:textId="1A200571"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7c</w:t>
            </w:r>
          </w:p>
        </w:tc>
        <w:tc>
          <w:tcPr>
            <w:tcW w:w="1276" w:type="dxa"/>
            <w:vAlign w:val="center"/>
          </w:tcPr>
          <w:p w14:paraId="471FFAA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Rural</w:t>
            </w:r>
          </w:p>
        </w:tc>
        <w:tc>
          <w:tcPr>
            <w:tcW w:w="992" w:type="dxa"/>
            <w:vAlign w:val="center"/>
          </w:tcPr>
          <w:p w14:paraId="30DF305C"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E2</w:t>
            </w:r>
          </w:p>
        </w:tc>
        <w:tc>
          <w:tcPr>
            <w:tcW w:w="2126" w:type="dxa"/>
            <w:vAlign w:val="center"/>
          </w:tcPr>
          <w:p w14:paraId="7D4EF789"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“Low</w:t>
            </w:r>
            <w:r w:rsidRPr="00EF2F5B">
              <w:rPr>
                <w:color w:val="000000" w:themeColor="text1"/>
                <w:spacing w:val="0"/>
                <w:kern w:val="0"/>
                <w:sz w:val="20"/>
                <w:szCs w:val="20"/>
                <w14:ligatures w14:val="none"/>
              </w:rPr>
              <w:t xml:space="preserve"> </w:t>
            </w:r>
            <w:r w:rsidRPr="00EF2F5B">
              <w:rPr>
                <w:rFonts w:eastAsia="Times New Roman"/>
                <w:color w:val="000000" w:themeColor="text1"/>
                <w:spacing w:val="0"/>
                <w:kern w:val="0"/>
                <w:sz w:val="20"/>
                <w:szCs w:val="20"/>
                <w14:ligatures w14:val="none"/>
              </w:rPr>
              <w:t>district brightness”</w:t>
            </w:r>
          </w:p>
        </w:tc>
        <w:tc>
          <w:tcPr>
            <w:tcW w:w="3681" w:type="dxa"/>
          </w:tcPr>
          <w:p w14:paraId="597B32DC"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lang w:bidi="ar-SA"/>
                <w14:ligatures w14:val="none"/>
              </w:rPr>
              <w:t>“Sparsely inhabited rural areas, village or relatively dark outer suburban locations” (ILP GN01, 2021).</w:t>
            </w:r>
          </w:p>
        </w:tc>
      </w:tr>
      <w:tr w:rsidR="00EF2F5B" w:rsidRPr="00EF2F5B" w14:paraId="2E9DFC7D" w14:textId="77777777" w:rsidTr="006617F6">
        <w:trPr>
          <w:trHeight w:val="518"/>
        </w:trPr>
        <w:tc>
          <w:tcPr>
            <w:tcW w:w="851" w:type="dxa"/>
            <w:vAlign w:val="center"/>
          </w:tcPr>
          <w:p w14:paraId="4FB208E2" w14:textId="4015CD90"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7d</w:t>
            </w:r>
          </w:p>
        </w:tc>
        <w:tc>
          <w:tcPr>
            <w:tcW w:w="1276" w:type="dxa"/>
            <w:vAlign w:val="center"/>
          </w:tcPr>
          <w:p w14:paraId="7C0BB6D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Suburban</w:t>
            </w:r>
          </w:p>
        </w:tc>
        <w:tc>
          <w:tcPr>
            <w:tcW w:w="992" w:type="dxa"/>
            <w:vAlign w:val="center"/>
          </w:tcPr>
          <w:p w14:paraId="68734AA6"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E3</w:t>
            </w:r>
          </w:p>
        </w:tc>
        <w:tc>
          <w:tcPr>
            <w:tcW w:w="2126" w:type="dxa"/>
            <w:vAlign w:val="center"/>
          </w:tcPr>
          <w:p w14:paraId="2A03A0A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(SQM 15 to 20)</w:t>
            </w:r>
          </w:p>
          <w:p w14:paraId="6836815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“Medium</w:t>
            </w:r>
            <w:r w:rsidRPr="00EF2F5B">
              <w:rPr>
                <w:color w:val="000000" w:themeColor="text1"/>
                <w:spacing w:val="0"/>
                <w:kern w:val="0"/>
                <w:sz w:val="20"/>
                <w:szCs w:val="20"/>
                <w14:ligatures w14:val="none"/>
              </w:rPr>
              <w:t xml:space="preserve"> </w:t>
            </w:r>
            <w:r w:rsidRPr="00EF2F5B">
              <w:rPr>
                <w:rFonts w:eastAsia="Times New Roman"/>
                <w:color w:val="000000" w:themeColor="text1"/>
                <w:spacing w:val="0"/>
                <w:kern w:val="0"/>
                <w:sz w:val="20"/>
                <w:szCs w:val="20"/>
                <w:lang w:bidi="ar-SA"/>
                <w14:ligatures w14:val="none"/>
              </w:rPr>
              <w:t>district brightness”</w:t>
            </w:r>
          </w:p>
        </w:tc>
        <w:tc>
          <w:tcPr>
            <w:tcW w:w="3681" w:type="dxa"/>
          </w:tcPr>
          <w:p w14:paraId="0E0D485E" w14:textId="0DB57DE6"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w:t>
            </w:r>
            <w:r w:rsidR="00BD7DA0" w:rsidRPr="00EF2F5B">
              <w:rPr>
                <w:rFonts w:eastAsia="Times New Roman"/>
                <w:color w:val="000000" w:themeColor="text1"/>
                <w:spacing w:val="0"/>
                <w:kern w:val="0"/>
                <w:sz w:val="20"/>
                <w:szCs w:val="20"/>
                <w:lang w:bidi="ar-SA"/>
                <w14:ligatures w14:val="none"/>
              </w:rPr>
              <w:t>Well-inhabited</w:t>
            </w:r>
            <w:r w:rsidRPr="00EF2F5B">
              <w:rPr>
                <w:rFonts w:eastAsia="Times New Roman"/>
                <w:color w:val="000000" w:themeColor="text1"/>
                <w:spacing w:val="0"/>
                <w:kern w:val="0"/>
                <w:sz w:val="20"/>
                <w:szCs w:val="20"/>
                <w:lang w:bidi="ar-SA"/>
                <w14:ligatures w14:val="none"/>
              </w:rPr>
              <w:t xml:space="preserve"> rural and urban settlements, small town centres of suburban locations” (ILP GN01, 2021).</w:t>
            </w:r>
          </w:p>
        </w:tc>
      </w:tr>
      <w:tr w:rsidR="00EF2F5B" w:rsidRPr="00EF2F5B" w14:paraId="530B17AC" w14:textId="77777777" w:rsidTr="006617F6">
        <w:trPr>
          <w:trHeight w:val="284"/>
        </w:trPr>
        <w:tc>
          <w:tcPr>
            <w:tcW w:w="851" w:type="dxa"/>
            <w:vAlign w:val="center"/>
          </w:tcPr>
          <w:p w14:paraId="7DEC260B" w14:textId="7117610D"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7e</w:t>
            </w:r>
          </w:p>
        </w:tc>
        <w:tc>
          <w:tcPr>
            <w:tcW w:w="1276" w:type="dxa"/>
            <w:vAlign w:val="center"/>
          </w:tcPr>
          <w:p w14:paraId="677C5DA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Urban</w:t>
            </w:r>
          </w:p>
        </w:tc>
        <w:tc>
          <w:tcPr>
            <w:tcW w:w="992" w:type="dxa"/>
            <w:vAlign w:val="center"/>
          </w:tcPr>
          <w:p w14:paraId="2921614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E4</w:t>
            </w:r>
          </w:p>
        </w:tc>
        <w:tc>
          <w:tcPr>
            <w:tcW w:w="2126" w:type="dxa"/>
            <w:vAlign w:val="center"/>
          </w:tcPr>
          <w:p w14:paraId="009DAE93"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“High district brightness”</w:t>
            </w:r>
          </w:p>
        </w:tc>
        <w:tc>
          <w:tcPr>
            <w:tcW w:w="3681" w:type="dxa"/>
          </w:tcPr>
          <w:p w14:paraId="3C3EDF58"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“Town/city centres with high levels of night-time activity” (ILP GN01, 2021).</w:t>
            </w:r>
          </w:p>
        </w:tc>
      </w:tr>
    </w:tbl>
    <w:p w14:paraId="6B980B95" w14:textId="77777777" w:rsidR="00336F99" w:rsidRPr="00EF2F5B" w:rsidRDefault="00336F99" w:rsidP="00F0093D">
      <w:pPr>
        <w:spacing w:after="0" w:line="240" w:lineRule="auto"/>
        <w:jc w:val="both"/>
        <w:rPr>
          <w:rFonts w:eastAsia="Times New Roman"/>
          <w:bCs/>
          <w:color w:val="000000" w:themeColor="text1"/>
          <w:spacing w:val="0"/>
          <w:kern w:val="0"/>
          <w:lang w:val="en-CA" w:eastAsia="en-CA" w:bidi="ar-SA"/>
          <w14:ligatures w14:val="none"/>
        </w:rPr>
      </w:pPr>
    </w:p>
    <w:p w14:paraId="430134C3" w14:textId="1D2090EB" w:rsidR="00336F99" w:rsidRPr="00EF2F5B" w:rsidRDefault="00336F99" w:rsidP="004057F5">
      <w:pPr>
        <w:spacing w:after="0" w:line="240" w:lineRule="auto"/>
        <w:jc w:val="both"/>
        <w:rPr>
          <w:color w:val="000000" w:themeColor="text1"/>
          <w:spacing w:val="0"/>
        </w:rPr>
      </w:pPr>
      <w:r w:rsidRPr="00EF2F5B">
        <w:rPr>
          <w:color w:val="000000" w:themeColor="text1"/>
          <w:spacing w:val="0"/>
        </w:rPr>
        <w:t>The IDA refers to the Sky Quality Meter (SQM), a device that measures the night sky luminance.  Astronomers typically use it to quantify the brightness of skyglow, measured in magnitudes per square arcsecond. This practical scale ranges from 16.00, indicating a bright night sky, to 22.00, representing minimal O</w:t>
      </w:r>
      <w:r w:rsidR="00EA1D8D" w:rsidRPr="00EF2F5B">
        <w:rPr>
          <w:color w:val="000000" w:themeColor="text1"/>
          <w:spacing w:val="0"/>
        </w:rPr>
        <w:t>TL</w:t>
      </w:r>
      <w:r w:rsidRPr="00EF2F5B">
        <w:rPr>
          <w:color w:val="000000" w:themeColor="text1"/>
          <w:spacing w:val="0"/>
        </w:rPr>
        <w:t>, facilitating the measurement and evaluation of O</w:t>
      </w:r>
      <w:r w:rsidR="00EA1D8D" w:rsidRPr="00EF2F5B">
        <w:rPr>
          <w:color w:val="000000" w:themeColor="text1"/>
          <w:spacing w:val="0"/>
        </w:rPr>
        <w:t>TL</w:t>
      </w:r>
      <w:r w:rsidRPr="00EF2F5B">
        <w:rPr>
          <w:color w:val="000000" w:themeColor="text1"/>
          <w:spacing w:val="0"/>
        </w:rPr>
        <w:t xml:space="preserve"> levels.</w:t>
      </w:r>
    </w:p>
    <w:p w14:paraId="321B0945" w14:textId="77777777" w:rsidR="004057F5" w:rsidRPr="00EF2F5B" w:rsidRDefault="004057F5" w:rsidP="004057F5">
      <w:pPr>
        <w:spacing w:after="0" w:line="240" w:lineRule="auto"/>
        <w:jc w:val="both"/>
        <w:rPr>
          <w:color w:val="000000" w:themeColor="text1"/>
          <w:spacing w:val="0"/>
        </w:rPr>
      </w:pPr>
    </w:p>
    <w:p w14:paraId="2051EA65" w14:textId="778A8A3F" w:rsidR="00336F99" w:rsidRPr="00EF2F5B" w:rsidRDefault="00336F99" w:rsidP="004057F5">
      <w:pPr>
        <w:spacing w:after="0" w:line="240" w:lineRule="auto"/>
        <w:jc w:val="both"/>
        <w:rPr>
          <w:color w:val="000000" w:themeColor="text1"/>
          <w:spacing w:val="0"/>
        </w:rPr>
      </w:pPr>
      <w:r w:rsidRPr="00EF2F5B">
        <w:rPr>
          <w:color w:val="000000" w:themeColor="text1"/>
          <w:spacing w:val="0"/>
        </w:rPr>
        <w:t xml:space="preserve">The highest light level of vertical illuminance on property lines needs to be determined. These thresholds are enforced for surrounding residential properties, primarily where the windows are situated.  The OL levels are the sum of all the ALAN installations.  </w:t>
      </w:r>
      <w:r w:rsidRPr="00EF2F5B">
        <w:rPr>
          <w:color w:val="000000" w:themeColor="text1"/>
          <w:spacing w:val="0"/>
        </w:rPr>
        <w:fldChar w:fldCharType="begin"/>
      </w:r>
      <w:r w:rsidRPr="00EF2F5B">
        <w:rPr>
          <w:color w:val="000000" w:themeColor="text1"/>
          <w:spacing w:val="0"/>
        </w:rPr>
        <w:instrText xml:space="preserve"> REF _Ref123331630 \h </w:instrText>
      </w:r>
      <w:r w:rsidR="00E2784B" w:rsidRPr="00EF2F5B">
        <w:rPr>
          <w:color w:val="000000" w:themeColor="text1"/>
          <w:spacing w:val="0"/>
        </w:rPr>
        <w:instrText xml:space="preserve"> \* MERGEFORMAT </w:instrText>
      </w:r>
      <w:r w:rsidRPr="00EF2F5B">
        <w:rPr>
          <w:color w:val="000000" w:themeColor="text1"/>
          <w:spacing w:val="0"/>
        </w:rPr>
      </w:r>
      <w:r w:rsidRPr="00EF2F5B">
        <w:rPr>
          <w:color w:val="000000" w:themeColor="text1"/>
          <w:spacing w:val="0"/>
        </w:rPr>
        <w:fldChar w:fldCharType="separate"/>
      </w:r>
      <w:r w:rsidRPr="00EF2F5B">
        <w:rPr>
          <w:color w:val="000000" w:themeColor="text1"/>
          <w:spacing w:val="0"/>
        </w:rPr>
        <w:t>Table 8</w:t>
      </w:r>
      <w:r w:rsidRPr="00EF2F5B">
        <w:rPr>
          <w:color w:val="000000" w:themeColor="text1"/>
          <w:spacing w:val="0"/>
        </w:rPr>
        <w:fldChar w:fldCharType="end"/>
      </w:r>
      <w:r w:rsidRPr="00EF2F5B">
        <w:rPr>
          <w:color w:val="000000" w:themeColor="text1"/>
          <w:spacing w:val="0"/>
        </w:rPr>
        <w:t xml:space="preserve"> below shows the proposed highest vertical illuminance on property lines:</w:t>
      </w:r>
    </w:p>
    <w:p w14:paraId="4C29316F" w14:textId="77777777" w:rsidR="004057F5" w:rsidRPr="00EF2F5B" w:rsidRDefault="004057F5" w:rsidP="00F0093D">
      <w:pPr>
        <w:spacing w:after="0" w:line="240" w:lineRule="auto"/>
        <w:rPr>
          <w:color w:val="000000" w:themeColor="text1"/>
          <w:spacing w:val="0"/>
        </w:rPr>
      </w:pPr>
    </w:p>
    <w:p w14:paraId="0199D819" w14:textId="6A841585" w:rsidR="00336F99" w:rsidRPr="00EF2F5B" w:rsidRDefault="00336F99" w:rsidP="00F0093D">
      <w:pPr>
        <w:spacing w:after="0" w:line="240" w:lineRule="auto"/>
        <w:jc w:val="center"/>
        <w:rPr>
          <w:rFonts w:ascii="Times New Roman Bold" w:hAnsi="Times New Roman Bold"/>
          <w:color w:val="000000" w:themeColor="text1"/>
          <w:spacing w:val="0"/>
          <w:kern w:val="0"/>
          <w:sz w:val="20"/>
          <w:szCs w:val="20"/>
          <w:lang w:eastAsia="en-CA"/>
          <w14:ligatures w14:val="none"/>
        </w:rPr>
      </w:pPr>
      <w:bookmarkStart w:id="22" w:name="_Ref123331630"/>
      <w:bookmarkStart w:id="23" w:name="_Toc109780804"/>
      <w:bookmarkStart w:id="24" w:name="_Toc205658518"/>
      <w:r w:rsidRPr="00EF2F5B">
        <w:rPr>
          <w:rFonts w:ascii="Times New Roman Bold" w:hAnsi="Times New Roman Bold"/>
          <w:snapToGrid/>
          <w:color w:val="000000" w:themeColor="text1"/>
          <w:spacing w:val="0"/>
          <w:kern w:val="0"/>
          <w:sz w:val="20"/>
          <w:szCs w:val="20"/>
          <w:lang w:val="en-CA" w:eastAsia="en-CA" w:bidi="ar-SA"/>
          <w14:ligatures w14:val="none"/>
        </w:rPr>
        <w:lastRenderedPageBreak/>
        <w:t xml:space="preserve">Table </w:t>
      </w:r>
      <w:r w:rsidRPr="00EF2F5B">
        <w:rPr>
          <w:rFonts w:ascii="Times New Roman Bold" w:hAnsi="Times New Roman Bold"/>
          <w:snapToGrid/>
          <w:color w:val="000000" w:themeColor="text1"/>
          <w:spacing w:val="0"/>
          <w:kern w:val="0"/>
          <w:sz w:val="20"/>
          <w:szCs w:val="20"/>
          <w:lang w:val="en-CA" w:eastAsia="en-CA" w:bidi="ar-SA"/>
          <w14:ligatures w14:val="none"/>
        </w:rPr>
        <w:fldChar w:fldCharType="begin"/>
      </w:r>
      <w:r w:rsidRPr="00EF2F5B">
        <w:rPr>
          <w:rFonts w:ascii="Times New Roman Bold" w:hAnsi="Times New Roman Bold"/>
          <w:snapToGrid/>
          <w:color w:val="000000" w:themeColor="text1"/>
          <w:spacing w:val="0"/>
          <w:kern w:val="0"/>
          <w:sz w:val="20"/>
          <w:szCs w:val="20"/>
          <w:lang w:val="en-CA" w:eastAsia="en-CA" w:bidi="ar-SA"/>
          <w14:ligatures w14:val="none"/>
        </w:rPr>
        <w:instrText xml:space="preserve"> SEQ Table \* ARABIC \s 1 </w:instrText>
      </w:r>
      <w:r w:rsidRPr="00EF2F5B">
        <w:rPr>
          <w:rFonts w:ascii="Times New Roman Bold" w:hAnsi="Times New Roman Bold"/>
          <w:snapToGrid/>
          <w:color w:val="000000" w:themeColor="text1"/>
          <w:spacing w:val="0"/>
          <w:kern w:val="0"/>
          <w:sz w:val="20"/>
          <w:szCs w:val="20"/>
          <w:lang w:val="en-CA" w:eastAsia="en-CA" w:bidi="ar-SA"/>
          <w14:ligatures w14:val="none"/>
        </w:rPr>
        <w:fldChar w:fldCharType="separate"/>
      </w:r>
      <w:r w:rsidRPr="00EF2F5B">
        <w:rPr>
          <w:rFonts w:ascii="Times New Roman Bold" w:hAnsi="Times New Roman Bold"/>
          <w:noProof/>
          <w:snapToGrid/>
          <w:color w:val="000000" w:themeColor="text1"/>
          <w:spacing w:val="0"/>
          <w:kern w:val="0"/>
          <w:sz w:val="20"/>
          <w:szCs w:val="20"/>
          <w:lang w:val="en-CA" w:eastAsia="en-CA" w:bidi="ar-SA"/>
          <w14:ligatures w14:val="none"/>
        </w:rPr>
        <w:t>8</w:t>
      </w:r>
      <w:r w:rsidRPr="00EF2F5B">
        <w:rPr>
          <w:rFonts w:ascii="Times New Roman Bold" w:hAnsi="Times New Roman Bold"/>
          <w:noProof/>
          <w:snapToGrid/>
          <w:color w:val="000000" w:themeColor="text1"/>
          <w:spacing w:val="0"/>
          <w:kern w:val="0"/>
          <w:sz w:val="20"/>
          <w:szCs w:val="20"/>
          <w:lang w:val="en-CA" w:eastAsia="en-CA" w:bidi="ar-SA"/>
          <w14:ligatures w14:val="none"/>
        </w:rPr>
        <w:fldChar w:fldCharType="end"/>
      </w:r>
      <w:bookmarkEnd w:id="22"/>
      <w:r w:rsidRPr="00EF2F5B">
        <w:rPr>
          <w:rFonts w:ascii="Times New Roman Bold" w:hAnsi="Times New Roman Bold"/>
          <w:snapToGrid/>
          <w:color w:val="000000" w:themeColor="text1"/>
          <w:spacing w:val="0"/>
          <w:kern w:val="0"/>
          <w:sz w:val="20"/>
          <w:szCs w:val="20"/>
          <w:lang w:val="en-CA" w:eastAsia="en-CA" w:bidi="ar-SA"/>
          <w14:ligatures w14:val="none"/>
        </w:rPr>
        <w:t xml:space="preserve"> The </w:t>
      </w:r>
      <w:r w:rsidRPr="00EF2F5B">
        <w:rPr>
          <w:rFonts w:ascii="Times New Roman Bold" w:hAnsi="Times New Roman Bold"/>
          <w:color w:val="000000" w:themeColor="text1"/>
          <w:spacing w:val="0"/>
          <w:kern w:val="0"/>
          <w:sz w:val="20"/>
          <w:szCs w:val="20"/>
          <w:lang w:eastAsia="en-CA"/>
          <w14:ligatures w14:val="none"/>
        </w:rPr>
        <w:t>proposed maximum vertical illuminance on ROW</w:t>
      </w:r>
      <w:bookmarkEnd w:id="23"/>
      <w:bookmarkEnd w:id="24"/>
    </w:p>
    <w:p w14:paraId="0603DB6D" w14:textId="77777777" w:rsidR="00336F99" w:rsidRPr="00EF2F5B" w:rsidRDefault="00336F99" w:rsidP="00F0093D">
      <w:pPr>
        <w:spacing w:after="0" w:line="240" w:lineRule="auto"/>
        <w:jc w:val="center"/>
        <w:rPr>
          <w:rFonts w:eastAsia="Times New Roman"/>
          <w:color w:val="000000" w:themeColor="text1"/>
          <w:spacing w:val="0"/>
          <w:kern w:val="0"/>
          <w:sz w:val="16"/>
          <w:szCs w:val="16"/>
          <w:lang w:val="en-GB" w:eastAsia="en-GB"/>
          <w14:ligatures w14:val="none"/>
        </w:rPr>
      </w:pPr>
      <w:r w:rsidRPr="00EF2F5B">
        <w:rPr>
          <w:rFonts w:eastAsia="Times New Roman"/>
          <w:color w:val="000000" w:themeColor="text1"/>
          <w:spacing w:val="0"/>
          <w:kern w:val="0"/>
          <w:sz w:val="16"/>
          <w:szCs w:val="16"/>
          <w:lang w:val="en-GB" w:eastAsia="en-GB"/>
          <w14:ligatures w14:val="none"/>
        </w:rPr>
        <w:t>Source: Compiled by the author (ILP GN01, 2021)</w:t>
      </w:r>
    </w:p>
    <w:tbl>
      <w:tblPr>
        <w:tblW w:w="8226" w:type="dxa"/>
        <w:jc w:val="center"/>
        <w:tblLayout w:type="fixed"/>
        <w:tblCellMar>
          <w:left w:w="70" w:type="dxa"/>
          <w:right w:w="70" w:type="dxa"/>
        </w:tblCellMar>
        <w:tblLook w:val="0000" w:firstRow="0" w:lastRow="0" w:firstColumn="0" w:lastColumn="0" w:noHBand="0" w:noVBand="0"/>
      </w:tblPr>
      <w:tblGrid>
        <w:gridCol w:w="2016"/>
        <w:gridCol w:w="1614"/>
        <w:gridCol w:w="945"/>
        <w:gridCol w:w="945"/>
        <w:gridCol w:w="811"/>
        <w:gridCol w:w="946"/>
        <w:gridCol w:w="534"/>
        <w:gridCol w:w="415"/>
      </w:tblGrid>
      <w:tr w:rsidR="00EF2F5B" w:rsidRPr="00EF2F5B" w14:paraId="7BB16376" w14:textId="77777777" w:rsidTr="006617F6">
        <w:trPr>
          <w:gridAfter w:val="1"/>
          <w:wAfter w:w="12" w:type="dxa"/>
          <w:jc w:val="center"/>
        </w:trPr>
        <w:tc>
          <w:tcPr>
            <w:tcW w:w="2127" w:type="dxa"/>
            <w:vMerge w:val="restart"/>
            <w:tcBorders>
              <w:top w:val="single" w:sz="4" w:space="0" w:color="auto"/>
              <w:left w:val="single" w:sz="4" w:space="0" w:color="auto"/>
              <w:bottom w:val="single" w:sz="4" w:space="0" w:color="auto"/>
              <w:right w:val="single" w:sz="4" w:space="0" w:color="auto"/>
            </w:tcBorders>
          </w:tcPr>
          <w:p w14:paraId="5D059BBF"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cs/>
                <w14:ligatures w14:val="none"/>
              </w:rPr>
            </w:pPr>
            <w:r w:rsidRPr="00EF2F5B">
              <w:rPr>
                <w:rFonts w:eastAsia="Times New Roman"/>
                <w:color w:val="000000" w:themeColor="text1"/>
                <w:spacing w:val="0"/>
                <w:kern w:val="0"/>
                <w:sz w:val="20"/>
                <w:szCs w:val="20"/>
                <w14:ligatures w14:val="none"/>
              </w:rPr>
              <w:t>OL Technical Parameter</w:t>
            </w:r>
          </w:p>
        </w:tc>
        <w:tc>
          <w:tcPr>
            <w:tcW w:w="1701" w:type="dxa"/>
            <w:vMerge w:val="restart"/>
            <w:tcBorders>
              <w:top w:val="single" w:sz="4" w:space="0" w:color="auto"/>
              <w:left w:val="single" w:sz="4" w:space="0" w:color="auto"/>
              <w:bottom w:val="single" w:sz="4" w:space="0" w:color="auto"/>
              <w:right w:val="single" w:sz="4" w:space="0" w:color="auto"/>
            </w:tcBorders>
          </w:tcPr>
          <w:p w14:paraId="3B34C7BC"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Application Conditions</w:t>
            </w:r>
          </w:p>
        </w:tc>
        <w:tc>
          <w:tcPr>
            <w:tcW w:w="4386" w:type="dxa"/>
            <w:gridSpan w:val="5"/>
            <w:tcBorders>
              <w:top w:val="single" w:sz="4" w:space="0" w:color="auto"/>
              <w:left w:val="single" w:sz="4" w:space="0" w:color="auto"/>
              <w:bottom w:val="single" w:sz="4" w:space="0" w:color="auto"/>
              <w:right w:val="single" w:sz="4" w:space="0" w:color="auto"/>
            </w:tcBorders>
          </w:tcPr>
          <w:p w14:paraId="72DF4D9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b/>
                <w:bCs/>
                <w:color w:val="000000" w:themeColor="text1"/>
                <w:spacing w:val="0"/>
                <w:kern w:val="0"/>
                <w:sz w:val="20"/>
                <w:szCs w:val="20"/>
                <w14:ligatures w14:val="none"/>
              </w:rPr>
              <w:t>Environmental</w:t>
            </w:r>
            <w:r w:rsidRPr="00EF2F5B">
              <w:rPr>
                <w:rFonts w:eastAsia="Times New Roman"/>
                <w:color w:val="000000" w:themeColor="text1"/>
                <w:spacing w:val="0"/>
                <w:kern w:val="0"/>
                <w:sz w:val="20"/>
                <w:szCs w:val="20"/>
                <w14:ligatures w14:val="none"/>
              </w:rPr>
              <w:t xml:space="preserve"> </w:t>
            </w:r>
            <w:r w:rsidRPr="00EF2F5B">
              <w:rPr>
                <w:rFonts w:eastAsia="Times New Roman"/>
                <w:b/>
                <w:bCs/>
                <w:color w:val="000000" w:themeColor="text1"/>
                <w:spacing w:val="0"/>
                <w:kern w:val="0"/>
                <w:sz w:val="20"/>
                <w:szCs w:val="20"/>
                <w14:ligatures w14:val="none"/>
              </w:rPr>
              <w:t>Zones</w:t>
            </w:r>
          </w:p>
        </w:tc>
      </w:tr>
      <w:tr w:rsidR="00EF2F5B" w:rsidRPr="00EF2F5B" w14:paraId="0C3C9392" w14:textId="77777777" w:rsidTr="006617F6">
        <w:trPr>
          <w:trHeight w:val="284"/>
          <w:jc w:val="center"/>
        </w:trPr>
        <w:tc>
          <w:tcPr>
            <w:tcW w:w="2127" w:type="dxa"/>
            <w:vMerge/>
            <w:tcBorders>
              <w:top w:val="single" w:sz="4" w:space="0" w:color="auto"/>
              <w:left w:val="single" w:sz="4" w:space="0" w:color="auto"/>
              <w:bottom w:val="single" w:sz="4" w:space="0" w:color="auto"/>
              <w:right w:val="single" w:sz="4" w:space="0" w:color="auto"/>
            </w:tcBorders>
          </w:tcPr>
          <w:p w14:paraId="5F41A791"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4C64FB2"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p>
        </w:tc>
        <w:tc>
          <w:tcPr>
            <w:tcW w:w="992" w:type="dxa"/>
            <w:tcBorders>
              <w:top w:val="single" w:sz="4" w:space="0" w:color="auto"/>
              <w:left w:val="single" w:sz="4" w:space="0" w:color="auto"/>
              <w:bottom w:val="single" w:sz="4" w:space="0" w:color="auto"/>
              <w:right w:val="single" w:sz="4" w:space="0" w:color="auto"/>
            </w:tcBorders>
            <w:vAlign w:val="center"/>
          </w:tcPr>
          <w:p w14:paraId="76EC60B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E0</w:t>
            </w:r>
          </w:p>
          <w:p w14:paraId="6546380C"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992" w:type="dxa"/>
            <w:tcBorders>
              <w:top w:val="single" w:sz="4" w:space="0" w:color="auto"/>
              <w:left w:val="single" w:sz="4" w:space="0" w:color="auto"/>
              <w:bottom w:val="single" w:sz="4" w:space="0" w:color="auto"/>
              <w:right w:val="single" w:sz="4" w:space="0" w:color="auto"/>
            </w:tcBorders>
            <w:vAlign w:val="center"/>
          </w:tcPr>
          <w:p w14:paraId="51E104CB"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E1</w:t>
            </w:r>
          </w:p>
          <w:p w14:paraId="4081B0D2"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850" w:type="dxa"/>
            <w:tcBorders>
              <w:top w:val="single" w:sz="4" w:space="0" w:color="auto"/>
              <w:left w:val="single" w:sz="4" w:space="0" w:color="auto"/>
              <w:bottom w:val="single" w:sz="4" w:space="0" w:color="auto"/>
              <w:right w:val="single" w:sz="4" w:space="0" w:color="auto"/>
            </w:tcBorders>
            <w:vAlign w:val="center"/>
          </w:tcPr>
          <w:p w14:paraId="4A69304B"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E2</w:t>
            </w:r>
          </w:p>
          <w:p w14:paraId="406E9C71"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993" w:type="dxa"/>
            <w:tcBorders>
              <w:top w:val="single" w:sz="4" w:space="0" w:color="auto"/>
              <w:left w:val="single" w:sz="4" w:space="0" w:color="auto"/>
              <w:bottom w:val="single" w:sz="4" w:space="0" w:color="auto"/>
              <w:right w:val="single" w:sz="4" w:space="0" w:color="auto"/>
            </w:tcBorders>
            <w:vAlign w:val="center"/>
          </w:tcPr>
          <w:p w14:paraId="6E7463C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E3</w:t>
            </w:r>
          </w:p>
          <w:p w14:paraId="0225BDF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7CF658F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E4</w:t>
            </w:r>
          </w:p>
          <w:p w14:paraId="11BFF592"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r>
      <w:tr w:rsidR="00EF2F5B" w:rsidRPr="00EF2F5B" w14:paraId="3F0D25F9" w14:textId="77777777" w:rsidTr="006617F6">
        <w:trPr>
          <w:trHeight w:val="284"/>
          <w:jc w:val="center"/>
        </w:trPr>
        <w:tc>
          <w:tcPr>
            <w:tcW w:w="2127" w:type="dxa"/>
            <w:vMerge w:val="restart"/>
            <w:tcBorders>
              <w:top w:val="single" w:sz="4" w:space="0" w:color="auto"/>
              <w:left w:val="single" w:sz="4" w:space="0" w:color="auto"/>
              <w:bottom w:val="single" w:sz="4" w:space="0" w:color="auto"/>
              <w:right w:val="single" w:sz="4" w:space="0" w:color="auto"/>
            </w:tcBorders>
          </w:tcPr>
          <w:p w14:paraId="0AF5FDF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Illuminance in Vertical Plane (E</w:t>
            </w:r>
            <w:r w:rsidRPr="00EF2F5B">
              <w:rPr>
                <w:rFonts w:eastAsia="Times New Roman"/>
                <w:color w:val="000000" w:themeColor="text1"/>
                <w:spacing w:val="0"/>
                <w:kern w:val="0"/>
                <w:sz w:val="20"/>
                <w:szCs w:val="20"/>
                <w:vertAlign w:val="subscript"/>
                <w14:ligatures w14:val="none"/>
              </w:rPr>
              <w:t>v</w:t>
            </w:r>
            <w:r w:rsidRPr="00EF2F5B">
              <w:rPr>
                <w:rFonts w:eastAsia="Times New Roman"/>
                <w:color w:val="000000" w:themeColor="text1"/>
                <w:spacing w:val="0"/>
                <w:kern w:val="0"/>
                <w:sz w:val="20"/>
                <w:szCs w:val="20"/>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tcPr>
          <w:p w14:paraId="1A1DA45C"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Pre-curfew</w:t>
            </w:r>
          </w:p>
        </w:tc>
        <w:tc>
          <w:tcPr>
            <w:tcW w:w="567" w:type="dxa"/>
            <w:tcBorders>
              <w:top w:val="single" w:sz="4" w:space="0" w:color="auto"/>
              <w:left w:val="single" w:sz="4" w:space="0" w:color="auto"/>
              <w:bottom w:val="single" w:sz="4" w:space="0" w:color="auto"/>
              <w:right w:val="single" w:sz="4" w:space="0" w:color="auto"/>
            </w:tcBorders>
          </w:tcPr>
          <w:p w14:paraId="7E3721E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N/A</w:t>
            </w:r>
          </w:p>
        </w:tc>
        <w:tc>
          <w:tcPr>
            <w:tcW w:w="992" w:type="dxa"/>
            <w:tcBorders>
              <w:top w:val="single" w:sz="4" w:space="0" w:color="auto"/>
              <w:left w:val="single" w:sz="4" w:space="0" w:color="auto"/>
              <w:bottom w:val="single" w:sz="4" w:space="0" w:color="auto"/>
              <w:right w:val="single" w:sz="4" w:space="0" w:color="auto"/>
            </w:tcBorders>
            <w:vAlign w:val="center"/>
          </w:tcPr>
          <w:p w14:paraId="241C9BDF"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 xml:space="preserve">2 </w:t>
            </w:r>
          </w:p>
        </w:tc>
        <w:tc>
          <w:tcPr>
            <w:tcW w:w="850" w:type="dxa"/>
            <w:tcBorders>
              <w:top w:val="single" w:sz="4" w:space="0" w:color="auto"/>
              <w:left w:val="single" w:sz="4" w:space="0" w:color="auto"/>
              <w:bottom w:val="single" w:sz="4" w:space="0" w:color="auto"/>
              <w:right w:val="single" w:sz="4" w:space="0" w:color="auto"/>
            </w:tcBorders>
          </w:tcPr>
          <w:p w14:paraId="789484B6"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5</w:t>
            </w:r>
          </w:p>
        </w:tc>
        <w:tc>
          <w:tcPr>
            <w:tcW w:w="993" w:type="dxa"/>
            <w:tcBorders>
              <w:top w:val="single" w:sz="4" w:space="0" w:color="auto"/>
              <w:left w:val="single" w:sz="4" w:space="0" w:color="auto"/>
              <w:bottom w:val="single" w:sz="4" w:space="0" w:color="auto"/>
              <w:right w:val="single" w:sz="4" w:space="0" w:color="auto"/>
            </w:tcBorders>
          </w:tcPr>
          <w:p w14:paraId="74B43DF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10</w:t>
            </w:r>
          </w:p>
        </w:tc>
        <w:tc>
          <w:tcPr>
            <w:tcW w:w="996" w:type="dxa"/>
            <w:gridSpan w:val="2"/>
            <w:tcBorders>
              <w:top w:val="single" w:sz="4" w:space="0" w:color="auto"/>
              <w:left w:val="single" w:sz="4" w:space="0" w:color="auto"/>
              <w:bottom w:val="single" w:sz="4" w:space="0" w:color="auto"/>
              <w:right w:val="single" w:sz="4" w:space="0" w:color="auto"/>
            </w:tcBorders>
          </w:tcPr>
          <w:p w14:paraId="41BB072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25</w:t>
            </w:r>
          </w:p>
        </w:tc>
      </w:tr>
      <w:tr w:rsidR="00EF2F5B" w:rsidRPr="00EF2F5B" w14:paraId="6E323E79" w14:textId="77777777" w:rsidTr="006617F6">
        <w:trPr>
          <w:trHeight w:val="284"/>
          <w:jc w:val="center"/>
        </w:trPr>
        <w:tc>
          <w:tcPr>
            <w:tcW w:w="2127" w:type="dxa"/>
            <w:vMerge/>
            <w:tcBorders>
              <w:top w:val="single" w:sz="4" w:space="0" w:color="auto"/>
              <w:left w:val="single" w:sz="4" w:space="0" w:color="auto"/>
              <w:bottom w:val="single" w:sz="4" w:space="0" w:color="auto"/>
              <w:right w:val="single" w:sz="4" w:space="0" w:color="auto"/>
            </w:tcBorders>
          </w:tcPr>
          <w:p w14:paraId="7676A901"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413E8C9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Post-curfew</w:t>
            </w:r>
          </w:p>
        </w:tc>
        <w:tc>
          <w:tcPr>
            <w:tcW w:w="567" w:type="dxa"/>
            <w:tcBorders>
              <w:top w:val="single" w:sz="4" w:space="0" w:color="auto"/>
              <w:left w:val="single" w:sz="4" w:space="0" w:color="auto"/>
              <w:bottom w:val="single" w:sz="4" w:space="0" w:color="auto"/>
              <w:right w:val="single" w:sz="4" w:space="0" w:color="auto"/>
            </w:tcBorders>
          </w:tcPr>
          <w:p w14:paraId="17A5499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N/A</w:t>
            </w:r>
          </w:p>
        </w:tc>
        <w:tc>
          <w:tcPr>
            <w:tcW w:w="992" w:type="dxa"/>
            <w:tcBorders>
              <w:top w:val="single" w:sz="4" w:space="0" w:color="auto"/>
              <w:left w:val="single" w:sz="4" w:space="0" w:color="auto"/>
              <w:bottom w:val="single" w:sz="4" w:space="0" w:color="auto"/>
              <w:right w:val="single" w:sz="4" w:space="0" w:color="auto"/>
            </w:tcBorders>
            <w:vAlign w:val="center"/>
          </w:tcPr>
          <w:p w14:paraId="3B05D91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&lt;0.1*</w:t>
            </w:r>
          </w:p>
        </w:tc>
        <w:tc>
          <w:tcPr>
            <w:tcW w:w="850" w:type="dxa"/>
            <w:tcBorders>
              <w:top w:val="single" w:sz="4" w:space="0" w:color="auto"/>
              <w:left w:val="single" w:sz="4" w:space="0" w:color="auto"/>
              <w:bottom w:val="single" w:sz="4" w:space="0" w:color="auto"/>
              <w:right w:val="single" w:sz="4" w:space="0" w:color="auto"/>
            </w:tcBorders>
            <w:vAlign w:val="center"/>
          </w:tcPr>
          <w:p w14:paraId="6A650A29"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1 x</w:t>
            </w:r>
          </w:p>
        </w:tc>
        <w:tc>
          <w:tcPr>
            <w:tcW w:w="964" w:type="dxa"/>
            <w:tcBorders>
              <w:top w:val="single" w:sz="4" w:space="0" w:color="auto"/>
              <w:left w:val="single" w:sz="4" w:space="0" w:color="auto"/>
              <w:bottom w:val="single" w:sz="4" w:space="0" w:color="auto"/>
              <w:right w:val="single" w:sz="4" w:space="0" w:color="auto"/>
            </w:tcBorders>
            <w:noWrap/>
            <w:vAlign w:val="bottom"/>
          </w:tcPr>
          <w:p w14:paraId="4143AE72" w14:textId="77777777" w:rsidR="00336F99" w:rsidRPr="00EF2F5B" w:rsidRDefault="00336F99" w:rsidP="00F0093D">
            <w:pPr>
              <w:spacing w:after="0" w:line="240" w:lineRule="auto"/>
              <w:jc w:val="center"/>
              <w:rPr>
                <w:color w:val="000000" w:themeColor="text1"/>
                <w:spacing w:val="0"/>
                <w:kern w:val="0"/>
                <w:sz w:val="20"/>
                <w:szCs w:val="20"/>
                <w14:ligatures w14:val="none"/>
              </w:rPr>
            </w:pPr>
            <w:r w:rsidRPr="00EF2F5B">
              <w:rPr>
                <w:color w:val="000000" w:themeColor="text1"/>
                <w:spacing w:val="0"/>
                <w:kern w:val="0"/>
                <w:sz w:val="20"/>
                <w:szCs w:val="20"/>
                <w14:ligatures w14:val="none"/>
              </w:rPr>
              <w:t xml:space="preserve">2 </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5C88264D" w14:textId="77777777" w:rsidR="00336F99" w:rsidRPr="00EF2F5B" w:rsidRDefault="00336F99" w:rsidP="00F0093D">
            <w:pPr>
              <w:overflowPunct w:val="0"/>
              <w:autoSpaceDE w:val="0"/>
              <w:autoSpaceDN w:val="0"/>
              <w:adjustRightInd w:val="0"/>
              <w:spacing w:after="0" w:line="240" w:lineRule="auto"/>
              <w:contextualSpacing/>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t xml:space="preserve">5 </w:t>
            </w:r>
          </w:p>
        </w:tc>
      </w:tr>
      <w:tr w:rsidR="00336F99" w:rsidRPr="00EF2F5B" w14:paraId="70B020C8" w14:textId="77777777" w:rsidTr="006617F6">
        <w:trPr>
          <w:trHeight w:val="284"/>
          <w:jc w:val="center"/>
        </w:trPr>
        <w:tc>
          <w:tcPr>
            <w:tcW w:w="8226" w:type="dxa"/>
            <w:gridSpan w:val="8"/>
            <w:tcBorders>
              <w:top w:val="single" w:sz="4" w:space="0" w:color="auto"/>
              <w:left w:val="single" w:sz="4" w:space="0" w:color="auto"/>
              <w:bottom w:val="single" w:sz="4" w:space="0" w:color="auto"/>
              <w:right w:val="single" w:sz="4" w:space="0" w:color="auto"/>
            </w:tcBorders>
          </w:tcPr>
          <w:p w14:paraId="18939462" w14:textId="77777777" w:rsidR="00336F99" w:rsidRPr="00EF2F5B" w:rsidRDefault="00336F99" w:rsidP="00F0093D">
            <w:pPr>
              <w:overflowPunct w:val="0"/>
              <w:autoSpaceDE w:val="0"/>
              <w:autoSpaceDN w:val="0"/>
              <w:adjustRightInd w:val="0"/>
              <w:spacing w:after="0" w:line="240" w:lineRule="auto"/>
              <w:jc w:val="both"/>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*If the installation is for public OL, then this value may be up to 1 Lux</w:t>
            </w:r>
          </w:p>
        </w:tc>
      </w:tr>
    </w:tbl>
    <w:p w14:paraId="2FE686CD" w14:textId="77777777" w:rsidR="00336F99" w:rsidRPr="00EF2F5B" w:rsidRDefault="00336F99" w:rsidP="00F0093D">
      <w:pPr>
        <w:spacing w:after="0" w:line="240" w:lineRule="auto"/>
        <w:jc w:val="both"/>
        <w:rPr>
          <w:snapToGrid/>
          <w:color w:val="000000" w:themeColor="text1"/>
          <w:spacing w:val="0"/>
          <w:kern w:val="0"/>
          <w:lang w:val="en-ZA" w:bidi="ar-SA"/>
          <w14:ligatures w14:val="none"/>
        </w:rPr>
      </w:pPr>
    </w:p>
    <w:p w14:paraId="39CE40E9" w14:textId="4BF99543" w:rsidR="00336F99" w:rsidRPr="00EF2F5B" w:rsidRDefault="00A61DD9" w:rsidP="004057F5">
      <w:pPr>
        <w:rPr>
          <w:rFonts w:ascii="Times New Roman Bold" w:hAnsi="Times New Roman Bold"/>
          <w:b/>
          <w:bCs/>
          <w:color w:val="000000" w:themeColor="text1"/>
          <w:spacing w:val="0"/>
        </w:rPr>
      </w:pPr>
      <w:r w:rsidRPr="00EF2F5B">
        <w:rPr>
          <w:rFonts w:ascii="Times New Roman Bold" w:hAnsi="Times New Roman Bold"/>
          <w:b/>
          <w:bCs/>
          <w:color w:val="000000" w:themeColor="text1"/>
          <w:spacing w:val="0"/>
        </w:rPr>
        <w:t xml:space="preserve">The Council of Standards Australia/Standards New Zealand (AS/NZS, 2019) </w:t>
      </w:r>
    </w:p>
    <w:p w14:paraId="389D0DB3" w14:textId="1D0C2F98" w:rsidR="00336F99" w:rsidRPr="00EF2F5B" w:rsidRDefault="00336F99" w:rsidP="004057F5">
      <w:pPr>
        <w:spacing w:after="0" w:line="240" w:lineRule="auto"/>
        <w:jc w:val="both"/>
        <w:rPr>
          <w:color w:val="000000" w:themeColor="text1"/>
          <w:spacing w:val="0"/>
        </w:rPr>
      </w:pPr>
      <w:r w:rsidRPr="00EF2F5B">
        <w:rPr>
          <w:color w:val="000000" w:themeColor="text1"/>
          <w:spacing w:val="0"/>
        </w:rPr>
        <w:t xml:space="preserve">The Council of Standards AS/NZS has introduced OL zones to manage the obtrusive effects of OL (AS/NZS 4282, 2019). This document is based on the published CIE standard (CIE-150, 2017) but there are some minor deviations from this standard. </w:t>
      </w:r>
      <w:r w:rsidRPr="00EF2F5B">
        <w:rPr>
          <w:color w:val="000000" w:themeColor="text1"/>
          <w:spacing w:val="0"/>
        </w:rPr>
        <w:fldChar w:fldCharType="begin"/>
      </w:r>
      <w:r w:rsidRPr="00EF2F5B">
        <w:rPr>
          <w:color w:val="000000" w:themeColor="text1"/>
          <w:spacing w:val="0"/>
        </w:rPr>
        <w:instrText xml:space="preserve"> REF _Ref123331640 \h </w:instrText>
      </w:r>
      <w:r w:rsidR="00E2784B" w:rsidRPr="00EF2F5B">
        <w:rPr>
          <w:color w:val="000000" w:themeColor="text1"/>
          <w:spacing w:val="0"/>
        </w:rPr>
        <w:instrText xml:space="preserve"> \* MERGEFORMAT </w:instrText>
      </w:r>
      <w:r w:rsidRPr="00EF2F5B">
        <w:rPr>
          <w:color w:val="000000" w:themeColor="text1"/>
          <w:spacing w:val="0"/>
        </w:rPr>
      </w:r>
      <w:r w:rsidRPr="00EF2F5B">
        <w:rPr>
          <w:color w:val="000000" w:themeColor="text1"/>
          <w:spacing w:val="0"/>
        </w:rPr>
        <w:fldChar w:fldCharType="separate"/>
      </w:r>
      <w:r w:rsidRPr="00EF2F5B">
        <w:rPr>
          <w:color w:val="000000" w:themeColor="text1"/>
          <w:spacing w:val="0"/>
        </w:rPr>
        <w:t>Table 9</w:t>
      </w:r>
      <w:r w:rsidRPr="00EF2F5B">
        <w:rPr>
          <w:color w:val="000000" w:themeColor="text1"/>
          <w:spacing w:val="0"/>
        </w:rPr>
        <w:fldChar w:fldCharType="end"/>
      </w:r>
      <w:r w:rsidRPr="00EF2F5B">
        <w:rPr>
          <w:color w:val="000000" w:themeColor="text1"/>
          <w:spacing w:val="0"/>
        </w:rPr>
        <w:t xml:space="preserve"> below provides the proposed OL zones and brief descriptions.</w:t>
      </w:r>
    </w:p>
    <w:p w14:paraId="1AC99584" w14:textId="77777777" w:rsidR="004057F5" w:rsidRPr="00EF2F5B" w:rsidRDefault="004057F5" w:rsidP="00F0093D">
      <w:pPr>
        <w:spacing w:after="0" w:line="240" w:lineRule="auto"/>
        <w:rPr>
          <w:color w:val="000000" w:themeColor="text1"/>
          <w:spacing w:val="0"/>
        </w:rPr>
      </w:pPr>
    </w:p>
    <w:p w14:paraId="7C236ACF" w14:textId="343328FE" w:rsidR="00336F99" w:rsidRPr="00EF2F5B" w:rsidRDefault="00336F99" w:rsidP="00F0093D">
      <w:pPr>
        <w:spacing w:after="0" w:line="240" w:lineRule="auto"/>
        <w:jc w:val="center"/>
        <w:rPr>
          <w:rFonts w:ascii="Times New Roman Bold" w:hAnsi="Times New Roman Bold"/>
          <w:snapToGrid/>
          <w:color w:val="000000" w:themeColor="text1"/>
          <w:spacing w:val="0"/>
          <w:kern w:val="0"/>
          <w:sz w:val="20"/>
          <w:szCs w:val="20"/>
          <w:lang w:eastAsia="en-CA" w:bidi="ar-SA"/>
          <w14:ligatures w14:val="none"/>
        </w:rPr>
      </w:pPr>
      <w:bookmarkStart w:id="25" w:name="_Ref123331640"/>
      <w:bookmarkStart w:id="26" w:name="_Toc109780805"/>
      <w:bookmarkStart w:id="27" w:name="_Toc205658519"/>
      <w:r w:rsidRPr="00EF2F5B">
        <w:rPr>
          <w:rFonts w:ascii="Times New Roman Bold" w:hAnsi="Times New Roman Bold"/>
          <w:snapToGrid/>
          <w:color w:val="000000" w:themeColor="text1"/>
          <w:spacing w:val="0"/>
          <w:kern w:val="0"/>
          <w:sz w:val="20"/>
          <w:szCs w:val="20"/>
          <w:lang w:val="en-CA" w:eastAsia="en-CA" w:bidi="ar-SA"/>
          <w14:ligatures w14:val="none"/>
        </w:rPr>
        <w:t xml:space="preserve">Table </w:t>
      </w:r>
      <w:r w:rsidRPr="00EF2F5B">
        <w:rPr>
          <w:rFonts w:ascii="Times New Roman Bold" w:hAnsi="Times New Roman Bold"/>
          <w:snapToGrid/>
          <w:color w:val="000000" w:themeColor="text1"/>
          <w:spacing w:val="0"/>
          <w:kern w:val="0"/>
          <w:sz w:val="20"/>
          <w:szCs w:val="20"/>
          <w:lang w:val="en-CA" w:eastAsia="en-CA" w:bidi="ar-SA"/>
          <w14:ligatures w14:val="none"/>
        </w:rPr>
        <w:fldChar w:fldCharType="begin"/>
      </w:r>
      <w:r w:rsidRPr="00EF2F5B">
        <w:rPr>
          <w:rFonts w:ascii="Times New Roman Bold" w:hAnsi="Times New Roman Bold"/>
          <w:snapToGrid/>
          <w:color w:val="000000" w:themeColor="text1"/>
          <w:spacing w:val="0"/>
          <w:kern w:val="0"/>
          <w:sz w:val="20"/>
          <w:szCs w:val="20"/>
          <w:lang w:val="en-CA" w:eastAsia="en-CA" w:bidi="ar-SA"/>
          <w14:ligatures w14:val="none"/>
        </w:rPr>
        <w:instrText xml:space="preserve"> SEQ Table \* ARABIC \s 1 </w:instrText>
      </w:r>
      <w:r w:rsidRPr="00EF2F5B">
        <w:rPr>
          <w:rFonts w:ascii="Times New Roman Bold" w:hAnsi="Times New Roman Bold"/>
          <w:snapToGrid/>
          <w:color w:val="000000" w:themeColor="text1"/>
          <w:spacing w:val="0"/>
          <w:kern w:val="0"/>
          <w:sz w:val="20"/>
          <w:szCs w:val="20"/>
          <w:lang w:val="en-CA" w:eastAsia="en-CA" w:bidi="ar-SA"/>
          <w14:ligatures w14:val="none"/>
        </w:rPr>
        <w:fldChar w:fldCharType="separate"/>
      </w:r>
      <w:r w:rsidRPr="00EF2F5B">
        <w:rPr>
          <w:rFonts w:ascii="Times New Roman Bold" w:hAnsi="Times New Roman Bold"/>
          <w:noProof/>
          <w:snapToGrid/>
          <w:color w:val="000000" w:themeColor="text1"/>
          <w:spacing w:val="0"/>
          <w:kern w:val="0"/>
          <w:sz w:val="20"/>
          <w:szCs w:val="20"/>
          <w:lang w:val="en-CA" w:eastAsia="en-CA" w:bidi="ar-SA"/>
          <w14:ligatures w14:val="none"/>
        </w:rPr>
        <w:t>9</w:t>
      </w:r>
      <w:r w:rsidRPr="00EF2F5B">
        <w:rPr>
          <w:rFonts w:ascii="Times New Roman Bold" w:hAnsi="Times New Roman Bold"/>
          <w:noProof/>
          <w:snapToGrid/>
          <w:color w:val="000000" w:themeColor="text1"/>
          <w:spacing w:val="0"/>
          <w:kern w:val="0"/>
          <w:sz w:val="20"/>
          <w:szCs w:val="20"/>
          <w:lang w:val="en-CA" w:eastAsia="en-CA" w:bidi="ar-SA"/>
          <w14:ligatures w14:val="none"/>
        </w:rPr>
        <w:fldChar w:fldCharType="end"/>
      </w:r>
      <w:bookmarkEnd w:id="25"/>
      <w:r w:rsidRPr="00EF2F5B">
        <w:rPr>
          <w:rFonts w:ascii="Times New Roman Bold" w:hAnsi="Times New Roman Bold"/>
          <w:snapToGrid/>
          <w:color w:val="000000" w:themeColor="text1"/>
          <w:spacing w:val="0"/>
          <w:kern w:val="0"/>
          <w:sz w:val="20"/>
          <w:szCs w:val="20"/>
          <w:lang w:eastAsia="en-CA" w:bidi="ar-SA"/>
          <w14:ligatures w14:val="none"/>
        </w:rPr>
        <w:t xml:space="preserve"> Environmental Zones by AS/NZS</w:t>
      </w:r>
      <w:bookmarkEnd w:id="26"/>
      <w:bookmarkEnd w:id="27"/>
    </w:p>
    <w:p w14:paraId="75C57EC8" w14:textId="77777777" w:rsidR="00336F99" w:rsidRPr="00EF2F5B" w:rsidRDefault="00336F99" w:rsidP="00F0093D">
      <w:pPr>
        <w:spacing w:after="0" w:line="240" w:lineRule="auto"/>
        <w:jc w:val="center"/>
        <w:rPr>
          <w:rFonts w:eastAsia="Times New Roman"/>
          <w:snapToGrid/>
          <w:color w:val="000000" w:themeColor="text1"/>
          <w:spacing w:val="0"/>
          <w:kern w:val="0"/>
          <w:sz w:val="16"/>
          <w:szCs w:val="16"/>
          <w:lang w:val="en-GB" w:eastAsia="en-GB"/>
          <w14:ligatures w14:val="none"/>
        </w:rPr>
      </w:pPr>
      <w:r w:rsidRPr="00EF2F5B">
        <w:rPr>
          <w:rFonts w:eastAsia="Times New Roman"/>
          <w:snapToGrid/>
          <w:color w:val="000000" w:themeColor="text1"/>
          <w:spacing w:val="0"/>
          <w:kern w:val="0"/>
          <w:sz w:val="16"/>
          <w:szCs w:val="16"/>
          <w:lang w:val="en-GB" w:eastAsia="en-GB"/>
          <w14:ligatures w14:val="none"/>
        </w:rPr>
        <w:t>Source: Compiled by the author (AS/NZS 4282, 2019)</w:t>
      </w:r>
    </w:p>
    <w:p w14:paraId="58AD62E1" w14:textId="77777777" w:rsidR="004057F5" w:rsidRPr="00EF2F5B" w:rsidRDefault="004057F5" w:rsidP="00F0093D">
      <w:pPr>
        <w:spacing w:after="0" w:line="240" w:lineRule="auto"/>
        <w:jc w:val="center"/>
        <w:rPr>
          <w:rFonts w:eastAsia="Times New Roman"/>
          <w:snapToGrid/>
          <w:color w:val="000000" w:themeColor="text1"/>
          <w:spacing w:val="0"/>
          <w:kern w:val="0"/>
          <w:sz w:val="16"/>
          <w:szCs w:val="16"/>
          <w:lang w:val="en-GB" w:eastAsia="en-GB"/>
          <w14:ligatures w14:val="none"/>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1275"/>
        <w:gridCol w:w="1988"/>
        <w:gridCol w:w="4103"/>
      </w:tblGrid>
      <w:tr w:rsidR="00EF2F5B" w:rsidRPr="00EF2F5B" w14:paraId="21083553" w14:textId="77777777" w:rsidTr="006617F6">
        <w:trPr>
          <w:jc w:val="center"/>
        </w:trPr>
        <w:tc>
          <w:tcPr>
            <w:tcW w:w="993" w:type="dxa"/>
          </w:tcPr>
          <w:p w14:paraId="349DBAF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cs/>
                <w:lang w:bidi="ar-SA"/>
                <w14:ligatures w14:val="none"/>
              </w:rPr>
            </w:pPr>
            <w:r w:rsidRPr="00EF2F5B">
              <w:rPr>
                <w:rFonts w:eastAsia="Times New Roman"/>
                <w:snapToGrid/>
                <w:color w:val="000000" w:themeColor="text1"/>
                <w:spacing w:val="0"/>
                <w:kern w:val="0"/>
                <w:sz w:val="20"/>
                <w:szCs w:val="20"/>
                <w:cs/>
                <w:lang w:bidi="ar-SA"/>
                <w14:ligatures w14:val="none"/>
              </w:rPr>
              <w:t>No.</w:t>
            </w:r>
          </w:p>
        </w:tc>
        <w:tc>
          <w:tcPr>
            <w:tcW w:w="1275" w:type="dxa"/>
          </w:tcPr>
          <w:p w14:paraId="221A566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OL Zones</w:t>
            </w:r>
          </w:p>
        </w:tc>
        <w:tc>
          <w:tcPr>
            <w:tcW w:w="1988" w:type="dxa"/>
          </w:tcPr>
          <w:p w14:paraId="6771312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OL Environment</w:t>
            </w:r>
          </w:p>
        </w:tc>
        <w:tc>
          <w:tcPr>
            <w:tcW w:w="4103" w:type="dxa"/>
          </w:tcPr>
          <w:p w14:paraId="7C77F53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Examples</w:t>
            </w:r>
          </w:p>
        </w:tc>
      </w:tr>
      <w:tr w:rsidR="00EF2F5B" w:rsidRPr="00EF2F5B" w14:paraId="2CA2832D" w14:textId="77777777" w:rsidTr="006617F6">
        <w:trPr>
          <w:trHeight w:val="284"/>
          <w:jc w:val="center"/>
        </w:trPr>
        <w:tc>
          <w:tcPr>
            <w:tcW w:w="993" w:type="dxa"/>
            <w:vAlign w:val="center"/>
          </w:tcPr>
          <w:p w14:paraId="52F276E9" w14:textId="11F0268A"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cs/>
                <w:lang w:bidi="ar-SA"/>
                <w14:ligatures w14:val="none"/>
              </w:rPr>
            </w:pPr>
            <w:r w:rsidRPr="00EF2F5B">
              <w:rPr>
                <w:rFonts w:eastAsia="Times New Roman"/>
                <w:snapToGrid/>
                <w:color w:val="000000" w:themeColor="text1"/>
                <w:spacing w:val="0"/>
                <w:kern w:val="0"/>
                <w:sz w:val="20"/>
                <w:szCs w:val="20"/>
                <w:lang w:bidi="ar-SA"/>
                <w14:ligatures w14:val="none"/>
              </w:rPr>
              <w:t>9a</w:t>
            </w:r>
          </w:p>
        </w:tc>
        <w:tc>
          <w:tcPr>
            <w:tcW w:w="1275" w:type="dxa"/>
            <w:vAlign w:val="center"/>
          </w:tcPr>
          <w:p w14:paraId="3AC8A69B"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A0</w:t>
            </w:r>
          </w:p>
        </w:tc>
        <w:tc>
          <w:tcPr>
            <w:tcW w:w="1988" w:type="dxa"/>
            <w:vAlign w:val="center"/>
          </w:tcPr>
          <w:p w14:paraId="3EAC599B"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“Intrinsically dark”</w:t>
            </w:r>
          </w:p>
        </w:tc>
        <w:tc>
          <w:tcPr>
            <w:tcW w:w="4103" w:type="dxa"/>
          </w:tcPr>
          <w:p w14:paraId="74F66C3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“UNESCO Starlight Reserves, IDA Dark Sky Parks, Major optical observatories, no road lighting - unless specifically required by the road control authority” (AS/NZS 4282-2019, 2019).</w:t>
            </w:r>
          </w:p>
        </w:tc>
      </w:tr>
      <w:tr w:rsidR="00EF2F5B" w:rsidRPr="00EF2F5B" w14:paraId="4F909E70" w14:textId="77777777" w:rsidTr="006617F6">
        <w:trPr>
          <w:trHeight w:val="284"/>
          <w:jc w:val="center"/>
        </w:trPr>
        <w:tc>
          <w:tcPr>
            <w:tcW w:w="993" w:type="dxa"/>
            <w:vAlign w:val="center"/>
          </w:tcPr>
          <w:p w14:paraId="718F1F4D" w14:textId="25FE6894"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9b</w:t>
            </w:r>
          </w:p>
        </w:tc>
        <w:tc>
          <w:tcPr>
            <w:tcW w:w="1275" w:type="dxa"/>
            <w:vAlign w:val="center"/>
          </w:tcPr>
          <w:p w14:paraId="1AB0B18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A1</w:t>
            </w:r>
          </w:p>
        </w:tc>
        <w:tc>
          <w:tcPr>
            <w:tcW w:w="1988" w:type="dxa"/>
            <w:vAlign w:val="center"/>
          </w:tcPr>
          <w:p w14:paraId="079758E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“Dark”</w:t>
            </w:r>
          </w:p>
        </w:tc>
        <w:tc>
          <w:tcPr>
            <w:tcW w:w="4103" w:type="dxa"/>
          </w:tcPr>
          <w:p w14:paraId="5439FC4B"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“Relatively uninhabited rural areas, no road lighting -</w:t>
            </w:r>
            <w:r w:rsidRPr="00EF2F5B">
              <w:rPr>
                <w:snapToGrid/>
                <w:color w:val="000000" w:themeColor="text1"/>
                <w:spacing w:val="0"/>
                <w:kern w:val="0"/>
                <w:sz w:val="20"/>
                <w:szCs w:val="20"/>
                <w:lang w:bidi="ar-SA"/>
                <w14:ligatures w14:val="none"/>
              </w:rPr>
              <w:t xml:space="preserve"> </w:t>
            </w:r>
            <w:r w:rsidRPr="00EF2F5B">
              <w:rPr>
                <w:rFonts w:eastAsia="Times New Roman"/>
                <w:snapToGrid/>
                <w:color w:val="000000" w:themeColor="text1"/>
                <w:spacing w:val="0"/>
                <w:kern w:val="0"/>
                <w:sz w:val="20"/>
                <w:szCs w:val="20"/>
                <w:lang w:bidi="ar-SA"/>
                <w14:ligatures w14:val="none"/>
              </w:rPr>
              <w:t>unless specifically required by the road control authority” (AS/NZS 4282-2019, 2019).</w:t>
            </w:r>
          </w:p>
        </w:tc>
      </w:tr>
      <w:tr w:rsidR="00EF2F5B" w:rsidRPr="00EF2F5B" w14:paraId="12802DF0" w14:textId="77777777" w:rsidTr="006617F6">
        <w:trPr>
          <w:trHeight w:val="284"/>
          <w:jc w:val="center"/>
        </w:trPr>
        <w:tc>
          <w:tcPr>
            <w:tcW w:w="993" w:type="dxa"/>
            <w:vAlign w:val="center"/>
          </w:tcPr>
          <w:p w14:paraId="7A1B1CAE" w14:textId="678F3493"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9c</w:t>
            </w:r>
          </w:p>
        </w:tc>
        <w:tc>
          <w:tcPr>
            <w:tcW w:w="1275" w:type="dxa"/>
            <w:vAlign w:val="center"/>
          </w:tcPr>
          <w:p w14:paraId="7D2831EC"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A2</w:t>
            </w:r>
          </w:p>
        </w:tc>
        <w:tc>
          <w:tcPr>
            <w:tcW w:w="1988" w:type="dxa"/>
            <w:vAlign w:val="center"/>
          </w:tcPr>
          <w:p w14:paraId="0A102E89"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“Low</w:t>
            </w:r>
            <w:r w:rsidRPr="00EF2F5B">
              <w:rPr>
                <w:snapToGrid/>
                <w:color w:val="000000" w:themeColor="text1"/>
                <w:spacing w:val="0"/>
                <w:kern w:val="0"/>
                <w:sz w:val="20"/>
                <w:szCs w:val="20"/>
                <w:lang w:bidi="ar-SA"/>
                <w14:ligatures w14:val="none"/>
              </w:rPr>
              <w:t xml:space="preserve"> </w:t>
            </w:r>
            <w:r w:rsidRPr="00EF2F5B">
              <w:rPr>
                <w:rFonts w:eastAsia="Times New Roman"/>
                <w:snapToGrid/>
                <w:color w:val="000000" w:themeColor="text1"/>
                <w:spacing w:val="0"/>
                <w:kern w:val="0"/>
                <w:sz w:val="20"/>
                <w:szCs w:val="20"/>
                <w:lang w:bidi="ar-SA"/>
                <w14:ligatures w14:val="none"/>
              </w:rPr>
              <w:t>district brightness”</w:t>
            </w:r>
          </w:p>
        </w:tc>
        <w:tc>
          <w:tcPr>
            <w:tcW w:w="4103" w:type="dxa"/>
          </w:tcPr>
          <w:p w14:paraId="29D604B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“Sparsely inhabited rural areas and semi-rural areas” (AS/NZS 4282-2019, 2019).</w:t>
            </w:r>
          </w:p>
        </w:tc>
      </w:tr>
      <w:tr w:rsidR="00EF2F5B" w:rsidRPr="00EF2F5B" w14:paraId="2EA17279" w14:textId="77777777" w:rsidTr="006617F6">
        <w:trPr>
          <w:trHeight w:val="518"/>
          <w:jc w:val="center"/>
        </w:trPr>
        <w:tc>
          <w:tcPr>
            <w:tcW w:w="993" w:type="dxa"/>
            <w:vAlign w:val="center"/>
          </w:tcPr>
          <w:p w14:paraId="5A6F05E9" w14:textId="7E510FC3"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9d</w:t>
            </w:r>
          </w:p>
        </w:tc>
        <w:tc>
          <w:tcPr>
            <w:tcW w:w="1275" w:type="dxa"/>
            <w:vAlign w:val="center"/>
          </w:tcPr>
          <w:p w14:paraId="70429E8C"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A3</w:t>
            </w:r>
          </w:p>
        </w:tc>
        <w:tc>
          <w:tcPr>
            <w:tcW w:w="1988" w:type="dxa"/>
            <w:vAlign w:val="center"/>
          </w:tcPr>
          <w:p w14:paraId="46C95812"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“Medium</w:t>
            </w:r>
            <w:r w:rsidRPr="00EF2F5B">
              <w:rPr>
                <w:snapToGrid/>
                <w:color w:val="000000" w:themeColor="text1"/>
                <w:spacing w:val="0"/>
                <w:kern w:val="0"/>
                <w:sz w:val="20"/>
                <w:szCs w:val="20"/>
                <w:lang w:bidi="ar-SA"/>
                <w14:ligatures w14:val="none"/>
              </w:rPr>
              <w:t xml:space="preserve"> </w:t>
            </w:r>
            <w:r w:rsidRPr="00EF2F5B">
              <w:rPr>
                <w:rFonts w:eastAsia="Times New Roman"/>
                <w:snapToGrid/>
                <w:color w:val="000000" w:themeColor="text1"/>
                <w:spacing w:val="0"/>
                <w:kern w:val="0"/>
                <w:sz w:val="20"/>
                <w:szCs w:val="20"/>
                <w:lang w:bidi="ar-SA"/>
                <w14:ligatures w14:val="none"/>
              </w:rPr>
              <w:t>district brightness”</w:t>
            </w:r>
          </w:p>
        </w:tc>
        <w:tc>
          <w:tcPr>
            <w:tcW w:w="4103" w:type="dxa"/>
          </w:tcPr>
          <w:p w14:paraId="3544841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p>
          <w:p w14:paraId="208BCF6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“Suburban areas in towns and cities” (AS/NZS 4282-2019, 2019).</w:t>
            </w:r>
          </w:p>
        </w:tc>
      </w:tr>
      <w:tr w:rsidR="00336F99" w:rsidRPr="00EF2F5B" w14:paraId="6E1CBCF7" w14:textId="77777777" w:rsidTr="006617F6">
        <w:trPr>
          <w:trHeight w:val="284"/>
          <w:jc w:val="center"/>
        </w:trPr>
        <w:tc>
          <w:tcPr>
            <w:tcW w:w="993" w:type="dxa"/>
            <w:vAlign w:val="center"/>
          </w:tcPr>
          <w:p w14:paraId="02B158B0" w14:textId="745F3611"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9e</w:t>
            </w:r>
          </w:p>
        </w:tc>
        <w:tc>
          <w:tcPr>
            <w:tcW w:w="1275" w:type="dxa"/>
            <w:vAlign w:val="center"/>
          </w:tcPr>
          <w:p w14:paraId="68A40B69"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A4</w:t>
            </w:r>
          </w:p>
        </w:tc>
        <w:tc>
          <w:tcPr>
            <w:tcW w:w="1988" w:type="dxa"/>
            <w:vAlign w:val="center"/>
          </w:tcPr>
          <w:p w14:paraId="7856B32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“High district brightness”</w:t>
            </w:r>
          </w:p>
        </w:tc>
        <w:tc>
          <w:tcPr>
            <w:tcW w:w="4103" w:type="dxa"/>
          </w:tcPr>
          <w:p w14:paraId="3124DC1B"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“Town and city centres and other commercial areas, residential areas abutting commercial areas” (AS/NZS 4282-2019, 2019).</w:t>
            </w:r>
          </w:p>
        </w:tc>
      </w:tr>
    </w:tbl>
    <w:p w14:paraId="5F8A42AB" w14:textId="77777777" w:rsidR="00336F99" w:rsidRPr="00EF2F5B" w:rsidRDefault="00336F99" w:rsidP="00F0093D">
      <w:pPr>
        <w:spacing w:after="0" w:line="240" w:lineRule="auto"/>
        <w:jc w:val="both"/>
        <w:rPr>
          <w:rFonts w:eastAsia="Times New Roman"/>
          <w:b/>
          <w:snapToGrid/>
          <w:color w:val="000000" w:themeColor="text1"/>
          <w:spacing w:val="0"/>
          <w:kern w:val="0"/>
          <w:lang w:val="en-CA" w:eastAsia="en-CA" w:bidi="ar-SA"/>
          <w14:ligatures w14:val="none"/>
        </w:rPr>
      </w:pPr>
    </w:p>
    <w:p w14:paraId="562C8C89" w14:textId="4E8A18B0" w:rsidR="00336F99" w:rsidRPr="00EF2F5B" w:rsidRDefault="00336F99" w:rsidP="004057F5">
      <w:pPr>
        <w:spacing w:after="0" w:line="240" w:lineRule="auto"/>
        <w:jc w:val="both"/>
        <w:rPr>
          <w:color w:val="000000" w:themeColor="text1"/>
          <w:spacing w:val="0"/>
        </w:rPr>
      </w:pPr>
      <w:r w:rsidRPr="00EF2F5B">
        <w:rPr>
          <w:color w:val="000000" w:themeColor="text1"/>
          <w:spacing w:val="0"/>
        </w:rPr>
        <w:t xml:space="preserve">The recommended maximum value of light technical parameters for obtrusive light control is vertical illuminance (AS/NZS 4282, 2019).  The vertical illuminance is the summation of all the ALAN coming towards the measurement location.  </w:t>
      </w:r>
      <w:r w:rsidRPr="00EF2F5B">
        <w:rPr>
          <w:color w:val="000000" w:themeColor="text1"/>
          <w:spacing w:val="0"/>
        </w:rPr>
        <w:fldChar w:fldCharType="begin"/>
      </w:r>
      <w:r w:rsidRPr="00EF2F5B">
        <w:rPr>
          <w:color w:val="000000" w:themeColor="text1"/>
          <w:spacing w:val="0"/>
        </w:rPr>
        <w:instrText xml:space="preserve"> REF _Ref123331649 \h </w:instrText>
      </w:r>
      <w:r w:rsidR="00E2784B" w:rsidRPr="00EF2F5B">
        <w:rPr>
          <w:color w:val="000000" w:themeColor="text1"/>
          <w:spacing w:val="0"/>
        </w:rPr>
        <w:instrText xml:space="preserve"> \* MERGEFORMAT </w:instrText>
      </w:r>
      <w:r w:rsidRPr="00EF2F5B">
        <w:rPr>
          <w:color w:val="000000" w:themeColor="text1"/>
          <w:spacing w:val="0"/>
        </w:rPr>
      </w:r>
      <w:r w:rsidRPr="00EF2F5B">
        <w:rPr>
          <w:color w:val="000000" w:themeColor="text1"/>
          <w:spacing w:val="0"/>
        </w:rPr>
        <w:fldChar w:fldCharType="separate"/>
      </w:r>
      <w:r w:rsidRPr="00EF2F5B">
        <w:rPr>
          <w:color w:val="000000" w:themeColor="text1"/>
          <w:spacing w:val="0"/>
        </w:rPr>
        <w:t>Table 10</w:t>
      </w:r>
      <w:r w:rsidRPr="00EF2F5B">
        <w:rPr>
          <w:color w:val="000000" w:themeColor="text1"/>
          <w:spacing w:val="0"/>
        </w:rPr>
        <w:fldChar w:fldCharType="end"/>
      </w:r>
      <w:r w:rsidRPr="00EF2F5B">
        <w:rPr>
          <w:color w:val="000000" w:themeColor="text1"/>
          <w:spacing w:val="0"/>
        </w:rPr>
        <w:t xml:space="preserve"> indicates the proposed highest vertical illuminance on property lines:</w:t>
      </w:r>
    </w:p>
    <w:p w14:paraId="23D62107" w14:textId="77777777" w:rsidR="004057F5" w:rsidRPr="00EF2F5B" w:rsidRDefault="004057F5" w:rsidP="00F0093D">
      <w:pPr>
        <w:spacing w:after="0" w:line="240" w:lineRule="auto"/>
        <w:rPr>
          <w:color w:val="000000" w:themeColor="text1"/>
          <w:spacing w:val="0"/>
          <w:sz w:val="20"/>
          <w:szCs w:val="20"/>
        </w:rPr>
      </w:pPr>
    </w:p>
    <w:p w14:paraId="06184BA0" w14:textId="40E009E6" w:rsidR="00336F99" w:rsidRPr="00EF2F5B" w:rsidRDefault="00336F99" w:rsidP="004057F5">
      <w:pPr>
        <w:spacing w:after="0" w:line="240" w:lineRule="auto"/>
        <w:jc w:val="center"/>
        <w:rPr>
          <w:b/>
          <w:bCs/>
          <w:color w:val="000000" w:themeColor="text1"/>
          <w:spacing w:val="0"/>
          <w:sz w:val="20"/>
          <w:szCs w:val="20"/>
        </w:rPr>
      </w:pPr>
      <w:bookmarkStart w:id="28" w:name="_Ref123331649"/>
      <w:bookmarkStart w:id="29" w:name="_Toc109780806"/>
      <w:bookmarkStart w:id="30" w:name="_Toc205658520"/>
      <w:r w:rsidRPr="00EF2F5B">
        <w:rPr>
          <w:b/>
          <w:bCs/>
          <w:color w:val="000000" w:themeColor="text1"/>
          <w:spacing w:val="0"/>
          <w:sz w:val="20"/>
          <w:szCs w:val="20"/>
        </w:rPr>
        <w:t xml:space="preserve">Table </w:t>
      </w:r>
      <w:r w:rsidRPr="00EF2F5B">
        <w:rPr>
          <w:b/>
          <w:bCs/>
          <w:color w:val="000000" w:themeColor="text1"/>
          <w:spacing w:val="0"/>
          <w:sz w:val="20"/>
          <w:szCs w:val="20"/>
        </w:rPr>
        <w:fldChar w:fldCharType="begin"/>
      </w:r>
      <w:r w:rsidRPr="00EF2F5B">
        <w:rPr>
          <w:b/>
          <w:bCs/>
          <w:color w:val="000000" w:themeColor="text1"/>
          <w:spacing w:val="0"/>
          <w:sz w:val="20"/>
          <w:szCs w:val="20"/>
        </w:rPr>
        <w:instrText xml:space="preserve"> SEQ Table \* ARABIC \s 1 </w:instrText>
      </w:r>
      <w:r w:rsidRPr="00EF2F5B">
        <w:rPr>
          <w:b/>
          <w:bCs/>
          <w:color w:val="000000" w:themeColor="text1"/>
          <w:spacing w:val="0"/>
          <w:sz w:val="20"/>
          <w:szCs w:val="20"/>
        </w:rPr>
        <w:fldChar w:fldCharType="separate"/>
      </w:r>
      <w:r w:rsidRPr="00EF2F5B">
        <w:rPr>
          <w:b/>
          <w:bCs/>
          <w:color w:val="000000" w:themeColor="text1"/>
          <w:spacing w:val="0"/>
          <w:sz w:val="20"/>
          <w:szCs w:val="20"/>
        </w:rPr>
        <w:t>10</w:t>
      </w:r>
      <w:r w:rsidRPr="00EF2F5B">
        <w:rPr>
          <w:b/>
          <w:bCs/>
          <w:color w:val="000000" w:themeColor="text1"/>
          <w:spacing w:val="0"/>
          <w:sz w:val="20"/>
          <w:szCs w:val="20"/>
        </w:rPr>
        <w:fldChar w:fldCharType="end"/>
      </w:r>
      <w:bookmarkEnd w:id="28"/>
      <w:r w:rsidRPr="00EF2F5B">
        <w:rPr>
          <w:b/>
          <w:bCs/>
          <w:color w:val="000000" w:themeColor="text1"/>
          <w:spacing w:val="0"/>
          <w:sz w:val="20"/>
          <w:szCs w:val="20"/>
        </w:rPr>
        <w:t xml:space="preserve"> The</w:t>
      </w:r>
      <w:r w:rsidRPr="00EF2F5B">
        <w:rPr>
          <w:b/>
          <w:bCs/>
          <w:color w:val="000000" w:themeColor="text1"/>
          <w:spacing w:val="0"/>
          <w:sz w:val="20"/>
          <w:szCs w:val="20"/>
          <w:cs/>
        </w:rPr>
        <w:t xml:space="preserve"> </w:t>
      </w:r>
      <w:r w:rsidRPr="00EF2F5B">
        <w:rPr>
          <w:b/>
          <w:bCs/>
          <w:color w:val="000000" w:themeColor="text1"/>
          <w:spacing w:val="0"/>
          <w:sz w:val="20"/>
          <w:szCs w:val="20"/>
        </w:rPr>
        <w:t xml:space="preserve">proposed maximum vertical illuminance on </w:t>
      </w:r>
      <w:r w:rsidR="00A61DD9" w:rsidRPr="00EF2F5B">
        <w:rPr>
          <w:b/>
          <w:bCs/>
          <w:color w:val="000000" w:themeColor="text1"/>
          <w:spacing w:val="0"/>
          <w:sz w:val="20"/>
          <w:szCs w:val="20"/>
        </w:rPr>
        <w:t xml:space="preserve">the </w:t>
      </w:r>
      <w:r w:rsidRPr="00EF2F5B">
        <w:rPr>
          <w:b/>
          <w:bCs/>
          <w:color w:val="000000" w:themeColor="text1"/>
          <w:spacing w:val="0"/>
          <w:sz w:val="20"/>
          <w:szCs w:val="20"/>
        </w:rPr>
        <w:t>ROW</w:t>
      </w:r>
      <w:bookmarkEnd w:id="29"/>
      <w:bookmarkEnd w:id="30"/>
    </w:p>
    <w:p w14:paraId="6D19E328" w14:textId="77777777" w:rsidR="00336F99" w:rsidRPr="00EF2F5B" w:rsidRDefault="00336F99" w:rsidP="004057F5">
      <w:pPr>
        <w:spacing w:after="0" w:line="240" w:lineRule="auto"/>
        <w:jc w:val="center"/>
        <w:rPr>
          <w:color w:val="000000" w:themeColor="text1"/>
          <w:spacing w:val="0"/>
          <w:sz w:val="20"/>
          <w:szCs w:val="20"/>
        </w:rPr>
      </w:pPr>
      <w:r w:rsidRPr="00EF2F5B">
        <w:rPr>
          <w:color w:val="000000" w:themeColor="text1"/>
          <w:spacing w:val="0"/>
          <w:sz w:val="20"/>
          <w:szCs w:val="20"/>
        </w:rPr>
        <w:t>Source: Compiled by the author (AS/NZS 4282, 2019)</w:t>
      </w:r>
    </w:p>
    <w:p w14:paraId="6ED499EB" w14:textId="77777777" w:rsidR="004057F5" w:rsidRPr="00EF2F5B" w:rsidRDefault="004057F5" w:rsidP="00F0093D">
      <w:pPr>
        <w:spacing w:after="0" w:line="240" w:lineRule="auto"/>
        <w:rPr>
          <w:color w:val="000000" w:themeColor="text1"/>
          <w:spacing w:val="0"/>
          <w:sz w:val="20"/>
          <w:szCs w:val="20"/>
        </w:rPr>
      </w:pPr>
    </w:p>
    <w:tbl>
      <w:tblPr>
        <w:tblW w:w="8648" w:type="dxa"/>
        <w:jc w:val="center"/>
        <w:tblLayout w:type="fixed"/>
        <w:tblCellMar>
          <w:left w:w="70" w:type="dxa"/>
          <w:right w:w="70" w:type="dxa"/>
        </w:tblCellMar>
        <w:tblLook w:val="0000" w:firstRow="0" w:lastRow="0" w:firstColumn="0" w:lastColumn="0" w:noHBand="0" w:noVBand="0"/>
      </w:tblPr>
      <w:tblGrid>
        <w:gridCol w:w="2411"/>
        <w:gridCol w:w="1701"/>
        <w:gridCol w:w="703"/>
        <w:gridCol w:w="856"/>
        <w:gridCol w:w="850"/>
        <w:gridCol w:w="993"/>
        <w:gridCol w:w="1134"/>
      </w:tblGrid>
      <w:tr w:rsidR="00EF2F5B" w:rsidRPr="00EF2F5B" w14:paraId="2DC66DEF" w14:textId="77777777" w:rsidTr="006617F6">
        <w:trPr>
          <w:jc w:val="center"/>
        </w:trPr>
        <w:tc>
          <w:tcPr>
            <w:tcW w:w="2411" w:type="dxa"/>
            <w:vMerge w:val="restart"/>
            <w:tcBorders>
              <w:top w:val="single" w:sz="4" w:space="0" w:color="auto"/>
              <w:left w:val="single" w:sz="4" w:space="0" w:color="auto"/>
              <w:bottom w:val="single" w:sz="4" w:space="0" w:color="auto"/>
              <w:right w:val="single" w:sz="4" w:space="0" w:color="auto"/>
            </w:tcBorders>
          </w:tcPr>
          <w:p w14:paraId="152C71E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cs/>
                <w:lang w:bidi="ar-SA"/>
                <w14:ligatures w14:val="none"/>
              </w:rPr>
            </w:pPr>
            <w:r w:rsidRPr="00EF2F5B">
              <w:rPr>
                <w:rFonts w:eastAsia="Times New Roman"/>
                <w:snapToGrid/>
                <w:color w:val="000000" w:themeColor="text1"/>
                <w:spacing w:val="0"/>
                <w:kern w:val="0"/>
                <w:sz w:val="20"/>
                <w:szCs w:val="20"/>
                <w:lang w:bidi="ar-SA"/>
                <w14:ligatures w14:val="none"/>
              </w:rPr>
              <w:t>OL Technical Parameter</w:t>
            </w:r>
          </w:p>
        </w:tc>
        <w:tc>
          <w:tcPr>
            <w:tcW w:w="1701" w:type="dxa"/>
            <w:vMerge w:val="restart"/>
            <w:tcBorders>
              <w:top w:val="single" w:sz="4" w:space="0" w:color="auto"/>
              <w:left w:val="single" w:sz="4" w:space="0" w:color="auto"/>
              <w:bottom w:val="single" w:sz="4" w:space="0" w:color="auto"/>
              <w:right w:val="single" w:sz="4" w:space="0" w:color="auto"/>
            </w:tcBorders>
          </w:tcPr>
          <w:p w14:paraId="651AE59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Application Conditions</w:t>
            </w:r>
          </w:p>
        </w:tc>
        <w:tc>
          <w:tcPr>
            <w:tcW w:w="4536" w:type="dxa"/>
            <w:gridSpan w:val="5"/>
            <w:tcBorders>
              <w:top w:val="single" w:sz="4" w:space="0" w:color="auto"/>
              <w:left w:val="single" w:sz="4" w:space="0" w:color="auto"/>
              <w:bottom w:val="single" w:sz="4" w:space="0" w:color="auto"/>
              <w:right w:val="single" w:sz="4" w:space="0" w:color="auto"/>
            </w:tcBorders>
          </w:tcPr>
          <w:p w14:paraId="53E5B10F"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b/>
                <w:bCs/>
                <w:snapToGrid/>
                <w:color w:val="000000" w:themeColor="text1"/>
                <w:spacing w:val="0"/>
                <w:kern w:val="0"/>
                <w:sz w:val="20"/>
                <w:szCs w:val="20"/>
                <w:lang w:bidi="ar-SA"/>
                <w14:ligatures w14:val="none"/>
              </w:rPr>
              <w:t>Environmental</w:t>
            </w:r>
            <w:r w:rsidRPr="00EF2F5B">
              <w:rPr>
                <w:rFonts w:eastAsia="Times New Roman"/>
                <w:snapToGrid/>
                <w:color w:val="000000" w:themeColor="text1"/>
                <w:spacing w:val="0"/>
                <w:kern w:val="0"/>
                <w:sz w:val="20"/>
                <w:szCs w:val="20"/>
                <w:lang w:bidi="ar-SA"/>
                <w14:ligatures w14:val="none"/>
              </w:rPr>
              <w:t xml:space="preserve"> </w:t>
            </w:r>
            <w:r w:rsidRPr="00EF2F5B">
              <w:rPr>
                <w:rFonts w:eastAsia="Times New Roman"/>
                <w:b/>
                <w:bCs/>
                <w:snapToGrid/>
                <w:color w:val="000000" w:themeColor="text1"/>
                <w:spacing w:val="0"/>
                <w:kern w:val="0"/>
                <w:sz w:val="20"/>
                <w:szCs w:val="20"/>
                <w:lang w:bidi="ar-SA"/>
                <w14:ligatures w14:val="none"/>
              </w:rPr>
              <w:t>Zones</w:t>
            </w:r>
          </w:p>
        </w:tc>
      </w:tr>
      <w:tr w:rsidR="00EF2F5B" w:rsidRPr="00EF2F5B" w14:paraId="18BF9E81" w14:textId="77777777" w:rsidTr="006617F6">
        <w:trPr>
          <w:trHeight w:val="284"/>
          <w:jc w:val="center"/>
        </w:trPr>
        <w:tc>
          <w:tcPr>
            <w:tcW w:w="2411" w:type="dxa"/>
            <w:vMerge/>
            <w:tcBorders>
              <w:top w:val="single" w:sz="4" w:space="0" w:color="auto"/>
              <w:left w:val="single" w:sz="4" w:space="0" w:color="auto"/>
              <w:bottom w:val="single" w:sz="4" w:space="0" w:color="auto"/>
              <w:right w:val="single" w:sz="4" w:space="0" w:color="auto"/>
            </w:tcBorders>
          </w:tcPr>
          <w:p w14:paraId="3074295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363AFD2"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p>
        </w:tc>
        <w:tc>
          <w:tcPr>
            <w:tcW w:w="703" w:type="dxa"/>
            <w:tcBorders>
              <w:top w:val="single" w:sz="4" w:space="0" w:color="auto"/>
              <w:left w:val="single" w:sz="4" w:space="0" w:color="auto"/>
              <w:bottom w:val="single" w:sz="4" w:space="0" w:color="auto"/>
              <w:right w:val="single" w:sz="4" w:space="0" w:color="auto"/>
            </w:tcBorders>
          </w:tcPr>
          <w:p w14:paraId="525CFFB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A0</w:t>
            </w:r>
          </w:p>
          <w:p w14:paraId="54CB66E6"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(Lux)</w:t>
            </w:r>
          </w:p>
        </w:tc>
        <w:tc>
          <w:tcPr>
            <w:tcW w:w="856" w:type="dxa"/>
            <w:tcBorders>
              <w:top w:val="single" w:sz="4" w:space="0" w:color="auto"/>
              <w:left w:val="single" w:sz="4" w:space="0" w:color="auto"/>
              <w:bottom w:val="single" w:sz="4" w:space="0" w:color="auto"/>
              <w:right w:val="single" w:sz="4" w:space="0" w:color="auto"/>
            </w:tcBorders>
            <w:vAlign w:val="center"/>
          </w:tcPr>
          <w:p w14:paraId="1A3767B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A1</w:t>
            </w:r>
          </w:p>
          <w:p w14:paraId="5A928902"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(Lux)</w:t>
            </w:r>
          </w:p>
        </w:tc>
        <w:tc>
          <w:tcPr>
            <w:tcW w:w="850" w:type="dxa"/>
            <w:tcBorders>
              <w:top w:val="single" w:sz="4" w:space="0" w:color="auto"/>
              <w:left w:val="single" w:sz="4" w:space="0" w:color="auto"/>
              <w:bottom w:val="single" w:sz="4" w:space="0" w:color="auto"/>
              <w:right w:val="single" w:sz="4" w:space="0" w:color="auto"/>
            </w:tcBorders>
          </w:tcPr>
          <w:p w14:paraId="429EEE0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A2</w:t>
            </w:r>
          </w:p>
          <w:p w14:paraId="661EC71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(Lux)</w:t>
            </w:r>
          </w:p>
        </w:tc>
        <w:tc>
          <w:tcPr>
            <w:tcW w:w="993" w:type="dxa"/>
            <w:tcBorders>
              <w:top w:val="single" w:sz="4" w:space="0" w:color="auto"/>
              <w:left w:val="single" w:sz="4" w:space="0" w:color="auto"/>
              <w:bottom w:val="single" w:sz="4" w:space="0" w:color="auto"/>
              <w:right w:val="single" w:sz="4" w:space="0" w:color="auto"/>
            </w:tcBorders>
          </w:tcPr>
          <w:p w14:paraId="45C8351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A3</w:t>
            </w:r>
          </w:p>
          <w:p w14:paraId="2CAA742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(Lux)</w:t>
            </w:r>
          </w:p>
        </w:tc>
        <w:tc>
          <w:tcPr>
            <w:tcW w:w="1134" w:type="dxa"/>
            <w:tcBorders>
              <w:top w:val="single" w:sz="4" w:space="0" w:color="auto"/>
              <w:left w:val="single" w:sz="4" w:space="0" w:color="auto"/>
              <w:bottom w:val="single" w:sz="4" w:space="0" w:color="auto"/>
              <w:right w:val="single" w:sz="4" w:space="0" w:color="auto"/>
            </w:tcBorders>
          </w:tcPr>
          <w:p w14:paraId="2235BA41"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A4</w:t>
            </w:r>
          </w:p>
          <w:p w14:paraId="02372629"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(Lux)</w:t>
            </w:r>
          </w:p>
        </w:tc>
      </w:tr>
      <w:tr w:rsidR="00EF2F5B" w:rsidRPr="00EF2F5B" w14:paraId="1B4BAAE3" w14:textId="77777777" w:rsidTr="006617F6">
        <w:trPr>
          <w:trHeight w:val="284"/>
          <w:jc w:val="center"/>
        </w:trPr>
        <w:tc>
          <w:tcPr>
            <w:tcW w:w="2411" w:type="dxa"/>
            <w:vMerge w:val="restart"/>
            <w:tcBorders>
              <w:top w:val="single" w:sz="4" w:space="0" w:color="auto"/>
              <w:left w:val="single" w:sz="4" w:space="0" w:color="auto"/>
              <w:bottom w:val="single" w:sz="4" w:space="0" w:color="auto"/>
              <w:right w:val="single" w:sz="4" w:space="0" w:color="auto"/>
            </w:tcBorders>
          </w:tcPr>
          <w:p w14:paraId="0A3089C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Illuminance in Vertical Plane (E</w:t>
            </w:r>
            <w:r w:rsidRPr="00EF2F5B">
              <w:rPr>
                <w:rFonts w:eastAsia="Times New Roman"/>
                <w:snapToGrid/>
                <w:color w:val="000000" w:themeColor="text1"/>
                <w:spacing w:val="0"/>
                <w:kern w:val="0"/>
                <w:sz w:val="20"/>
                <w:szCs w:val="20"/>
                <w:vertAlign w:val="subscript"/>
                <w:lang w:bidi="ar-SA"/>
                <w14:ligatures w14:val="none"/>
              </w:rPr>
              <w:t>v</w:t>
            </w:r>
            <w:r w:rsidRPr="00EF2F5B">
              <w:rPr>
                <w:rFonts w:eastAsia="Times New Roman"/>
                <w:snapToGrid/>
                <w:color w:val="000000" w:themeColor="text1"/>
                <w:spacing w:val="0"/>
                <w:kern w:val="0"/>
                <w:sz w:val="20"/>
                <w:szCs w:val="20"/>
                <w:lang w:bidi="ar-SA"/>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tcPr>
          <w:p w14:paraId="0321F8F3"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“Pre-curfew”</w:t>
            </w:r>
          </w:p>
        </w:tc>
        <w:tc>
          <w:tcPr>
            <w:tcW w:w="703" w:type="dxa"/>
            <w:tcBorders>
              <w:top w:val="single" w:sz="4" w:space="0" w:color="auto"/>
              <w:left w:val="single" w:sz="4" w:space="0" w:color="auto"/>
              <w:bottom w:val="single" w:sz="4" w:space="0" w:color="auto"/>
              <w:right w:val="single" w:sz="4" w:space="0" w:color="auto"/>
            </w:tcBorders>
          </w:tcPr>
          <w:p w14:paraId="49584676"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N/A</w:t>
            </w:r>
          </w:p>
        </w:tc>
        <w:tc>
          <w:tcPr>
            <w:tcW w:w="856" w:type="dxa"/>
            <w:tcBorders>
              <w:top w:val="single" w:sz="4" w:space="0" w:color="auto"/>
              <w:left w:val="single" w:sz="4" w:space="0" w:color="auto"/>
              <w:bottom w:val="single" w:sz="4" w:space="0" w:color="auto"/>
              <w:right w:val="single" w:sz="4" w:space="0" w:color="auto"/>
            </w:tcBorders>
            <w:vAlign w:val="center"/>
          </w:tcPr>
          <w:p w14:paraId="5A9401F2"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2</w:t>
            </w:r>
          </w:p>
        </w:tc>
        <w:tc>
          <w:tcPr>
            <w:tcW w:w="850" w:type="dxa"/>
            <w:tcBorders>
              <w:top w:val="single" w:sz="4" w:space="0" w:color="auto"/>
              <w:left w:val="single" w:sz="4" w:space="0" w:color="auto"/>
              <w:bottom w:val="single" w:sz="4" w:space="0" w:color="auto"/>
              <w:right w:val="single" w:sz="4" w:space="0" w:color="auto"/>
            </w:tcBorders>
          </w:tcPr>
          <w:p w14:paraId="7B1B930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5</w:t>
            </w:r>
          </w:p>
        </w:tc>
        <w:tc>
          <w:tcPr>
            <w:tcW w:w="993" w:type="dxa"/>
            <w:tcBorders>
              <w:top w:val="single" w:sz="4" w:space="0" w:color="auto"/>
              <w:left w:val="single" w:sz="4" w:space="0" w:color="auto"/>
              <w:bottom w:val="single" w:sz="4" w:space="0" w:color="auto"/>
              <w:right w:val="single" w:sz="4" w:space="0" w:color="auto"/>
            </w:tcBorders>
          </w:tcPr>
          <w:p w14:paraId="6BE465E2"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10</w:t>
            </w:r>
          </w:p>
        </w:tc>
        <w:tc>
          <w:tcPr>
            <w:tcW w:w="1134" w:type="dxa"/>
            <w:tcBorders>
              <w:top w:val="single" w:sz="4" w:space="0" w:color="auto"/>
              <w:left w:val="single" w:sz="4" w:space="0" w:color="auto"/>
              <w:bottom w:val="single" w:sz="4" w:space="0" w:color="auto"/>
              <w:right w:val="single" w:sz="4" w:space="0" w:color="auto"/>
            </w:tcBorders>
          </w:tcPr>
          <w:p w14:paraId="34257022"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25</w:t>
            </w:r>
          </w:p>
        </w:tc>
      </w:tr>
      <w:tr w:rsidR="00EF2F5B" w:rsidRPr="00EF2F5B" w14:paraId="48E28DFE" w14:textId="77777777" w:rsidTr="006617F6">
        <w:trPr>
          <w:trHeight w:val="284"/>
          <w:jc w:val="center"/>
        </w:trPr>
        <w:tc>
          <w:tcPr>
            <w:tcW w:w="2411" w:type="dxa"/>
            <w:vMerge/>
            <w:tcBorders>
              <w:top w:val="single" w:sz="4" w:space="0" w:color="auto"/>
              <w:left w:val="single" w:sz="4" w:space="0" w:color="auto"/>
              <w:bottom w:val="single" w:sz="4" w:space="0" w:color="auto"/>
              <w:right w:val="single" w:sz="4" w:space="0" w:color="auto"/>
            </w:tcBorders>
          </w:tcPr>
          <w:p w14:paraId="40E77479"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p>
        </w:tc>
        <w:tc>
          <w:tcPr>
            <w:tcW w:w="1701" w:type="dxa"/>
            <w:tcBorders>
              <w:top w:val="single" w:sz="4" w:space="0" w:color="auto"/>
              <w:left w:val="single" w:sz="4" w:space="0" w:color="auto"/>
              <w:bottom w:val="single" w:sz="4" w:space="0" w:color="auto"/>
              <w:right w:val="single" w:sz="4" w:space="0" w:color="auto"/>
            </w:tcBorders>
            <w:vAlign w:val="center"/>
          </w:tcPr>
          <w:p w14:paraId="0A6C0DAB"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“Post-curfew”</w:t>
            </w:r>
          </w:p>
        </w:tc>
        <w:tc>
          <w:tcPr>
            <w:tcW w:w="703" w:type="dxa"/>
            <w:tcBorders>
              <w:top w:val="single" w:sz="4" w:space="0" w:color="auto"/>
              <w:left w:val="single" w:sz="4" w:space="0" w:color="auto"/>
              <w:bottom w:val="single" w:sz="4" w:space="0" w:color="auto"/>
              <w:right w:val="single" w:sz="4" w:space="0" w:color="auto"/>
            </w:tcBorders>
          </w:tcPr>
          <w:p w14:paraId="6E550613"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N/A</w:t>
            </w:r>
          </w:p>
        </w:tc>
        <w:tc>
          <w:tcPr>
            <w:tcW w:w="856" w:type="dxa"/>
            <w:tcBorders>
              <w:top w:val="single" w:sz="4" w:space="0" w:color="auto"/>
              <w:left w:val="single" w:sz="4" w:space="0" w:color="auto"/>
              <w:bottom w:val="single" w:sz="4" w:space="0" w:color="auto"/>
              <w:right w:val="single" w:sz="4" w:space="0" w:color="auto"/>
            </w:tcBorders>
            <w:vAlign w:val="center"/>
          </w:tcPr>
          <w:p w14:paraId="4ED70681"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&lt;0.1*</w:t>
            </w:r>
          </w:p>
        </w:tc>
        <w:tc>
          <w:tcPr>
            <w:tcW w:w="850" w:type="dxa"/>
            <w:tcBorders>
              <w:top w:val="single" w:sz="4" w:space="0" w:color="auto"/>
              <w:left w:val="single" w:sz="4" w:space="0" w:color="auto"/>
              <w:bottom w:val="single" w:sz="4" w:space="0" w:color="auto"/>
              <w:right w:val="single" w:sz="4" w:space="0" w:color="auto"/>
            </w:tcBorders>
          </w:tcPr>
          <w:p w14:paraId="2A21699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w:t>
            </w:r>
          </w:p>
        </w:tc>
        <w:tc>
          <w:tcPr>
            <w:tcW w:w="993" w:type="dxa"/>
            <w:tcBorders>
              <w:top w:val="single" w:sz="4" w:space="0" w:color="auto"/>
              <w:left w:val="single" w:sz="4" w:space="0" w:color="auto"/>
              <w:bottom w:val="single" w:sz="4" w:space="0" w:color="auto"/>
              <w:right w:val="single" w:sz="4" w:space="0" w:color="auto"/>
            </w:tcBorders>
          </w:tcPr>
          <w:p w14:paraId="5EDCA0D1"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2</w:t>
            </w:r>
          </w:p>
        </w:tc>
        <w:tc>
          <w:tcPr>
            <w:tcW w:w="1134" w:type="dxa"/>
            <w:tcBorders>
              <w:top w:val="single" w:sz="4" w:space="0" w:color="auto"/>
              <w:left w:val="single" w:sz="4" w:space="0" w:color="auto"/>
              <w:bottom w:val="single" w:sz="4" w:space="0" w:color="auto"/>
              <w:right w:val="single" w:sz="4" w:space="0" w:color="auto"/>
            </w:tcBorders>
          </w:tcPr>
          <w:p w14:paraId="51125F6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5</w:t>
            </w:r>
          </w:p>
        </w:tc>
      </w:tr>
      <w:tr w:rsidR="00CD3499" w:rsidRPr="00EF2F5B" w14:paraId="395FEB8E" w14:textId="77777777" w:rsidTr="006617F6">
        <w:trPr>
          <w:trHeight w:val="284"/>
          <w:jc w:val="center"/>
        </w:trPr>
        <w:tc>
          <w:tcPr>
            <w:tcW w:w="8648" w:type="dxa"/>
            <w:gridSpan w:val="7"/>
            <w:tcBorders>
              <w:top w:val="single" w:sz="4" w:space="0" w:color="auto"/>
              <w:left w:val="single" w:sz="4" w:space="0" w:color="auto"/>
              <w:bottom w:val="single" w:sz="4" w:space="0" w:color="auto"/>
              <w:right w:val="single" w:sz="4" w:space="0" w:color="auto"/>
            </w:tcBorders>
          </w:tcPr>
          <w:p w14:paraId="366E1D1E" w14:textId="77777777" w:rsidR="00336F99" w:rsidRPr="00EF2F5B" w:rsidRDefault="00336F9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*If the installation is for public OL, then this value may be up to 1 Lux</w:t>
            </w:r>
          </w:p>
        </w:tc>
      </w:tr>
    </w:tbl>
    <w:p w14:paraId="60E08907" w14:textId="77777777" w:rsidR="00A61DD9" w:rsidRPr="00EF2F5B" w:rsidRDefault="00A61DD9" w:rsidP="00A61DD9">
      <w:pPr>
        <w:rPr>
          <w:color w:val="000000" w:themeColor="text1"/>
        </w:rPr>
      </w:pPr>
      <w:bookmarkStart w:id="31" w:name="_Ref129693082"/>
      <w:bookmarkStart w:id="32" w:name="_Toc205658391"/>
    </w:p>
    <w:bookmarkEnd w:id="31"/>
    <w:bookmarkEnd w:id="32"/>
    <w:p w14:paraId="2FDC7064" w14:textId="3B4E4CC4" w:rsidR="00336F99" w:rsidRPr="00EF2F5B" w:rsidRDefault="00A61DD9" w:rsidP="00A61DD9">
      <w:pPr>
        <w:rPr>
          <w:rFonts w:ascii="Times New Roman Bold" w:hAnsi="Times New Roman Bold"/>
          <w:b/>
          <w:bCs/>
          <w:color w:val="000000" w:themeColor="text1"/>
          <w:spacing w:val="0"/>
        </w:rPr>
      </w:pPr>
      <w:r w:rsidRPr="00EF2F5B">
        <w:rPr>
          <w:rFonts w:ascii="Times New Roman Bold" w:hAnsi="Times New Roman Bold"/>
          <w:b/>
          <w:bCs/>
          <w:color w:val="000000" w:themeColor="text1"/>
          <w:spacing w:val="0"/>
        </w:rPr>
        <w:lastRenderedPageBreak/>
        <w:t>International Dark-Sky Association (IDA, 20</w:t>
      </w:r>
      <w:r w:rsidR="004A34F5" w:rsidRPr="00EF2F5B">
        <w:rPr>
          <w:rFonts w:ascii="Times New Roman Bold" w:hAnsi="Times New Roman Bold"/>
          <w:b/>
          <w:bCs/>
          <w:color w:val="000000" w:themeColor="text1"/>
          <w:spacing w:val="0"/>
        </w:rPr>
        <w:t>2</w:t>
      </w:r>
      <w:r w:rsidRPr="00EF2F5B">
        <w:rPr>
          <w:rFonts w:ascii="Times New Roman Bold" w:hAnsi="Times New Roman Bold"/>
          <w:b/>
          <w:bCs/>
          <w:color w:val="000000" w:themeColor="text1"/>
          <w:spacing w:val="0"/>
        </w:rPr>
        <w:t xml:space="preserve">1) </w:t>
      </w:r>
    </w:p>
    <w:p w14:paraId="36D082F2" w14:textId="4E712FB0" w:rsidR="00336F99" w:rsidRPr="00EF2F5B" w:rsidRDefault="00336F99" w:rsidP="00F0093D">
      <w:pPr>
        <w:spacing w:after="0" w:line="240" w:lineRule="auto"/>
        <w:rPr>
          <w:color w:val="000000" w:themeColor="text1"/>
          <w:spacing w:val="0"/>
        </w:rPr>
      </w:pPr>
      <w:bookmarkStart w:id="33" w:name="_Hlk57828831"/>
      <w:r w:rsidRPr="00EF2F5B">
        <w:rPr>
          <w:color w:val="000000" w:themeColor="text1"/>
          <w:spacing w:val="0"/>
        </w:rPr>
        <w:t xml:space="preserve">IDA is an advocacy group formed by astronomers, and </w:t>
      </w:r>
      <w:r w:rsidR="00D006AC" w:rsidRPr="00EF2F5B">
        <w:rPr>
          <w:color w:val="000000" w:themeColor="text1"/>
          <w:spacing w:val="0"/>
        </w:rPr>
        <w:t>its primary focus is on reducing direct sky glow and</w:t>
      </w:r>
      <w:r w:rsidRPr="00EF2F5B">
        <w:rPr>
          <w:color w:val="000000" w:themeColor="text1"/>
          <w:spacing w:val="0"/>
        </w:rPr>
        <w:t xml:space="preserve"> reflected light (IDA, 20</w:t>
      </w:r>
      <w:r w:rsidR="004A34F5" w:rsidRPr="00EF2F5B">
        <w:rPr>
          <w:color w:val="000000" w:themeColor="text1"/>
          <w:spacing w:val="0"/>
        </w:rPr>
        <w:t>2</w:t>
      </w:r>
      <w:r w:rsidRPr="00EF2F5B">
        <w:rPr>
          <w:color w:val="000000" w:themeColor="text1"/>
          <w:spacing w:val="0"/>
        </w:rPr>
        <w:t xml:space="preserve">1).  OL Zone (LZ) Ratings and Characteristics are shown in </w:t>
      </w:r>
      <w:r w:rsidRPr="00EF2F5B">
        <w:rPr>
          <w:color w:val="000000" w:themeColor="text1"/>
          <w:spacing w:val="0"/>
        </w:rPr>
        <w:fldChar w:fldCharType="begin"/>
      </w:r>
      <w:r w:rsidRPr="00EF2F5B">
        <w:rPr>
          <w:color w:val="000000" w:themeColor="text1"/>
          <w:spacing w:val="0"/>
        </w:rPr>
        <w:instrText xml:space="preserve"> REF _Ref123331661 \h </w:instrText>
      </w:r>
      <w:r w:rsidR="00E2784B" w:rsidRPr="00EF2F5B">
        <w:rPr>
          <w:color w:val="000000" w:themeColor="text1"/>
          <w:spacing w:val="0"/>
        </w:rPr>
        <w:instrText xml:space="preserve"> \* MERGEFORMAT </w:instrText>
      </w:r>
      <w:r w:rsidRPr="00EF2F5B">
        <w:rPr>
          <w:color w:val="000000" w:themeColor="text1"/>
          <w:spacing w:val="0"/>
        </w:rPr>
      </w:r>
      <w:r w:rsidRPr="00EF2F5B">
        <w:rPr>
          <w:color w:val="000000" w:themeColor="text1"/>
          <w:spacing w:val="0"/>
        </w:rPr>
        <w:fldChar w:fldCharType="separate"/>
      </w:r>
      <w:r w:rsidRPr="00EF2F5B">
        <w:rPr>
          <w:color w:val="000000" w:themeColor="text1"/>
          <w:spacing w:val="0"/>
        </w:rPr>
        <w:t>Table 11</w:t>
      </w:r>
      <w:r w:rsidRPr="00EF2F5B">
        <w:rPr>
          <w:color w:val="000000" w:themeColor="text1"/>
          <w:spacing w:val="0"/>
        </w:rPr>
        <w:fldChar w:fldCharType="end"/>
      </w:r>
      <w:r w:rsidRPr="00EF2F5B">
        <w:rPr>
          <w:color w:val="000000" w:themeColor="text1"/>
          <w:spacing w:val="0"/>
        </w:rPr>
        <w:t xml:space="preserve"> below:</w:t>
      </w:r>
    </w:p>
    <w:p w14:paraId="0FE1508E" w14:textId="77777777" w:rsidR="00A61DD9" w:rsidRPr="00EF2F5B" w:rsidRDefault="00A61DD9" w:rsidP="00F0093D">
      <w:pPr>
        <w:spacing w:after="0" w:line="240" w:lineRule="auto"/>
        <w:rPr>
          <w:color w:val="000000" w:themeColor="text1"/>
          <w:spacing w:val="0"/>
        </w:rPr>
      </w:pPr>
    </w:p>
    <w:p w14:paraId="783C56DA" w14:textId="3D6F0929" w:rsidR="00336F99" w:rsidRPr="00EF2F5B" w:rsidRDefault="00336F99" w:rsidP="00A61DD9">
      <w:pPr>
        <w:spacing w:after="0" w:line="240" w:lineRule="auto"/>
        <w:jc w:val="center"/>
        <w:rPr>
          <w:b/>
          <w:bCs/>
          <w:color w:val="000000" w:themeColor="text1"/>
          <w:spacing w:val="0"/>
          <w:sz w:val="20"/>
          <w:szCs w:val="20"/>
        </w:rPr>
      </w:pPr>
      <w:bookmarkStart w:id="34" w:name="_Ref123331661"/>
      <w:bookmarkStart w:id="35" w:name="_Toc109780807"/>
      <w:bookmarkStart w:id="36" w:name="_Toc205658521"/>
      <w:r w:rsidRPr="00EF2F5B">
        <w:rPr>
          <w:b/>
          <w:bCs/>
          <w:color w:val="000000" w:themeColor="text1"/>
          <w:spacing w:val="0"/>
          <w:sz w:val="20"/>
          <w:szCs w:val="20"/>
        </w:rPr>
        <w:t xml:space="preserve">Table </w:t>
      </w:r>
      <w:r w:rsidRPr="00EF2F5B">
        <w:rPr>
          <w:b/>
          <w:bCs/>
          <w:color w:val="000000" w:themeColor="text1"/>
          <w:spacing w:val="0"/>
          <w:sz w:val="20"/>
          <w:szCs w:val="20"/>
        </w:rPr>
        <w:fldChar w:fldCharType="begin"/>
      </w:r>
      <w:r w:rsidRPr="00EF2F5B">
        <w:rPr>
          <w:b/>
          <w:bCs/>
          <w:color w:val="000000" w:themeColor="text1"/>
          <w:spacing w:val="0"/>
          <w:sz w:val="20"/>
          <w:szCs w:val="20"/>
        </w:rPr>
        <w:instrText xml:space="preserve"> SEQ Table \* ARABIC \s 1 </w:instrText>
      </w:r>
      <w:r w:rsidRPr="00EF2F5B">
        <w:rPr>
          <w:b/>
          <w:bCs/>
          <w:color w:val="000000" w:themeColor="text1"/>
          <w:spacing w:val="0"/>
          <w:sz w:val="20"/>
          <w:szCs w:val="20"/>
        </w:rPr>
        <w:fldChar w:fldCharType="separate"/>
      </w:r>
      <w:r w:rsidRPr="00EF2F5B">
        <w:rPr>
          <w:b/>
          <w:bCs/>
          <w:color w:val="000000" w:themeColor="text1"/>
          <w:spacing w:val="0"/>
          <w:sz w:val="20"/>
          <w:szCs w:val="20"/>
        </w:rPr>
        <w:t>11</w:t>
      </w:r>
      <w:r w:rsidRPr="00EF2F5B">
        <w:rPr>
          <w:b/>
          <w:bCs/>
          <w:color w:val="000000" w:themeColor="text1"/>
          <w:spacing w:val="0"/>
          <w:sz w:val="20"/>
          <w:szCs w:val="20"/>
        </w:rPr>
        <w:fldChar w:fldCharType="end"/>
      </w:r>
      <w:bookmarkEnd w:id="34"/>
      <w:r w:rsidRPr="00EF2F5B">
        <w:rPr>
          <w:b/>
          <w:bCs/>
          <w:color w:val="000000" w:themeColor="text1"/>
          <w:spacing w:val="0"/>
          <w:sz w:val="20"/>
          <w:szCs w:val="20"/>
        </w:rPr>
        <w:t xml:space="preserve"> Environmental OL Zones by IDA</w:t>
      </w:r>
      <w:bookmarkEnd w:id="35"/>
      <w:bookmarkEnd w:id="36"/>
    </w:p>
    <w:p w14:paraId="3DDCDA56" w14:textId="031238BA" w:rsidR="00336F99" w:rsidRPr="00EF2F5B" w:rsidRDefault="00336F99" w:rsidP="00A61DD9">
      <w:pPr>
        <w:spacing w:after="0" w:line="240" w:lineRule="auto"/>
        <w:jc w:val="center"/>
        <w:rPr>
          <w:color w:val="000000" w:themeColor="text1"/>
          <w:spacing w:val="0"/>
          <w:sz w:val="16"/>
          <w:szCs w:val="16"/>
        </w:rPr>
      </w:pPr>
      <w:r w:rsidRPr="00EF2F5B">
        <w:rPr>
          <w:color w:val="000000" w:themeColor="text1"/>
          <w:spacing w:val="0"/>
          <w:sz w:val="16"/>
          <w:szCs w:val="16"/>
        </w:rPr>
        <w:t>Source: Compiled by the author (IDA, 20</w:t>
      </w:r>
      <w:r w:rsidR="004A34F5" w:rsidRPr="00EF2F5B">
        <w:rPr>
          <w:color w:val="000000" w:themeColor="text1"/>
          <w:spacing w:val="0"/>
          <w:sz w:val="16"/>
          <w:szCs w:val="16"/>
        </w:rPr>
        <w:t>2</w:t>
      </w:r>
      <w:r w:rsidRPr="00EF2F5B">
        <w:rPr>
          <w:color w:val="000000" w:themeColor="text1"/>
          <w:spacing w:val="0"/>
          <w:sz w:val="16"/>
          <w:szCs w:val="16"/>
        </w:rPr>
        <w:t>1)</w:t>
      </w:r>
    </w:p>
    <w:p w14:paraId="0584CA96" w14:textId="77777777" w:rsidR="00A61DD9" w:rsidRPr="00EF2F5B" w:rsidRDefault="00A61DD9" w:rsidP="00F0093D">
      <w:pPr>
        <w:spacing w:after="0" w:line="240" w:lineRule="auto"/>
        <w:rPr>
          <w:color w:val="000000" w:themeColor="text1"/>
          <w:spacing w:val="0"/>
        </w:rPr>
      </w:pPr>
    </w:p>
    <w:tbl>
      <w:tblPr>
        <w:tblStyle w:val="TableGrid3"/>
        <w:tblW w:w="0" w:type="auto"/>
        <w:jc w:val="center"/>
        <w:tblLook w:val="01E0" w:firstRow="1" w:lastRow="1" w:firstColumn="1" w:lastColumn="1" w:noHBand="0" w:noVBand="0"/>
      </w:tblPr>
      <w:tblGrid>
        <w:gridCol w:w="890"/>
        <w:gridCol w:w="996"/>
        <w:gridCol w:w="1364"/>
        <w:gridCol w:w="5397"/>
      </w:tblGrid>
      <w:tr w:rsidR="00EF2F5B" w:rsidRPr="00EF2F5B" w14:paraId="2B8859FA" w14:textId="77777777" w:rsidTr="006617F6">
        <w:trPr>
          <w:jc w:val="center"/>
        </w:trPr>
        <w:tc>
          <w:tcPr>
            <w:tcW w:w="890" w:type="dxa"/>
            <w:vAlign w:val="center"/>
          </w:tcPr>
          <w:p w14:paraId="5CB0F9DF" w14:textId="77777777"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No.</w:t>
            </w:r>
          </w:p>
        </w:tc>
        <w:tc>
          <w:tcPr>
            <w:tcW w:w="996" w:type="dxa"/>
            <w:vAlign w:val="center"/>
          </w:tcPr>
          <w:p w14:paraId="0C6EB7AE" w14:textId="77777777"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ZONE</w:t>
            </w:r>
          </w:p>
        </w:tc>
        <w:tc>
          <w:tcPr>
            <w:tcW w:w="1364" w:type="dxa"/>
            <w:vAlign w:val="center"/>
          </w:tcPr>
          <w:p w14:paraId="0E89559F" w14:textId="77777777"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AMBIENT</w:t>
            </w:r>
          </w:p>
          <w:p w14:paraId="45A66C35" w14:textId="77777777"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ILLUM.</w:t>
            </w:r>
          </w:p>
        </w:tc>
        <w:tc>
          <w:tcPr>
            <w:tcW w:w="5397" w:type="dxa"/>
            <w:vAlign w:val="center"/>
          </w:tcPr>
          <w:p w14:paraId="1C9216FB" w14:textId="77777777"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CRITERIA</w:t>
            </w:r>
          </w:p>
        </w:tc>
      </w:tr>
      <w:tr w:rsidR="00EF2F5B" w:rsidRPr="00EF2F5B" w14:paraId="58805A55" w14:textId="77777777" w:rsidTr="006617F6">
        <w:trPr>
          <w:trHeight w:val="870"/>
          <w:jc w:val="center"/>
        </w:trPr>
        <w:tc>
          <w:tcPr>
            <w:tcW w:w="890" w:type="dxa"/>
            <w:vAlign w:val="center"/>
          </w:tcPr>
          <w:p w14:paraId="28F0878A" w14:textId="32C0F60F"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11a</w:t>
            </w:r>
          </w:p>
        </w:tc>
        <w:tc>
          <w:tcPr>
            <w:tcW w:w="996" w:type="dxa"/>
            <w:vAlign w:val="center"/>
          </w:tcPr>
          <w:p w14:paraId="2E8C8A0F" w14:textId="77777777"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LZ0</w:t>
            </w:r>
          </w:p>
        </w:tc>
        <w:tc>
          <w:tcPr>
            <w:tcW w:w="1364" w:type="dxa"/>
            <w:vAlign w:val="center"/>
          </w:tcPr>
          <w:p w14:paraId="60991B84" w14:textId="77777777"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Very Dark</w:t>
            </w:r>
          </w:p>
        </w:tc>
        <w:tc>
          <w:tcPr>
            <w:tcW w:w="5397" w:type="dxa"/>
            <w:vAlign w:val="center"/>
          </w:tcPr>
          <w:p w14:paraId="6CC18E63" w14:textId="231BBED9" w:rsidR="00336F99" w:rsidRPr="00EF2F5B" w:rsidRDefault="00336F99" w:rsidP="00F0093D">
            <w:pPr>
              <w:tabs>
                <w:tab w:val="center" w:pos="4320"/>
                <w:tab w:val="right" w:pos="8640"/>
              </w:tabs>
              <w:spacing w:before="0"/>
              <w:rPr>
                <w:color w:val="000000" w:themeColor="text1"/>
              </w:rPr>
            </w:pPr>
            <w:r w:rsidRPr="00EF2F5B">
              <w:rPr>
                <w:color w:val="000000" w:themeColor="text1"/>
              </w:rPr>
              <w:t>“Critical dark environments, such as especially sensitive wildlife preserves, national parks, and major astronomical observatories” (IDA, 20</w:t>
            </w:r>
            <w:r w:rsidR="004A34F5" w:rsidRPr="00EF2F5B">
              <w:rPr>
                <w:color w:val="000000" w:themeColor="text1"/>
              </w:rPr>
              <w:t>2</w:t>
            </w:r>
            <w:r w:rsidRPr="00EF2F5B">
              <w:rPr>
                <w:color w:val="000000" w:themeColor="text1"/>
              </w:rPr>
              <w:t xml:space="preserve">1).                                                                                                                        </w:t>
            </w:r>
          </w:p>
        </w:tc>
      </w:tr>
      <w:tr w:rsidR="00EF2F5B" w:rsidRPr="00EF2F5B" w14:paraId="43785099" w14:textId="77777777" w:rsidTr="006617F6">
        <w:trPr>
          <w:trHeight w:val="1416"/>
          <w:jc w:val="center"/>
        </w:trPr>
        <w:tc>
          <w:tcPr>
            <w:tcW w:w="890" w:type="dxa"/>
            <w:vAlign w:val="center"/>
          </w:tcPr>
          <w:p w14:paraId="4F165E26" w14:textId="025B723F"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11b</w:t>
            </w:r>
          </w:p>
        </w:tc>
        <w:tc>
          <w:tcPr>
            <w:tcW w:w="996" w:type="dxa"/>
            <w:vAlign w:val="center"/>
          </w:tcPr>
          <w:p w14:paraId="2826A788" w14:textId="77777777"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LZ1</w:t>
            </w:r>
          </w:p>
        </w:tc>
        <w:tc>
          <w:tcPr>
            <w:tcW w:w="1364" w:type="dxa"/>
            <w:vAlign w:val="center"/>
          </w:tcPr>
          <w:p w14:paraId="6DF5CA12" w14:textId="77777777"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Dark</w:t>
            </w:r>
          </w:p>
        </w:tc>
        <w:tc>
          <w:tcPr>
            <w:tcW w:w="5397" w:type="dxa"/>
            <w:vAlign w:val="center"/>
          </w:tcPr>
          <w:p w14:paraId="09560130" w14:textId="7F6E2829" w:rsidR="00336F99" w:rsidRPr="00EF2F5B" w:rsidRDefault="00336F99" w:rsidP="00F0093D">
            <w:pPr>
              <w:tabs>
                <w:tab w:val="center" w:pos="4320"/>
                <w:tab w:val="right" w:pos="8640"/>
              </w:tabs>
              <w:spacing w:before="0"/>
              <w:rPr>
                <w:color w:val="000000" w:themeColor="text1"/>
              </w:rPr>
            </w:pPr>
            <w:r w:rsidRPr="00EF2F5B">
              <w:rPr>
                <w:color w:val="000000" w:themeColor="text1"/>
              </w:rPr>
              <w:t>“Developed areas in state and national parks, recreation areas, wetlands and wildlife preserves; developed areas in natural settings; areas near astronomical observatories; sensitive night environments; zoos; areas where residents have expressed the desire to conserve natural illumination levels” (IDA, 20</w:t>
            </w:r>
            <w:r w:rsidR="004A34F5" w:rsidRPr="00EF2F5B">
              <w:rPr>
                <w:color w:val="000000" w:themeColor="text1"/>
              </w:rPr>
              <w:t>2</w:t>
            </w:r>
            <w:r w:rsidRPr="00EF2F5B">
              <w:rPr>
                <w:color w:val="000000" w:themeColor="text1"/>
              </w:rPr>
              <w:t xml:space="preserve">1).                                                                                                                        </w:t>
            </w:r>
          </w:p>
        </w:tc>
      </w:tr>
      <w:tr w:rsidR="00EF2F5B" w:rsidRPr="00EF2F5B" w14:paraId="37B67631" w14:textId="77777777" w:rsidTr="006617F6">
        <w:trPr>
          <w:trHeight w:val="1125"/>
          <w:jc w:val="center"/>
        </w:trPr>
        <w:tc>
          <w:tcPr>
            <w:tcW w:w="890" w:type="dxa"/>
            <w:vAlign w:val="center"/>
          </w:tcPr>
          <w:p w14:paraId="79B8E654" w14:textId="251E46DA"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11c</w:t>
            </w:r>
          </w:p>
        </w:tc>
        <w:tc>
          <w:tcPr>
            <w:tcW w:w="996" w:type="dxa"/>
            <w:vAlign w:val="center"/>
          </w:tcPr>
          <w:p w14:paraId="4569222C" w14:textId="77777777"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LZ2</w:t>
            </w:r>
          </w:p>
        </w:tc>
        <w:tc>
          <w:tcPr>
            <w:tcW w:w="1364" w:type="dxa"/>
            <w:vAlign w:val="center"/>
          </w:tcPr>
          <w:p w14:paraId="6D50BCFC" w14:textId="77777777"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Low</w:t>
            </w:r>
          </w:p>
        </w:tc>
        <w:tc>
          <w:tcPr>
            <w:tcW w:w="5397" w:type="dxa"/>
            <w:vAlign w:val="center"/>
          </w:tcPr>
          <w:p w14:paraId="4D6F08EE" w14:textId="0096F4B2" w:rsidR="00336F99" w:rsidRPr="00EF2F5B" w:rsidRDefault="00336F99" w:rsidP="00F0093D">
            <w:pPr>
              <w:tabs>
                <w:tab w:val="center" w:pos="4320"/>
                <w:tab w:val="right" w:pos="8640"/>
              </w:tabs>
              <w:spacing w:before="0"/>
              <w:rPr>
                <w:color w:val="000000" w:themeColor="text1"/>
              </w:rPr>
            </w:pPr>
            <w:r w:rsidRPr="00EF2F5B">
              <w:rPr>
                <w:color w:val="000000" w:themeColor="text1"/>
              </w:rPr>
              <w:t xml:space="preserve">“Rural areas, low-density urban </w:t>
            </w:r>
            <w:r w:rsidR="00CD23BB" w:rsidRPr="00EF2F5B">
              <w:rPr>
                <w:color w:val="000000" w:themeColor="text1"/>
              </w:rPr>
              <w:t>neighbourhoods</w:t>
            </w:r>
            <w:r w:rsidRPr="00EF2F5B">
              <w:rPr>
                <w:color w:val="000000" w:themeColor="text1"/>
              </w:rPr>
              <w:t xml:space="preserve"> and districts, residential historic districts. This zone is intended to be the default condition if a zone has not been established” (IDA, 20</w:t>
            </w:r>
            <w:r w:rsidR="004A34F5" w:rsidRPr="00EF2F5B">
              <w:rPr>
                <w:color w:val="000000" w:themeColor="text1"/>
              </w:rPr>
              <w:t>2</w:t>
            </w:r>
            <w:r w:rsidRPr="00EF2F5B">
              <w:rPr>
                <w:color w:val="000000" w:themeColor="text1"/>
              </w:rPr>
              <w:t xml:space="preserve">1).                                                                                                                        </w:t>
            </w:r>
          </w:p>
        </w:tc>
      </w:tr>
      <w:tr w:rsidR="00EF2F5B" w:rsidRPr="00EF2F5B" w14:paraId="55208DB3" w14:textId="77777777" w:rsidTr="006617F6">
        <w:trPr>
          <w:trHeight w:val="1142"/>
          <w:jc w:val="center"/>
        </w:trPr>
        <w:tc>
          <w:tcPr>
            <w:tcW w:w="890" w:type="dxa"/>
            <w:vAlign w:val="center"/>
          </w:tcPr>
          <w:p w14:paraId="6DE10692" w14:textId="712A7F9B"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11d</w:t>
            </w:r>
          </w:p>
        </w:tc>
        <w:tc>
          <w:tcPr>
            <w:tcW w:w="996" w:type="dxa"/>
            <w:vAlign w:val="center"/>
          </w:tcPr>
          <w:p w14:paraId="6CC607E5" w14:textId="77777777"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LZ3</w:t>
            </w:r>
          </w:p>
        </w:tc>
        <w:tc>
          <w:tcPr>
            <w:tcW w:w="1364" w:type="dxa"/>
            <w:vAlign w:val="center"/>
          </w:tcPr>
          <w:p w14:paraId="0429DBF3" w14:textId="77777777"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Medium</w:t>
            </w:r>
          </w:p>
        </w:tc>
        <w:tc>
          <w:tcPr>
            <w:tcW w:w="5397" w:type="dxa"/>
            <w:vAlign w:val="center"/>
          </w:tcPr>
          <w:p w14:paraId="54E7A137" w14:textId="46663DF3" w:rsidR="00336F99" w:rsidRPr="00EF2F5B" w:rsidRDefault="00336F99" w:rsidP="00F0093D">
            <w:pPr>
              <w:tabs>
                <w:tab w:val="left" w:pos="-36"/>
                <w:tab w:val="left" w:pos="1800"/>
              </w:tabs>
              <w:spacing w:before="0"/>
              <w:rPr>
                <w:color w:val="000000" w:themeColor="text1"/>
              </w:rPr>
            </w:pPr>
            <w:r w:rsidRPr="00EF2F5B">
              <w:rPr>
                <w:color w:val="000000" w:themeColor="text1"/>
              </w:rPr>
              <w:t xml:space="preserve">“Medium- to high-density urban </w:t>
            </w:r>
            <w:r w:rsidR="00CD23BB" w:rsidRPr="00EF2F5B">
              <w:rPr>
                <w:color w:val="000000" w:themeColor="text1"/>
              </w:rPr>
              <w:t>neighbourhoods</w:t>
            </w:r>
            <w:r w:rsidRPr="00EF2F5B">
              <w:rPr>
                <w:color w:val="000000" w:themeColor="text1"/>
              </w:rPr>
              <w:t xml:space="preserve">, urban shopping and commercial districts, industrial parks and districts. This zone </w:t>
            </w:r>
            <w:r w:rsidR="00CD23BB" w:rsidRPr="00EF2F5B">
              <w:rPr>
                <w:color w:val="000000" w:themeColor="text1"/>
              </w:rPr>
              <w:t xml:space="preserve">is </w:t>
            </w:r>
            <w:r w:rsidRPr="00EF2F5B">
              <w:rPr>
                <w:color w:val="000000" w:themeColor="text1"/>
              </w:rPr>
              <w:t>intended to be the default condition for commercial and industrial districts in urban areas” (IDA, 20</w:t>
            </w:r>
            <w:r w:rsidR="004A34F5" w:rsidRPr="00EF2F5B">
              <w:rPr>
                <w:color w:val="000000" w:themeColor="text1"/>
              </w:rPr>
              <w:t>2</w:t>
            </w:r>
            <w:r w:rsidRPr="00EF2F5B">
              <w:rPr>
                <w:color w:val="000000" w:themeColor="text1"/>
              </w:rPr>
              <w:t xml:space="preserve">1).                                                                                                                        </w:t>
            </w:r>
          </w:p>
        </w:tc>
      </w:tr>
      <w:tr w:rsidR="00336F99" w:rsidRPr="00EF2F5B" w14:paraId="349BFF2E" w14:textId="77777777" w:rsidTr="006617F6">
        <w:trPr>
          <w:trHeight w:val="1413"/>
          <w:jc w:val="center"/>
        </w:trPr>
        <w:tc>
          <w:tcPr>
            <w:tcW w:w="890" w:type="dxa"/>
            <w:vAlign w:val="center"/>
          </w:tcPr>
          <w:p w14:paraId="5CE8FA3F" w14:textId="53AE64BC"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11e</w:t>
            </w:r>
          </w:p>
        </w:tc>
        <w:tc>
          <w:tcPr>
            <w:tcW w:w="996" w:type="dxa"/>
            <w:vAlign w:val="center"/>
          </w:tcPr>
          <w:p w14:paraId="70D52424" w14:textId="77777777"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LZ4</w:t>
            </w:r>
          </w:p>
        </w:tc>
        <w:tc>
          <w:tcPr>
            <w:tcW w:w="1364" w:type="dxa"/>
            <w:vAlign w:val="center"/>
          </w:tcPr>
          <w:p w14:paraId="3BD87071" w14:textId="77777777" w:rsidR="00336F99" w:rsidRPr="00EF2F5B" w:rsidRDefault="00336F99" w:rsidP="00F0093D">
            <w:pPr>
              <w:tabs>
                <w:tab w:val="center" w:pos="4320"/>
                <w:tab w:val="right" w:pos="8640"/>
              </w:tabs>
              <w:spacing w:before="0"/>
              <w:jc w:val="center"/>
              <w:rPr>
                <w:color w:val="000000" w:themeColor="text1"/>
              </w:rPr>
            </w:pPr>
            <w:r w:rsidRPr="00EF2F5B">
              <w:rPr>
                <w:color w:val="000000" w:themeColor="text1"/>
              </w:rPr>
              <w:t>High</w:t>
            </w:r>
          </w:p>
        </w:tc>
        <w:tc>
          <w:tcPr>
            <w:tcW w:w="5397" w:type="dxa"/>
            <w:vAlign w:val="center"/>
          </w:tcPr>
          <w:p w14:paraId="795E6029" w14:textId="0E5E4098" w:rsidR="00336F99" w:rsidRPr="00EF2F5B" w:rsidRDefault="00336F99" w:rsidP="00F0093D">
            <w:pPr>
              <w:tabs>
                <w:tab w:val="left" w:pos="1800"/>
                <w:tab w:val="left" w:pos="5220"/>
              </w:tabs>
              <w:spacing w:before="0"/>
              <w:rPr>
                <w:color w:val="000000" w:themeColor="text1"/>
              </w:rPr>
            </w:pPr>
            <w:r w:rsidRPr="00EF2F5B">
              <w:rPr>
                <w:color w:val="000000" w:themeColor="text1"/>
              </w:rPr>
              <w:t>“Reserved for very limited applications such as major city centres, urban districts with especially high security requirements, thematic attractions and entertainment districts, regional malls, and major auto sales districts” (IDA, 20</w:t>
            </w:r>
            <w:r w:rsidR="004A34F5" w:rsidRPr="00EF2F5B">
              <w:rPr>
                <w:color w:val="000000" w:themeColor="text1"/>
              </w:rPr>
              <w:t>2</w:t>
            </w:r>
            <w:r w:rsidRPr="00EF2F5B">
              <w:rPr>
                <w:color w:val="000000" w:themeColor="text1"/>
              </w:rPr>
              <w:t xml:space="preserve">1).                                                                                                                        </w:t>
            </w:r>
          </w:p>
        </w:tc>
      </w:tr>
      <w:bookmarkEnd w:id="33"/>
    </w:tbl>
    <w:p w14:paraId="5F994BF8" w14:textId="77777777" w:rsidR="00336F99" w:rsidRPr="00EF2F5B" w:rsidRDefault="00336F99" w:rsidP="00F0093D">
      <w:pPr>
        <w:spacing w:after="0" w:line="240" w:lineRule="auto"/>
        <w:jc w:val="both"/>
        <w:rPr>
          <w:rFonts w:eastAsia="Times New Roman"/>
          <w:bCs/>
          <w:snapToGrid/>
          <w:color w:val="000000" w:themeColor="text1"/>
          <w:spacing w:val="0"/>
          <w:kern w:val="0"/>
          <w:lang w:val="en-CA" w:eastAsia="en-CA" w:bidi="ar-SA"/>
          <w14:ligatures w14:val="none"/>
        </w:rPr>
      </w:pPr>
    </w:p>
    <w:p w14:paraId="17045525" w14:textId="7C6636DC" w:rsidR="00336F99" w:rsidRPr="00EF2F5B" w:rsidRDefault="00336F99" w:rsidP="004057F5">
      <w:pPr>
        <w:spacing w:after="0" w:line="240" w:lineRule="auto"/>
        <w:jc w:val="both"/>
        <w:rPr>
          <w:color w:val="000000" w:themeColor="text1"/>
          <w:spacing w:val="0"/>
        </w:rPr>
      </w:pPr>
      <w:r w:rsidRPr="00EF2F5B">
        <w:rPr>
          <w:color w:val="000000" w:themeColor="text1"/>
          <w:spacing w:val="0"/>
        </w:rPr>
        <w:t>The OTL limits the recommended maximum allowable light level anywhere along the vertical surface of the RPL (IDA/IES MLO, 20</w:t>
      </w:r>
      <w:r w:rsidR="004A34F5" w:rsidRPr="00EF2F5B">
        <w:rPr>
          <w:color w:val="000000" w:themeColor="text1"/>
          <w:spacing w:val="0"/>
        </w:rPr>
        <w:t>20</w:t>
      </w:r>
      <w:r w:rsidRPr="00EF2F5B">
        <w:rPr>
          <w:color w:val="000000" w:themeColor="text1"/>
          <w:spacing w:val="0"/>
        </w:rPr>
        <w:t xml:space="preserve">).  The OTL limitations, which significantly impact nearby dwellings, require that vertical illuminance on property line surfaces </w:t>
      </w:r>
      <w:r w:rsidR="00C827C4" w:rsidRPr="00EF2F5B">
        <w:rPr>
          <w:color w:val="000000" w:themeColor="text1"/>
          <w:spacing w:val="0"/>
        </w:rPr>
        <w:t>remain</w:t>
      </w:r>
      <w:r w:rsidRPr="00EF2F5B">
        <w:rPr>
          <w:color w:val="000000" w:themeColor="text1"/>
          <w:spacing w:val="0"/>
        </w:rPr>
        <w:t xml:space="preserve"> below the permitted maximum (IDA/IES MLO, 20</w:t>
      </w:r>
      <w:r w:rsidR="004A34F5" w:rsidRPr="00EF2F5B">
        <w:rPr>
          <w:color w:val="000000" w:themeColor="text1"/>
          <w:spacing w:val="0"/>
        </w:rPr>
        <w:t>20</w:t>
      </w:r>
      <w:r w:rsidRPr="00EF2F5B">
        <w:rPr>
          <w:color w:val="000000" w:themeColor="text1"/>
          <w:spacing w:val="0"/>
        </w:rPr>
        <w:t xml:space="preserve">).  </w:t>
      </w:r>
      <w:r w:rsidRPr="00EF2F5B">
        <w:rPr>
          <w:color w:val="000000" w:themeColor="text1"/>
          <w:spacing w:val="0"/>
        </w:rPr>
        <w:fldChar w:fldCharType="begin"/>
      </w:r>
      <w:r w:rsidRPr="00EF2F5B">
        <w:rPr>
          <w:color w:val="000000" w:themeColor="text1"/>
          <w:spacing w:val="0"/>
        </w:rPr>
        <w:instrText xml:space="preserve"> REF _Ref194824231 \h  \* MERGEFORMAT </w:instrText>
      </w:r>
      <w:r w:rsidRPr="00EF2F5B">
        <w:rPr>
          <w:color w:val="000000" w:themeColor="text1"/>
          <w:spacing w:val="0"/>
        </w:rPr>
      </w:r>
      <w:r w:rsidRPr="00EF2F5B">
        <w:rPr>
          <w:color w:val="000000" w:themeColor="text1"/>
          <w:spacing w:val="0"/>
        </w:rPr>
        <w:fldChar w:fldCharType="separate"/>
      </w:r>
      <w:r w:rsidRPr="00EF2F5B">
        <w:rPr>
          <w:color w:val="000000" w:themeColor="text1"/>
          <w:spacing w:val="0"/>
        </w:rPr>
        <w:t>Table 12</w:t>
      </w:r>
      <w:r w:rsidRPr="00EF2F5B">
        <w:rPr>
          <w:color w:val="000000" w:themeColor="text1"/>
          <w:spacing w:val="0"/>
        </w:rPr>
        <w:fldChar w:fldCharType="end"/>
      </w:r>
      <w:r w:rsidRPr="00EF2F5B">
        <w:rPr>
          <w:color w:val="000000" w:themeColor="text1"/>
          <w:spacing w:val="0"/>
        </w:rPr>
        <w:t xml:space="preserve"> gives the proposed highest values of vertical illuminance on property lines.</w:t>
      </w:r>
    </w:p>
    <w:p w14:paraId="22D786C2" w14:textId="77777777" w:rsidR="004057F5" w:rsidRPr="00EF2F5B" w:rsidRDefault="004057F5" w:rsidP="00F0093D">
      <w:pPr>
        <w:spacing w:after="0" w:line="240" w:lineRule="auto"/>
        <w:rPr>
          <w:color w:val="000000" w:themeColor="text1"/>
          <w:spacing w:val="0"/>
        </w:rPr>
      </w:pPr>
    </w:p>
    <w:p w14:paraId="1C431D13" w14:textId="53AC271F" w:rsidR="00336F99" w:rsidRPr="00EF2F5B" w:rsidRDefault="00336F99" w:rsidP="004057F5">
      <w:pPr>
        <w:spacing w:after="0" w:line="240" w:lineRule="auto"/>
        <w:jc w:val="center"/>
        <w:rPr>
          <w:b/>
          <w:bCs/>
          <w:color w:val="000000" w:themeColor="text1"/>
          <w:spacing w:val="0"/>
          <w:sz w:val="20"/>
          <w:szCs w:val="20"/>
        </w:rPr>
      </w:pPr>
      <w:bookmarkStart w:id="37" w:name="_Ref194824231"/>
      <w:bookmarkStart w:id="38" w:name="_Toc205658522"/>
      <w:r w:rsidRPr="00EF2F5B">
        <w:rPr>
          <w:b/>
          <w:bCs/>
          <w:color w:val="000000" w:themeColor="text1"/>
          <w:spacing w:val="0"/>
          <w:sz w:val="20"/>
          <w:szCs w:val="20"/>
        </w:rPr>
        <w:t xml:space="preserve">Table </w:t>
      </w:r>
      <w:r w:rsidRPr="00EF2F5B">
        <w:rPr>
          <w:b/>
          <w:bCs/>
          <w:color w:val="000000" w:themeColor="text1"/>
          <w:spacing w:val="0"/>
          <w:sz w:val="20"/>
          <w:szCs w:val="20"/>
        </w:rPr>
        <w:fldChar w:fldCharType="begin"/>
      </w:r>
      <w:r w:rsidRPr="00EF2F5B">
        <w:rPr>
          <w:b/>
          <w:bCs/>
          <w:color w:val="000000" w:themeColor="text1"/>
          <w:spacing w:val="0"/>
          <w:sz w:val="20"/>
          <w:szCs w:val="20"/>
        </w:rPr>
        <w:instrText xml:space="preserve"> SEQ Table \* ARABIC \s 1 </w:instrText>
      </w:r>
      <w:r w:rsidRPr="00EF2F5B">
        <w:rPr>
          <w:b/>
          <w:bCs/>
          <w:color w:val="000000" w:themeColor="text1"/>
          <w:spacing w:val="0"/>
          <w:sz w:val="20"/>
          <w:szCs w:val="20"/>
        </w:rPr>
        <w:fldChar w:fldCharType="separate"/>
      </w:r>
      <w:r w:rsidRPr="00EF2F5B">
        <w:rPr>
          <w:b/>
          <w:bCs/>
          <w:color w:val="000000" w:themeColor="text1"/>
          <w:spacing w:val="0"/>
          <w:sz w:val="20"/>
          <w:szCs w:val="20"/>
        </w:rPr>
        <w:t>12</w:t>
      </w:r>
      <w:r w:rsidRPr="00EF2F5B">
        <w:rPr>
          <w:b/>
          <w:bCs/>
          <w:color w:val="000000" w:themeColor="text1"/>
          <w:spacing w:val="0"/>
          <w:sz w:val="20"/>
          <w:szCs w:val="20"/>
        </w:rPr>
        <w:fldChar w:fldCharType="end"/>
      </w:r>
      <w:bookmarkEnd w:id="37"/>
      <w:r w:rsidRPr="00EF2F5B">
        <w:rPr>
          <w:b/>
          <w:bCs/>
          <w:color w:val="000000" w:themeColor="text1"/>
          <w:spacing w:val="0"/>
          <w:sz w:val="20"/>
          <w:szCs w:val="20"/>
        </w:rPr>
        <w:t xml:space="preserve"> The proposed maximum vertical illuminance on </w:t>
      </w:r>
      <w:r w:rsidR="00A61DD9" w:rsidRPr="00EF2F5B">
        <w:rPr>
          <w:b/>
          <w:bCs/>
          <w:color w:val="000000" w:themeColor="text1"/>
          <w:spacing w:val="0"/>
          <w:sz w:val="20"/>
          <w:szCs w:val="20"/>
        </w:rPr>
        <w:t xml:space="preserve">the </w:t>
      </w:r>
      <w:r w:rsidRPr="00EF2F5B">
        <w:rPr>
          <w:b/>
          <w:bCs/>
          <w:color w:val="000000" w:themeColor="text1"/>
          <w:spacing w:val="0"/>
          <w:sz w:val="20"/>
          <w:szCs w:val="20"/>
        </w:rPr>
        <w:t>ROW</w:t>
      </w:r>
      <w:bookmarkEnd w:id="38"/>
    </w:p>
    <w:p w14:paraId="55BF10F5" w14:textId="13C7EF64" w:rsidR="00336F99" w:rsidRPr="00EF2F5B" w:rsidRDefault="00336F99" w:rsidP="004057F5">
      <w:pPr>
        <w:spacing w:after="0" w:line="240" w:lineRule="auto"/>
        <w:jc w:val="center"/>
        <w:rPr>
          <w:color w:val="000000" w:themeColor="text1"/>
          <w:spacing w:val="0"/>
          <w:sz w:val="20"/>
          <w:szCs w:val="20"/>
        </w:rPr>
      </w:pPr>
      <w:r w:rsidRPr="00EF2F5B">
        <w:rPr>
          <w:color w:val="000000" w:themeColor="text1"/>
          <w:spacing w:val="0"/>
          <w:sz w:val="20"/>
          <w:szCs w:val="20"/>
        </w:rPr>
        <w:t>Source: Compiled by the author (IDA/IES MLO, 20</w:t>
      </w:r>
      <w:r w:rsidR="004A34F5" w:rsidRPr="00EF2F5B">
        <w:rPr>
          <w:color w:val="000000" w:themeColor="text1"/>
          <w:spacing w:val="0"/>
          <w:sz w:val="20"/>
          <w:szCs w:val="20"/>
        </w:rPr>
        <w:t>20</w:t>
      </w:r>
      <w:r w:rsidRPr="00EF2F5B">
        <w:rPr>
          <w:color w:val="000000" w:themeColor="text1"/>
          <w:spacing w:val="0"/>
          <w:sz w:val="20"/>
          <w:szCs w:val="20"/>
        </w:rPr>
        <w:t>).</w:t>
      </w:r>
    </w:p>
    <w:p w14:paraId="22574B92" w14:textId="77777777" w:rsidR="004057F5" w:rsidRPr="00EF2F5B" w:rsidRDefault="004057F5" w:rsidP="00F0093D">
      <w:pPr>
        <w:spacing w:after="0" w:line="240" w:lineRule="auto"/>
        <w:rPr>
          <w:color w:val="000000" w:themeColor="text1"/>
          <w:spacing w:val="0"/>
          <w:sz w:val="20"/>
          <w:szCs w:val="20"/>
        </w:rPr>
      </w:pPr>
    </w:p>
    <w:tbl>
      <w:tblPr>
        <w:tblpPr w:leftFromText="180" w:rightFromText="180" w:vertAnchor="text" w:tblpXSpec="center" w:tblpY="1"/>
        <w:tblOverlap w:val="never"/>
        <w:tblW w:w="8505" w:type="dxa"/>
        <w:tblLayout w:type="fixed"/>
        <w:tblCellMar>
          <w:left w:w="70" w:type="dxa"/>
          <w:right w:w="70" w:type="dxa"/>
        </w:tblCellMar>
        <w:tblLook w:val="0000" w:firstRow="0" w:lastRow="0" w:firstColumn="0" w:lastColumn="0" w:noHBand="0" w:noVBand="0"/>
      </w:tblPr>
      <w:tblGrid>
        <w:gridCol w:w="2408"/>
        <w:gridCol w:w="1700"/>
        <w:gridCol w:w="849"/>
        <w:gridCol w:w="703"/>
        <w:gridCol w:w="6"/>
        <w:gridCol w:w="850"/>
        <w:gridCol w:w="992"/>
        <w:gridCol w:w="997"/>
      </w:tblGrid>
      <w:tr w:rsidR="00EF2F5B" w:rsidRPr="00EF2F5B" w14:paraId="707D271E" w14:textId="77777777" w:rsidTr="006617F6">
        <w:tc>
          <w:tcPr>
            <w:tcW w:w="2408" w:type="dxa"/>
            <w:vMerge w:val="restart"/>
            <w:tcBorders>
              <w:top w:val="single" w:sz="4" w:space="0" w:color="auto"/>
              <w:left w:val="single" w:sz="4" w:space="0" w:color="auto"/>
              <w:bottom w:val="single" w:sz="4" w:space="0" w:color="auto"/>
              <w:right w:val="single" w:sz="4" w:space="0" w:color="auto"/>
            </w:tcBorders>
            <w:vAlign w:val="center"/>
          </w:tcPr>
          <w:p w14:paraId="1DFA638B"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cs/>
                <w14:ligatures w14:val="none"/>
              </w:rPr>
            </w:pPr>
            <w:r w:rsidRPr="00EF2F5B">
              <w:rPr>
                <w:rFonts w:eastAsia="Times New Roman"/>
                <w:color w:val="000000" w:themeColor="text1"/>
                <w:spacing w:val="0"/>
                <w:kern w:val="0"/>
                <w:sz w:val="20"/>
                <w:szCs w:val="20"/>
                <w14:ligatures w14:val="none"/>
              </w:rPr>
              <w:t>OL Technical Parameter</w:t>
            </w:r>
          </w:p>
        </w:tc>
        <w:tc>
          <w:tcPr>
            <w:tcW w:w="1700" w:type="dxa"/>
            <w:vMerge w:val="restart"/>
            <w:tcBorders>
              <w:top w:val="single" w:sz="4" w:space="0" w:color="auto"/>
              <w:left w:val="single" w:sz="4" w:space="0" w:color="auto"/>
              <w:bottom w:val="single" w:sz="4" w:space="0" w:color="auto"/>
              <w:right w:val="single" w:sz="4" w:space="0" w:color="auto"/>
            </w:tcBorders>
            <w:vAlign w:val="center"/>
          </w:tcPr>
          <w:p w14:paraId="29C98B7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Application Conditions</w:t>
            </w:r>
          </w:p>
        </w:tc>
        <w:tc>
          <w:tcPr>
            <w:tcW w:w="4397" w:type="dxa"/>
            <w:gridSpan w:val="6"/>
            <w:tcBorders>
              <w:top w:val="single" w:sz="4" w:space="0" w:color="auto"/>
              <w:left w:val="single" w:sz="4" w:space="0" w:color="auto"/>
              <w:bottom w:val="single" w:sz="4" w:space="0" w:color="auto"/>
              <w:right w:val="single" w:sz="4" w:space="0" w:color="auto"/>
            </w:tcBorders>
            <w:vAlign w:val="center"/>
          </w:tcPr>
          <w:p w14:paraId="33F8F288"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b/>
                <w:bCs/>
                <w:color w:val="000000" w:themeColor="text1"/>
                <w:spacing w:val="0"/>
                <w:kern w:val="0"/>
                <w:sz w:val="20"/>
                <w:szCs w:val="20"/>
                <w14:ligatures w14:val="none"/>
              </w:rPr>
              <w:t>Environmental</w:t>
            </w:r>
            <w:r w:rsidRPr="00EF2F5B">
              <w:rPr>
                <w:rFonts w:eastAsia="Times New Roman"/>
                <w:color w:val="000000" w:themeColor="text1"/>
                <w:spacing w:val="0"/>
                <w:kern w:val="0"/>
                <w:sz w:val="20"/>
                <w:szCs w:val="20"/>
                <w14:ligatures w14:val="none"/>
              </w:rPr>
              <w:t xml:space="preserve"> </w:t>
            </w:r>
            <w:r w:rsidRPr="00EF2F5B">
              <w:rPr>
                <w:rFonts w:eastAsia="Times New Roman"/>
                <w:b/>
                <w:bCs/>
                <w:color w:val="000000" w:themeColor="text1"/>
                <w:spacing w:val="0"/>
                <w:kern w:val="0"/>
                <w:sz w:val="20"/>
                <w:szCs w:val="20"/>
                <w14:ligatures w14:val="none"/>
              </w:rPr>
              <w:t>Zones</w:t>
            </w:r>
          </w:p>
        </w:tc>
      </w:tr>
      <w:tr w:rsidR="00EF2F5B" w:rsidRPr="00EF2F5B" w14:paraId="53FF2271" w14:textId="77777777" w:rsidTr="006617F6">
        <w:trPr>
          <w:trHeight w:val="284"/>
        </w:trPr>
        <w:tc>
          <w:tcPr>
            <w:tcW w:w="2408" w:type="dxa"/>
            <w:vMerge/>
            <w:tcBorders>
              <w:top w:val="single" w:sz="4" w:space="0" w:color="auto"/>
              <w:left w:val="single" w:sz="4" w:space="0" w:color="auto"/>
              <w:bottom w:val="single" w:sz="4" w:space="0" w:color="auto"/>
              <w:right w:val="single" w:sz="4" w:space="0" w:color="auto"/>
            </w:tcBorders>
            <w:vAlign w:val="center"/>
          </w:tcPr>
          <w:p w14:paraId="0C52905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p>
        </w:tc>
        <w:tc>
          <w:tcPr>
            <w:tcW w:w="1700" w:type="dxa"/>
            <w:vMerge/>
            <w:tcBorders>
              <w:top w:val="single" w:sz="4" w:space="0" w:color="auto"/>
              <w:left w:val="single" w:sz="4" w:space="0" w:color="auto"/>
              <w:bottom w:val="single" w:sz="4" w:space="0" w:color="auto"/>
              <w:right w:val="single" w:sz="4" w:space="0" w:color="auto"/>
            </w:tcBorders>
            <w:vAlign w:val="center"/>
          </w:tcPr>
          <w:p w14:paraId="5677A5A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p>
        </w:tc>
        <w:tc>
          <w:tcPr>
            <w:tcW w:w="849" w:type="dxa"/>
            <w:tcBorders>
              <w:top w:val="single" w:sz="4" w:space="0" w:color="auto"/>
              <w:left w:val="single" w:sz="4" w:space="0" w:color="auto"/>
              <w:bottom w:val="single" w:sz="4" w:space="0" w:color="auto"/>
              <w:right w:val="single" w:sz="4" w:space="0" w:color="auto"/>
            </w:tcBorders>
            <w:vAlign w:val="center"/>
          </w:tcPr>
          <w:p w14:paraId="471BE2C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E0</w:t>
            </w:r>
          </w:p>
          <w:p w14:paraId="13D7824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DAC8D31"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E1</w:t>
            </w:r>
          </w:p>
          <w:p w14:paraId="6FB176A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850" w:type="dxa"/>
            <w:tcBorders>
              <w:top w:val="single" w:sz="4" w:space="0" w:color="auto"/>
              <w:left w:val="single" w:sz="4" w:space="0" w:color="auto"/>
              <w:bottom w:val="single" w:sz="4" w:space="0" w:color="auto"/>
              <w:right w:val="single" w:sz="4" w:space="0" w:color="auto"/>
            </w:tcBorders>
            <w:vAlign w:val="center"/>
          </w:tcPr>
          <w:p w14:paraId="0620D29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E2</w:t>
            </w:r>
          </w:p>
          <w:p w14:paraId="343A8A4C"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992" w:type="dxa"/>
            <w:tcBorders>
              <w:top w:val="single" w:sz="4" w:space="0" w:color="auto"/>
              <w:left w:val="single" w:sz="4" w:space="0" w:color="auto"/>
              <w:bottom w:val="single" w:sz="4" w:space="0" w:color="auto"/>
              <w:right w:val="single" w:sz="4" w:space="0" w:color="auto"/>
            </w:tcBorders>
            <w:vAlign w:val="center"/>
          </w:tcPr>
          <w:p w14:paraId="44D850F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E3</w:t>
            </w:r>
          </w:p>
          <w:p w14:paraId="39A7C969"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c>
          <w:tcPr>
            <w:tcW w:w="997" w:type="dxa"/>
            <w:tcBorders>
              <w:top w:val="single" w:sz="4" w:space="0" w:color="auto"/>
              <w:left w:val="single" w:sz="4" w:space="0" w:color="auto"/>
              <w:bottom w:val="single" w:sz="4" w:space="0" w:color="auto"/>
              <w:right w:val="single" w:sz="4" w:space="0" w:color="auto"/>
            </w:tcBorders>
            <w:vAlign w:val="center"/>
          </w:tcPr>
          <w:p w14:paraId="74E6904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E4</w:t>
            </w:r>
          </w:p>
          <w:p w14:paraId="4C3979B6"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(Lux)</w:t>
            </w:r>
          </w:p>
        </w:tc>
      </w:tr>
      <w:tr w:rsidR="00EF2F5B" w:rsidRPr="00EF2F5B" w14:paraId="590A8105" w14:textId="77777777" w:rsidTr="006617F6">
        <w:trPr>
          <w:trHeight w:val="666"/>
        </w:trPr>
        <w:tc>
          <w:tcPr>
            <w:tcW w:w="2408" w:type="dxa"/>
            <w:tcBorders>
              <w:top w:val="single" w:sz="4" w:space="0" w:color="auto"/>
              <w:left w:val="single" w:sz="4" w:space="0" w:color="auto"/>
              <w:bottom w:val="single" w:sz="4" w:space="0" w:color="auto"/>
              <w:right w:val="single" w:sz="4" w:space="0" w:color="auto"/>
            </w:tcBorders>
            <w:vAlign w:val="center"/>
          </w:tcPr>
          <w:p w14:paraId="7DD9356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14:ligatures w14:val="none"/>
              </w:rPr>
            </w:pPr>
            <w:r w:rsidRPr="00EF2F5B">
              <w:rPr>
                <w:rFonts w:eastAsia="Times New Roman"/>
                <w:color w:val="000000" w:themeColor="text1"/>
                <w:spacing w:val="0"/>
                <w:kern w:val="0"/>
                <w:sz w:val="20"/>
                <w:szCs w:val="20"/>
                <w14:ligatures w14:val="none"/>
              </w:rPr>
              <w:lastRenderedPageBreak/>
              <w:t>Illuminance in Vertical Plane (E</w:t>
            </w:r>
            <w:r w:rsidRPr="00EF2F5B">
              <w:rPr>
                <w:rFonts w:eastAsia="Times New Roman"/>
                <w:color w:val="000000" w:themeColor="text1"/>
                <w:spacing w:val="0"/>
                <w:kern w:val="0"/>
                <w:sz w:val="20"/>
                <w:szCs w:val="20"/>
                <w:vertAlign w:val="subscript"/>
                <w14:ligatures w14:val="none"/>
              </w:rPr>
              <w:t>v</w:t>
            </w:r>
            <w:r w:rsidRPr="00EF2F5B">
              <w:rPr>
                <w:rFonts w:eastAsia="Times New Roman"/>
                <w:color w:val="000000" w:themeColor="text1"/>
                <w:spacing w:val="0"/>
                <w:kern w:val="0"/>
                <w:sz w:val="20"/>
                <w:szCs w:val="20"/>
                <w14:ligatures w14:val="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10E2568F"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No curfew</w:t>
            </w:r>
          </w:p>
        </w:tc>
        <w:tc>
          <w:tcPr>
            <w:tcW w:w="849" w:type="dxa"/>
            <w:tcBorders>
              <w:top w:val="single" w:sz="4" w:space="0" w:color="auto"/>
              <w:left w:val="single" w:sz="4" w:space="0" w:color="auto"/>
              <w:bottom w:val="single" w:sz="4" w:space="0" w:color="auto"/>
              <w:right w:val="single" w:sz="4" w:space="0" w:color="auto"/>
            </w:tcBorders>
            <w:vAlign w:val="center"/>
          </w:tcPr>
          <w:p w14:paraId="561F70F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0.5</w:t>
            </w:r>
          </w:p>
        </w:tc>
        <w:tc>
          <w:tcPr>
            <w:tcW w:w="703" w:type="dxa"/>
            <w:tcBorders>
              <w:top w:val="single" w:sz="4" w:space="0" w:color="auto"/>
              <w:left w:val="single" w:sz="4" w:space="0" w:color="auto"/>
              <w:bottom w:val="single" w:sz="4" w:space="0" w:color="auto"/>
              <w:right w:val="single" w:sz="4" w:space="0" w:color="auto"/>
            </w:tcBorders>
            <w:vAlign w:val="center"/>
          </w:tcPr>
          <w:p w14:paraId="0F3D4C03"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1</w:t>
            </w:r>
          </w:p>
        </w:tc>
        <w:tc>
          <w:tcPr>
            <w:tcW w:w="856" w:type="dxa"/>
            <w:gridSpan w:val="2"/>
            <w:tcBorders>
              <w:top w:val="single" w:sz="4" w:space="0" w:color="auto"/>
              <w:left w:val="single" w:sz="4" w:space="0" w:color="auto"/>
              <w:bottom w:val="single" w:sz="4" w:space="0" w:color="auto"/>
              <w:right w:val="single" w:sz="4" w:space="0" w:color="auto"/>
            </w:tcBorders>
            <w:vAlign w:val="center"/>
          </w:tcPr>
          <w:p w14:paraId="3D99BCDF"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3</w:t>
            </w:r>
          </w:p>
        </w:tc>
        <w:tc>
          <w:tcPr>
            <w:tcW w:w="992" w:type="dxa"/>
            <w:tcBorders>
              <w:top w:val="single" w:sz="4" w:space="0" w:color="auto"/>
              <w:left w:val="single" w:sz="4" w:space="0" w:color="auto"/>
              <w:bottom w:val="single" w:sz="4" w:space="0" w:color="auto"/>
              <w:right w:val="single" w:sz="4" w:space="0" w:color="auto"/>
            </w:tcBorders>
            <w:vAlign w:val="center"/>
          </w:tcPr>
          <w:p w14:paraId="4DEF902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8</w:t>
            </w:r>
          </w:p>
        </w:tc>
        <w:tc>
          <w:tcPr>
            <w:tcW w:w="997" w:type="dxa"/>
            <w:tcBorders>
              <w:top w:val="single" w:sz="4" w:space="0" w:color="auto"/>
              <w:left w:val="single" w:sz="4" w:space="0" w:color="auto"/>
              <w:bottom w:val="single" w:sz="4" w:space="0" w:color="auto"/>
              <w:right w:val="single" w:sz="4" w:space="0" w:color="auto"/>
            </w:tcBorders>
            <w:vAlign w:val="center"/>
          </w:tcPr>
          <w:p w14:paraId="7A7AEE0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lang w:bidi="ar-SA"/>
                <w14:ligatures w14:val="none"/>
              </w:rPr>
              <w:t>15</w:t>
            </w:r>
          </w:p>
        </w:tc>
      </w:tr>
      <w:tr w:rsidR="00EF2F5B" w:rsidRPr="00EF2F5B" w14:paraId="60C9B45A" w14:textId="77777777" w:rsidTr="006617F6">
        <w:trPr>
          <w:trHeight w:val="284"/>
        </w:trPr>
        <w:tc>
          <w:tcPr>
            <w:tcW w:w="8505" w:type="dxa"/>
            <w:gridSpan w:val="8"/>
            <w:tcBorders>
              <w:top w:val="single" w:sz="4" w:space="0" w:color="auto"/>
              <w:left w:val="single" w:sz="4" w:space="0" w:color="auto"/>
              <w:bottom w:val="single" w:sz="4" w:space="0" w:color="auto"/>
              <w:right w:val="single" w:sz="4" w:space="0" w:color="auto"/>
            </w:tcBorders>
            <w:vAlign w:val="center"/>
          </w:tcPr>
          <w:p w14:paraId="03048E09" w14:textId="77777777" w:rsidR="00336F99" w:rsidRPr="00EF2F5B" w:rsidRDefault="00336F99" w:rsidP="00F0093D">
            <w:pPr>
              <w:overflowPunct w:val="0"/>
              <w:autoSpaceDE w:val="0"/>
              <w:autoSpaceDN w:val="0"/>
              <w:adjustRightInd w:val="0"/>
              <w:spacing w:after="0" w:line="240" w:lineRule="auto"/>
              <w:jc w:val="both"/>
              <w:textAlignment w:val="baseline"/>
              <w:rPr>
                <w:rFonts w:eastAsia="Times New Roman"/>
                <w:color w:val="000000" w:themeColor="text1"/>
                <w:spacing w:val="0"/>
                <w:kern w:val="0"/>
                <w:sz w:val="20"/>
                <w:szCs w:val="20"/>
                <w:lang w:bidi="ar-SA"/>
                <w14:ligatures w14:val="none"/>
              </w:rPr>
            </w:pPr>
            <w:r w:rsidRPr="00EF2F5B">
              <w:rPr>
                <w:rFonts w:eastAsia="Times New Roman"/>
                <w:color w:val="000000" w:themeColor="text1"/>
                <w:spacing w:val="0"/>
                <w:kern w:val="0"/>
                <w:sz w:val="20"/>
                <w:szCs w:val="20"/>
                <w14:ligatures w14:val="none"/>
              </w:rPr>
              <w:t>Note: Maximum allowable illuminance at any location along the vertical plane of the property boundary.</w:t>
            </w:r>
          </w:p>
        </w:tc>
      </w:tr>
    </w:tbl>
    <w:p w14:paraId="3518CCAC" w14:textId="77777777" w:rsidR="00336F99" w:rsidRPr="00EF2F5B" w:rsidRDefault="00336F99" w:rsidP="00F0093D">
      <w:pPr>
        <w:spacing w:after="0" w:line="240" w:lineRule="auto"/>
        <w:jc w:val="both"/>
        <w:rPr>
          <w:rFonts w:eastAsia="Times New Roman"/>
          <w:bCs/>
          <w:snapToGrid/>
          <w:color w:val="000000" w:themeColor="text1"/>
          <w:spacing w:val="0"/>
          <w:kern w:val="0"/>
          <w:lang w:val="en-CA" w:eastAsia="en-CA" w:bidi="ar-SA"/>
          <w14:ligatures w14:val="none"/>
        </w:rPr>
      </w:pPr>
    </w:p>
    <w:p w14:paraId="1370A327" w14:textId="04C0D76E" w:rsidR="00336F99" w:rsidRPr="00EF2F5B" w:rsidRDefault="00336F99" w:rsidP="004057F5">
      <w:pPr>
        <w:spacing w:after="0" w:line="240" w:lineRule="auto"/>
        <w:jc w:val="both"/>
        <w:rPr>
          <w:color w:val="000000" w:themeColor="text1"/>
          <w:spacing w:val="0"/>
        </w:rPr>
      </w:pPr>
      <w:r w:rsidRPr="00EF2F5B">
        <w:rPr>
          <w:color w:val="000000" w:themeColor="text1"/>
          <w:spacing w:val="0"/>
        </w:rPr>
        <w:t>OL zones are critical for managing OL to minimise O</w:t>
      </w:r>
      <w:r w:rsidR="00EA1D8D" w:rsidRPr="00EF2F5B">
        <w:rPr>
          <w:color w:val="000000" w:themeColor="text1"/>
          <w:spacing w:val="0"/>
        </w:rPr>
        <w:t>TL</w:t>
      </w:r>
      <w:r w:rsidRPr="00EF2F5B">
        <w:rPr>
          <w:color w:val="000000" w:themeColor="text1"/>
          <w:spacing w:val="0"/>
        </w:rPr>
        <w:t>, enhance visibility, and protect the night sky. Various organisations have established guidelines to define these zones, each with specific criteria for OTL limits.  OL zones are categorised based on the level of artificial light present and their effects on ecological systems and human health. These zones are designed to provide a regulatory framework for controlling OL, to reduce OTL, glare, and skyglow.</w:t>
      </w:r>
    </w:p>
    <w:p w14:paraId="2369103F" w14:textId="77777777" w:rsidR="004057F5" w:rsidRPr="00EF2F5B" w:rsidRDefault="004057F5" w:rsidP="004057F5">
      <w:pPr>
        <w:spacing w:after="0" w:line="240" w:lineRule="auto"/>
        <w:jc w:val="both"/>
        <w:rPr>
          <w:color w:val="000000" w:themeColor="text1"/>
          <w:spacing w:val="0"/>
        </w:rPr>
      </w:pPr>
    </w:p>
    <w:p w14:paraId="632FB947" w14:textId="03FAC10D" w:rsidR="00336F99" w:rsidRPr="00EF2F5B" w:rsidRDefault="00336F99" w:rsidP="004057F5">
      <w:pPr>
        <w:spacing w:after="0" w:line="240" w:lineRule="auto"/>
        <w:jc w:val="both"/>
        <w:rPr>
          <w:color w:val="000000" w:themeColor="text1"/>
          <w:spacing w:val="0"/>
        </w:rPr>
      </w:pPr>
      <w:r w:rsidRPr="00EF2F5B">
        <w:rPr>
          <w:color w:val="000000" w:themeColor="text1"/>
          <w:spacing w:val="0"/>
        </w:rPr>
        <w:t xml:space="preserve">The above-noted organisations have proposed OL zones under sections 2.4.1 to 2.4.6, showcasing a collaborative effort with minor variations in the OTL limiting values and description of the OL zones. They all share a common goal: effectively managing OTL to protect human interests and natural ecosystems. Understanding these zones is crucial for municipalities, as it empowers them to develop better policies for urban planning and environmental conservation. It is essential to strike a balance and create a framework for OTL that aligns with international practices and local requirements for OLD. </w:t>
      </w:r>
    </w:p>
    <w:p w14:paraId="3F162A6F" w14:textId="77777777" w:rsidR="000629A5" w:rsidRPr="00EF2F5B" w:rsidRDefault="000629A5" w:rsidP="004057F5">
      <w:pPr>
        <w:spacing w:after="0" w:line="240" w:lineRule="auto"/>
        <w:jc w:val="both"/>
        <w:rPr>
          <w:color w:val="000000" w:themeColor="text1"/>
          <w:spacing w:val="0"/>
        </w:rPr>
      </w:pPr>
    </w:p>
    <w:p w14:paraId="760CBCD9" w14:textId="092D8D9D" w:rsidR="000629A5" w:rsidRPr="00EF2F5B" w:rsidRDefault="000629A5" w:rsidP="000629A5">
      <w:pPr>
        <w:spacing w:after="0" w:line="240" w:lineRule="auto"/>
        <w:jc w:val="both"/>
        <w:rPr>
          <w:color w:val="000000" w:themeColor="text1"/>
          <w:spacing w:val="0"/>
          <w:lang w:val="en-ZA" w:bidi="ar-SA"/>
        </w:rPr>
      </w:pPr>
      <w:r w:rsidRPr="00EF2F5B">
        <w:rPr>
          <w:color w:val="000000" w:themeColor="text1"/>
          <w:spacing w:val="0"/>
          <w:lang w:val="en-ZA" w:bidi="ar-SA"/>
        </w:rPr>
        <w:t>The conflicting OTL criteria used by different professional organisations worldwide create a gap in knowledge, literature, and professional practice. The contradiction between various standards and practices is not just a matter of concern but an urgent issue that needs immediate resolution. They must be harmonised. This justifies and highlights the critical need for further investigation.</w:t>
      </w:r>
    </w:p>
    <w:p w14:paraId="36328E85" w14:textId="41CA32B8" w:rsidR="0052164D" w:rsidRPr="00EF2F5B" w:rsidRDefault="0052164D" w:rsidP="000629A5">
      <w:pPr>
        <w:spacing w:after="0" w:line="240" w:lineRule="auto"/>
        <w:jc w:val="both"/>
        <w:rPr>
          <w:color w:val="000000" w:themeColor="text1"/>
          <w:spacing w:val="0"/>
        </w:rPr>
      </w:pPr>
      <w:r w:rsidRPr="00EF2F5B">
        <w:rPr>
          <w:color w:val="000000" w:themeColor="text1"/>
          <w:spacing w:val="0"/>
        </w:rPr>
        <w:t>Therefore, the following section will provide the methodology to fill this gap in knowledge to find a unified global standard for the OTL application.</w:t>
      </w:r>
    </w:p>
    <w:p w14:paraId="65FA16CD" w14:textId="77777777" w:rsidR="00671BA9" w:rsidRPr="00EF2F5B" w:rsidRDefault="00671BA9" w:rsidP="000629A5">
      <w:pPr>
        <w:spacing w:after="0" w:line="240" w:lineRule="auto"/>
        <w:jc w:val="both"/>
        <w:rPr>
          <w:color w:val="000000" w:themeColor="text1"/>
          <w:spacing w:val="0"/>
        </w:rPr>
      </w:pPr>
    </w:p>
    <w:p w14:paraId="17852C14" w14:textId="14F4CCD9" w:rsidR="00671BA9" w:rsidRPr="00EF2F5B" w:rsidRDefault="00671BA9" w:rsidP="00EC5F3A">
      <w:pPr>
        <w:pStyle w:val="ListParagraph"/>
        <w:numPr>
          <w:ilvl w:val="0"/>
          <w:numId w:val="10"/>
        </w:numPr>
        <w:rPr>
          <w:b/>
          <w:bCs/>
          <w:color w:val="000000" w:themeColor="text1"/>
          <w:spacing w:val="0"/>
        </w:rPr>
      </w:pPr>
      <w:r w:rsidRPr="00EF2F5B">
        <w:rPr>
          <w:b/>
          <w:bCs/>
          <w:color w:val="000000" w:themeColor="text1"/>
          <w:spacing w:val="0"/>
        </w:rPr>
        <w:t>METHODOLOGY: MINIMUM-THRESHOLD CONVERGENCE</w:t>
      </w:r>
    </w:p>
    <w:p w14:paraId="73746083" w14:textId="7C10E2D1" w:rsidR="00EC5F3A" w:rsidRPr="00EF2F5B" w:rsidRDefault="00326ECC" w:rsidP="00EC5F3A">
      <w:pPr>
        <w:rPr>
          <w:color w:val="000000" w:themeColor="text1"/>
          <w:spacing w:val="0"/>
        </w:rPr>
      </w:pPr>
      <w:r w:rsidRPr="00EF2F5B">
        <w:rPr>
          <w:color w:val="000000" w:themeColor="text1"/>
          <w:spacing w:val="0"/>
        </w:rPr>
        <w:t>The limitations of the current fragmented global standards can be addressed through a unified global framework.</w:t>
      </w:r>
    </w:p>
    <w:p w14:paraId="4F947083" w14:textId="77777777" w:rsidR="00E61BC9" w:rsidRPr="00EF2F5B" w:rsidRDefault="00E61BC9" w:rsidP="00E61BC9">
      <w:pPr>
        <w:spacing w:before="100" w:beforeAutospacing="1" w:after="100" w:afterAutospacing="1" w:line="240" w:lineRule="auto"/>
        <w:outlineLvl w:val="2"/>
        <w:rPr>
          <w:rFonts w:eastAsia="Times New Roman"/>
          <w:b/>
          <w:bCs/>
          <w:snapToGrid/>
          <w:color w:val="000000" w:themeColor="text1"/>
          <w:spacing w:val="0"/>
          <w:kern w:val="0"/>
          <w:sz w:val="27"/>
          <w:szCs w:val="27"/>
          <w14:ligatures w14:val="none"/>
        </w:rPr>
      </w:pPr>
      <w:r w:rsidRPr="00EF2F5B">
        <w:rPr>
          <w:rFonts w:eastAsia="Times New Roman"/>
          <w:b/>
          <w:bCs/>
          <w:snapToGrid/>
          <w:color w:val="000000" w:themeColor="text1"/>
          <w:spacing w:val="0"/>
          <w:kern w:val="0"/>
          <w:sz w:val="27"/>
          <w:szCs w:val="27"/>
          <w14:ligatures w14:val="none"/>
        </w:rPr>
        <w:t>3.1 Systematic Comparative Review Protocol</w:t>
      </w:r>
    </w:p>
    <w:p w14:paraId="0CAD3C24" w14:textId="77777777" w:rsidR="00E61BC9" w:rsidRPr="00EF2F5B" w:rsidRDefault="00E61BC9" w:rsidP="00E61BC9">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A structured review was conducted using:</w:t>
      </w:r>
    </w:p>
    <w:p w14:paraId="6CE8EFCA" w14:textId="77777777" w:rsidR="00E61BC9" w:rsidRPr="00EF2F5B" w:rsidRDefault="00E61BC9" w:rsidP="00E61BC9">
      <w:pPr>
        <w:numPr>
          <w:ilvl w:val="0"/>
          <w:numId w:val="22"/>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Databases: Scopus, Web of Science, Google Scholar </w:t>
      </w:r>
    </w:p>
    <w:p w14:paraId="3F4419DC" w14:textId="77777777" w:rsidR="00E61BC9" w:rsidRPr="00EF2F5B" w:rsidRDefault="00E61BC9" w:rsidP="00E61BC9">
      <w:pPr>
        <w:numPr>
          <w:ilvl w:val="0"/>
          <w:numId w:val="22"/>
        </w:numPr>
        <w:spacing w:before="100" w:beforeAutospacing="1" w:after="100" w:afterAutospacing="1" w:line="240" w:lineRule="auto"/>
        <w:rPr>
          <w:rFonts w:eastAsia="Times New Roman"/>
          <w:snapToGrid/>
          <w:color w:val="000000" w:themeColor="text1"/>
          <w:spacing w:val="0"/>
          <w:kern w:val="0"/>
          <w:lang w:val="fr-FR"/>
          <w14:ligatures w14:val="none"/>
        </w:rPr>
      </w:pPr>
      <w:r w:rsidRPr="00EF2F5B">
        <w:rPr>
          <w:rFonts w:eastAsia="Times New Roman"/>
          <w:snapToGrid/>
          <w:color w:val="000000" w:themeColor="text1"/>
          <w:spacing w:val="0"/>
          <w:kern w:val="0"/>
          <w:lang w:val="fr-FR"/>
          <w14:ligatures w14:val="none"/>
        </w:rPr>
        <w:t xml:space="preserve">Standards repositories: IES, CIE, ILP, IDA, AS/NZS, TAC </w:t>
      </w:r>
    </w:p>
    <w:p w14:paraId="32A0E1F7" w14:textId="77777777" w:rsidR="00E61BC9" w:rsidRPr="00EF2F5B" w:rsidRDefault="00E61BC9" w:rsidP="00E61BC9">
      <w:pPr>
        <w:numPr>
          <w:ilvl w:val="0"/>
          <w:numId w:val="22"/>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Timeframe: </w:t>
      </w:r>
      <w:r w:rsidRPr="00EF2F5B">
        <w:rPr>
          <w:rFonts w:eastAsia="Times New Roman"/>
          <w:b/>
          <w:bCs/>
          <w:snapToGrid/>
          <w:color w:val="000000" w:themeColor="text1"/>
          <w:spacing w:val="0"/>
          <w:kern w:val="0"/>
          <w14:ligatures w14:val="none"/>
        </w:rPr>
        <w:t>2010–2025</w:t>
      </w:r>
      <w:r w:rsidRPr="00EF2F5B">
        <w:rPr>
          <w:rFonts w:eastAsia="Times New Roman"/>
          <w:snapToGrid/>
          <w:color w:val="000000" w:themeColor="text1"/>
          <w:spacing w:val="0"/>
          <w:kern w:val="0"/>
          <w14:ligatures w14:val="none"/>
        </w:rPr>
        <w:t xml:space="preserve"> </w:t>
      </w:r>
    </w:p>
    <w:p w14:paraId="6109A0C9" w14:textId="77777777" w:rsidR="00E61BC9" w:rsidRPr="00EF2F5B" w:rsidRDefault="00E61BC9" w:rsidP="00E61BC9">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b/>
          <w:bCs/>
          <w:snapToGrid/>
          <w:color w:val="000000" w:themeColor="text1"/>
          <w:spacing w:val="0"/>
          <w:kern w:val="0"/>
          <w14:ligatures w14:val="none"/>
        </w:rPr>
        <w:t>Inclusion Criteria:</w:t>
      </w:r>
    </w:p>
    <w:p w14:paraId="496A39FA" w14:textId="77777777" w:rsidR="00E61BC9" w:rsidRPr="00EF2F5B" w:rsidRDefault="00E61BC9" w:rsidP="00E61BC9">
      <w:pPr>
        <w:numPr>
          <w:ilvl w:val="0"/>
          <w:numId w:val="23"/>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Official national or international OTL standards </w:t>
      </w:r>
    </w:p>
    <w:p w14:paraId="0B3F086F" w14:textId="77777777" w:rsidR="00E61BC9" w:rsidRPr="00EF2F5B" w:rsidRDefault="00E61BC9" w:rsidP="00E61BC9">
      <w:pPr>
        <w:numPr>
          <w:ilvl w:val="0"/>
          <w:numId w:val="23"/>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Documents specifying </w:t>
      </w:r>
      <w:r w:rsidRPr="00EF2F5B">
        <w:rPr>
          <w:rFonts w:eastAsia="Times New Roman"/>
          <w:b/>
          <w:bCs/>
          <w:snapToGrid/>
          <w:color w:val="000000" w:themeColor="text1"/>
          <w:spacing w:val="0"/>
          <w:kern w:val="0"/>
          <w14:ligatures w14:val="none"/>
        </w:rPr>
        <w:t>quantitative vertical illuminance thresholds</w:t>
      </w:r>
      <w:r w:rsidRPr="00EF2F5B">
        <w:rPr>
          <w:rFonts w:eastAsia="Times New Roman"/>
          <w:snapToGrid/>
          <w:color w:val="000000" w:themeColor="text1"/>
          <w:spacing w:val="0"/>
          <w:kern w:val="0"/>
          <w14:ligatures w14:val="none"/>
        </w:rPr>
        <w:t xml:space="preserve"> </w:t>
      </w:r>
    </w:p>
    <w:p w14:paraId="0C335149" w14:textId="77777777" w:rsidR="00E61BC9" w:rsidRPr="00EF2F5B" w:rsidRDefault="00E61BC9" w:rsidP="00E61BC9">
      <w:pPr>
        <w:numPr>
          <w:ilvl w:val="0"/>
          <w:numId w:val="23"/>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Peer-reviewed or institutional publications </w:t>
      </w:r>
    </w:p>
    <w:p w14:paraId="27C21186" w14:textId="77777777" w:rsidR="00E61BC9" w:rsidRPr="00EF2F5B" w:rsidRDefault="00E61BC9" w:rsidP="00E61BC9">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b/>
          <w:bCs/>
          <w:snapToGrid/>
          <w:color w:val="000000" w:themeColor="text1"/>
          <w:spacing w:val="0"/>
          <w:kern w:val="0"/>
          <w14:ligatures w14:val="none"/>
        </w:rPr>
        <w:lastRenderedPageBreak/>
        <w:t>Exclusion Criteria:</w:t>
      </w:r>
    </w:p>
    <w:p w14:paraId="5B26F767" w14:textId="77777777" w:rsidR="00E61BC9" w:rsidRPr="00EF2F5B" w:rsidRDefault="00E61BC9" w:rsidP="00E61BC9">
      <w:pPr>
        <w:numPr>
          <w:ilvl w:val="0"/>
          <w:numId w:val="24"/>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Non-quantitative guidance </w:t>
      </w:r>
    </w:p>
    <w:p w14:paraId="00EE0D54" w14:textId="77777777" w:rsidR="00E61BC9" w:rsidRPr="00EF2F5B" w:rsidRDefault="00E61BC9" w:rsidP="00E61BC9">
      <w:pPr>
        <w:numPr>
          <w:ilvl w:val="0"/>
          <w:numId w:val="24"/>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Non-official or non-validated sources </w:t>
      </w:r>
    </w:p>
    <w:p w14:paraId="4781FA00" w14:textId="77777777" w:rsidR="00E61BC9" w:rsidRPr="00EF2F5B" w:rsidRDefault="00E61BC9" w:rsidP="00E61BC9">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This yielded </w:t>
      </w:r>
      <w:r w:rsidRPr="00EF2F5B">
        <w:rPr>
          <w:rFonts w:eastAsia="Times New Roman"/>
          <w:b/>
          <w:bCs/>
          <w:snapToGrid/>
          <w:color w:val="000000" w:themeColor="text1"/>
          <w:spacing w:val="0"/>
          <w:kern w:val="0"/>
          <w14:ligatures w14:val="none"/>
        </w:rPr>
        <w:t>6 primary regulatory frameworks</w:t>
      </w:r>
      <w:r w:rsidRPr="00EF2F5B">
        <w:rPr>
          <w:rFonts w:eastAsia="Times New Roman"/>
          <w:snapToGrid/>
          <w:color w:val="000000" w:themeColor="text1"/>
          <w:spacing w:val="0"/>
          <w:kern w:val="0"/>
          <w14:ligatures w14:val="none"/>
        </w:rPr>
        <w:t xml:space="preserve"> for comparative analysis. </w:t>
      </w:r>
    </w:p>
    <w:p w14:paraId="6AF8B81B" w14:textId="4408BDCC" w:rsidR="00671BA9" w:rsidRPr="00EF2F5B" w:rsidRDefault="00671BA9" w:rsidP="00671BA9">
      <w:pPr>
        <w:jc w:val="both"/>
        <w:rPr>
          <w:color w:val="000000" w:themeColor="text1"/>
          <w:spacing w:val="0"/>
        </w:rPr>
      </w:pPr>
      <w:r w:rsidRPr="00EF2F5B">
        <w:rPr>
          <w:color w:val="000000" w:themeColor="text1"/>
          <w:spacing w:val="0"/>
        </w:rPr>
        <w:t>A conservative harmonisation principle was adopted:</w:t>
      </w:r>
    </w:p>
    <w:p w14:paraId="62BBD087" w14:textId="77777777" w:rsidR="00671BA9" w:rsidRPr="00EF2F5B" w:rsidRDefault="00671BA9" w:rsidP="00671BA9">
      <w:pPr>
        <w:jc w:val="both"/>
        <w:rPr>
          <w:color w:val="000000" w:themeColor="text1"/>
          <w:spacing w:val="0"/>
        </w:rPr>
      </w:pPr>
      <w:r w:rsidRPr="00EF2F5B">
        <w:rPr>
          <w:color w:val="000000" w:themeColor="text1"/>
          <w:spacing w:val="0"/>
        </w:rPr>
        <w:t>For each environmental category, select the lowest maximum vertical illuminance limit currently accepted within major international standards.</w:t>
      </w:r>
    </w:p>
    <w:p w14:paraId="5A3BBA76" w14:textId="77777777" w:rsidR="00671BA9" w:rsidRPr="00EF2F5B" w:rsidRDefault="00671BA9" w:rsidP="00671BA9">
      <w:pPr>
        <w:rPr>
          <w:color w:val="000000" w:themeColor="text1"/>
          <w:spacing w:val="0"/>
        </w:rPr>
      </w:pPr>
      <w:r w:rsidRPr="00EF2F5B">
        <w:rPr>
          <w:color w:val="000000" w:themeColor="text1"/>
          <w:spacing w:val="0"/>
        </w:rPr>
        <w:t>This approach:</w:t>
      </w:r>
    </w:p>
    <w:p w14:paraId="406D1E87" w14:textId="77777777" w:rsidR="00671BA9" w:rsidRPr="00EF2F5B" w:rsidRDefault="00671BA9" w:rsidP="00671BA9">
      <w:pPr>
        <w:pStyle w:val="ListParagraph"/>
        <w:numPr>
          <w:ilvl w:val="0"/>
          <w:numId w:val="14"/>
        </w:numPr>
        <w:rPr>
          <w:color w:val="000000" w:themeColor="text1"/>
          <w:spacing w:val="0"/>
        </w:rPr>
      </w:pPr>
      <w:r w:rsidRPr="00EF2F5B">
        <w:rPr>
          <w:color w:val="000000" w:themeColor="text1"/>
          <w:spacing w:val="0"/>
        </w:rPr>
        <w:t>Preserves environmental protection</w:t>
      </w:r>
    </w:p>
    <w:p w14:paraId="3538FCD5" w14:textId="77777777" w:rsidR="00671BA9" w:rsidRPr="00EF2F5B" w:rsidRDefault="00671BA9" w:rsidP="00671BA9">
      <w:pPr>
        <w:pStyle w:val="ListParagraph"/>
        <w:numPr>
          <w:ilvl w:val="0"/>
          <w:numId w:val="14"/>
        </w:numPr>
        <w:rPr>
          <w:color w:val="000000" w:themeColor="text1"/>
          <w:spacing w:val="0"/>
        </w:rPr>
      </w:pPr>
      <w:r w:rsidRPr="00EF2F5B">
        <w:rPr>
          <w:color w:val="000000" w:themeColor="text1"/>
          <w:spacing w:val="0"/>
        </w:rPr>
        <w:t>Ensures compatibility with all reviewed frameworks</w:t>
      </w:r>
    </w:p>
    <w:p w14:paraId="66483E69" w14:textId="77777777" w:rsidR="00671BA9" w:rsidRPr="00EF2F5B" w:rsidRDefault="00671BA9" w:rsidP="00671BA9">
      <w:pPr>
        <w:pStyle w:val="ListParagraph"/>
        <w:numPr>
          <w:ilvl w:val="0"/>
          <w:numId w:val="14"/>
        </w:numPr>
        <w:rPr>
          <w:color w:val="000000" w:themeColor="text1"/>
          <w:spacing w:val="0"/>
        </w:rPr>
      </w:pPr>
      <w:r w:rsidRPr="00EF2F5B">
        <w:rPr>
          <w:color w:val="000000" w:themeColor="text1"/>
          <w:spacing w:val="0"/>
        </w:rPr>
        <w:t>Eliminates threshold conflict</w:t>
      </w:r>
    </w:p>
    <w:p w14:paraId="7C8F2379" w14:textId="77777777" w:rsidR="00671BA9" w:rsidRPr="00EF2F5B" w:rsidRDefault="00671BA9" w:rsidP="00671BA9">
      <w:pPr>
        <w:pStyle w:val="ListParagraph"/>
        <w:numPr>
          <w:ilvl w:val="0"/>
          <w:numId w:val="14"/>
        </w:numPr>
        <w:rPr>
          <w:color w:val="000000" w:themeColor="text1"/>
          <w:spacing w:val="0"/>
        </w:rPr>
      </w:pPr>
      <w:r w:rsidRPr="00EF2F5B">
        <w:rPr>
          <w:color w:val="000000" w:themeColor="text1"/>
          <w:spacing w:val="0"/>
        </w:rPr>
        <w:t>Reduces interpretive discretion</w:t>
      </w:r>
    </w:p>
    <w:p w14:paraId="1A50D74A" w14:textId="77777777" w:rsidR="00671BA9" w:rsidRPr="00EF2F5B" w:rsidRDefault="00671BA9" w:rsidP="00671BA9">
      <w:pPr>
        <w:rPr>
          <w:color w:val="000000" w:themeColor="text1"/>
          <w:spacing w:val="0"/>
        </w:rPr>
      </w:pPr>
      <w:r w:rsidRPr="00EF2F5B">
        <w:rPr>
          <w:color w:val="000000" w:themeColor="text1"/>
          <w:spacing w:val="0"/>
        </w:rPr>
        <w:t>Unlike averaging or median-based harmonisation, minimum-threshold convergence avoids regulatory dilution.</w:t>
      </w:r>
    </w:p>
    <w:p w14:paraId="386F2877" w14:textId="40F603EA" w:rsidR="004057F5" w:rsidRPr="00EF2F5B" w:rsidRDefault="00336F99" w:rsidP="00F0093D">
      <w:pPr>
        <w:spacing w:after="0" w:line="240" w:lineRule="auto"/>
        <w:rPr>
          <w:b/>
          <w:bCs/>
          <w:color w:val="000000" w:themeColor="text1"/>
          <w:spacing w:val="0"/>
        </w:rPr>
      </w:pPr>
      <w:bookmarkStart w:id="39" w:name="_Toc205658408"/>
      <w:bookmarkStart w:id="40" w:name="_Hlk211161103"/>
      <w:r w:rsidRPr="00EF2F5B">
        <w:rPr>
          <w:b/>
          <w:bCs/>
          <w:color w:val="000000" w:themeColor="text1"/>
          <w:spacing w:val="0"/>
        </w:rPr>
        <w:t xml:space="preserve">Conflicting Criteria </w:t>
      </w:r>
      <w:bookmarkEnd w:id="39"/>
    </w:p>
    <w:p w14:paraId="776B8B18" w14:textId="77777777" w:rsidR="00843436" w:rsidRPr="00EF2F5B" w:rsidRDefault="00843436" w:rsidP="00F0093D">
      <w:pPr>
        <w:spacing w:after="0" w:line="240" w:lineRule="auto"/>
        <w:rPr>
          <w:color w:val="000000" w:themeColor="text1"/>
          <w:spacing w:val="0"/>
        </w:rPr>
      </w:pPr>
    </w:p>
    <w:p w14:paraId="562F1AFD" w14:textId="53F40900" w:rsidR="00336F99" w:rsidRPr="00EF2F5B" w:rsidRDefault="00336F99" w:rsidP="004057F5">
      <w:pPr>
        <w:spacing w:after="0" w:line="240" w:lineRule="auto"/>
        <w:jc w:val="both"/>
        <w:rPr>
          <w:color w:val="000000" w:themeColor="text1"/>
          <w:spacing w:val="0"/>
        </w:rPr>
      </w:pPr>
      <w:r w:rsidRPr="00EF2F5B">
        <w:rPr>
          <w:color w:val="000000" w:themeColor="text1"/>
          <w:spacing w:val="0"/>
        </w:rPr>
        <w:t>All professional organisations have different OTL limiting values. The best way to unify these is to select the 'worst-case scenario' approach, which in this context means the lowest OTL criteria number for each zone provides the worst conditions</w:t>
      </w:r>
      <w:r w:rsidR="00CA7F35" w:rsidRPr="00EF2F5B">
        <w:rPr>
          <w:color w:val="000000" w:themeColor="text1"/>
          <w:spacing w:val="0"/>
        </w:rPr>
        <w:t xml:space="preserve"> so that it can satisfy all the organisation’s requirements</w:t>
      </w:r>
      <w:r w:rsidRPr="00EF2F5B">
        <w:rPr>
          <w:color w:val="000000" w:themeColor="text1"/>
          <w:spacing w:val="0"/>
        </w:rPr>
        <w:t>. This justifies and unifies the requirements for a single evaluation criterion and satisfies every standard. The unified criteria are crucial and pivotal in proving the solution</w:t>
      </w:r>
      <w:r w:rsidR="00762A4D" w:rsidRPr="00EF2F5B">
        <w:rPr>
          <w:color w:val="000000" w:themeColor="text1"/>
          <w:spacing w:val="0"/>
        </w:rPr>
        <w:t xml:space="preserve">. </w:t>
      </w:r>
      <w:r w:rsidRPr="00EF2F5B">
        <w:rPr>
          <w:color w:val="000000" w:themeColor="text1"/>
          <w:spacing w:val="0"/>
        </w:rPr>
        <w:t>It eventually leads to a more efficient and effective way of evaluating OTL, instilling confidence in the approach. However, it still does not satisfy the residents' impact of OTL.</w:t>
      </w:r>
    </w:p>
    <w:p w14:paraId="44865F50" w14:textId="77777777" w:rsidR="009B3380" w:rsidRPr="00EF2F5B" w:rsidRDefault="009B3380" w:rsidP="004057F5">
      <w:pPr>
        <w:spacing w:after="0" w:line="240" w:lineRule="auto"/>
        <w:jc w:val="both"/>
        <w:rPr>
          <w:color w:val="000000" w:themeColor="text1"/>
          <w:spacing w:val="0"/>
        </w:rPr>
      </w:pPr>
    </w:p>
    <w:p w14:paraId="682B4DB9" w14:textId="6E3C907D" w:rsidR="00336F99" w:rsidRPr="00EF2F5B" w:rsidRDefault="00336F99" w:rsidP="004057F5">
      <w:pPr>
        <w:spacing w:after="0" w:line="240" w:lineRule="auto"/>
        <w:jc w:val="both"/>
        <w:rPr>
          <w:b/>
          <w:bCs/>
          <w:color w:val="000000" w:themeColor="text1"/>
          <w:spacing w:val="0"/>
        </w:rPr>
      </w:pPr>
      <w:bookmarkStart w:id="41" w:name="_Hlk137971518"/>
      <w:bookmarkEnd w:id="40"/>
      <w:r w:rsidRPr="00EF2F5B">
        <w:rPr>
          <w:b/>
          <w:bCs/>
          <w:color w:val="000000" w:themeColor="text1"/>
          <w:spacing w:val="0"/>
        </w:rPr>
        <w:t>Proposed unified design requirement for OTL based on the current Standard.</w:t>
      </w:r>
    </w:p>
    <w:p w14:paraId="4BE962DB" w14:textId="77777777" w:rsidR="00843436" w:rsidRPr="00EF2F5B" w:rsidRDefault="00843436" w:rsidP="004057F5">
      <w:pPr>
        <w:spacing w:after="0" w:line="240" w:lineRule="auto"/>
        <w:jc w:val="both"/>
        <w:rPr>
          <w:color w:val="000000" w:themeColor="text1"/>
          <w:spacing w:val="0"/>
        </w:rPr>
      </w:pPr>
    </w:p>
    <w:bookmarkEnd w:id="41"/>
    <w:p w14:paraId="31F4A295" w14:textId="70CB3624" w:rsidR="000B6244" w:rsidRPr="00EF2F5B" w:rsidRDefault="00336F99" w:rsidP="004057F5">
      <w:pPr>
        <w:spacing w:after="0" w:line="240" w:lineRule="auto"/>
        <w:jc w:val="both"/>
        <w:rPr>
          <w:color w:val="000000" w:themeColor="text1"/>
          <w:spacing w:val="0"/>
        </w:rPr>
      </w:pPr>
      <w:r w:rsidRPr="00EF2F5B">
        <w:rPr>
          <w:color w:val="000000" w:themeColor="text1"/>
          <w:spacing w:val="0"/>
        </w:rPr>
        <w:t xml:space="preserve">The author’s proposed OL zone classifications are based on the abutting Municipal Official Land Use Designation and will address conditions unique to Ontario (Ontario Land Use Planning, 2023).  The OL zones are classified into four zones, ranging from LZ1, which is the most restrictive, to LZ4, the least restrictive. Various organisations' existing OTL practices are covered under </w:t>
      </w:r>
      <w:r w:rsidR="00BF5E16" w:rsidRPr="00EF2F5B">
        <w:rPr>
          <w:color w:val="000000" w:themeColor="text1"/>
          <w:spacing w:val="0"/>
        </w:rPr>
        <w:t>background</w:t>
      </w:r>
      <w:r w:rsidRPr="00EF2F5B">
        <w:rPr>
          <w:color w:val="000000" w:themeColor="text1"/>
          <w:spacing w:val="0"/>
        </w:rPr>
        <w:t xml:space="preserve"> (TAC, 2006; IES TM-15, 2021; CIE-150, 2017; ILP GN-01, 2020; IDA, 2021; AS/NZS, 2019).  All these organisations have similar criteria with minor variations in the description and the OTL values.  </w:t>
      </w:r>
    </w:p>
    <w:p w14:paraId="5ED0CF3E" w14:textId="77777777" w:rsidR="000B6244" w:rsidRPr="00EF2F5B" w:rsidRDefault="000B6244" w:rsidP="004057F5">
      <w:pPr>
        <w:spacing w:after="0" w:line="240" w:lineRule="auto"/>
        <w:jc w:val="both"/>
        <w:rPr>
          <w:color w:val="000000" w:themeColor="text1"/>
          <w:spacing w:val="0"/>
        </w:rPr>
      </w:pPr>
    </w:p>
    <w:p w14:paraId="6051AF09" w14:textId="110DF085" w:rsidR="00336F99" w:rsidRPr="00EF2F5B" w:rsidRDefault="00336F99" w:rsidP="004057F5">
      <w:pPr>
        <w:spacing w:after="0" w:line="240" w:lineRule="auto"/>
        <w:jc w:val="both"/>
        <w:rPr>
          <w:color w:val="000000" w:themeColor="text1"/>
          <w:spacing w:val="0"/>
        </w:rPr>
      </w:pPr>
      <w:r w:rsidRPr="00EF2F5B">
        <w:rPr>
          <w:color w:val="000000" w:themeColor="text1"/>
          <w:spacing w:val="0"/>
        </w:rPr>
        <w:fldChar w:fldCharType="begin"/>
      </w:r>
      <w:r w:rsidRPr="00EF2F5B">
        <w:rPr>
          <w:color w:val="000000" w:themeColor="text1"/>
          <w:spacing w:val="0"/>
        </w:rPr>
        <w:instrText xml:space="preserve"> REF _Ref137882987 \h </w:instrText>
      </w:r>
      <w:r w:rsidR="00E2784B" w:rsidRPr="00EF2F5B">
        <w:rPr>
          <w:color w:val="000000" w:themeColor="text1"/>
          <w:spacing w:val="0"/>
        </w:rPr>
        <w:instrText xml:space="preserve"> \* MERGEFORMAT </w:instrText>
      </w:r>
      <w:r w:rsidRPr="00EF2F5B">
        <w:rPr>
          <w:color w:val="000000" w:themeColor="text1"/>
          <w:spacing w:val="0"/>
        </w:rPr>
      </w:r>
      <w:r w:rsidRPr="00EF2F5B">
        <w:rPr>
          <w:color w:val="000000" w:themeColor="text1"/>
          <w:spacing w:val="0"/>
        </w:rPr>
        <w:fldChar w:fldCharType="separate"/>
      </w:r>
      <w:r w:rsidRPr="00EF2F5B">
        <w:rPr>
          <w:color w:val="000000" w:themeColor="text1"/>
          <w:spacing w:val="0"/>
        </w:rPr>
        <w:t>Figure 1</w:t>
      </w:r>
      <w:r w:rsidRPr="00EF2F5B">
        <w:rPr>
          <w:color w:val="000000" w:themeColor="text1"/>
          <w:spacing w:val="0"/>
        </w:rPr>
        <w:fldChar w:fldCharType="end"/>
      </w:r>
      <w:r w:rsidRPr="00EF2F5B">
        <w:rPr>
          <w:color w:val="000000" w:themeColor="text1"/>
          <w:spacing w:val="0"/>
        </w:rPr>
        <w:t xml:space="preserve"> shows the flowchart for the proposed OTL.</w:t>
      </w:r>
    </w:p>
    <w:p w14:paraId="49BD8ECF" w14:textId="77777777" w:rsidR="004057F5" w:rsidRPr="00EF2F5B" w:rsidRDefault="004057F5" w:rsidP="00F0093D">
      <w:pPr>
        <w:spacing w:after="0" w:line="240" w:lineRule="auto"/>
        <w:rPr>
          <w:color w:val="000000" w:themeColor="text1"/>
          <w:spacing w:val="0"/>
        </w:rPr>
      </w:pPr>
    </w:p>
    <w:p w14:paraId="38B4DDA3" w14:textId="6456980C" w:rsidR="00336F99" w:rsidRPr="00EF2F5B" w:rsidRDefault="00336F99" w:rsidP="00F0093D">
      <w:pPr>
        <w:spacing w:after="0" w:line="240" w:lineRule="auto"/>
        <w:jc w:val="center"/>
        <w:rPr>
          <w:b/>
          <w:bCs/>
          <w:color w:val="000000" w:themeColor="text1"/>
          <w:spacing w:val="0"/>
          <w:sz w:val="20"/>
          <w:szCs w:val="20"/>
        </w:rPr>
      </w:pPr>
      <w:bookmarkStart w:id="42" w:name="_Ref137882987"/>
      <w:bookmarkStart w:id="43" w:name="_Toc205658473"/>
      <w:r w:rsidRPr="00EF2F5B">
        <w:rPr>
          <w:b/>
          <w:bCs/>
          <w:color w:val="000000" w:themeColor="text1"/>
          <w:spacing w:val="0"/>
          <w:sz w:val="20"/>
          <w:szCs w:val="20"/>
        </w:rPr>
        <w:t>Figure 1</w:t>
      </w:r>
      <w:bookmarkEnd w:id="42"/>
      <w:r w:rsidRPr="00EF2F5B">
        <w:rPr>
          <w:b/>
          <w:bCs/>
          <w:color w:val="000000" w:themeColor="text1"/>
          <w:spacing w:val="0"/>
          <w:sz w:val="20"/>
          <w:szCs w:val="20"/>
        </w:rPr>
        <w:t xml:space="preserve">: The proposed OTL meets the occupant’s </w:t>
      </w:r>
      <w:r w:rsidR="00D368AA" w:rsidRPr="00EF2F5B">
        <w:rPr>
          <w:b/>
          <w:bCs/>
          <w:color w:val="000000" w:themeColor="text1"/>
          <w:spacing w:val="0"/>
          <w:sz w:val="20"/>
          <w:szCs w:val="20"/>
        </w:rPr>
        <w:t>OTL</w:t>
      </w:r>
      <w:bookmarkEnd w:id="43"/>
    </w:p>
    <w:p w14:paraId="0DA7893D" w14:textId="77777777" w:rsidR="00336F99" w:rsidRPr="00EF2F5B" w:rsidRDefault="00336F99" w:rsidP="00F0093D">
      <w:pPr>
        <w:spacing w:after="0" w:line="240" w:lineRule="auto"/>
        <w:jc w:val="center"/>
        <w:rPr>
          <w:color w:val="000000" w:themeColor="text1"/>
          <w:spacing w:val="0"/>
          <w:sz w:val="20"/>
          <w:szCs w:val="20"/>
        </w:rPr>
      </w:pPr>
      <w:r w:rsidRPr="00EF2F5B">
        <w:rPr>
          <w:color w:val="000000" w:themeColor="text1"/>
          <w:spacing w:val="0"/>
          <w:sz w:val="20"/>
          <w:szCs w:val="20"/>
        </w:rPr>
        <w:t>(Source: by the author)</w:t>
      </w:r>
    </w:p>
    <w:p w14:paraId="6F48A686" w14:textId="77777777" w:rsidR="00336F99" w:rsidRPr="00EF2F5B" w:rsidRDefault="00336F99" w:rsidP="00F0093D">
      <w:pPr>
        <w:spacing w:after="0" w:line="240" w:lineRule="auto"/>
        <w:jc w:val="center"/>
        <w:rPr>
          <w:rFonts w:eastAsia="Times New Roman"/>
          <w:snapToGrid/>
          <w:color w:val="000000" w:themeColor="text1"/>
          <w:spacing w:val="0"/>
          <w:kern w:val="0"/>
          <w:sz w:val="16"/>
          <w:szCs w:val="16"/>
          <w:lang w:val="en-GB" w:eastAsia="en-GB"/>
          <w14:ligatures w14:val="none"/>
        </w:rPr>
      </w:pPr>
    </w:p>
    <w:p w14:paraId="2D2ECEA0" w14:textId="004C680E" w:rsidR="006305E2" w:rsidRPr="00EF2F5B" w:rsidRDefault="006305E2" w:rsidP="006305E2">
      <w:pPr>
        <w:spacing w:after="0" w:line="240" w:lineRule="auto"/>
        <w:jc w:val="center"/>
        <w:rPr>
          <w:color w:val="000000" w:themeColor="text1"/>
          <w:spacing w:val="0"/>
        </w:rPr>
      </w:pPr>
      <w:r w:rsidRPr="00EF2F5B">
        <w:rPr>
          <w:noProof/>
          <w:color w:val="000000" w:themeColor="text1"/>
          <w:spacing w:val="0"/>
          <w:lang w:val="en-IN" w:eastAsia="en-IN" w:bidi="ar-SA"/>
        </w:rPr>
        <w:lastRenderedPageBreak/>
        <w:drawing>
          <wp:inline distT="0" distB="0" distL="0" distR="0" wp14:anchorId="0E40A101" wp14:editId="4DAA0E5F">
            <wp:extent cx="5057775" cy="3790950"/>
            <wp:effectExtent l="0" t="0" r="9525" b="0"/>
            <wp:docPr id="1409468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68032" name=""/>
                    <pic:cNvPicPr/>
                  </pic:nvPicPr>
                  <pic:blipFill rotWithShape="1">
                    <a:blip r:embed="rId8" cstate="screen">
                      <a:extLst>
                        <a:ext uri="{28A0092B-C50C-407E-A947-70E740481C1C}">
                          <a14:useLocalDpi xmlns:a14="http://schemas.microsoft.com/office/drawing/2010/main"/>
                        </a:ext>
                      </a:extLst>
                    </a:blip>
                    <a:srcRect/>
                    <a:stretch>
                      <a:fillRect/>
                    </a:stretch>
                  </pic:blipFill>
                  <pic:spPr bwMode="auto">
                    <a:xfrm>
                      <a:off x="0" y="0"/>
                      <a:ext cx="5065758" cy="3796933"/>
                    </a:xfrm>
                    <a:prstGeom prst="rect">
                      <a:avLst/>
                    </a:prstGeom>
                    <a:ln>
                      <a:noFill/>
                    </a:ln>
                    <a:extLst>
                      <a:ext uri="{53640926-AAD7-44D8-BBD7-CCE9431645EC}">
                        <a14:shadowObscured xmlns:a14="http://schemas.microsoft.com/office/drawing/2010/main"/>
                      </a:ext>
                    </a:extLst>
                  </pic:spPr>
                </pic:pic>
              </a:graphicData>
            </a:graphic>
          </wp:inline>
        </w:drawing>
      </w:r>
    </w:p>
    <w:p w14:paraId="31E47C82" w14:textId="77777777" w:rsidR="000B6244" w:rsidRPr="00EF2F5B" w:rsidRDefault="000B6244" w:rsidP="000B6244">
      <w:pPr>
        <w:spacing w:before="100" w:beforeAutospacing="1" w:after="100" w:afterAutospacing="1" w:line="240" w:lineRule="auto"/>
        <w:outlineLvl w:val="2"/>
        <w:rPr>
          <w:rFonts w:eastAsia="Times New Roman"/>
          <w:b/>
          <w:bCs/>
          <w:snapToGrid/>
          <w:color w:val="000000" w:themeColor="text1"/>
          <w:spacing w:val="0"/>
          <w:kern w:val="0"/>
          <w:sz w:val="27"/>
          <w:szCs w:val="27"/>
          <w14:ligatures w14:val="none"/>
        </w:rPr>
      </w:pPr>
      <w:r w:rsidRPr="00EF2F5B">
        <w:rPr>
          <w:rFonts w:eastAsia="Times New Roman"/>
          <w:b/>
          <w:bCs/>
          <w:snapToGrid/>
          <w:color w:val="000000" w:themeColor="text1"/>
          <w:spacing w:val="0"/>
          <w:kern w:val="0"/>
          <w:sz w:val="27"/>
          <w:szCs w:val="27"/>
          <w14:ligatures w14:val="none"/>
        </w:rPr>
        <w:t>3.2 Quantitative Regulatory Divergence Analysis</w:t>
      </w:r>
    </w:p>
    <w:p w14:paraId="0045CA7A" w14:textId="3BD0AE5B" w:rsidR="00BE7AD1" w:rsidRPr="00EF2F5B" w:rsidRDefault="000B6244" w:rsidP="000B6244">
      <w:pPr>
        <w:spacing w:before="100" w:beforeAutospacing="1" w:after="100" w:afterAutospacing="1" w:line="240" w:lineRule="auto"/>
        <w:rPr>
          <w:color w:val="000000" w:themeColor="text1"/>
          <w:spacing w:val="0"/>
        </w:rPr>
      </w:pPr>
      <w:r w:rsidRPr="00EF2F5B">
        <w:rPr>
          <w:rFonts w:eastAsia="Times New Roman"/>
          <w:snapToGrid/>
          <w:color w:val="000000" w:themeColor="text1"/>
          <w:spacing w:val="0"/>
          <w:kern w:val="0"/>
          <w14:ligatures w14:val="none"/>
        </w:rPr>
        <w:t xml:space="preserve">A comparative matrix was constructed.  </w:t>
      </w:r>
      <w:r w:rsidR="00336F99" w:rsidRPr="00EF2F5B">
        <w:rPr>
          <w:color w:val="000000" w:themeColor="text1"/>
          <w:spacing w:val="0"/>
        </w:rPr>
        <w:fldChar w:fldCharType="begin"/>
      </w:r>
      <w:r w:rsidR="00336F99" w:rsidRPr="00EF2F5B">
        <w:rPr>
          <w:color w:val="000000" w:themeColor="text1"/>
          <w:spacing w:val="0"/>
        </w:rPr>
        <w:instrText xml:space="preserve"> REF _Ref137885372 \h  \* MERGEFORMAT </w:instrText>
      </w:r>
      <w:r w:rsidR="00336F99" w:rsidRPr="00EF2F5B">
        <w:rPr>
          <w:color w:val="000000" w:themeColor="text1"/>
          <w:spacing w:val="0"/>
        </w:rPr>
      </w:r>
      <w:r w:rsidR="00336F99" w:rsidRPr="00EF2F5B">
        <w:rPr>
          <w:color w:val="000000" w:themeColor="text1"/>
          <w:spacing w:val="0"/>
        </w:rPr>
        <w:fldChar w:fldCharType="separate"/>
      </w:r>
      <w:r w:rsidR="00336F99" w:rsidRPr="00EF2F5B">
        <w:rPr>
          <w:color w:val="000000" w:themeColor="text1"/>
          <w:spacing w:val="0"/>
        </w:rPr>
        <w:t>Table 13</w:t>
      </w:r>
      <w:r w:rsidR="00336F99" w:rsidRPr="00EF2F5B">
        <w:rPr>
          <w:color w:val="000000" w:themeColor="text1"/>
          <w:spacing w:val="0"/>
        </w:rPr>
        <w:fldChar w:fldCharType="end"/>
      </w:r>
      <w:r w:rsidR="00336F99" w:rsidRPr="00EF2F5B">
        <w:rPr>
          <w:color w:val="000000" w:themeColor="text1"/>
          <w:spacing w:val="0"/>
        </w:rPr>
        <w:t xml:space="preserve"> below </w:t>
      </w:r>
      <w:proofErr w:type="spellStart"/>
      <w:r w:rsidR="00336F99" w:rsidRPr="00EF2F5B">
        <w:rPr>
          <w:color w:val="000000" w:themeColor="text1"/>
          <w:spacing w:val="0"/>
        </w:rPr>
        <w:t>summarises</w:t>
      </w:r>
      <w:proofErr w:type="spellEnd"/>
      <w:r w:rsidR="00336F99" w:rsidRPr="00EF2F5B">
        <w:rPr>
          <w:color w:val="000000" w:themeColor="text1"/>
          <w:spacing w:val="0"/>
        </w:rPr>
        <w:t xml:space="preserve"> the OTL design criteria developed or used by various organisations in North America and worldwide. </w:t>
      </w:r>
      <w:bookmarkStart w:id="44" w:name="_Hlk186995996"/>
      <w:r w:rsidR="00336F99" w:rsidRPr="00EF2F5B">
        <w:rPr>
          <w:color w:val="000000" w:themeColor="text1"/>
          <w:spacing w:val="0"/>
        </w:rPr>
        <w:t xml:space="preserve">Curfew hours are not applicable in North America due to liability. However, it is essential to note that CIE 150 and ILP GN01 implement curfew hours in Europe. </w:t>
      </w:r>
    </w:p>
    <w:p w14:paraId="26FDA543" w14:textId="240F7FAA" w:rsidR="00336F99" w:rsidRPr="00EF2F5B" w:rsidRDefault="00336F99" w:rsidP="00BE7AD1">
      <w:pPr>
        <w:spacing w:after="0" w:line="240" w:lineRule="auto"/>
        <w:jc w:val="center"/>
        <w:rPr>
          <w:b/>
          <w:bCs/>
          <w:color w:val="000000" w:themeColor="text1"/>
          <w:spacing w:val="0"/>
          <w:sz w:val="20"/>
          <w:szCs w:val="20"/>
        </w:rPr>
      </w:pPr>
      <w:bookmarkStart w:id="45" w:name="_Ref137885372"/>
      <w:bookmarkStart w:id="46" w:name="_Toc205658531"/>
      <w:bookmarkEnd w:id="44"/>
      <w:r w:rsidRPr="00EF2F5B">
        <w:rPr>
          <w:b/>
          <w:bCs/>
          <w:color w:val="000000" w:themeColor="text1"/>
          <w:spacing w:val="0"/>
          <w:sz w:val="20"/>
          <w:szCs w:val="20"/>
        </w:rPr>
        <w:t>Table 1</w:t>
      </w:r>
      <w:bookmarkEnd w:id="45"/>
      <w:r w:rsidR="000A77C1" w:rsidRPr="00EF2F5B">
        <w:rPr>
          <w:b/>
          <w:bCs/>
          <w:color w:val="000000" w:themeColor="text1"/>
          <w:spacing w:val="0"/>
          <w:sz w:val="20"/>
          <w:szCs w:val="20"/>
        </w:rPr>
        <w:t>3</w:t>
      </w:r>
      <w:r w:rsidRPr="00EF2F5B">
        <w:rPr>
          <w:b/>
          <w:bCs/>
          <w:color w:val="000000" w:themeColor="text1"/>
          <w:spacing w:val="0"/>
          <w:sz w:val="20"/>
          <w:szCs w:val="20"/>
        </w:rPr>
        <w:t>: Outdoor OTL design criteria developed by other authorities.</w:t>
      </w:r>
      <w:bookmarkEnd w:id="46"/>
    </w:p>
    <w:p w14:paraId="6BB9CBF6" w14:textId="77777777" w:rsidR="00336F99" w:rsidRPr="00EF2F5B" w:rsidRDefault="00336F99" w:rsidP="00BE7AD1">
      <w:pPr>
        <w:spacing w:after="0" w:line="240" w:lineRule="auto"/>
        <w:jc w:val="center"/>
        <w:rPr>
          <w:color w:val="000000" w:themeColor="text1"/>
          <w:spacing w:val="0"/>
          <w:sz w:val="16"/>
          <w:szCs w:val="16"/>
        </w:rPr>
      </w:pPr>
      <w:r w:rsidRPr="00EF2F5B">
        <w:rPr>
          <w:color w:val="000000" w:themeColor="text1"/>
          <w:spacing w:val="0"/>
          <w:sz w:val="16"/>
          <w:szCs w:val="16"/>
        </w:rPr>
        <w:t>Source: Compiled by the author</w:t>
      </w:r>
    </w:p>
    <w:tbl>
      <w:tblPr>
        <w:tblW w:w="8511" w:type="dxa"/>
        <w:jc w:val="center"/>
        <w:tblLayout w:type="fixed"/>
        <w:tblCellMar>
          <w:left w:w="70" w:type="dxa"/>
          <w:right w:w="70" w:type="dxa"/>
        </w:tblCellMar>
        <w:tblLook w:val="0000" w:firstRow="0" w:lastRow="0" w:firstColumn="0" w:lastColumn="0" w:noHBand="0" w:noVBand="0"/>
      </w:tblPr>
      <w:tblGrid>
        <w:gridCol w:w="853"/>
        <w:gridCol w:w="2693"/>
        <w:gridCol w:w="923"/>
        <w:gridCol w:w="923"/>
        <w:gridCol w:w="779"/>
        <w:gridCol w:w="780"/>
        <w:gridCol w:w="780"/>
        <w:gridCol w:w="780"/>
      </w:tblGrid>
      <w:tr w:rsidR="00EF2F5B" w:rsidRPr="00EF2F5B" w14:paraId="238FCAC2" w14:textId="77777777" w:rsidTr="006617F6">
        <w:trPr>
          <w:trHeight w:val="934"/>
          <w:jc w:val="center"/>
        </w:trPr>
        <w:tc>
          <w:tcPr>
            <w:tcW w:w="853" w:type="dxa"/>
            <w:tcBorders>
              <w:top w:val="single" w:sz="4" w:space="0" w:color="auto"/>
              <w:left w:val="single" w:sz="4" w:space="0" w:color="auto"/>
              <w:bottom w:val="single" w:sz="4" w:space="0" w:color="auto"/>
              <w:right w:val="single" w:sz="4" w:space="0" w:color="auto"/>
            </w:tcBorders>
            <w:vAlign w:val="center"/>
          </w:tcPr>
          <w:p w14:paraId="51D2874A" w14:textId="2FA6CCB0" w:rsidR="00336F99" w:rsidRPr="00EF2F5B" w:rsidRDefault="00E02258"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cs/>
                <w:lang w:bidi="ar-SA"/>
                <w14:ligatures w14:val="none"/>
              </w:rPr>
            </w:pPr>
            <w:r w:rsidRPr="00EF2F5B">
              <w:rPr>
                <w:rFonts w:eastAsia="Times New Roman"/>
                <w:snapToGrid/>
                <w:color w:val="000000" w:themeColor="text1"/>
                <w:spacing w:val="0"/>
                <w:kern w:val="0"/>
                <w:sz w:val="20"/>
                <w:szCs w:val="20"/>
                <w:lang w:bidi="ar-SA"/>
                <w14:ligatures w14:val="none"/>
              </w:rPr>
              <w:t>N</w:t>
            </w:r>
            <w:r w:rsidR="00336F99" w:rsidRPr="00EF2F5B">
              <w:rPr>
                <w:rFonts w:eastAsia="Times New Roman"/>
                <w:snapToGrid/>
                <w:color w:val="000000" w:themeColor="text1"/>
                <w:spacing w:val="0"/>
                <w:kern w:val="0"/>
                <w:sz w:val="20"/>
                <w:szCs w:val="20"/>
                <w:lang w:bidi="ar-SA"/>
                <w14:ligatures w14:val="none"/>
              </w:rPr>
              <w:t>o.</w:t>
            </w:r>
          </w:p>
        </w:tc>
        <w:tc>
          <w:tcPr>
            <w:tcW w:w="2693" w:type="dxa"/>
            <w:tcBorders>
              <w:top w:val="single" w:sz="4" w:space="0" w:color="auto"/>
              <w:left w:val="single" w:sz="4" w:space="0" w:color="auto"/>
              <w:bottom w:val="single" w:sz="4" w:space="0" w:color="auto"/>
              <w:right w:val="single" w:sz="4" w:space="0" w:color="auto"/>
            </w:tcBorders>
            <w:vAlign w:val="center"/>
          </w:tcPr>
          <w:p w14:paraId="149D0384" w14:textId="77777777" w:rsidR="00336F99" w:rsidRPr="00EF2F5B" w:rsidRDefault="00336F9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Development of OTL Design Criteria</w:t>
            </w:r>
          </w:p>
        </w:tc>
        <w:tc>
          <w:tcPr>
            <w:tcW w:w="4965" w:type="dxa"/>
            <w:gridSpan w:val="6"/>
            <w:tcBorders>
              <w:top w:val="single" w:sz="4" w:space="0" w:color="auto"/>
              <w:left w:val="single" w:sz="4" w:space="0" w:color="auto"/>
              <w:bottom w:val="single" w:sz="4" w:space="0" w:color="auto"/>
              <w:right w:val="single" w:sz="4" w:space="0" w:color="auto"/>
            </w:tcBorders>
            <w:vAlign w:val="center"/>
          </w:tcPr>
          <w:p w14:paraId="669CAC6D" w14:textId="77777777" w:rsidR="00336F99" w:rsidRPr="00EF2F5B" w:rsidRDefault="00336F9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Design Criteria Used or Developed by Other Authorities</w:t>
            </w:r>
          </w:p>
        </w:tc>
      </w:tr>
      <w:tr w:rsidR="00EF2F5B" w:rsidRPr="00EF2F5B" w14:paraId="05C45AAE" w14:textId="77777777" w:rsidTr="006617F6">
        <w:trPr>
          <w:cantSplit/>
          <w:trHeight w:val="547"/>
          <w:jc w:val="center"/>
        </w:trPr>
        <w:tc>
          <w:tcPr>
            <w:tcW w:w="853" w:type="dxa"/>
            <w:vMerge w:val="restart"/>
            <w:tcBorders>
              <w:top w:val="single" w:sz="4" w:space="0" w:color="auto"/>
              <w:left w:val="single" w:sz="4" w:space="0" w:color="auto"/>
              <w:right w:val="single" w:sz="4" w:space="0" w:color="auto"/>
            </w:tcBorders>
            <w:vAlign w:val="center"/>
          </w:tcPr>
          <w:p w14:paraId="5E62434D" w14:textId="77777777" w:rsidR="00336F99" w:rsidRPr="00EF2F5B" w:rsidRDefault="00336F9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p>
        </w:tc>
        <w:tc>
          <w:tcPr>
            <w:tcW w:w="2693" w:type="dxa"/>
            <w:vMerge w:val="restart"/>
            <w:tcBorders>
              <w:top w:val="single" w:sz="4" w:space="0" w:color="auto"/>
              <w:left w:val="single" w:sz="4" w:space="0" w:color="auto"/>
              <w:right w:val="single" w:sz="4" w:space="0" w:color="auto"/>
            </w:tcBorders>
            <w:vAlign w:val="center"/>
          </w:tcPr>
          <w:p w14:paraId="7ABCBE1B" w14:textId="48A658F8" w:rsidR="00336F99" w:rsidRPr="00EF2F5B" w:rsidRDefault="00BE7AD1"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Organisation</w:t>
            </w:r>
            <w:r w:rsidR="00336F99" w:rsidRPr="00EF2F5B">
              <w:rPr>
                <w:rFonts w:eastAsia="Times New Roman"/>
                <w:snapToGrid/>
                <w:color w:val="000000" w:themeColor="text1"/>
                <w:spacing w:val="0"/>
                <w:kern w:val="0"/>
                <w:sz w:val="20"/>
                <w:szCs w:val="20"/>
                <w:lang w:bidi="ar-SA"/>
                <w14:ligatures w14:val="none"/>
              </w:rPr>
              <w:t xml:space="preserve"> and Country</w:t>
            </w:r>
          </w:p>
        </w:tc>
        <w:tc>
          <w:tcPr>
            <w:tcW w:w="923" w:type="dxa"/>
            <w:vMerge w:val="restart"/>
            <w:tcBorders>
              <w:top w:val="single" w:sz="4" w:space="0" w:color="auto"/>
              <w:left w:val="single" w:sz="4" w:space="0" w:color="auto"/>
              <w:right w:val="single" w:sz="4" w:space="0" w:color="auto"/>
            </w:tcBorders>
            <w:textDirection w:val="btLr"/>
            <w:vAlign w:val="center"/>
          </w:tcPr>
          <w:p w14:paraId="35D6098C" w14:textId="77777777" w:rsidR="00336F99" w:rsidRPr="00EF2F5B" w:rsidRDefault="00336F99" w:rsidP="00F0093D">
            <w:pPr>
              <w:overflowPunct w:val="0"/>
              <w:autoSpaceDE w:val="0"/>
              <w:autoSpaceDN w:val="0"/>
              <w:adjustRightInd w:val="0"/>
              <w:spacing w:after="0" w:line="240" w:lineRule="auto"/>
              <w:ind w:left="113" w:right="113"/>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Curfew</w:t>
            </w:r>
          </w:p>
        </w:tc>
        <w:tc>
          <w:tcPr>
            <w:tcW w:w="923" w:type="dxa"/>
            <w:vMerge w:val="restart"/>
            <w:tcBorders>
              <w:top w:val="single" w:sz="4" w:space="0" w:color="auto"/>
              <w:left w:val="single" w:sz="4" w:space="0" w:color="auto"/>
              <w:right w:val="single" w:sz="4" w:space="0" w:color="auto"/>
            </w:tcBorders>
            <w:textDirection w:val="btLr"/>
            <w:vAlign w:val="center"/>
          </w:tcPr>
          <w:p w14:paraId="6F38FD86" w14:textId="77777777" w:rsidR="00336F99" w:rsidRPr="00EF2F5B" w:rsidRDefault="00336F99" w:rsidP="00F0093D">
            <w:pPr>
              <w:overflowPunct w:val="0"/>
              <w:autoSpaceDE w:val="0"/>
              <w:autoSpaceDN w:val="0"/>
              <w:adjustRightInd w:val="0"/>
              <w:spacing w:after="0" w:line="240" w:lineRule="auto"/>
              <w:ind w:left="113" w:right="113"/>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OL Zones</w:t>
            </w:r>
          </w:p>
        </w:tc>
        <w:tc>
          <w:tcPr>
            <w:tcW w:w="3119" w:type="dxa"/>
            <w:gridSpan w:val="4"/>
            <w:tcBorders>
              <w:top w:val="single" w:sz="4" w:space="0" w:color="auto"/>
              <w:left w:val="single" w:sz="4" w:space="0" w:color="auto"/>
              <w:bottom w:val="single" w:sz="4" w:space="0" w:color="auto"/>
              <w:right w:val="single" w:sz="4" w:space="0" w:color="auto"/>
            </w:tcBorders>
            <w:vAlign w:val="center"/>
          </w:tcPr>
          <w:p w14:paraId="7862EA53" w14:textId="77777777" w:rsidR="00336F99" w:rsidRPr="00EF2F5B" w:rsidRDefault="00336F9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val="en-ZA" w:eastAsia="en-CA" w:bidi="ar-SA"/>
                <w14:ligatures w14:val="none"/>
              </w:rPr>
            </w:pPr>
            <w:r w:rsidRPr="00EF2F5B">
              <w:rPr>
                <w:rFonts w:eastAsia="Times New Roman"/>
                <w:snapToGrid/>
                <w:color w:val="000000" w:themeColor="text1"/>
                <w:spacing w:val="0"/>
                <w:kern w:val="0"/>
                <w:sz w:val="20"/>
                <w:szCs w:val="20"/>
                <w:lang w:val="en-ZA" w:eastAsia="en-CA" w:bidi="ar-SA"/>
                <w14:ligatures w14:val="none"/>
              </w:rPr>
              <w:t>Trespass Values for Zones, Vertical Illuminance in Lux</w:t>
            </w:r>
          </w:p>
        </w:tc>
      </w:tr>
      <w:tr w:rsidR="00EF2F5B" w:rsidRPr="00EF2F5B" w14:paraId="45B28675" w14:textId="77777777" w:rsidTr="006617F6">
        <w:trPr>
          <w:cantSplit/>
          <w:trHeight w:val="675"/>
          <w:jc w:val="center"/>
        </w:trPr>
        <w:tc>
          <w:tcPr>
            <w:tcW w:w="853" w:type="dxa"/>
            <w:vMerge/>
            <w:tcBorders>
              <w:left w:val="single" w:sz="4" w:space="0" w:color="auto"/>
              <w:bottom w:val="single" w:sz="4" w:space="0" w:color="auto"/>
              <w:right w:val="single" w:sz="4" w:space="0" w:color="auto"/>
            </w:tcBorders>
            <w:vAlign w:val="center"/>
          </w:tcPr>
          <w:p w14:paraId="58D787AC" w14:textId="77777777" w:rsidR="00336F99" w:rsidRPr="00EF2F5B" w:rsidRDefault="00336F9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p>
        </w:tc>
        <w:tc>
          <w:tcPr>
            <w:tcW w:w="2693" w:type="dxa"/>
            <w:vMerge/>
            <w:tcBorders>
              <w:left w:val="single" w:sz="4" w:space="0" w:color="auto"/>
              <w:bottom w:val="single" w:sz="4" w:space="0" w:color="auto"/>
              <w:right w:val="single" w:sz="4" w:space="0" w:color="auto"/>
            </w:tcBorders>
            <w:vAlign w:val="center"/>
          </w:tcPr>
          <w:p w14:paraId="5F7CAFBE" w14:textId="77777777" w:rsidR="00336F99" w:rsidRPr="00EF2F5B" w:rsidRDefault="00336F9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p>
        </w:tc>
        <w:tc>
          <w:tcPr>
            <w:tcW w:w="923" w:type="dxa"/>
            <w:vMerge/>
            <w:tcBorders>
              <w:left w:val="single" w:sz="4" w:space="0" w:color="auto"/>
              <w:bottom w:val="single" w:sz="4" w:space="0" w:color="auto"/>
              <w:right w:val="single" w:sz="4" w:space="0" w:color="auto"/>
            </w:tcBorders>
            <w:textDirection w:val="btLr"/>
            <w:vAlign w:val="center"/>
          </w:tcPr>
          <w:p w14:paraId="4D6EF932" w14:textId="77777777" w:rsidR="00336F99" w:rsidRPr="00EF2F5B" w:rsidRDefault="00336F99" w:rsidP="00F0093D">
            <w:pPr>
              <w:overflowPunct w:val="0"/>
              <w:autoSpaceDE w:val="0"/>
              <w:autoSpaceDN w:val="0"/>
              <w:adjustRightInd w:val="0"/>
              <w:spacing w:after="0" w:line="240" w:lineRule="auto"/>
              <w:ind w:left="113" w:right="113"/>
              <w:jc w:val="both"/>
              <w:textAlignment w:val="baseline"/>
              <w:rPr>
                <w:rFonts w:eastAsia="Times New Roman"/>
                <w:snapToGrid/>
                <w:color w:val="000000" w:themeColor="text1"/>
                <w:spacing w:val="0"/>
                <w:kern w:val="0"/>
                <w:sz w:val="20"/>
                <w:szCs w:val="20"/>
                <w:lang w:bidi="ar-SA"/>
                <w14:ligatures w14:val="none"/>
              </w:rPr>
            </w:pPr>
          </w:p>
        </w:tc>
        <w:tc>
          <w:tcPr>
            <w:tcW w:w="923" w:type="dxa"/>
            <w:vMerge/>
            <w:tcBorders>
              <w:left w:val="single" w:sz="4" w:space="0" w:color="auto"/>
              <w:bottom w:val="single" w:sz="4" w:space="0" w:color="auto"/>
              <w:right w:val="single" w:sz="4" w:space="0" w:color="auto"/>
            </w:tcBorders>
            <w:textDirection w:val="btLr"/>
            <w:vAlign w:val="center"/>
          </w:tcPr>
          <w:p w14:paraId="355ABF98" w14:textId="77777777" w:rsidR="00336F99" w:rsidRPr="00EF2F5B" w:rsidRDefault="00336F99" w:rsidP="00F0093D">
            <w:pPr>
              <w:overflowPunct w:val="0"/>
              <w:autoSpaceDE w:val="0"/>
              <w:autoSpaceDN w:val="0"/>
              <w:adjustRightInd w:val="0"/>
              <w:spacing w:after="0" w:line="240" w:lineRule="auto"/>
              <w:ind w:left="113" w:right="113"/>
              <w:jc w:val="both"/>
              <w:textAlignment w:val="baseline"/>
              <w:rPr>
                <w:rFonts w:eastAsia="Times New Roman"/>
                <w:b/>
                <w:bCs/>
                <w:snapToGrid/>
                <w:color w:val="000000" w:themeColor="text1"/>
                <w:spacing w:val="0"/>
                <w:kern w:val="0"/>
                <w:sz w:val="20"/>
                <w:szCs w:val="20"/>
                <w:lang w:bidi="ar-SA"/>
                <w14:ligatures w14:val="none"/>
              </w:rPr>
            </w:pPr>
          </w:p>
        </w:tc>
        <w:tc>
          <w:tcPr>
            <w:tcW w:w="779" w:type="dxa"/>
            <w:tcBorders>
              <w:top w:val="single" w:sz="4" w:space="0" w:color="auto"/>
              <w:left w:val="single" w:sz="4" w:space="0" w:color="auto"/>
              <w:bottom w:val="single" w:sz="4" w:space="0" w:color="auto"/>
              <w:right w:val="single" w:sz="4" w:space="0" w:color="auto"/>
            </w:tcBorders>
            <w:textDirection w:val="btLr"/>
            <w:vAlign w:val="center"/>
          </w:tcPr>
          <w:p w14:paraId="7574E82E" w14:textId="77777777" w:rsidR="00336F99" w:rsidRPr="00EF2F5B" w:rsidRDefault="00336F99" w:rsidP="00F0093D">
            <w:pPr>
              <w:overflowPunct w:val="0"/>
              <w:autoSpaceDE w:val="0"/>
              <w:autoSpaceDN w:val="0"/>
              <w:adjustRightInd w:val="0"/>
              <w:spacing w:after="0" w:line="240" w:lineRule="auto"/>
              <w:ind w:left="113" w:right="113"/>
              <w:jc w:val="both"/>
              <w:textAlignment w:val="baseline"/>
              <w:rPr>
                <w:rFonts w:eastAsia="Times New Roman"/>
                <w:snapToGrid/>
                <w:color w:val="000000" w:themeColor="text1"/>
                <w:spacing w:val="0"/>
                <w:kern w:val="0"/>
                <w:sz w:val="20"/>
                <w:szCs w:val="20"/>
                <w:lang w:val="en-ZA" w:eastAsia="en-CA" w:bidi="ar-SA"/>
                <w14:ligatures w14:val="none"/>
              </w:rPr>
            </w:pPr>
            <w:r w:rsidRPr="00EF2F5B">
              <w:rPr>
                <w:rFonts w:eastAsia="Times New Roman"/>
                <w:snapToGrid/>
                <w:color w:val="000000" w:themeColor="text1"/>
                <w:spacing w:val="0"/>
                <w:kern w:val="0"/>
                <w:sz w:val="20"/>
                <w:szCs w:val="20"/>
                <w:lang w:bidi="ar-SA"/>
                <w14:ligatures w14:val="none"/>
              </w:rPr>
              <w:t>LZ1</w:t>
            </w:r>
          </w:p>
        </w:tc>
        <w:tc>
          <w:tcPr>
            <w:tcW w:w="780" w:type="dxa"/>
            <w:tcBorders>
              <w:top w:val="single" w:sz="4" w:space="0" w:color="auto"/>
              <w:left w:val="single" w:sz="4" w:space="0" w:color="auto"/>
              <w:bottom w:val="single" w:sz="4" w:space="0" w:color="auto"/>
              <w:right w:val="single" w:sz="4" w:space="0" w:color="auto"/>
            </w:tcBorders>
            <w:textDirection w:val="btLr"/>
            <w:vAlign w:val="center"/>
          </w:tcPr>
          <w:p w14:paraId="20FC353C" w14:textId="77777777" w:rsidR="00336F99" w:rsidRPr="00EF2F5B" w:rsidRDefault="00336F99" w:rsidP="00F0093D">
            <w:pPr>
              <w:overflowPunct w:val="0"/>
              <w:autoSpaceDE w:val="0"/>
              <w:autoSpaceDN w:val="0"/>
              <w:adjustRightInd w:val="0"/>
              <w:spacing w:after="0" w:line="240" w:lineRule="auto"/>
              <w:ind w:left="113" w:right="113"/>
              <w:jc w:val="both"/>
              <w:textAlignment w:val="baseline"/>
              <w:rPr>
                <w:rFonts w:eastAsia="Times New Roman"/>
                <w:snapToGrid/>
                <w:color w:val="000000" w:themeColor="text1"/>
                <w:spacing w:val="0"/>
                <w:kern w:val="0"/>
                <w:sz w:val="20"/>
                <w:szCs w:val="20"/>
                <w:lang w:val="en-ZA" w:eastAsia="en-CA" w:bidi="ar-SA"/>
                <w14:ligatures w14:val="none"/>
              </w:rPr>
            </w:pPr>
            <w:r w:rsidRPr="00EF2F5B">
              <w:rPr>
                <w:rFonts w:eastAsia="Times New Roman"/>
                <w:snapToGrid/>
                <w:color w:val="000000" w:themeColor="text1"/>
                <w:spacing w:val="0"/>
                <w:kern w:val="0"/>
                <w:sz w:val="20"/>
                <w:szCs w:val="20"/>
                <w:lang w:bidi="ar-SA"/>
                <w14:ligatures w14:val="none"/>
              </w:rPr>
              <w:t>LZ2</w:t>
            </w:r>
          </w:p>
        </w:tc>
        <w:tc>
          <w:tcPr>
            <w:tcW w:w="780" w:type="dxa"/>
            <w:tcBorders>
              <w:top w:val="single" w:sz="4" w:space="0" w:color="auto"/>
              <w:left w:val="single" w:sz="4" w:space="0" w:color="auto"/>
              <w:bottom w:val="single" w:sz="4" w:space="0" w:color="auto"/>
              <w:right w:val="single" w:sz="4" w:space="0" w:color="auto"/>
            </w:tcBorders>
            <w:textDirection w:val="btLr"/>
            <w:vAlign w:val="center"/>
          </w:tcPr>
          <w:p w14:paraId="0692F07A" w14:textId="77777777" w:rsidR="00336F99" w:rsidRPr="00EF2F5B" w:rsidRDefault="00336F99" w:rsidP="00F0093D">
            <w:pPr>
              <w:overflowPunct w:val="0"/>
              <w:autoSpaceDE w:val="0"/>
              <w:autoSpaceDN w:val="0"/>
              <w:adjustRightInd w:val="0"/>
              <w:spacing w:after="0" w:line="240" w:lineRule="auto"/>
              <w:ind w:left="113" w:right="113"/>
              <w:jc w:val="both"/>
              <w:textAlignment w:val="baseline"/>
              <w:rPr>
                <w:rFonts w:eastAsia="Times New Roman"/>
                <w:snapToGrid/>
                <w:color w:val="000000" w:themeColor="text1"/>
                <w:spacing w:val="0"/>
                <w:kern w:val="0"/>
                <w:sz w:val="20"/>
                <w:szCs w:val="20"/>
                <w:lang w:val="en-ZA" w:eastAsia="en-CA" w:bidi="ar-SA"/>
                <w14:ligatures w14:val="none"/>
              </w:rPr>
            </w:pPr>
            <w:r w:rsidRPr="00EF2F5B">
              <w:rPr>
                <w:rFonts w:eastAsia="Times New Roman"/>
                <w:snapToGrid/>
                <w:color w:val="000000" w:themeColor="text1"/>
                <w:spacing w:val="0"/>
                <w:kern w:val="0"/>
                <w:sz w:val="20"/>
                <w:szCs w:val="20"/>
                <w:lang w:bidi="ar-SA"/>
                <w14:ligatures w14:val="none"/>
              </w:rPr>
              <w:t>LZ3</w:t>
            </w:r>
          </w:p>
        </w:tc>
        <w:tc>
          <w:tcPr>
            <w:tcW w:w="780" w:type="dxa"/>
            <w:tcBorders>
              <w:top w:val="single" w:sz="4" w:space="0" w:color="auto"/>
              <w:left w:val="single" w:sz="4" w:space="0" w:color="auto"/>
              <w:bottom w:val="single" w:sz="4" w:space="0" w:color="auto"/>
              <w:right w:val="single" w:sz="4" w:space="0" w:color="auto"/>
            </w:tcBorders>
            <w:textDirection w:val="btLr"/>
            <w:vAlign w:val="center"/>
          </w:tcPr>
          <w:p w14:paraId="4E203C34" w14:textId="77777777" w:rsidR="00336F99" w:rsidRPr="00EF2F5B" w:rsidRDefault="00336F99" w:rsidP="00F0093D">
            <w:pPr>
              <w:overflowPunct w:val="0"/>
              <w:autoSpaceDE w:val="0"/>
              <w:autoSpaceDN w:val="0"/>
              <w:adjustRightInd w:val="0"/>
              <w:spacing w:after="0" w:line="240" w:lineRule="auto"/>
              <w:ind w:left="113" w:right="113"/>
              <w:jc w:val="both"/>
              <w:textAlignment w:val="baseline"/>
              <w:rPr>
                <w:rFonts w:eastAsia="Times New Roman"/>
                <w:snapToGrid/>
                <w:color w:val="000000" w:themeColor="text1"/>
                <w:spacing w:val="0"/>
                <w:kern w:val="0"/>
                <w:sz w:val="20"/>
                <w:szCs w:val="20"/>
                <w:lang w:val="en-ZA" w:eastAsia="en-CA" w:bidi="ar-SA"/>
                <w14:ligatures w14:val="none"/>
              </w:rPr>
            </w:pPr>
            <w:r w:rsidRPr="00EF2F5B">
              <w:rPr>
                <w:rFonts w:eastAsia="Times New Roman"/>
                <w:snapToGrid/>
                <w:color w:val="000000" w:themeColor="text1"/>
                <w:spacing w:val="0"/>
                <w:kern w:val="0"/>
                <w:sz w:val="20"/>
                <w:szCs w:val="20"/>
                <w:lang w:bidi="ar-SA"/>
                <w14:ligatures w14:val="none"/>
              </w:rPr>
              <w:t>LZ4</w:t>
            </w:r>
          </w:p>
        </w:tc>
      </w:tr>
      <w:tr w:rsidR="00EF2F5B" w:rsidRPr="00EF2F5B" w14:paraId="013676CF" w14:textId="77777777" w:rsidTr="006617F6">
        <w:trPr>
          <w:trHeight w:val="571"/>
          <w:jc w:val="center"/>
        </w:trPr>
        <w:tc>
          <w:tcPr>
            <w:tcW w:w="853" w:type="dxa"/>
            <w:tcBorders>
              <w:top w:val="single" w:sz="4" w:space="0" w:color="auto"/>
              <w:left w:val="single" w:sz="4" w:space="0" w:color="auto"/>
              <w:bottom w:val="single" w:sz="4" w:space="0" w:color="auto"/>
              <w:right w:val="single" w:sz="4" w:space="0" w:color="auto"/>
            </w:tcBorders>
            <w:vAlign w:val="center"/>
          </w:tcPr>
          <w:p w14:paraId="6CDD2219" w14:textId="76E28792" w:rsidR="00336F99" w:rsidRPr="00EF2F5B" w:rsidRDefault="00BE7AD1" w:rsidP="00F0093D">
            <w:pPr>
              <w:spacing w:after="0" w:line="240" w:lineRule="auto"/>
              <w:jc w:val="center"/>
              <w:rPr>
                <w:snapToGrid/>
                <w:color w:val="000000" w:themeColor="text1"/>
                <w:spacing w:val="0"/>
                <w:kern w:val="0"/>
                <w:sz w:val="20"/>
                <w:szCs w:val="20"/>
                <w:lang w:val="en-ZA" w:bidi="ar-SA"/>
                <w14:ligatures w14:val="none"/>
              </w:rPr>
            </w:pPr>
            <w:r w:rsidRPr="00EF2F5B">
              <w:rPr>
                <w:snapToGrid/>
                <w:color w:val="000000" w:themeColor="text1"/>
                <w:spacing w:val="0"/>
                <w:kern w:val="0"/>
                <w:sz w:val="20"/>
                <w:szCs w:val="20"/>
                <w:lang w:val="en-ZA" w:bidi="ar-SA"/>
                <w14:ligatures w14:val="none"/>
              </w:rPr>
              <w:t>13</w:t>
            </w:r>
            <w:r w:rsidR="00336F99" w:rsidRPr="00EF2F5B">
              <w:rPr>
                <w:snapToGrid/>
                <w:color w:val="000000" w:themeColor="text1"/>
                <w:spacing w:val="0"/>
                <w:kern w:val="0"/>
                <w:sz w:val="20"/>
                <w:szCs w:val="20"/>
                <w:lang w:val="en-ZA" w:bidi="ar-SA"/>
                <w14:ligatures w14:val="none"/>
              </w:rPr>
              <w:t>a</w:t>
            </w:r>
          </w:p>
        </w:tc>
        <w:tc>
          <w:tcPr>
            <w:tcW w:w="2693" w:type="dxa"/>
            <w:tcBorders>
              <w:top w:val="single" w:sz="4" w:space="0" w:color="auto"/>
              <w:left w:val="single" w:sz="4" w:space="0" w:color="auto"/>
              <w:bottom w:val="single" w:sz="4" w:space="0" w:color="auto"/>
              <w:right w:val="single" w:sz="4" w:space="0" w:color="auto"/>
            </w:tcBorders>
            <w:vAlign w:val="center"/>
          </w:tcPr>
          <w:p w14:paraId="7A7212FD" w14:textId="77777777" w:rsidR="00336F99" w:rsidRPr="00EF2F5B" w:rsidRDefault="00336F9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“Transport Association of Canada” (TAC, 2016)</w:t>
            </w:r>
          </w:p>
        </w:tc>
        <w:tc>
          <w:tcPr>
            <w:tcW w:w="923" w:type="dxa"/>
            <w:tcBorders>
              <w:top w:val="single" w:sz="4" w:space="0" w:color="auto"/>
              <w:left w:val="single" w:sz="4" w:space="0" w:color="auto"/>
              <w:bottom w:val="single" w:sz="4" w:space="0" w:color="auto"/>
              <w:right w:val="single" w:sz="4" w:space="0" w:color="auto"/>
            </w:tcBorders>
            <w:vAlign w:val="center"/>
          </w:tcPr>
          <w:p w14:paraId="054F6222" w14:textId="77777777" w:rsidR="00336F99" w:rsidRPr="00EF2F5B" w:rsidRDefault="00336F99" w:rsidP="00F0093D">
            <w:pPr>
              <w:spacing w:after="0" w:line="240" w:lineRule="auto"/>
              <w:jc w:val="center"/>
              <w:rPr>
                <w:snapToGrid/>
                <w:color w:val="000000" w:themeColor="text1"/>
                <w:spacing w:val="0"/>
                <w:kern w:val="0"/>
                <w:sz w:val="20"/>
                <w:szCs w:val="20"/>
                <w:lang w:val="en-ZA" w:bidi="ar-SA"/>
                <w14:ligatures w14:val="none"/>
              </w:rPr>
            </w:pPr>
            <w:r w:rsidRPr="00EF2F5B">
              <w:rPr>
                <w:snapToGrid/>
                <w:color w:val="000000" w:themeColor="text1"/>
                <w:spacing w:val="0"/>
                <w:kern w:val="0"/>
                <w:sz w:val="20"/>
                <w:szCs w:val="20"/>
                <w:lang w:val="en-ZA" w:bidi="ar-SA"/>
                <w14:ligatures w14:val="none"/>
              </w:rPr>
              <w:t>NO</w:t>
            </w:r>
          </w:p>
        </w:tc>
        <w:tc>
          <w:tcPr>
            <w:tcW w:w="923" w:type="dxa"/>
            <w:tcBorders>
              <w:top w:val="single" w:sz="4" w:space="0" w:color="auto"/>
              <w:left w:val="single" w:sz="4" w:space="0" w:color="auto"/>
              <w:bottom w:val="single" w:sz="4" w:space="0" w:color="auto"/>
              <w:right w:val="single" w:sz="4" w:space="0" w:color="auto"/>
            </w:tcBorders>
            <w:vAlign w:val="center"/>
          </w:tcPr>
          <w:p w14:paraId="51746D52" w14:textId="77777777" w:rsidR="00336F99" w:rsidRPr="00EF2F5B" w:rsidRDefault="00336F99" w:rsidP="00F0093D">
            <w:pPr>
              <w:spacing w:after="0" w:line="240" w:lineRule="auto"/>
              <w:jc w:val="center"/>
              <w:rPr>
                <w:snapToGrid/>
                <w:color w:val="000000" w:themeColor="text1"/>
                <w:spacing w:val="0"/>
                <w:kern w:val="0"/>
                <w:sz w:val="20"/>
                <w:szCs w:val="20"/>
                <w:lang w:val="en-ZA" w:bidi="ar-SA"/>
                <w14:ligatures w14:val="none"/>
              </w:rPr>
            </w:pPr>
            <w:r w:rsidRPr="00EF2F5B">
              <w:rPr>
                <w:snapToGrid/>
                <w:color w:val="000000" w:themeColor="text1"/>
                <w:spacing w:val="0"/>
                <w:kern w:val="0"/>
                <w:sz w:val="20"/>
                <w:szCs w:val="20"/>
                <w:lang w:val="en-ZA" w:bidi="ar-SA"/>
                <w14:ligatures w14:val="none"/>
              </w:rPr>
              <w:t>YES</w:t>
            </w:r>
          </w:p>
        </w:tc>
        <w:tc>
          <w:tcPr>
            <w:tcW w:w="779" w:type="dxa"/>
            <w:tcBorders>
              <w:top w:val="single" w:sz="4" w:space="0" w:color="auto"/>
              <w:left w:val="single" w:sz="4" w:space="0" w:color="auto"/>
              <w:bottom w:val="single" w:sz="4" w:space="0" w:color="auto"/>
              <w:right w:val="single" w:sz="4" w:space="0" w:color="auto"/>
            </w:tcBorders>
            <w:vAlign w:val="center"/>
          </w:tcPr>
          <w:p w14:paraId="7A92BAC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w:t>
            </w:r>
          </w:p>
        </w:tc>
        <w:tc>
          <w:tcPr>
            <w:tcW w:w="780" w:type="dxa"/>
            <w:tcBorders>
              <w:top w:val="single" w:sz="4" w:space="0" w:color="auto"/>
              <w:left w:val="single" w:sz="4" w:space="0" w:color="auto"/>
              <w:bottom w:val="single" w:sz="4" w:space="0" w:color="auto"/>
              <w:right w:val="single" w:sz="4" w:space="0" w:color="auto"/>
            </w:tcBorders>
            <w:vAlign w:val="center"/>
          </w:tcPr>
          <w:p w14:paraId="6A13616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3</w:t>
            </w:r>
          </w:p>
        </w:tc>
        <w:tc>
          <w:tcPr>
            <w:tcW w:w="780" w:type="dxa"/>
            <w:tcBorders>
              <w:top w:val="single" w:sz="4" w:space="0" w:color="auto"/>
              <w:left w:val="single" w:sz="4" w:space="0" w:color="auto"/>
              <w:bottom w:val="single" w:sz="4" w:space="0" w:color="auto"/>
              <w:right w:val="single" w:sz="4" w:space="0" w:color="auto"/>
            </w:tcBorders>
            <w:vAlign w:val="center"/>
          </w:tcPr>
          <w:p w14:paraId="048C2D19"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8</w:t>
            </w:r>
          </w:p>
        </w:tc>
        <w:tc>
          <w:tcPr>
            <w:tcW w:w="780" w:type="dxa"/>
            <w:tcBorders>
              <w:top w:val="single" w:sz="4" w:space="0" w:color="auto"/>
              <w:left w:val="single" w:sz="4" w:space="0" w:color="auto"/>
              <w:bottom w:val="single" w:sz="4" w:space="0" w:color="auto"/>
              <w:right w:val="single" w:sz="4" w:space="0" w:color="auto"/>
            </w:tcBorders>
            <w:vAlign w:val="center"/>
          </w:tcPr>
          <w:p w14:paraId="10AABD8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15</w:t>
            </w:r>
          </w:p>
        </w:tc>
      </w:tr>
      <w:tr w:rsidR="00EF2F5B" w:rsidRPr="00EF2F5B" w14:paraId="54022CB5" w14:textId="77777777" w:rsidTr="006617F6">
        <w:trPr>
          <w:trHeight w:val="981"/>
          <w:jc w:val="center"/>
        </w:trPr>
        <w:tc>
          <w:tcPr>
            <w:tcW w:w="853" w:type="dxa"/>
            <w:tcBorders>
              <w:top w:val="single" w:sz="4" w:space="0" w:color="auto"/>
              <w:left w:val="single" w:sz="4" w:space="0" w:color="auto"/>
              <w:bottom w:val="single" w:sz="4" w:space="0" w:color="auto"/>
              <w:right w:val="single" w:sz="4" w:space="0" w:color="auto"/>
            </w:tcBorders>
            <w:vAlign w:val="center"/>
          </w:tcPr>
          <w:p w14:paraId="21789999" w14:textId="7E263688" w:rsidR="00336F99" w:rsidRPr="00EF2F5B" w:rsidRDefault="00BE7AD1"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13</w:t>
            </w:r>
            <w:r w:rsidR="00336F99" w:rsidRPr="00EF2F5B">
              <w:rPr>
                <w:rFonts w:eastAsia="Times New Roman"/>
                <w:snapToGrid/>
                <w:color w:val="000000" w:themeColor="text1"/>
                <w:spacing w:val="0"/>
                <w:kern w:val="0"/>
                <w:sz w:val="20"/>
                <w:szCs w:val="20"/>
                <w:lang w:bidi="ar-SA"/>
                <w14:ligatures w14:val="none"/>
              </w:rPr>
              <w:t>b</w:t>
            </w:r>
          </w:p>
        </w:tc>
        <w:tc>
          <w:tcPr>
            <w:tcW w:w="2693" w:type="dxa"/>
            <w:tcBorders>
              <w:top w:val="single" w:sz="4" w:space="0" w:color="auto"/>
              <w:left w:val="single" w:sz="4" w:space="0" w:color="auto"/>
              <w:bottom w:val="single" w:sz="4" w:space="0" w:color="auto"/>
              <w:right w:val="single" w:sz="4" w:space="0" w:color="auto"/>
            </w:tcBorders>
            <w:vAlign w:val="center"/>
          </w:tcPr>
          <w:p w14:paraId="2AA9577B" w14:textId="469D56CD" w:rsidR="00336F99" w:rsidRPr="00EF2F5B" w:rsidRDefault="00336F9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 xml:space="preserve">“IES” </w:t>
            </w:r>
            <w:r w:rsidR="0008305D" w:rsidRPr="00EF2F5B">
              <w:rPr>
                <w:rFonts w:eastAsia="Times New Roman"/>
                <w:snapToGrid/>
                <w:color w:val="000000" w:themeColor="text1"/>
                <w:spacing w:val="0"/>
                <w:kern w:val="0"/>
                <w:sz w:val="20"/>
                <w:szCs w:val="20"/>
                <w:lang w:bidi="ar-SA"/>
                <w14:ligatures w14:val="none"/>
              </w:rPr>
              <w:t>(ANSI/IES RP-8, 2025)</w:t>
            </w:r>
          </w:p>
        </w:tc>
        <w:tc>
          <w:tcPr>
            <w:tcW w:w="923" w:type="dxa"/>
            <w:tcBorders>
              <w:top w:val="single" w:sz="4" w:space="0" w:color="auto"/>
              <w:left w:val="single" w:sz="4" w:space="0" w:color="auto"/>
              <w:bottom w:val="single" w:sz="4" w:space="0" w:color="auto"/>
              <w:right w:val="single" w:sz="4" w:space="0" w:color="auto"/>
            </w:tcBorders>
            <w:vAlign w:val="center"/>
          </w:tcPr>
          <w:p w14:paraId="3D8DC0F2" w14:textId="77777777" w:rsidR="00336F99" w:rsidRPr="00EF2F5B" w:rsidRDefault="00336F99" w:rsidP="00F0093D">
            <w:pPr>
              <w:spacing w:after="0" w:line="240" w:lineRule="auto"/>
              <w:jc w:val="center"/>
              <w:rPr>
                <w:snapToGrid/>
                <w:color w:val="000000" w:themeColor="text1"/>
                <w:spacing w:val="0"/>
                <w:kern w:val="0"/>
                <w:sz w:val="20"/>
                <w:szCs w:val="20"/>
                <w:lang w:val="en-ZA" w:bidi="ar-SA"/>
                <w14:ligatures w14:val="none"/>
              </w:rPr>
            </w:pPr>
            <w:r w:rsidRPr="00EF2F5B">
              <w:rPr>
                <w:snapToGrid/>
                <w:color w:val="000000" w:themeColor="text1"/>
                <w:spacing w:val="0"/>
                <w:kern w:val="0"/>
                <w:sz w:val="20"/>
                <w:szCs w:val="20"/>
                <w:lang w:val="en-ZA" w:bidi="ar-SA"/>
                <w14:ligatures w14:val="none"/>
              </w:rPr>
              <w:t>NO</w:t>
            </w:r>
          </w:p>
        </w:tc>
        <w:tc>
          <w:tcPr>
            <w:tcW w:w="923" w:type="dxa"/>
            <w:tcBorders>
              <w:top w:val="single" w:sz="4" w:space="0" w:color="auto"/>
              <w:left w:val="single" w:sz="4" w:space="0" w:color="auto"/>
              <w:bottom w:val="single" w:sz="4" w:space="0" w:color="auto"/>
              <w:right w:val="single" w:sz="4" w:space="0" w:color="auto"/>
            </w:tcBorders>
            <w:vAlign w:val="center"/>
          </w:tcPr>
          <w:p w14:paraId="022FC90A" w14:textId="77777777" w:rsidR="00336F99" w:rsidRPr="00EF2F5B" w:rsidRDefault="00336F99" w:rsidP="00F0093D">
            <w:pPr>
              <w:spacing w:after="0" w:line="240" w:lineRule="auto"/>
              <w:jc w:val="center"/>
              <w:rPr>
                <w:snapToGrid/>
                <w:color w:val="000000" w:themeColor="text1"/>
                <w:spacing w:val="0"/>
                <w:kern w:val="0"/>
                <w:sz w:val="20"/>
                <w:szCs w:val="20"/>
                <w:lang w:val="en-ZA" w:bidi="ar-SA"/>
                <w14:ligatures w14:val="none"/>
              </w:rPr>
            </w:pPr>
            <w:r w:rsidRPr="00EF2F5B">
              <w:rPr>
                <w:snapToGrid/>
                <w:color w:val="000000" w:themeColor="text1"/>
                <w:spacing w:val="0"/>
                <w:kern w:val="0"/>
                <w:sz w:val="20"/>
                <w:szCs w:val="20"/>
                <w:lang w:val="en-ZA" w:bidi="ar-SA"/>
                <w14:ligatures w14:val="none"/>
              </w:rPr>
              <w:t>YES</w:t>
            </w:r>
          </w:p>
        </w:tc>
        <w:tc>
          <w:tcPr>
            <w:tcW w:w="779" w:type="dxa"/>
            <w:tcBorders>
              <w:top w:val="single" w:sz="4" w:space="0" w:color="auto"/>
              <w:left w:val="single" w:sz="4" w:space="0" w:color="auto"/>
              <w:bottom w:val="single" w:sz="4" w:space="0" w:color="auto"/>
              <w:right w:val="single" w:sz="4" w:space="0" w:color="auto"/>
            </w:tcBorders>
            <w:vAlign w:val="center"/>
          </w:tcPr>
          <w:p w14:paraId="7E403A94"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w:t>
            </w:r>
          </w:p>
        </w:tc>
        <w:tc>
          <w:tcPr>
            <w:tcW w:w="780" w:type="dxa"/>
            <w:tcBorders>
              <w:top w:val="single" w:sz="4" w:space="0" w:color="auto"/>
              <w:left w:val="single" w:sz="4" w:space="0" w:color="auto"/>
              <w:bottom w:val="single" w:sz="4" w:space="0" w:color="auto"/>
              <w:right w:val="single" w:sz="4" w:space="0" w:color="auto"/>
            </w:tcBorders>
            <w:vAlign w:val="center"/>
          </w:tcPr>
          <w:p w14:paraId="0114379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3</w:t>
            </w:r>
          </w:p>
        </w:tc>
        <w:tc>
          <w:tcPr>
            <w:tcW w:w="780" w:type="dxa"/>
            <w:tcBorders>
              <w:top w:val="single" w:sz="4" w:space="0" w:color="auto"/>
              <w:left w:val="single" w:sz="4" w:space="0" w:color="auto"/>
              <w:bottom w:val="single" w:sz="4" w:space="0" w:color="auto"/>
              <w:right w:val="single" w:sz="4" w:space="0" w:color="auto"/>
            </w:tcBorders>
            <w:vAlign w:val="center"/>
          </w:tcPr>
          <w:p w14:paraId="7FA5044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8</w:t>
            </w:r>
          </w:p>
        </w:tc>
        <w:tc>
          <w:tcPr>
            <w:tcW w:w="780" w:type="dxa"/>
            <w:tcBorders>
              <w:top w:val="single" w:sz="4" w:space="0" w:color="auto"/>
              <w:left w:val="single" w:sz="4" w:space="0" w:color="auto"/>
              <w:bottom w:val="single" w:sz="4" w:space="0" w:color="auto"/>
              <w:right w:val="single" w:sz="4" w:space="0" w:color="auto"/>
            </w:tcBorders>
            <w:vAlign w:val="center"/>
          </w:tcPr>
          <w:p w14:paraId="78A10322"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15</w:t>
            </w:r>
          </w:p>
        </w:tc>
      </w:tr>
      <w:tr w:rsidR="00EF2F5B" w:rsidRPr="00EF2F5B" w14:paraId="2604177C" w14:textId="77777777" w:rsidTr="006617F6">
        <w:trPr>
          <w:trHeight w:val="335"/>
          <w:jc w:val="center"/>
        </w:trPr>
        <w:tc>
          <w:tcPr>
            <w:tcW w:w="853" w:type="dxa"/>
            <w:tcBorders>
              <w:top w:val="single" w:sz="4" w:space="0" w:color="auto"/>
              <w:left w:val="single" w:sz="4" w:space="0" w:color="auto"/>
              <w:bottom w:val="single" w:sz="4" w:space="0" w:color="auto"/>
              <w:right w:val="single" w:sz="4" w:space="0" w:color="auto"/>
            </w:tcBorders>
            <w:vAlign w:val="center"/>
          </w:tcPr>
          <w:p w14:paraId="7279F13F" w14:textId="1CD66846" w:rsidR="00336F99" w:rsidRPr="00EF2F5B" w:rsidRDefault="00A9047A"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cs/>
                <w:lang w:bidi="ar-SA"/>
                <w14:ligatures w14:val="none"/>
              </w:rPr>
            </w:pPr>
            <w:r w:rsidRPr="00EF2F5B">
              <w:rPr>
                <w:rFonts w:eastAsia="Times New Roman"/>
                <w:snapToGrid/>
                <w:color w:val="000000" w:themeColor="text1"/>
                <w:spacing w:val="0"/>
                <w:kern w:val="0"/>
                <w:sz w:val="20"/>
                <w:szCs w:val="20"/>
                <w:lang w:bidi="ar-SA"/>
                <w14:ligatures w14:val="none"/>
              </w:rPr>
              <w:lastRenderedPageBreak/>
              <w:t>1</w:t>
            </w:r>
            <w:r w:rsidR="00336F99" w:rsidRPr="00EF2F5B">
              <w:rPr>
                <w:rFonts w:eastAsia="Times New Roman"/>
                <w:snapToGrid/>
                <w:color w:val="000000" w:themeColor="text1"/>
                <w:spacing w:val="0"/>
                <w:kern w:val="0"/>
                <w:sz w:val="20"/>
                <w:szCs w:val="20"/>
                <w:lang w:bidi="ar-SA"/>
                <w14:ligatures w14:val="none"/>
              </w:rPr>
              <w:t>3c</w:t>
            </w:r>
          </w:p>
        </w:tc>
        <w:tc>
          <w:tcPr>
            <w:tcW w:w="2693" w:type="dxa"/>
            <w:tcBorders>
              <w:top w:val="single" w:sz="4" w:space="0" w:color="auto"/>
              <w:left w:val="single" w:sz="4" w:space="0" w:color="auto"/>
              <w:bottom w:val="single" w:sz="4" w:space="0" w:color="auto"/>
              <w:right w:val="single" w:sz="4" w:space="0" w:color="auto"/>
            </w:tcBorders>
            <w:vAlign w:val="center"/>
          </w:tcPr>
          <w:p w14:paraId="4B28E164" w14:textId="77777777" w:rsidR="00336F99" w:rsidRPr="00EF2F5B" w:rsidRDefault="00336F9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val="fr-FR" w:bidi="ar-SA"/>
                <w14:ligatures w14:val="none"/>
              </w:rPr>
            </w:pPr>
            <w:r w:rsidRPr="00EF2F5B">
              <w:rPr>
                <w:rFonts w:eastAsia="Times New Roman"/>
                <w:snapToGrid/>
                <w:color w:val="000000" w:themeColor="text1"/>
                <w:spacing w:val="0"/>
                <w:kern w:val="0"/>
                <w:sz w:val="20"/>
                <w:szCs w:val="20"/>
                <w:lang w:val="fr-FR" w:bidi="ar-SA"/>
                <w14:ligatures w14:val="none"/>
              </w:rPr>
              <w:t>“CIE” (CIE-150, 2017), Europe</w:t>
            </w:r>
          </w:p>
        </w:tc>
        <w:tc>
          <w:tcPr>
            <w:tcW w:w="923" w:type="dxa"/>
            <w:tcBorders>
              <w:top w:val="single" w:sz="4" w:space="0" w:color="auto"/>
              <w:left w:val="single" w:sz="4" w:space="0" w:color="auto"/>
              <w:bottom w:val="single" w:sz="4" w:space="0" w:color="auto"/>
              <w:right w:val="single" w:sz="4" w:space="0" w:color="auto"/>
            </w:tcBorders>
            <w:vAlign w:val="center"/>
          </w:tcPr>
          <w:p w14:paraId="7A5B9B8E" w14:textId="091E17D8" w:rsidR="00336F99" w:rsidRPr="00EF2F5B" w:rsidRDefault="00336F99" w:rsidP="00F0093D">
            <w:pPr>
              <w:spacing w:after="0" w:line="240" w:lineRule="auto"/>
              <w:jc w:val="center"/>
              <w:rPr>
                <w:snapToGrid/>
                <w:color w:val="000000" w:themeColor="text1"/>
                <w:spacing w:val="0"/>
                <w:kern w:val="0"/>
                <w:sz w:val="20"/>
                <w:szCs w:val="20"/>
                <w:lang w:val="en-ZA" w:bidi="ar-SA"/>
                <w14:ligatures w14:val="none"/>
              </w:rPr>
            </w:pPr>
            <w:r w:rsidRPr="00EF2F5B">
              <w:rPr>
                <w:snapToGrid/>
                <w:color w:val="000000" w:themeColor="text1"/>
                <w:spacing w:val="0"/>
                <w:kern w:val="0"/>
                <w:sz w:val="20"/>
                <w:szCs w:val="20"/>
                <w:lang w:val="en-ZA" w:bidi="ar-SA"/>
                <w14:ligatures w14:val="none"/>
              </w:rPr>
              <w:t xml:space="preserve">YES </w:t>
            </w:r>
          </w:p>
        </w:tc>
        <w:tc>
          <w:tcPr>
            <w:tcW w:w="923" w:type="dxa"/>
            <w:tcBorders>
              <w:top w:val="single" w:sz="4" w:space="0" w:color="auto"/>
              <w:left w:val="single" w:sz="4" w:space="0" w:color="auto"/>
              <w:bottom w:val="single" w:sz="4" w:space="0" w:color="auto"/>
              <w:right w:val="single" w:sz="4" w:space="0" w:color="auto"/>
            </w:tcBorders>
            <w:vAlign w:val="center"/>
          </w:tcPr>
          <w:p w14:paraId="276B9BCF" w14:textId="77777777" w:rsidR="00336F99" w:rsidRPr="00EF2F5B" w:rsidRDefault="00336F99" w:rsidP="00F0093D">
            <w:pPr>
              <w:spacing w:after="0" w:line="240" w:lineRule="auto"/>
              <w:jc w:val="center"/>
              <w:rPr>
                <w:snapToGrid/>
                <w:color w:val="000000" w:themeColor="text1"/>
                <w:spacing w:val="0"/>
                <w:kern w:val="0"/>
                <w:sz w:val="20"/>
                <w:szCs w:val="20"/>
                <w:lang w:val="en-ZA" w:bidi="ar-SA"/>
                <w14:ligatures w14:val="none"/>
              </w:rPr>
            </w:pPr>
            <w:r w:rsidRPr="00EF2F5B">
              <w:rPr>
                <w:snapToGrid/>
                <w:color w:val="000000" w:themeColor="text1"/>
                <w:spacing w:val="0"/>
                <w:kern w:val="0"/>
                <w:sz w:val="20"/>
                <w:szCs w:val="20"/>
                <w:lang w:val="en-ZA" w:bidi="ar-SA"/>
                <w14:ligatures w14:val="none"/>
              </w:rPr>
              <w:t>YES</w:t>
            </w:r>
          </w:p>
        </w:tc>
        <w:tc>
          <w:tcPr>
            <w:tcW w:w="779" w:type="dxa"/>
            <w:tcBorders>
              <w:top w:val="single" w:sz="4" w:space="0" w:color="auto"/>
              <w:left w:val="single" w:sz="4" w:space="0" w:color="auto"/>
              <w:bottom w:val="single" w:sz="4" w:space="0" w:color="auto"/>
              <w:right w:val="single" w:sz="4" w:space="0" w:color="auto"/>
            </w:tcBorders>
            <w:vAlign w:val="center"/>
          </w:tcPr>
          <w:p w14:paraId="66452C8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2</w:t>
            </w:r>
          </w:p>
        </w:tc>
        <w:tc>
          <w:tcPr>
            <w:tcW w:w="780" w:type="dxa"/>
            <w:tcBorders>
              <w:top w:val="single" w:sz="4" w:space="0" w:color="auto"/>
              <w:left w:val="single" w:sz="4" w:space="0" w:color="auto"/>
              <w:bottom w:val="single" w:sz="4" w:space="0" w:color="auto"/>
              <w:right w:val="single" w:sz="4" w:space="0" w:color="auto"/>
            </w:tcBorders>
            <w:vAlign w:val="center"/>
          </w:tcPr>
          <w:p w14:paraId="06CA89E5"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5</w:t>
            </w:r>
          </w:p>
        </w:tc>
        <w:tc>
          <w:tcPr>
            <w:tcW w:w="780" w:type="dxa"/>
            <w:tcBorders>
              <w:top w:val="single" w:sz="4" w:space="0" w:color="auto"/>
              <w:left w:val="single" w:sz="4" w:space="0" w:color="auto"/>
              <w:bottom w:val="single" w:sz="4" w:space="0" w:color="auto"/>
              <w:right w:val="single" w:sz="4" w:space="0" w:color="auto"/>
            </w:tcBorders>
            <w:vAlign w:val="center"/>
          </w:tcPr>
          <w:p w14:paraId="2318CEEA"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10</w:t>
            </w:r>
          </w:p>
        </w:tc>
        <w:tc>
          <w:tcPr>
            <w:tcW w:w="780" w:type="dxa"/>
            <w:tcBorders>
              <w:top w:val="single" w:sz="4" w:space="0" w:color="auto"/>
              <w:left w:val="single" w:sz="4" w:space="0" w:color="auto"/>
              <w:bottom w:val="single" w:sz="4" w:space="0" w:color="auto"/>
              <w:right w:val="single" w:sz="4" w:space="0" w:color="auto"/>
            </w:tcBorders>
            <w:vAlign w:val="center"/>
          </w:tcPr>
          <w:p w14:paraId="09C6ADB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25</w:t>
            </w:r>
          </w:p>
        </w:tc>
      </w:tr>
      <w:tr w:rsidR="00EF2F5B" w:rsidRPr="00EF2F5B" w14:paraId="228156AF" w14:textId="77777777" w:rsidTr="006617F6">
        <w:trPr>
          <w:trHeight w:val="284"/>
          <w:jc w:val="center"/>
        </w:trPr>
        <w:tc>
          <w:tcPr>
            <w:tcW w:w="853" w:type="dxa"/>
            <w:tcBorders>
              <w:top w:val="single" w:sz="4" w:space="0" w:color="auto"/>
              <w:left w:val="single" w:sz="4" w:space="0" w:color="auto"/>
              <w:bottom w:val="single" w:sz="4" w:space="0" w:color="auto"/>
              <w:right w:val="single" w:sz="4" w:space="0" w:color="auto"/>
            </w:tcBorders>
            <w:vAlign w:val="center"/>
          </w:tcPr>
          <w:p w14:paraId="0605B223" w14:textId="247AF998" w:rsidR="00336F99" w:rsidRPr="00EF2F5B" w:rsidRDefault="00A9047A"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cs/>
                <w:lang w:bidi="ar-SA"/>
                <w14:ligatures w14:val="none"/>
              </w:rPr>
            </w:pPr>
            <w:r w:rsidRPr="00EF2F5B">
              <w:rPr>
                <w:rFonts w:eastAsia="Times New Roman"/>
                <w:snapToGrid/>
                <w:color w:val="000000" w:themeColor="text1"/>
                <w:spacing w:val="0"/>
                <w:kern w:val="0"/>
                <w:sz w:val="20"/>
                <w:szCs w:val="20"/>
                <w:lang w:bidi="ar-SA"/>
                <w14:ligatures w14:val="none"/>
              </w:rPr>
              <w:t>1</w:t>
            </w:r>
            <w:r w:rsidR="00336F99" w:rsidRPr="00EF2F5B">
              <w:rPr>
                <w:rFonts w:eastAsia="Times New Roman"/>
                <w:snapToGrid/>
                <w:color w:val="000000" w:themeColor="text1"/>
                <w:spacing w:val="0"/>
                <w:kern w:val="0"/>
                <w:sz w:val="20"/>
                <w:szCs w:val="20"/>
                <w:lang w:bidi="ar-SA"/>
                <w14:ligatures w14:val="none"/>
              </w:rPr>
              <w:t>3</w:t>
            </w:r>
            <w:r w:rsidRPr="00EF2F5B">
              <w:rPr>
                <w:rFonts w:eastAsia="Times New Roman"/>
                <w:snapToGrid/>
                <w:color w:val="000000" w:themeColor="text1"/>
                <w:spacing w:val="0"/>
                <w:kern w:val="0"/>
                <w:sz w:val="20"/>
                <w:szCs w:val="20"/>
                <w:lang w:bidi="ar-SA"/>
                <w14:ligatures w14:val="none"/>
              </w:rPr>
              <w:t>d</w:t>
            </w:r>
          </w:p>
        </w:tc>
        <w:tc>
          <w:tcPr>
            <w:tcW w:w="2693" w:type="dxa"/>
            <w:tcBorders>
              <w:top w:val="single" w:sz="4" w:space="0" w:color="auto"/>
              <w:left w:val="single" w:sz="4" w:space="0" w:color="auto"/>
              <w:bottom w:val="single" w:sz="4" w:space="0" w:color="auto"/>
              <w:right w:val="single" w:sz="4" w:space="0" w:color="auto"/>
            </w:tcBorders>
            <w:vAlign w:val="center"/>
          </w:tcPr>
          <w:p w14:paraId="238FA423" w14:textId="77777777" w:rsidR="00336F99" w:rsidRPr="00EF2F5B" w:rsidRDefault="00336F9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“ILP” (ILP GN01, 2020), UK</w:t>
            </w:r>
          </w:p>
        </w:tc>
        <w:tc>
          <w:tcPr>
            <w:tcW w:w="923" w:type="dxa"/>
            <w:tcBorders>
              <w:top w:val="single" w:sz="4" w:space="0" w:color="auto"/>
              <w:left w:val="single" w:sz="4" w:space="0" w:color="auto"/>
              <w:bottom w:val="single" w:sz="4" w:space="0" w:color="auto"/>
              <w:right w:val="single" w:sz="4" w:space="0" w:color="auto"/>
            </w:tcBorders>
            <w:vAlign w:val="center"/>
          </w:tcPr>
          <w:p w14:paraId="589887C3" w14:textId="62857051" w:rsidR="00336F99" w:rsidRPr="00EF2F5B" w:rsidRDefault="00336F99" w:rsidP="00F0093D">
            <w:pPr>
              <w:spacing w:after="0" w:line="240" w:lineRule="auto"/>
              <w:jc w:val="center"/>
              <w:rPr>
                <w:snapToGrid/>
                <w:color w:val="000000" w:themeColor="text1"/>
                <w:spacing w:val="0"/>
                <w:kern w:val="0"/>
                <w:sz w:val="20"/>
                <w:szCs w:val="20"/>
                <w:lang w:val="en-ZA" w:bidi="ar-SA"/>
                <w14:ligatures w14:val="none"/>
              </w:rPr>
            </w:pPr>
            <w:r w:rsidRPr="00EF2F5B">
              <w:rPr>
                <w:snapToGrid/>
                <w:color w:val="000000" w:themeColor="text1"/>
                <w:spacing w:val="0"/>
                <w:kern w:val="0"/>
                <w:sz w:val="20"/>
                <w:szCs w:val="20"/>
                <w:lang w:val="en-ZA" w:bidi="ar-SA"/>
                <w14:ligatures w14:val="none"/>
              </w:rPr>
              <w:t xml:space="preserve">YES </w:t>
            </w:r>
          </w:p>
        </w:tc>
        <w:tc>
          <w:tcPr>
            <w:tcW w:w="923" w:type="dxa"/>
            <w:tcBorders>
              <w:top w:val="single" w:sz="4" w:space="0" w:color="auto"/>
              <w:left w:val="single" w:sz="4" w:space="0" w:color="auto"/>
              <w:bottom w:val="single" w:sz="4" w:space="0" w:color="auto"/>
              <w:right w:val="single" w:sz="4" w:space="0" w:color="auto"/>
            </w:tcBorders>
            <w:vAlign w:val="center"/>
          </w:tcPr>
          <w:p w14:paraId="6E9D34C1" w14:textId="77777777" w:rsidR="00336F99" w:rsidRPr="00EF2F5B" w:rsidRDefault="00336F99" w:rsidP="00F0093D">
            <w:pPr>
              <w:spacing w:after="0" w:line="240" w:lineRule="auto"/>
              <w:jc w:val="center"/>
              <w:rPr>
                <w:snapToGrid/>
                <w:color w:val="000000" w:themeColor="text1"/>
                <w:spacing w:val="0"/>
                <w:kern w:val="0"/>
                <w:sz w:val="20"/>
                <w:szCs w:val="20"/>
                <w:lang w:val="en-ZA" w:bidi="ar-SA"/>
                <w14:ligatures w14:val="none"/>
              </w:rPr>
            </w:pPr>
            <w:r w:rsidRPr="00EF2F5B">
              <w:rPr>
                <w:snapToGrid/>
                <w:color w:val="000000" w:themeColor="text1"/>
                <w:spacing w:val="0"/>
                <w:kern w:val="0"/>
                <w:sz w:val="20"/>
                <w:szCs w:val="20"/>
                <w:lang w:val="en-ZA" w:bidi="ar-SA"/>
                <w14:ligatures w14:val="none"/>
              </w:rPr>
              <w:t>YES</w:t>
            </w:r>
          </w:p>
        </w:tc>
        <w:tc>
          <w:tcPr>
            <w:tcW w:w="779" w:type="dxa"/>
            <w:tcBorders>
              <w:top w:val="single" w:sz="4" w:space="0" w:color="auto"/>
              <w:left w:val="single" w:sz="4" w:space="0" w:color="auto"/>
              <w:bottom w:val="single" w:sz="4" w:space="0" w:color="auto"/>
              <w:right w:val="single" w:sz="4" w:space="0" w:color="auto"/>
            </w:tcBorders>
            <w:vAlign w:val="center"/>
          </w:tcPr>
          <w:p w14:paraId="1FFDC60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2</w:t>
            </w:r>
          </w:p>
        </w:tc>
        <w:tc>
          <w:tcPr>
            <w:tcW w:w="780" w:type="dxa"/>
            <w:tcBorders>
              <w:top w:val="single" w:sz="4" w:space="0" w:color="auto"/>
              <w:left w:val="single" w:sz="4" w:space="0" w:color="auto"/>
              <w:bottom w:val="single" w:sz="4" w:space="0" w:color="auto"/>
              <w:right w:val="single" w:sz="4" w:space="0" w:color="auto"/>
            </w:tcBorders>
            <w:vAlign w:val="center"/>
          </w:tcPr>
          <w:p w14:paraId="65A3B6F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5</w:t>
            </w:r>
          </w:p>
        </w:tc>
        <w:tc>
          <w:tcPr>
            <w:tcW w:w="780" w:type="dxa"/>
            <w:tcBorders>
              <w:top w:val="single" w:sz="4" w:space="0" w:color="auto"/>
              <w:left w:val="single" w:sz="4" w:space="0" w:color="auto"/>
              <w:bottom w:val="single" w:sz="4" w:space="0" w:color="auto"/>
              <w:right w:val="single" w:sz="4" w:space="0" w:color="auto"/>
            </w:tcBorders>
            <w:vAlign w:val="center"/>
          </w:tcPr>
          <w:p w14:paraId="54AEFE31"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10</w:t>
            </w:r>
          </w:p>
        </w:tc>
        <w:tc>
          <w:tcPr>
            <w:tcW w:w="780" w:type="dxa"/>
            <w:tcBorders>
              <w:top w:val="single" w:sz="4" w:space="0" w:color="auto"/>
              <w:left w:val="single" w:sz="4" w:space="0" w:color="auto"/>
              <w:bottom w:val="single" w:sz="4" w:space="0" w:color="auto"/>
              <w:right w:val="single" w:sz="4" w:space="0" w:color="auto"/>
            </w:tcBorders>
            <w:vAlign w:val="center"/>
          </w:tcPr>
          <w:p w14:paraId="585A7D2F"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25</w:t>
            </w:r>
          </w:p>
        </w:tc>
      </w:tr>
      <w:tr w:rsidR="00EF2F5B" w:rsidRPr="00EF2F5B" w14:paraId="5BED0676" w14:textId="77777777" w:rsidTr="006617F6">
        <w:trPr>
          <w:trHeight w:val="284"/>
          <w:jc w:val="center"/>
        </w:trPr>
        <w:tc>
          <w:tcPr>
            <w:tcW w:w="853" w:type="dxa"/>
            <w:tcBorders>
              <w:top w:val="single" w:sz="4" w:space="0" w:color="auto"/>
              <w:left w:val="single" w:sz="4" w:space="0" w:color="auto"/>
              <w:bottom w:val="single" w:sz="4" w:space="0" w:color="auto"/>
              <w:right w:val="single" w:sz="4" w:space="0" w:color="auto"/>
            </w:tcBorders>
            <w:vAlign w:val="center"/>
          </w:tcPr>
          <w:p w14:paraId="56E72C8C" w14:textId="719A650C" w:rsidR="00336F99" w:rsidRPr="00EF2F5B" w:rsidRDefault="00A9047A"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cs/>
                <w:lang w:bidi="ar-SA"/>
                <w14:ligatures w14:val="none"/>
              </w:rPr>
            </w:pPr>
            <w:r w:rsidRPr="00EF2F5B">
              <w:rPr>
                <w:rFonts w:eastAsia="Times New Roman"/>
                <w:snapToGrid/>
                <w:color w:val="000000" w:themeColor="text1"/>
                <w:spacing w:val="0"/>
                <w:kern w:val="0"/>
                <w:sz w:val="20"/>
                <w:szCs w:val="20"/>
                <w:lang w:bidi="ar-SA"/>
                <w14:ligatures w14:val="none"/>
              </w:rPr>
              <w:t>1</w:t>
            </w:r>
            <w:r w:rsidR="00336F99" w:rsidRPr="00EF2F5B">
              <w:rPr>
                <w:rFonts w:eastAsia="Times New Roman"/>
                <w:snapToGrid/>
                <w:color w:val="000000" w:themeColor="text1"/>
                <w:spacing w:val="0"/>
                <w:kern w:val="0"/>
                <w:sz w:val="20"/>
                <w:szCs w:val="20"/>
                <w:lang w:bidi="ar-SA"/>
                <w14:ligatures w14:val="none"/>
              </w:rPr>
              <w:t>3e</w:t>
            </w:r>
          </w:p>
        </w:tc>
        <w:tc>
          <w:tcPr>
            <w:tcW w:w="2693" w:type="dxa"/>
            <w:tcBorders>
              <w:top w:val="single" w:sz="4" w:space="0" w:color="auto"/>
              <w:left w:val="single" w:sz="4" w:space="0" w:color="auto"/>
              <w:bottom w:val="single" w:sz="4" w:space="0" w:color="auto"/>
              <w:right w:val="single" w:sz="4" w:space="0" w:color="auto"/>
            </w:tcBorders>
            <w:vAlign w:val="center"/>
          </w:tcPr>
          <w:p w14:paraId="7DA4E0CE" w14:textId="77777777" w:rsidR="00336F99" w:rsidRPr="00EF2F5B" w:rsidRDefault="00336F9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 xml:space="preserve">“Standards Australia/Standards New Zealand” (AS/NZS 42822019, 2019) </w:t>
            </w:r>
          </w:p>
        </w:tc>
        <w:tc>
          <w:tcPr>
            <w:tcW w:w="923" w:type="dxa"/>
            <w:tcBorders>
              <w:top w:val="single" w:sz="4" w:space="0" w:color="auto"/>
              <w:left w:val="single" w:sz="4" w:space="0" w:color="auto"/>
              <w:bottom w:val="single" w:sz="4" w:space="0" w:color="auto"/>
              <w:right w:val="single" w:sz="4" w:space="0" w:color="auto"/>
            </w:tcBorders>
            <w:vAlign w:val="center"/>
          </w:tcPr>
          <w:p w14:paraId="395138E5" w14:textId="77777777" w:rsidR="00336F99" w:rsidRPr="00EF2F5B" w:rsidRDefault="00336F99" w:rsidP="00F0093D">
            <w:pPr>
              <w:spacing w:after="0" w:line="240" w:lineRule="auto"/>
              <w:jc w:val="center"/>
              <w:rPr>
                <w:snapToGrid/>
                <w:color w:val="000000" w:themeColor="text1"/>
                <w:spacing w:val="0"/>
                <w:kern w:val="0"/>
                <w:sz w:val="20"/>
                <w:szCs w:val="20"/>
                <w:lang w:val="en-ZA" w:bidi="ar-SA"/>
                <w14:ligatures w14:val="none"/>
              </w:rPr>
            </w:pPr>
            <w:r w:rsidRPr="00EF2F5B">
              <w:rPr>
                <w:snapToGrid/>
                <w:color w:val="000000" w:themeColor="text1"/>
                <w:spacing w:val="0"/>
                <w:kern w:val="0"/>
                <w:sz w:val="20"/>
                <w:szCs w:val="20"/>
                <w:lang w:val="en-ZA" w:bidi="ar-SA"/>
                <w14:ligatures w14:val="none"/>
              </w:rPr>
              <w:t>NO</w:t>
            </w:r>
          </w:p>
        </w:tc>
        <w:tc>
          <w:tcPr>
            <w:tcW w:w="923" w:type="dxa"/>
            <w:tcBorders>
              <w:top w:val="single" w:sz="4" w:space="0" w:color="auto"/>
              <w:left w:val="single" w:sz="4" w:space="0" w:color="auto"/>
              <w:bottom w:val="single" w:sz="4" w:space="0" w:color="auto"/>
              <w:right w:val="single" w:sz="4" w:space="0" w:color="auto"/>
            </w:tcBorders>
            <w:vAlign w:val="center"/>
          </w:tcPr>
          <w:p w14:paraId="7C007EFB" w14:textId="77777777" w:rsidR="00336F99" w:rsidRPr="00EF2F5B" w:rsidRDefault="00336F99" w:rsidP="00F0093D">
            <w:pPr>
              <w:spacing w:after="0" w:line="240" w:lineRule="auto"/>
              <w:jc w:val="center"/>
              <w:rPr>
                <w:snapToGrid/>
                <w:color w:val="000000" w:themeColor="text1"/>
                <w:spacing w:val="0"/>
                <w:kern w:val="0"/>
                <w:sz w:val="20"/>
                <w:szCs w:val="20"/>
                <w:lang w:val="en-ZA" w:bidi="ar-SA"/>
                <w14:ligatures w14:val="none"/>
              </w:rPr>
            </w:pPr>
            <w:r w:rsidRPr="00EF2F5B">
              <w:rPr>
                <w:snapToGrid/>
                <w:color w:val="000000" w:themeColor="text1"/>
                <w:spacing w:val="0"/>
                <w:kern w:val="0"/>
                <w:sz w:val="20"/>
                <w:szCs w:val="20"/>
                <w:lang w:val="en-ZA" w:bidi="ar-SA"/>
                <w14:ligatures w14:val="none"/>
              </w:rPr>
              <w:t>YES</w:t>
            </w:r>
          </w:p>
        </w:tc>
        <w:tc>
          <w:tcPr>
            <w:tcW w:w="779" w:type="dxa"/>
            <w:tcBorders>
              <w:top w:val="single" w:sz="4" w:space="0" w:color="auto"/>
              <w:left w:val="single" w:sz="4" w:space="0" w:color="auto"/>
              <w:bottom w:val="single" w:sz="4" w:space="0" w:color="auto"/>
              <w:right w:val="single" w:sz="4" w:space="0" w:color="auto"/>
            </w:tcBorders>
            <w:vAlign w:val="center"/>
          </w:tcPr>
          <w:p w14:paraId="3A14629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w:t>
            </w:r>
          </w:p>
        </w:tc>
        <w:tc>
          <w:tcPr>
            <w:tcW w:w="780" w:type="dxa"/>
            <w:tcBorders>
              <w:top w:val="single" w:sz="4" w:space="0" w:color="auto"/>
              <w:left w:val="single" w:sz="4" w:space="0" w:color="auto"/>
              <w:bottom w:val="single" w:sz="4" w:space="0" w:color="auto"/>
              <w:right w:val="single" w:sz="4" w:space="0" w:color="auto"/>
            </w:tcBorders>
            <w:vAlign w:val="center"/>
          </w:tcPr>
          <w:p w14:paraId="3B16000F"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10</w:t>
            </w:r>
          </w:p>
        </w:tc>
        <w:tc>
          <w:tcPr>
            <w:tcW w:w="780" w:type="dxa"/>
            <w:tcBorders>
              <w:top w:val="single" w:sz="4" w:space="0" w:color="auto"/>
              <w:left w:val="single" w:sz="4" w:space="0" w:color="auto"/>
              <w:bottom w:val="single" w:sz="4" w:space="0" w:color="auto"/>
              <w:right w:val="single" w:sz="4" w:space="0" w:color="auto"/>
            </w:tcBorders>
            <w:vAlign w:val="center"/>
          </w:tcPr>
          <w:p w14:paraId="560D1FCE"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10</w:t>
            </w:r>
          </w:p>
        </w:tc>
        <w:tc>
          <w:tcPr>
            <w:tcW w:w="780" w:type="dxa"/>
            <w:tcBorders>
              <w:top w:val="single" w:sz="4" w:space="0" w:color="auto"/>
              <w:left w:val="single" w:sz="4" w:space="0" w:color="auto"/>
              <w:bottom w:val="single" w:sz="4" w:space="0" w:color="auto"/>
              <w:right w:val="single" w:sz="4" w:space="0" w:color="auto"/>
            </w:tcBorders>
            <w:vAlign w:val="center"/>
          </w:tcPr>
          <w:p w14:paraId="508A124D"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25</w:t>
            </w:r>
          </w:p>
        </w:tc>
      </w:tr>
      <w:tr w:rsidR="00336F99" w:rsidRPr="00EF2F5B" w14:paraId="13F88F6F" w14:textId="77777777" w:rsidTr="006617F6">
        <w:trPr>
          <w:trHeight w:val="284"/>
          <w:jc w:val="center"/>
        </w:trPr>
        <w:tc>
          <w:tcPr>
            <w:tcW w:w="853" w:type="dxa"/>
            <w:tcBorders>
              <w:top w:val="single" w:sz="4" w:space="0" w:color="auto"/>
              <w:left w:val="single" w:sz="4" w:space="0" w:color="auto"/>
              <w:bottom w:val="single" w:sz="4" w:space="0" w:color="auto"/>
              <w:right w:val="single" w:sz="4" w:space="0" w:color="auto"/>
            </w:tcBorders>
            <w:vAlign w:val="center"/>
          </w:tcPr>
          <w:p w14:paraId="2F1DCBB0" w14:textId="2A55BD57" w:rsidR="00336F99" w:rsidRPr="00EF2F5B" w:rsidRDefault="00A9047A"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w:t>
            </w:r>
            <w:r w:rsidR="00336F99" w:rsidRPr="00EF2F5B">
              <w:rPr>
                <w:rFonts w:eastAsia="Times New Roman"/>
                <w:snapToGrid/>
                <w:color w:val="000000" w:themeColor="text1"/>
                <w:spacing w:val="0"/>
                <w:kern w:val="0"/>
                <w:sz w:val="20"/>
                <w:szCs w:val="20"/>
                <w:lang w:bidi="ar-SA"/>
                <w14:ligatures w14:val="none"/>
              </w:rPr>
              <w:t>3f</w:t>
            </w:r>
          </w:p>
        </w:tc>
        <w:tc>
          <w:tcPr>
            <w:tcW w:w="2693" w:type="dxa"/>
            <w:tcBorders>
              <w:top w:val="single" w:sz="4" w:space="0" w:color="auto"/>
              <w:left w:val="single" w:sz="4" w:space="0" w:color="auto"/>
              <w:bottom w:val="single" w:sz="4" w:space="0" w:color="auto"/>
              <w:right w:val="single" w:sz="4" w:space="0" w:color="auto"/>
            </w:tcBorders>
            <w:vAlign w:val="center"/>
          </w:tcPr>
          <w:p w14:paraId="251BEB37" w14:textId="45F38DDD" w:rsidR="00336F99" w:rsidRPr="00EF2F5B" w:rsidRDefault="00336F9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“International Dark Sky Association”</w:t>
            </w:r>
            <w:r w:rsidRPr="00EF2F5B">
              <w:rPr>
                <w:snapToGrid/>
                <w:color w:val="000000" w:themeColor="text1"/>
                <w:spacing w:val="0"/>
                <w:kern w:val="0"/>
                <w:lang w:val="en-ZA" w:bidi="ar-SA"/>
                <w14:ligatures w14:val="none"/>
              </w:rPr>
              <w:t xml:space="preserve"> </w:t>
            </w:r>
            <w:r w:rsidRPr="00EF2F5B">
              <w:rPr>
                <w:rFonts w:eastAsia="Times New Roman"/>
                <w:snapToGrid/>
                <w:color w:val="000000" w:themeColor="text1"/>
                <w:spacing w:val="0"/>
                <w:kern w:val="0"/>
                <w:sz w:val="20"/>
                <w:szCs w:val="20"/>
                <w:lang w:bidi="ar-SA"/>
                <w14:ligatures w14:val="none"/>
              </w:rPr>
              <w:t>(IDA/IES MLO, 20</w:t>
            </w:r>
            <w:r w:rsidR="004A34F5" w:rsidRPr="00EF2F5B">
              <w:rPr>
                <w:rFonts w:eastAsia="Times New Roman"/>
                <w:snapToGrid/>
                <w:color w:val="000000" w:themeColor="text1"/>
                <w:spacing w:val="0"/>
                <w:kern w:val="0"/>
                <w:sz w:val="20"/>
                <w:szCs w:val="20"/>
                <w:lang w:bidi="ar-SA"/>
                <w14:ligatures w14:val="none"/>
              </w:rPr>
              <w:t>20</w:t>
            </w:r>
            <w:r w:rsidRPr="00EF2F5B">
              <w:rPr>
                <w:rFonts w:eastAsia="Times New Roman"/>
                <w:snapToGrid/>
                <w:color w:val="000000" w:themeColor="text1"/>
                <w:spacing w:val="0"/>
                <w:kern w:val="0"/>
                <w:sz w:val="20"/>
                <w:szCs w:val="20"/>
                <w:lang w:bidi="ar-SA"/>
                <w14:ligatures w14:val="none"/>
              </w:rPr>
              <w:t>)</w:t>
            </w:r>
          </w:p>
        </w:tc>
        <w:tc>
          <w:tcPr>
            <w:tcW w:w="923" w:type="dxa"/>
            <w:tcBorders>
              <w:top w:val="single" w:sz="4" w:space="0" w:color="auto"/>
              <w:left w:val="single" w:sz="4" w:space="0" w:color="auto"/>
              <w:bottom w:val="single" w:sz="4" w:space="0" w:color="auto"/>
              <w:right w:val="single" w:sz="4" w:space="0" w:color="auto"/>
            </w:tcBorders>
            <w:vAlign w:val="center"/>
          </w:tcPr>
          <w:p w14:paraId="3B1B7360" w14:textId="77777777" w:rsidR="00336F99" w:rsidRPr="00EF2F5B" w:rsidRDefault="00336F99" w:rsidP="00F0093D">
            <w:pPr>
              <w:spacing w:after="0" w:line="240" w:lineRule="auto"/>
              <w:jc w:val="center"/>
              <w:rPr>
                <w:snapToGrid/>
                <w:color w:val="000000" w:themeColor="text1"/>
                <w:spacing w:val="0"/>
                <w:kern w:val="0"/>
                <w:sz w:val="20"/>
                <w:szCs w:val="20"/>
                <w:lang w:val="en-ZA" w:bidi="ar-SA"/>
                <w14:ligatures w14:val="none"/>
              </w:rPr>
            </w:pPr>
            <w:r w:rsidRPr="00EF2F5B">
              <w:rPr>
                <w:snapToGrid/>
                <w:color w:val="000000" w:themeColor="text1"/>
                <w:spacing w:val="0"/>
                <w:kern w:val="0"/>
                <w:sz w:val="20"/>
                <w:szCs w:val="20"/>
                <w:lang w:val="en-ZA" w:bidi="ar-SA"/>
                <w14:ligatures w14:val="none"/>
              </w:rPr>
              <w:t>NO</w:t>
            </w:r>
          </w:p>
        </w:tc>
        <w:tc>
          <w:tcPr>
            <w:tcW w:w="923" w:type="dxa"/>
            <w:tcBorders>
              <w:top w:val="single" w:sz="4" w:space="0" w:color="auto"/>
              <w:left w:val="single" w:sz="4" w:space="0" w:color="auto"/>
              <w:bottom w:val="single" w:sz="4" w:space="0" w:color="auto"/>
              <w:right w:val="single" w:sz="4" w:space="0" w:color="auto"/>
            </w:tcBorders>
            <w:vAlign w:val="center"/>
          </w:tcPr>
          <w:p w14:paraId="2725EDE9" w14:textId="77777777" w:rsidR="00336F99" w:rsidRPr="00EF2F5B" w:rsidRDefault="00336F99" w:rsidP="00F0093D">
            <w:pPr>
              <w:spacing w:after="0" w:line="240" w:lineRule="auto"/>
              <w:jc w:val="center"/>
              <w:rPr>
                <w:snapToGrid/>
                <w:color w:val="000000" w:themeColor="text1"/>
                <w:spacing w:val="0"/>
                <w:kern w:val="0"/>
                <w:sz w:val="20"/>
                <w:szCs w:val="20"/>
                <w:lang w:val="en-ZA" w:bidi="ar-SA"/>
                <w14:ligatures w14:val="none"/>
              </w:rPr>
            </w:pPr>
            <w:r w:rsidRPr="00EF2F5B">
              <w:rPr>
                <w:snapToGrid/>
                <w:color w:val="000000" w:themeColor="text1"/>
                <w:spacing w:val="0"/>
                <w:kern w:val="0"/>
                <w:sz w:val="20"/>
                <w:szCs w:val="20"/>
                <w:lang w:val="en-ZA" w:bidi="ar-SA"/>
                <w14:ligatures w14:val="none"/>
              </w:rPr>
              <w:t>YES</w:t>
            </w:r>
          </w:p>
        </w:tc>
        <w:tc>
          <w:tcPr>
            <w:tcW w:w="779" w:type="dxa"/>
            <w:tcBorders>
              <w:top w:val="single" w:sz="4" w:space="0" w:color="auto"/>
              <w:left w:val="single" w:sz="4" w:space="0" w:color="auto"/>
              <w:bottom w:val="single" w:sz="4" w:space="0" w:color="auto"/>
              <w:right w:val="single" w:sz="4" w:space="0" w:color="auto"/>
            </w:tcBorders>
            <w:vAlign w:val="center"/>
          </w:tcPr>
          <w:p w14:paraId="7524DAC9"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w:t>
            </w:r>
          </w:p>
        </w:tc>
        <w:tc>
          <w:tcPr>
            <w:tcW w:w="780" w:type="dxa"/>
            <w:tcBorders>
              <w:top w:val="single" w:sz="4" w:space="0" w:color="auto"/>
              <w:left w:val="single" w:sz="4" w:space="0" w:color="auto"/>
              <w:bottom w:val="single" w:sz="4" w:space="0" w:color="auto"/>
              <w:right w:val="single" w:sz="4" w:space="0" w:color="auto"/>
            </w:tcBorders>
            <w:vAlign w:val="center"/>
          </w:tcPr>
          <w:p w14:paraId="21EA3460"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3</w:t>
            </w:r>
          </w:p>
        </w:tc>
        <w:tc>
          <w:tcPr>
            <w:tcW w:w="780" w:type="dxa"/>
            <w:tcBorders>
              <w:top w:val="single" w:sz="4" w:space="0" w:color="auto"/>
              <w:left w:val="single" w:sz="4" w:space="0" w:color="auto"/>
              <w:bottom w:val="single" w:sz="4" w:space="0" w:color="auto"/>
              <w:right w:val="single" w:sz="4" w:space="0" w:color="auto"/>
            </w:tcBorders>
            <w:vAlign w:val="center"/>
          </w:tcPr>
          <w:p w14:paraId="30E81B52"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8</w:t>
            </w:r>
          </w:p>
        </w:tc>
        <w:tc>
          <w:tcPr>
            <w:tcW w:w="780" w:type="dxa"/>
            <w:tcBorders>
              <w:top w:val="single" w:sz="4" w:space="0" w:color="auto"/>
              <w:left w:val="single" w:sz="4" w:space="0" w:color="auto"/>
              <w:bottom w:val="single" w:sz="4" w:space="0" w:color="auto"/>
              <w:right w:val="single" w:sz="4" w:space="0" w:color="auto"/>
            </w:tcBorders>
            <w:vAlign w:val="center"/>
          </w:tcPr>
          <w:p w14:paraId="536CE777" w14:textId="77777777" w:rsidR="00336F99" w:rsidRPr="00EF2F5B" w:rsidRDefault="00336F9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15</w:t>
            </w:r>
          </w:p>
        </w:tc>
      </w:tr>
    </w:tbl>
    <w:p w14:paraId="41A34893" w14:textId="77777777" w:rsidR="00336F99" w:rsidRPr="00EF2F5B" w:rsidRDefault="00336F99" w:rsidP="00F0093D">
      <w:pPr>
        <w:spacing w:after="0" w:line="240" w:lineRule="auto"/>
        <w:ind w:right="15" w:hanging="10"/>
        <w:jc w:val="both"/>
        <w:rPr>
          <w:rFonts w:eastAsia="Times New Roman"/>
          <w:snapToGrid/>
          <w:color w:val="000000" w:themeColor="text1"/>
          <w:spacing w:val="0"/>
          <w:kern w:val="0"/>
          <w:szCs w:val="22"/>
          <w:lang w:val="en-GB" w:eastAsia="en-GB" w:bidi="ar-SA"/>
          <w14:ligatures w14:val="none"/>
        </w:rPr>
      </w:pPr>
    </w:p>
    <w:p w14:paraId="4DF63CB8" w14:textId="77777777" w:rsidR="000B6244" w:rsidRPr="00EF2F5B" w:rsidRDefault="000B6244" w:rsidP="000B6244">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Key divergence metrics:</w:t>
      </w:r>
    </w:p>
    <w:p w14:paraId="7A843888" w14:textId="77777777" w:rsidR="000B6244" w:rsidRPr="00EF2F5B" w:rsidRDefault="000B6244" w:rsidP="000B6244">
      <w:pPr>
        <w:numPr>
          <w:ilvl w:val="0"/>
          <w:numId w:val="25"/>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Threshold variance (</w:t>
      </w:r>
      <w:proofErr w:type="spellStart"/>
      <w:r w:rsidRPr="00EF2F5B">
        <w:rPr>
          <w:rFonts w:eastAsia="Times New Roman"/>
          <w:snapToGrid/>
          <w:color w:val="000000" w:themeColor="text1"/>
          <w:spacing w:val="0"/>
          <w:kern w:val="0"/>
          <w14:ligatures w14:val="none"/>
        </w:rPr>
        <w:t>Δlux</w:t>
      </w:r>
      <w:proofErr w:type="spellEnd"/>
      <w:r w:rsidRPr="00EF2F5B">
        <w:rPr>
          <w:rFonts w:eastAsia="Times New Roman"/>
          <w:snapToGrid/>
          <w:color w:val="000000" w:themeColor="text1"/>
          <w:spacing w:val="0"/>
          <w:kern w:val="0"/>
          <w14:ligatures w14:val="none"/>
        </w:rPr>
        <w:t xml:space="preserve">) </w:t>
      </w:r>
    </w:p>
    <w:p w14:paraId="3D79A381" w14:textId="77777777" w:rsidR="000B6244" w:rsidRPr="00EF2F5B" w:rsidRDefault="000B6244" w:rsidP="000B6244">
      <w:pPr>
        <w:numPr>
          <w:ilvl w:val="0"/>
          <w:numId w:val="25"/>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Zone equivalence mismatch </w:t>
      </w:r>
    </w:p>
    <w:p w14:paraId="7E826D7E" w14:textId="77777777" w:rsidR="000B6244" w:rsidRPr="00EF2F5B" w:rsidRDefault="000B6244" w:rsidP="000B6244">
      <w:pPr>
        <w:numPr>
          <w:ilvl w:val="0"/>
          <w:numId w:val="25"/>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Curfew dependency </w:t>
      </w:r>
    </w:p>
    <w:p w14:paraId="3192A1C3" w14:textId="428B3278" w:rsidR="00F04628" w:rsidRPr="00EF2F5B" w:rsidRDefault="00F04628" w:rsidP="00F04628">
      <w:pPr>
        <w:spacing w:after="0" w:line="240" w:lineRule="auto"/>
        <w:ind w:right="15" w:hanging="10"/>
        <w:jc w:val="both"/>
        <w:rPr>
          <w:rFonts w:eastAsia="Times New Roman"/>
          <w:snapToGrid/>
          <w:color w:val="000000" w:themeColor="text1"/>
          <w:spacing w:val="0"/>
          <w:kern w:val="0"/>
          <w:szCs w:val="22"/>
          <w:lang w:val="en-GB" w:eastAsia="en-GB" w:bidi="ar-SA"/>
          <w14:ligatures w14:val="none"/>
        </w:rPr>
      </w:pPr>
      <w:r w:rsidRPr="00EF2F5B">
        <w:rPr>
          <w:rFonts w:eastAsia="Times New Roman"/>
          <w:snapToGrid/>
          <w:color w:val="000000" w:themeColor="text1"/>
          <w:spacing w:val="0"/>
          <w:kern w:val="0"/>
          <w:szCs w:val="22"/>
          <w:lang w:val="en-GB" w:eastAsia="en-GB" w:bidi="ar-SA"/>
          <w14:ligatures w14:val="none"/>
        </w:rPr>
        <w:t xml:space="preserve">A unified standard could be achieved. </w:t>
      </w:r>
      <w:r w:rsidRPr="00EF2F5B">
        <w:rPr>
          <w:rFonts w:eastAsia="Times New Roman"/>
          <w:snapToGrid/>
          <w:color w:val="000000" w:themeColor="text1"/>
          <w:spacing w:val="0"/>
          <w:kern w:val="0"/>
          <w:szCs w:val="22"/>
          <w:lang w:val="en-GB" w:eastAsia="en-GB" w:bidi="ar-SA"/>
          <w14:ligatures w14:val="none"/>
        </w:rPr>
        <w:fldChar w:fldCharType="begin"/>
      </w:r>
      <w:r w:rsidRPr="00EF2F5B">
        <w:rPr>
          <w:rFonts w:eastAsia="Times New Roman"/>
          <w:snapToGrid/>
          <w:color w:val="000000" w:themeColor="text1"/>
          <w:spacing w:val="0"/>
          <w:kern w:val="0"/>
          <w:szCs w:val="22"/>
          <w:lang w:val="en-GB" w:eastAsia="en-GB" w:bidi="ar-SA"/>
          <w14:ligatures w14:val="none"/>
        </w:rPr>
        <w:instrText xml:space="preserve"> REF _Ref145452113 \h  \* MERGEFORMAT </w:instrText>
      </w:r>
      <w:r w:rsidRPr="00EF2F5B">
        <w:rPr>
          <w:rFonts w:eastAsia="Times New Roman"/>
          <w:snapToGrid/>
          <w:color w:val="000000" w:themeColor="text1"/>
          <w:spacing w:val="0"/>
          <w:kern w:val="0"/>
          <w:szCs w:val="22"/>
          <w:lang w:val="en-GB" w:eastAsia="en-GB" w:bidi="ar-SA"/>
          <w14:ligatures w14:val="none"/>
        </w:rPr>
      </w:r>
      <w:r w:rsidRPr="00EF2F5B">
        <w:rPr>
          <w:rFonts w:eastAsia="Times New Roman"/>
          <w:snapToGrid/>
          <w:color w:val="000000" w:themeColor="text1"/>
          <w:spacing w:val="0"/>
          <w:kern w:val="0"/>
          <w:szCs w:val="22"/>
          <w:lang w:val="en-GB" w:eastAsia="en-GB" w:bidi="ar-SA"/>
          <w14:ligatures w14:val="none"/>
        </w:rPr>
        <w:fldChar w:fldCharType="separate"/>
      </w:r>
      <w:r w:rsidRPr="00EF2F5B">
        <w:rPr>
          <w:snapToGrid/>
          <w:color w:val="000000" w:themeColor="text1"/>
          <w:spacing w:val="0"/>
          <w:kern w:val="0"/>
          <w:lang w:val="en-ZA" w:bidi="ar-SA"/>
          <w14:ligatures w14:val="none"/>
        </w:rPr>
        <w:t>Figure 2</w:t>
      </w:r>
      <w:r w:rsidRPr="00EF2F5B">
        <w:rPr>
          <w:rFonts w:eastAsia="Times New Roman"/>
          <w:snapToGrid/>
          <w:color w:val="000000" w:themeColor="text1"/>
          <w:spacing w:val="0"/>
          <w:kern w:val="0"/>
          <w:szCs w:val="22"/>
          <w:lang w:val="en-GB" w:eastAsia="en-GB" w:bidi="ar-SA"/>
          <w14:ligatures w14:val="none"/>
        </w:rPr>
        <w:fldChar w:fldCharType="end"/>
      </w:r>
      <w:r w:rsidRPr="00EF2F5B">
        <w:rPr>
          <w:rFonts w:eastAsia="Times New Roman"/>
          <w:snapToGrid/>
          <w:color w:val="000000" w:themeColor="text1"/>
          <w:spacing w:val="0"/>
          <w:kern w:val="0"/>
          <w:szCs w:val="22"/>
          <w:lang w:val="en-GB" w:eastAsia="en-GB" w:bidi="ar-SA"/>
          <w14:ligatures w14:val="none"/>
        </w:rPr>
        <w:t xml:space="preserve"> clearly illustrates all the OTL limiting values from various organisations</w:t>
      </w:r>
      <w:r w:rsidR="00E93E05" w:rsidRPr="00EF2F5B">
        <w:rPr>
          <w:rFonts w:eastAsia="Times New Roman"/>
          <w:snapToGrid/>
          <w:color w:val="000000" w:themeColor="text1"/>
          <w:spacing w:val="0"/>
          <w:kern w:val="0"/>
          <w:szCs w:val="22"/>
          <w:lang w:val="en-GB" w:eastAsia="en-GB" w:bidi="ar-SA"/>
          <w14:ligatures w14:val="none"/>
        </w:rPr>
        <w:t xml:space="preserve"> before harmonisation</w:t>
      </w:r>
      <w:r w:rsidRPr="00EF2F5B">
        <w:rPr>
          <w:rFonts w:eastAsia="Times New Roman"/>
          <w:snapToGrid/>
          <w:color w:val="000000" w:themeColor="text1"/>
          <w:spacing w:val="0"/>
          <w:kern w:val="0"/>
          <w:szCs w:val="22"/>
          <w:lang w:val="en-GB" w:eastAsia="en-GB" w:bidi="ar-SA"/>
          <w14:ligatures w14:val="none"/>
        </w:rPr>
        <w:t xml:space="preserve">. This can be used to derive a cohesive standard acceptable to all professional organisations since each organisational standard has minor variations.  The OTL limiting values are vertical illuminance at the property line or the household bedroom windows.   </w:t>
      </w:r>
    </w:p>
    <w:p w14:paraId="615487BC" w14:textId="77777777" w:rsidR="00F04628" w:rsidRPr="00EF2F5B" w:rsidRDefault="00F04628" w:rsidP="00F04628">
      <w:pPr>
        <w:spacing w:after="0" w:line="240" w:lineRule="auto"/>
        <w:ind w:right="15" w:hanging="10"/>
        <w:jc w:val="both"/>
        <w:rPr>
          <w:rFonts w:eastAsia="Times New Roman"/>
          <w:b/>
          <w:bCs/>
          <w:snapToGrid/>
          <w:color w:val="000000" w:themeColor="text1"/>
          <w:spacing w:val="0"/>
          <w:kern w:val="0"/>
          <w:sz w:val="20"/>
          <w:szCs w:val="18"/>
          <w:lang w:val="en-GB" w:eastAsia="en-GB" w:bidi="ar-SA"/>
          <w14:ligatures w14:val="none"/>
        </w:rPr>
      </w:pPr>
    </w:p>
    <w:p w14:paraId="02E82598" w14:textId="71C740AE" w:rsidR="00F04628" w:rsidRPr="00EF2F5B" w:rsidRDefault="00F04628" w:rsidP="00F04628">
      <w:pPr>
        <w:spacing w:after="0" w:line="240" w:lineRule="auto"/>
        <w:jc w:val="center"/>
        <w:rPr>
          <w:b/>
          <w:bCs/>
          <w:color w:val="000000" w:themeColor="text1"/>
          <w:spacing w:val="0"/>
          <w:sz w:val="20"/>
          <w:szCs w:val="20"/>
        </w:rPr>
      </w:pPr>
      <w:bookmarkStart w:id="47" w:name="_Ref145452113"/>
      <w:bookmarkStart w:id="48" w:name="_Toc205658478"/>
      <w:r w:rsidRPr="00EF2F5B">
        <w:rPr>
          <w:b/>
          <w:bCs/>
          <w:color w:val="000000" w:themeColor="text1"/>
          <w:spacing w:val="0"/>
          <w:sz w:val="20"/>
          <w:szCs w:val="20"/>
        </w:rPr>
        <w:t>Figure 2</w:t>
      </w:r>
      <w:bookmarkEnd w:id="47"/>
      <w:r w:rsidRPr="00EF2F5B">
        <w:rPr>
          <w:b/>
          <w:bCs/>
          <w:color w:val="000000" w:themeColor="text1"/>
          <w:spacing w:val="0"/>
          <w:sz w:val="20"/>
          <w:szCs w:val="20"/>
        </w:rPr>
        <w:t>: The proposed unified standard for outdoor OTL</w:t>
      </w:r>
      <w:bookmarkEnd w:id="48"/>
      <w:r w:rsidR="002B7DE3" w:rsidRPr="00EF2F5B">
        <w:rPr>
          <w:b/>
          <w:bCs/>
          <w:color w:val="000000" w:themeColor="text1"/>
          <w:spacing w:val="0"/>
          <w:sz w:val="20"/>
          <w:szCs w:val="20"/>
        </w:rPr>
        <w:t xml:space="preserve"> before harmonisation</w:t>
      </w:r>
    </w:p>
    <w:p w14:paraId="1EF6FA15" w14:textId="77777777" w:rsidR="00F04628" w:rsidRPr="00EF2F5B" w:rsidRDefault="00F04628" w:rsidP="00F04628">
      <w:pPr>
        <w:spacing w:after="0" w:line="240" w:lineRule="auto"/>
        <w:jc w:val="center"/>
        <w:rPr>
          <w:color w:val="000000" w:themeColor="text1"/>
          <w:spacing w:val="0"/>
          <w:sz w:val="16"/>
          <w:szCs w:val="16"/>
        </w:rPr>
      </w:pPr>
      <w:r w:rsidRPr="00EF2F5B">
        <w:rPr>
          <w:color w:val="000000" w:themeColor="text1"/>
          <w:spacing w:val="0"/>
          <w:sz w:val="16"/>
          <w:szCs w:val="16"/>
        </w:rPr>
        <w:t>(Source: by the author)</w:t>
      </w:r>
    </w:p>
    <w:p w14:paraId="03E4C483" w14:textId="77777777" w:rsidR="00F04628" w:rsidRPr="00EF2F5B" w:rsidRDefault="00F04628" w:rsidP="00F04628">
      <w:pPr>
        <w:spacing w:after="0" w:line="240" w:lineRule="auto"/>
        <w:jc w:val="center"/>
        <w:rPr>
          <w:rFonts w:eastAsia="Times New Roman"/>
          <w:snapToGrid/>
          <w:color w:val="000000" w:themeColor="text1"/>
          <w:spacing w:val="0"/>
          <w:kern w:val="0"/>
          <w:sz w:val="16"/>
          <w:szCs w:val="16"/>
          <w:lang w:val="en-GB" w:eastAsia="en-GB"/>
          <w14:ligatures w14:val="none"/>
        </w:rPr>
      </w:pPr>
      <w:r w:rsidRPr="00EF2F5B">
        <w:rPr>
          <w:rFonts w:ascii="Aptos" w:eastAsia="Aptos" w:hAnsi="Aptos" w:cs="Latha"/>
          <w:noProof/>
          <w:snapToGrid/>
          <w:color w:val="000000" w:themeColor="text1"/>
          <w:spacing w:val="0"/>
          <w:lang w:val="en-IN" w:eastAsia="en-IN" w:bidi="ar-SA"/>
        </w:rPr>
        <w:drawing>
          <wp:inline distT="0" distB="0" distL="0" distR="0" wp14:anchorId="7187854D" wp14:editId="7711DC5F">
            <wp:extent cx="4857750" cy="2581252"/>
            <wp:effectExtent l="0" t="0" r="0" b="0"/>
            <wp:docPr id="169919884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198848" name="Picture 1" descr="A screenshot of a computer&#10;&#10;AI-generated content may be incorrect."/>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4912834" cy="2610522"/>
                    </a:xfrm>
                    <a:prstGeom prst="rect">
                      <a:avLst/>
                    </a:prstGeom>
                    <a:ln>
                      <a:noFill/>
                    </a:ln>
                    <a:extLst>
                      <a:ext uri="{53640926-AAD7-44D8-BBD7-CCE9431645EC}">
                        <a14:shadowObscured xmlns:a14="http://schemas.microsoft.com/office/drawing/2010/main"/>
                      </a:ext>
                    </a:extLst>
                  </pic:spPr>
                </pic:pic>
              </a:graphicData>
            </a:graphic>
          </wp:inline>
        </w:drawing>
      </w:r>
    </w:p>
    <w:p w14:paraId="7A5387A4" w14:textId="77777777" w:rsidR="00F04628" w:rsidRPr="00EF2F5B" w:rsidRDefault="00F04628" w:rsidP="00F04628">
      <w:pPr>
        <w:spacing w:after="0" w:line="240" w:lineRule="auto"/>
        <w:rPr>
          <w:color w:val="000000" w:themeColor="text1"/>
          <w:spacing w:val="0"/>
          <w:lang w:val="en-GB"/>
        </w:rPr>
      </w:pPr>
    </w:p>
    <w:p w14:paraId="3ABC8AC2" w14:textId="3E62F6EF" w:rsidR="00E61BC9" w:rsidRPr="00EF2F5B" w:rsidRDefault="00E61BC9" w:rsidP="00E61BC9">
      <w:pPr>
        <w:spacing w:before="100" w:beforeAutospacing="1" w:after="100" w:afterAutospacing="1" w:line="240" w:lineRule="auto"/>
        <w:outlineLvl w:val="2"/>
        <w:rPr>
          <w:rFonts w:eastAsia="Times New Roman"/>
          <w:b/>
          <w:bCs/>
          <w:snapToGrid/>
          <w:color w:val="000000" w:themeColor="text1"/>
          <w:spacing w:val="0"/>
          <w:kern w:val="0"/>
          <w:sz w:val="27"/>
          <w:szCs w:val="27"/>
          <w14:ligatures w14:val="none"/>
        </w:rPr>
      </w:pPr>
      <w:r w:rsidRPr="00EF2F5B">
        <w:rPr>
          <w:rFonts w:eastAsia="Times New Roman"/>
          <w:b/>
          <w:bCs/>
          <w:snapToGrid/>
          <w:color w:val="000000" w:themeColor="text1"/>
          <w:spacing w:val="0"/>
          <w:kern w:val="0"/>
          <w:sz w:val="27"/>
          <w:szCs w:val="27"/>
          <w14:ligatures w14:val="none"/>
        </w:rPr>
        <w:t>3.3 Harmonisation Model: Minimum-Threshold Convergence</w:t>
      </w:r>
      <w:r w:rsidR="00E92D8E" w:rsidRPr="00EF2F5B">
        <w:rPr>
          <w:rFonts w:eastAsia="Times New Roman"/>
          <w:b/>
          <w:bCs/>
          <w:snapToGrid/>
          <w:color w:val="000000" w:themeColor="text1"/>
          <w:spacing w:val="0"/>
          <w:kern w:val="0"/>
          <w:sz w:val="27"/>
          <w:szCs w:val="27"/>
          <w14:ligatures w14:val="none"/>
        </w:rPr>
        <w:t xml:space="preserve"> (MTC) methodology</w:t>
      </w:r>
    </w:p>
    <w:p w14:paraId="4E4607FA" w14:textId="71276A4C" w:rsidR="00C864B8" w:rsidRPr="00EF2F5B" w:rsidRDefault="00C864B8" w:rsidP="00C864B8">
      <w:pPr>
        <w:jc w:val="both"/>
        <w:rPr>
          <w:color w:val="000000" w:themeColor="text1"/>
          <w:spacing w:val="0"/>
        </w:rPr>
      </w:pPr>
      <w:r w:rsidRPr="00EF2F5B">
        <w:rPr>
          <w:color w:val="000000" w:themeColor="text1"/>
          <w:spacing w:val="0"/>
        </w:rPr>
        <w:t xml:space="preserve">The Minimum-Threshold Convergence (MTC) methodology is to </w:t>
      </w:r>
      <w:r w:rsidR="00434D7F" w:rsidRPr="00EF2F5B">
        <w:rPr>
          <w:color w:val="000000" w:themeColor="text1"/>
          <w:spacing w:val="0"/>
        </w:rPr>
        <w:t>harmonise</w:t>
      </w:r>
      <w:r w:rsidRPr="00EF2F5B">
        <w:rPr>
          <w:color w:val="000000" w:themeColor="text1"/>
          <w:spacing w:val="0"/>
        </w:rPr>
        <w:t xml:space="preserve"> international Outdoor Trespass Lighting (OTL) standards. While individual OTL limits exist across major authorities (IES, CIE, ILP, AS/NZS, IDA, TAC). </w:t>
      </w:r>
    </w:p>
    <w:p w14:paraId="074AABF6" w14:textId="77777777" w:rsidR="00C04FFE" w:rsidRPr="00EF2F5B" w:rsidRDefault="00C04FFE" w:rsidP="00C04FFE">
      <w:pPr>
        <w:spacing w:before="100" w:beforeAutospacing="1" w:after="100" w:afterAutospacing="1" w:line="240" w:lineRule="auto"/>
        <w:outlineLvl w:val="2"/>
        <w:rPr>
          <w:rFonts w:eastAsia="Times New Roman"/>
          <w:b/>
          <w:bCs/>
          <w:snapToGrid/>
          <w:color w:val="000000" w:themeColor="text1"/>
          <w:spacing w:val="0"/>
          <w:kern w:val="0"/>
          <w:sz w:val="27"/>
          <w:szCs w:val="27"/>
          <w14:ligatures w14:val="none"/>
        </w:rPr>
      </w:pPr>
      <w:r w:rsidRPr="00EF2F5B">
        <w:rPr>
          <w:rFonts w:eastAsia="Times New Roman"/>
          <w:b/>
          <w:bCs/>
          <w:snapToGrid/>
          <w:color w:val="000000" w:themeColor="text1"/>
          <w:spacing w:val="0"/>
          <w:kern w:val="0"/>
          <w:sz w:val="27"/>
          <w:szCs w:val="27"/>
          <w14:ligatures w14:val="none"/>
        </w:rPr>
        <w:lastRenderedPageBreak/>
        <w:t>Formal Definition</w:t>
      </w:r>
    </w:p>
    <w:p w14:paraId="56B3B610" w14:textId="77777777" w:rsidR="00C04FFE" w:rsidRPr="00EF2F5B" w:rsidRDefault="00C04FFE" w:rsidP="00C04FFE">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For each lighting zone:</w:t>
      </w:r>
    </w:p>
    <w:p w14:paraId="475C5868" w14:textId="77777777" w:rsidR="00C04FFE" w:rsidRPr="00EF2F5B" w:rsidRDefault="00986524" w:rsidP="00C04FFE">
      <w:pPr>
        <w:spacing w:after="0" w:line="240" w:lineRule="auto"/>
        <w:rPr>
          <w:rFonts w:eastAsia="Times New Roman"/>
          <w:snapToGrid/>
          <w:color w:val="000000" w:themeColor="text1"/>
          <w:spacing w:val="0"/>
          <w:kern w:val="0"/>
          <w14:ligatures w14:val="none"/>
        </w:rPr>
      </w:pPr>
      <m:oMathPara>
        <m:oMath>
          <m:sSub>
            <m:sSubPr>
              <m:ctrlPr>
                <w:rPr>
                  <w:rFonts w:ascii="Cambria Math" w:eastAsia="Times New Roman" w:hAnsi="Cambria Math"/>
                  <w:snapToGrid/>
                  <w:color w:val="000000" w:themeColor="text1"/>
                  <w:spacing w:val="0"/>
                  <w:kern w:val="0"/>
                  <w14:ligatures w14:val="none"/>
                </w:rPr>
              </m:ctrlPr>
            </m:sSubPr>
            <m:e>
              <m:r>
                <w:rPr>
                  <w:rFonts w:ascii="Cambria Math" w:eastAsia="Times New Roman" w:hAnsi="Cambria Math"/>
                  <w:snapToGrid/>
                  <w:color w:val="000000" w:themeColor="text1"/>
                  <w:spacing w:val="0"/>
                  <w:kern w:val="0"/>
                  <w14:ligatures w14:val="none"/>
                </w:rPr>
                <m:t>E</m:t>
              </m:r>
            </m:e>
            <m:sub>
              <m:r>
                <m:rPr>
                  <m:nor/>
                </m:rPr>
                <w:rPr>
                  <w:rFonts w:eastAsia="Times New Roman"/>
                  <w:snapToGrid/>
                  <w:color w:val="000000" w:themeColor="text1"/>
                  <w:spacing w:val="0"/>
                  <w:kern w:val="0"/>
                  <w14:ligatures w14:val="none"/>
                </w:rPr>
                <m:t>Unified</m:t>
              </m:r>
              <m:r>
                <w:rPr>
                  <w:rFonts w:ascii="Cambria Math" w:eastAsia="Times New Roman" w:hAnsi="Cambria Math"/>
                  <w:snapToGrid/>
                  <w:color w:val="000000" w:themeColor="text1"/>
                  <w:spacing w:val="0"/>
                  <w:kern w:val="0"/>
                  <w14:ligatures w14:val="none"/>
                </w:rPr>
                <m:t>,</m:t>
              </m:r>
              <m:r>
                <m:rPr>
                  <m:nor/>
                </m:rPr>
                <w:rPr>
                  <w:rFonts w:eastAsia="Times New Roman"/>
                  <w:snapToGrid/>
                  <w:color w:val="000000" w:themeColor="text1"/>
                  <w:spacing w:val="0"/>
                  <w:kern w:val="0"/>
                  <w14:ligatures w14:val="none"/>
                </w:rPr>
                <m:t> </m:t>
              </m:r>
              <m:r>
                <w:rPr>
                  <w:rFonts w:ascii="Cambria Math" w:eastAsia="Times New Roman" w:hAnsi="Cambria Math"/>
                  <w:snapToGrid/>
                  <w:color w:val="000000" w:themeColor="text1"/>
                  <w:spacing w:val="0"/>
                  <w:kern w:val="0"/>
                  <w14:ligatures w14:val="none"/>
                </w:rPr>
                <m:t>i</m:t>
              </m:r>
            </m:sub>
          </m:sSub>
          <m:r>
            <w:rPr>
              <w:rFonts w:ascii="Cambria Math" w:eastAsia="Times New Roman" w:hAnsi="Cambria Math"/>
              <w:snapToGrid/>
              <w:color w:val="000000" w:themeColor="text1"/>
              <w:spacing w:val="0"/>
              <w:kern w:val="0"/>
              <w14:ligatures w14:val="none"/>
            </w:rPr>
            <m:t>=</m:t>
          </m:r>
          <m:r>
            <m:rPr>
              <m:sty m:val="p"/>
            </m:rPr>
            <w:rPr>
              <w:rFonts w:ascii="Cambria Math" w:eastAsia="Times New Roman" w:hAnsi="Cambria Math"/>
              <w:snapToGrid/>
              <w:color w:val="000000" w:themeColor="text1"/>
              <w:spacing w:val="0"/>
              <w:kern w:val="0"/>
              <w14:ligatures w14:val="none"/>
            </w:rPr>
            <m:t>min</m:t>
          </m:r>
          <m:r>
            <w:rPr>
              <w:rFonts w:ascii="Cambria Math" w:eastAsia="Times New Roman" w:hAnsi="Cambria Math"/>
              <w:snapToGrid/>
              <w:color w:val="000000" w:themeColor="text1"/>
              <w:spacing w:val="0"/>
              <w:kern w:val="0"/>
              <w14:ligatures w14:val="none"/>
            </w:rPr>
            <m:t>⁡(</m:t>
          </m:r>
          <m:sSub>
            <m:sSubPr>
              <m:ctrlPr>
                <w:rPr>
                  <w:rFonts w:ascii="Cambria Math" w:eastAsia="Times New Roman" w:hAnsi="Cambria Math"/>
                  <w:snapToGrid/>
                  <w:color w:val="000000" w:themeColor="text1"/>
                  <w:spacing w:val="0"/>
                  <w:kern w:val="0"/>
                  <w14:ligatures w14:val="none"/>
                </w:rPr>
              </m:ctrlPr>
            </m:sSubPr>
            <m:e>
              <m:r>
                <w:rPr>
                  <w:rFonts w:ascii="Cambria Math" w:eastAsia="Times New Roman" w:hAnsi="Cambria Math"/>
                  <w:snapToGrid/>
                  <w:color w:val="000000" w:themeColor="text1"/>
                  <w:spacing w:val="0"/>
                  <w:kern w:val="0"/>
                  <w14:ligatures w14:val="none"/>
                </w:rPr>
                <m:t>E</m:t>
              </m:r>
            </m:e>
            <m:sub>
              <m:r>
                <w:rPr>
                  <w:rFonts w:ascii="Cambria Math" w:eastAsia="Times New Roman" w:hAnsi="Cambria Math"/>
                  <w:snapToGrid/>
                  <w:color w:val="000000" w:themeColor="text1"/>
                  <w:spacing w:val="0"/>
                  <w:kern w:val="0"/>
                  <w14:ligatures w14:val="none"/>
                </w:rPr>
                <m:t>TAC</m:t>
              </m:r>
            </m:sub>
          </m:sSub>
          <m:r>
            <w:rPr>
              <w:rFonts w:ascii="Cambria Math" w:eastAsia="Times New Roman" w:hAnsi="Cambria Math"/>
              <w:snapToGrid/>
              <w:color w:val="000000" w:themeColor="text1"/>
              <w:spacing w:val="0"/>
              <w:kern w:val="0"/>
              <w14:ligatures w14:val="none"/>
            </w:rPr>
            <m:t>,</m:t>
          </m:r>
          <m:sSub>
            <m:sSubPr>
              <m:ctrlPr>
                <w:rPr>
                  <w:rFonts w:ascii="Cambria Math" w:eastAsia="Times New Roman" w:hAnsi="Cambria Math"/>
                  <w:snapToGrid/>
                  <w:color w:val="000000" w:themeColor="text1"/>
                  <w:spacing w:val="0"/>
                  <w:kern w:val="0"/>
                  <w14:ligatures w14:val="none"/>
                </w:rPr>
              </m:ctrlPr>
            </m:sSubPr>
            <m:e>
              <m:r>
                <w:rPr>
                  <w:rFonts w:ascii="Cambria Math" w:eastAsia="Times New Roman" w:hAnsi="Cambria Math"/>
                  <w:snapToGrid/>
                  <w:color w:val="000000" w:themeColor="text1"/>
                  <w:spacing w:val="0"/>
                  <w:kern w:val="0"/>
                  <w14:ligatures w14:val="none"/>
                </w:rPr>
                <m:t>E</m:t>
              </m:r>
            </m:e>
            <m:sub>
              <m:r>
                <w:rPr>
                  <w:rFonts w:ascii="Cambria Math" w:eastAsia="Times New Roman" w:hAnsi="Cambria Math"/>
                  <w:snapToGrid/>
                  <w:color w:val="000000" w:themeColor="text1"/>
                  <w:spacing w:val="0"/>
                  <w:kern w:val="0"/>
                  <w14:ligatures w14:val="none"/>
                </w:rPr>
                <m:t>IES</m:t>
              </m:r>
            </m:sub>
          </m:sSub>
          <m:r>
            <w:rPr>
              <w:rFonts w:ascii="Cambria Math" w:eastAsia="Times New Roman" w:hAnsi="Cambria Math"/>
              <w:snapToGrid/>
              <w:color w:val="000000" w:themeColor="text1"/>
              <w:spacing w:val="0"/>
              <w:kern w:val="0"/>
              <w14:ligatures w14:val="none"/>
            </w:rPr>
            <m:t>,</m:t>
          </m:r>
          <m:sSub>
            <m:sSubPr>
              <m:ctrlPr>
                <w:rPr>
                  <w:rFonts w:ascii="Cambria Math" w:eastAsia="Times New Roman" w:hAnsi="Cambria Math"/>
                  <w:snapToGrid/>
                  <w:color w:val="000000" w:themeColor="text1"/>
                  <w:spacing w:val="0"/>
                  <w:kern w:val="0"/>
                  <w14:ligatures w14:val="none"/>
                </w:rPr>
              </m:ctrlPr>
            </m:sSubPr>
            <m:e>
              <m:r>
                <w:rPr>
                  <w:rFonts w:ascii="Cambria Math" w:eastAsia="Times New Roman" w:hAnsi="Cambria Math"/>
                  <w:snapToGrid/>
                  <w:color w:val="000000" w:themeColor="text1"/>
                  <w:spacing w:val="0"/>
                  <w:kern w:val="0"/>
                  <w14:ligatures w14:val="none"/>
                </w:rPr>
                <m:t>E</m:t>
              </m:r>
            </m:e>
            <m:sub>
              <m:r>
                <w:rPr>
                  <w:rFonts w:ascii="Cambria Math" w:eastAsia="Times New Roman" w:hAnsi="Cambria Math"/>
                  <w:snapToGrid/>
                  <w:color w:val="000000" w:themeColor="text1"/>
                  <w:spacing w:val="0"/>
                  <w:kern w:val="0"/>
                  <w14:ligatures w14:val="none"/>
                </w:rPr>
                <m:t>CIE</m:t>
              </m:r>
            </m:sub>
          </m:sSub>
          <m:r>
            <w:rPr>
              <w:rFonts w:ascii="Cambria Math" w:eastAsia="Times New Roman" w:hAnsi="Cambria Math"/>
              <w:snapToGrid/>
              <w:color w:val="000000" w:themeColor="text1"/>
              <w:spacing w:val="0"/>
              <w:kern w:val="0"/>
              <w14:ligatures w14:val="none"/>
            </w:rPr>
            <m:t>,</m:t>
          </m:r>
          <m:sSub>
            <m:sSubPr>
              <m:ctrlPr>
                <w:rPr>
                  <w:rFonts w:ascii="Cambria Math" w:eastAsia="Times New Roman" w:hAnsi="Cambria Math"/>
                  <w:snapToGrid/>
                  <w:color w:val="000000" w:themeColor="text1"/>
                  <w:spacing w:val="0"/>
                  <w:kern w:val="0"/>
                  <w14:ligatures w14:val="none"/>
                </w:rPr>
              </m:ctrlPr>
            </m:sSubPr>
            <m:e>
              <m:r>
                <w:rPr>
                  <w:rFonts w:ascii="Cambria Math" w:eastAsia="Times New Roman" w:hAnsi="Cambria Math"/>
                  <w:snapToGrid/>
                  <w:color w:val="000000" w:themeColor="text1"/>
                  <w:spacing w:val="0"/>
                  <w:kern w:val="0"/>
                  <w14:ligatures w14:val="none"/>
                </w:rPr>
                <m:t>E</m:t>
              </m:r>
            </m:e>
            <m:sub>
              <m:r>
                <w:rPr>
                  <w:rFonts w:ascii="Cambria Math" w:eastAsia="Times New Roman" w:hAnsi="Cambria Math"/>
                  <w:snapToGrid/>
                  <w:color w:val="000000" w:themeColor="text1"/>
                  <w:spacing w:val="0"/>
                  <w:kern w:val="0"/>
                  <w14:ligatures w14:val="none"/>
                </w:rPr>
                <m:t>ILP</m:t>
              </m:r>
            </m:sub>
          </m:sSub>
          <m:r>
            <w:rPr>
              <w:rFonts w:ascii="Cambria Math" w:eastAsia="Times New Roman" w:hAnsi="Cambria Math"/>
              <w:snapToGrid/>
              <w:color w:val="000000" w:themeColor="text1"/>
              <w:spacing w:val="0"/>
              <w:kern w:val="0"/>
              <w14:ligatures w14:val="none"/>
            </w:rPr>
            <m:t>,</m:t>
          </m:r>
          <m:sSub>
            <m:sSubPr>
              <m:ctrlPr>
                <w:rPr>
                  <w:rFonts w:ascii="Cambria Math" w:eastAsia="Times New Roman" w:hAnsi="Cambria Math"/>
                  <w:snapToGrid/>
                  <w:color w:val="000000" w:themeColor="text1"/>
                  <w:spacing w:val="0"/>
                  <w:kern w:val="0"/>
                  <w14:ligatures w14:val="none"/>
                </w:rPr>
              </m:ctrlPr>
            </m:sSubPr>
            <m:e>
              <m:r>
                <w:rPr>
                  <w:rFonts w:ascii="Cambria Math" w:eastAsia="Times New Roman" w:hAnsi="Cambria Math"/>
                  <w:snapToGrid/>
                  <w:color w:val="000000" w:themeColor="text1"/>
                  <w:spacing w:val="0"/>
                  <w:kern w:val="0"/>
                  <w14:ligatures w14:val="none"/>
                </w:rPr>
                <m:t>E</m:t>
              </m:r>
            </m:e>
            <m:sub>
              <m:r>
                <w:rPr>
                  <w:rFonts w:ascii="Cambria Math" w:eastAsia="Times New Roman" w:hAnsi="Cambria Math"/>
                  <w:snapToGrid/>
                  <w:color w:val="000000" w:themeColor="text1"/>
                  <w:spacing w:val="0"/>
                  <w:kern w:val="0"/>
                  <w14:ligatures w14:val="none"/>
                </w:rPr>
                <m:t>AS</m:t>
              </m:r>
              <m:r>
                <m:rPr>
                  <m:sty m:val="p"/>
                </m:rPr>
                <w:rPr>
                  <w:rFonts w:ascii="Cambria Math" w:eastAsia="Times New Roman" w:hAnsi="Cambria Math"/>
                  <w:snapToGrid/>
                  <w:color w:val="000000" w:themeColor="text1"/>
                  <w:spacing w:val="0"/>
                  <w:kern w:val="0"/>
                  <w14:ligatures w14:val="none"/>
                </w:rPr>
                <m:t>/</m:t>
              </m:r>
              <m:r>
                <w:rPr>
                  <w:rFonts w:ascii="Cambria Math" w:eastAsia="Times New Roman" w:hAnsi="Cambria Math"/>
                  <w:snapToGrid/>
                  <w:color w:val="000000" w:themeColor="text1"/>
                  <w:spacing w:val="0"/>
                  <w:kern w:val="0"/>
                  <w14:ligatures w14:val="none"/>
                </w:rPr>
                <m:t>NZS</m:t>
              </m:r>
            </m:sub>
          </m:sSub>
          <m:r>
            <w:rPr>
              <w:rFonts w:ascii="Cambria Math" w:eastAsia="Times New Roman" w:hAnsi="Cambria Math"/>
              <w:snapToGrid/>
              <w:color w:val="000000" w:themeColor="text1"/>
              <w:spacing w:val="0"/>
              <w:kern w:val="0"/>
              <w14:ligatures w14:val="none"/>
            </w:rPr>
            <m:t>,</m:t>
          </m:r>
          <m:sSub>
            <m:sSubPr>
              <m:ctrlPr>
                <w:rPr>
                  <w:rFonts w:ascii="Cambria Math" w:eastAsia="Times New Roman" w:hAnsi="Cambria Math"/>
                  <w:snapToGrid/>
                  <w:color w:val="000000" w:themeColor="text1"/>
                  <w:spacing w:val="0"/>
                  <w:kern w:val="0"/>
                  <w14:ligatures w14:val="none"/>
                </w:rPr>
              </m:ctrlPr>
            </m:sSubPr>
            <m:e>
              <m:r>
                <w:rPr>
                  <w:rFonts w:ascii="Cambria Math" w:eastAsia="Times New Roman" w:hAnsi="Cambria Math"/>
                  <w:snapToGrid/>
                  <w:color w:val="000000" w:themeColor="text1"/>
                  <w:spacing w:val="0"/>
                  <w:kern w:val="0"/>
                  <w14:ligatures w14:val="none"/>
                </w:rPr>
                <m:t>E</m:t>
              </m:r>
            </m:e>
            <m:sub>
              <m:r>
                <w:rPr>
                  <w:rFonts w:ascii="Cambria Math" w:eastAsia="Times New Roman" w:hAnsi="Cambria Math"/>
                  <w:snapToGrid/>
                  <w:color w:val="000000" w:themeColor="text1"/>
                  <w:spacing w:val="0"/>
                  <w:kern w:val="0"/>
                  <w14:ligatures w14:val="none"/>
                </w:rPr>
                <m:t>IDA</m:t>
              </m:r>
            </m:sub>
          </m:sSub>
          <m:r>
            <w:rPr>
              <w:rFonts w:ascii="Cambria Math" w:eastAsia="Times New Roman" w:hAnsi="Cambria Math"/>
              <w:snapToGrid/>
              <w:color w:val="000000" w:themeColor="text1"/>
              <w:spacing w:val="0"/>
              <w:kern w:val="0"/>
              <w14:ligatures w14:val="none"/>
            </w:rPr>
            <m:t>)</m:t>
          </m:r>
          <m:r>
            <m:rPr>
              <m:sty m:val="p"/>
            </m:rPr>
            <w:rPr>
              <w:rFonts w:ascii="Cambria Math" w:eastAsia="Times New Roman" w:hAnsi="Cambria Math"/>
              <w:snapToGrid/>
              <w:color w:val="000000" w:themeColor="text1"/>
              <w:spacing w:val="0"/>
              <w:kern w:val="0"/>
              <w14:ligatures w14:val="none"/>
            </w:rPr>
            <w:br/>
          </m:r>
        </m:oMath>
      </m:oMathPara>
    </w:p>
    <w:p w14:paraId="3CB86A65" w14:textId="77777777" w:rsidR="00C04FFE" w:rsidRPr="00EF2F5B" w:rsidRDefault="00C04FFE" w:rsidP="00C04FFE">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Where:</w:t>
      </w:r>
    </w:p>
    <w:p w14:paraId="09D66BA7" w14:textId="77777777" w:rsidR="00C04FFE" w:rsidRPr="00EF2F5B" w:rsidRDefault="00C04FFE" w:rsidP="00C04FFE">
      <w:pPr>
        <w:numPr>
          <w:ilvl w:val="0"/>
          <w:numId w:val="20"/>
        </w:numPr>
        <w:spacing w:before="100" w:beforeAutospacing="1" w:after="100" w:afterAutospacing="1" w:line="240" w:lineRule="auto"/>
        <w:rPr>
          <w:rFonts w:eastAsia="Times New Roman"/>
          <w:snapToGrid/>
          <w:color w:val="000000" w:themeColor="text1"/>
          <w:spacing w:val="0"/>
          <w:kern w:val="0"/>
          <w14:ligatures w14:val="none"/>
        </w:rPr>
      </w:pPr>
      <m:oMath>
        <m:r>
          <w:rPr>
            <w:rFonts w:ascii="Cambria Math" w:eastAsia="Times New Roman" w:hAnsi="Cambria Math"/>
            <w:snapToGrid/>
            <w:color w:val="000000" w:themeColor="text1"/>
            <w:spacing w:val="0"/>
            <w:kern w:val="0"/>
            <w14:ligatures w14:val="none"/>
          </w:rPr>
          <m:t>i={LZ1,LZ2,LZ3,LZ4}</m:t>
        </m:r>
      </m:oMath>
    </w:p>
    <w:p w14:paraId="01EC99AC" w14:textId="77777777" w:rsidR="00C04FFE" w:rsidRPr="00EF2F5B" w:rsidRDefault="00C04FFE" w:rsidP="00C04FFE">
      <w:pPr>
        <w:numPr>
          <w:ilvl w:val="0"/>
          <w:numId w:val="20"/>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Missing values (e.g., “–”) are </w:t>
      </w:r>
      <w:r w:rsidRPr="00EF2F5B">
        <w:rPr>
          <w:rFonts w:eastAsia="Times New Roman"/>
          <w:b/>
          <w:bCs/>
          <w:snapToGrid/>
          <w:color w:val="000000" w:themeColor="text1"/>
          <w:spacing w:val="0"/>
          <w:kern w:val="0"/>
          <w14:ligatures w14:val="none"/>
        </w:rPr>
        <w:t>excluded</w:t>
      </w:r>
      <w:r w:rsidRPr="00EF2F5B">
        <w:rPr>
          <w:rFonts w:eastAsia="Times New Roman"/>
          <w:snapToGrid/>
          <w:color w:val="000000" w:themeColor="text1"/>
          <w:spacing w:val="0"/>
          <w:kern w:val="0"/>
          <w14:ligatures w14:val="none"/>
        </w:rPr>
        <w:t xml:space="preserve">, not treated as zero. </w:t>
      </w:r>
    </w:p>
    <w:p w14:paraId="6390C5EA" w14:textId="750ED482" w:rsidR="000A77C1" w:rsidRPr="00EF2F5B" w:rsidRDefault="000A77C1" w:rsidP="000A77C1">
      <w:pPr>
        <w:spacing w:after="0" w:line="240" w:lineRule="auto"/>
        <w:rPr>
          <w:color w:val="000000" w:themeColor="text1"/>
          <w:spacing w:val="0"/>
        </w:rPr>
      </w:pPr>
      <w:r w:rsidRPr="00EF2F5B">
        <w:rPr>
          <w:color w:val="000000" w:themeColor="text1"/>
          <w:spacing w:val="0"/>
        </w:rPr>
        <w:t xml:space="preserve">Table 14 shows the minimum threshold selection and </w:t>
      </w:r>
      <w:r w:rsidR="00DA1551" w:rsidRPr="00EF2F5B">
        <w:rPr>
          <w:color w:val="000000" w:themeColor="text1"/>
          <w:spacing w:val="0"/>
        </w:rPr>
        <w:t xml:space="preserve">the resulting </w:t>
      </w:r>
      <w:r w:rsidRPr="00EF2F5B">
        <w:rPr>
          <w:color w:val="000000" w:themeColor="text1"/>
          <w:spacing w:val="0"/>
        </w:rPr>
        <w:t xml:space="preserve">unified </w:t>
      </w:r>
      <w:r w:rsidR="00DA1551" w:rsidRPr="00EF2F5B">
        <w:rPr>
          <w:color w:val="000000" w:themeColor="text1"/>
          <w:spacing w:val="0"/>
        </w:rPr>
        <w:t xml:space="preserve">threshold </w:t>
      </w:r>
      <w:r w:rsidRPr="00EF2F5B">
        <w:rPr>
          <w:color w:val="000000" w:themeColor="text1"/>
          <w:spacing w:val="0"/>
        </w:rPr>
        <w:t xml:space="preserve">limit.  </w:t>
      </w:r>
    </w:p>
    <w:p w14:paraId="7DF3940D" w14:textId="77777777" w:rsidR="00C04FFE" w:rsidRPr="00EF2F5B" w:rsidRDefault="00C04FFE" w:rsidP="00F0093D">
      <w:pPr>
        <w:spacing w:after="0" w:line="240" w:lineRule="auto"/>
        <w:jc w:val="both"/>
        <w:rPr>
          <w:color w:val="000000" w:themeColor="text1"/>
          <w:spacing w:val="0"/>
        </w:rPr>
      </w:pPr>
    </w:p>
    <w:p w14:paraId="731CBBC7" w14:textId="5B93FD4F" w:rsidR="000A77C1" w:rsidRPr="00EF2F5B" w:rsidRDefault="000A77C1" w:rsidP="000A77C1">
      <w:pPr>
        <w:jc w:val="center"/>
        <w:rPr>
          <w:rFonts w:ascii="Times New Roman Bold" w:hAnsi="Times New Roman Bold"/>
          <w:b/>
          <w:bCs/>
          <w:color w:val="000000" w:themeColor="text1"/>
          <w:spacing w:val="0"/>
        </w:rPr>
      </w:pPr>
      <w:r w:rsidRPr="00EF2F5B">
        <w:rPr>
          <w:rFonts w:ascii="Times New Roman Bold" w:hAnsi="Times New Roman Bold"/>
          <w:b/>
          <w:bCs/>
          <w:color w:val="000000" w:themeColor="text1"/>
          <w:spacing w:val="0"/>
        </w:rPr>
        <w:t>Table 14: Minimum-Threshold Selection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704"/>
        <w:gridCol w:w="2977"/>
        <w:gridCol w:w="2551"/>
        <w:gridCol w:w="2127"/>
      </w:tblGrid>
      <w:tr w:rsidR="00EF2F5B" w:rsidRPr="00EF2F5B" w14:paraId="5F6E9139" w14:textId="77777777" w:rsidTr="000A77C1">
        <w:trPr>
          <w:tblHeader/>
        </w:trPr>
        <w:tc>
          <w:tcPr>
            <w:tcW w:w="704" w:type="dxa"/>
            <w:vAlign w:val="center"/>
            <w:hideMark/>
          </w:tcPr>
          <w:p w14:paraId="305CC8FD" w14:textId="77777777" w:rsidR="000A77C1" w:rsidRPr="00EF2F5B" w:rsidRDefault="000A77C1" w:rsidP="000A77C1">
            <w:pPr>
              <w:spacing w:after="0" w:line="240" w:lineRule="auto"/>
              <w:jc w:val="center"/>
              <w:rPr>
                <w:rFonts w:eastAsia="Times New Roman"/>
                <w:b/>
                <w:bCs/>
                <w:snapToGrid/>
                <w:color w:val="000000" w:themeColor="text1"/>
                <w:spacing w:val="0"/>
                <w:kern w:val="0"/>
                <w14:ligatures w14:val="none"/>
              </w:rPr>
            </w:pPr>
            <w:r w:rsidRPr="00EF2F5B">
              <w:rPr>
                <w:rFonts w:eastAsia="Times New Roman"/>
                <w:b/>
                <w:bCs/>
                <w:snapToGrid/>
                <w:color w:val="000000" w:themeColor="text1"/>
                <w:spacing w:val="0"/>
                <w:kern w:val="0"/>
                <w14:ligatures w14:val="none"/>
              </w:rPr>
              <w:t>Zone</w:t>
            </w:r>
          </w:p>
        </w:tc>
        <w:tc>
          <w:tcPr>
            <w:tcW w:w="2977" w:type="dxa"/>
            <w:vAlign w:val="center"/>
            <w:hideMark/>
          </w:tcPr>
          <w:p w14:paraId="729769F3" w14:textId="77777777" w:rsidR="000A77C1" w:rsidRPr="00EF2F5B" w:rsidRDefault="000A77C1" w:rsidP="000A77C1">
            <w:pPr>
              <w:spacing w:after="0" w:line="240" w:lineRule="auto"/>
              <w:jc w:val="center"/>
              <w:rPr>
                <w:rFonts w:eastAsia="Times New Roman"/>
                <w:b/>
                <w:bCs/>
                <w:snapToGrid/>
                <w:color w:val="000000" w:themeColor="text1"/>
                <w:spacing w:val="0"/>
                <w:kern w:val="0"/>
                <w14:ligatures w14:val="none"/>
              </w:rPr>
            </w:pPr>
            <w:r w:rsidRPr="00EF2F5B">
              <w:rPr>
                <w:rFonts w:eastAsia="Times New Roman"/>
                <w:b/>
                <w:bCs/>
                <w:snapToGrid/>
                <w:color w:val="000000" w:themeColor="text1"/>
                <w:spacing w:val="0"/>
                <w:kern w:val="0"/>
                <w14:ligatures w14:val="none"/>
              </w:rPr>
              <w:t>Values Considered</w:t>
            </w:r>
          </w:p>
        </w:tc>
        <w:tc>
          <w:tcPr>
            <w:tcW w:w="2551" w:type="dxa"/>
            <w:vAlign w:val="center"/>
            <w:hideMark/>
          </w:tcPr>
          <w:p w14:paraId="35C87987" w14:textId="77777777" w:rsidR="000A77C1" w:rsidRPr="00EF2F5B" w:rsidRDefault="000A77C1" w:rsidP="000A77C1">
            <w:pPr>
              <w:spacing w:after="0" w:line="240" w:lineRule="auto"/>
              <w:jc w:val="center"/>
              <w:rPr>
                <w:rFonts w:eastAsia="Times New Roman"/>
                <w:b/>
                <w:bCs/>
                <w:snapToGrid/>
                <w:color w:val="000000" w:themeColor="text1"/>
                <w:spacing w:val="0"/>
                <w:kern w:val="0"/>
                <w14:ligatures w14:val="none"/>
              </w:rPr>
            </w:pPr>
            <w:r w:rsidRPr="00EF2F5B">
              <w:rPr>
                <w:rFonts w:eastAsia="Times New Roman"/>
                <w:b/>
                <w:bCs/>
                <w:snapToGrid/>
                <w:color w:val="000000" w:themeColor="text1"/>
                <w:spacing w:val="0"/>
                <w:kern w:val="0"/>
                <w14:ligatures w14:val="none"/>
              </w:rPr>
              <w:t>Minimum Selected</w:t>
            </w:r>
          </w:p>
        </w:tc>
        <w:tc>
          <w:tcPr>
            <w:tcW w:w="2127" w:type="dxa"/>
            <w:vAlign w:val="center"/>
            <w:hideMark/>
          </w:tcPr>
          <w:p w14:paraId="66EAF965" w14:textId="77777777" w:rsidR="000A77C1" w:rsidRPr="00EF2F5B" w:rsidRDefault="000A77C1" w:rsidP="000A77C1">
            <w:pPr>
              <w:spacing w:after="0" w:line="240" w:lineRule="auto"/>
              <w:jc w:val="center"/>
              <w:rPr>
                <w:rFonts w:eastAsia="Times New Roman"/>
                <w:b/>
                <w:bCs/>
                <w:snapToGrid/>
                <w:color w:val="000000" w:themeColor="text1"/>
                <w:spacing w:val="0"/>
                <w:kern w:val="0"/>
                <w14:ligatures w14:val="none"/>
              </w:rPr>
            </w:pPr>
            <w:r w:rsidRPr="00EF2F5B">
              <w:rPr>
                <w:rFonts w:eastAsia="Times New Roman"/>
                <w:b/>
                <w:bCs/>
                <w:snapToGrid/>
                <w:color w:val="000000" w:themeColor="text1"/>
                <w:spacing w:val="0"/>
                <w:kern w:val="0"/>
                <w14:ligatures w14:val="none"/>
              </w:rPr>
              <w:t>Unified Limit</w:t>
            </w:r>
          </w:p>
        </w:tc>
      </w:tr>
      <w:tr w:rsidR="00EF2F5B" w:rsidRPr="00EF2F5B" w14:paraId="25637D56" w14:textId="77777777" w:rsidTr="000A77C1">
        <w:tc>
          <w:tcPr>
            <w:tcW w:w="704" w:type="dxa"/>
            <w:vAlign w:val="center"/>
            <w:hideMark/>
          </w:tcPr>
          <w:p w14:paraId="2FC62960" w14:textId="77777777" w:rsidR="000A77C1" w:rsidRPr="00EF2F5B" w:rsidRDefault="000A77C1" w:rsidP="000A77C1">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LZ1</w:t>
            </w:r>
          </w:p>
        </w:tc>
        <w:tc>
          <w:tcPr>
            <w:tcW w:w="2977" w:type="dxa"/>
            <w:vAlign w:val="center"/>
            <w:hideMark/>
          </w:tcPr>
          <w:p w14:paraId="602E1067" w14:textId="77777777" w:rsidR="000A77C1" w:rsidRPr="00EF2F5B" w:rsidRDefault="000A77C1" w:rsidP="000A77C1">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1, 1, 2, 2, 1</w:t>
            </w:r>
          </w:p>
        </w:tc>
        <w:tc>
          <w:tcPr>
            <w:tcW w:w="2551" w:type="dxa"/>
            <w:vAlign w:val="center"/>
            <w:hideMark/>
          </w:tcPr>
          <w:p w14:paraId="62383906" w14:textId="77777777" w:rsidR="000A77C1" w:rsidRPr="00EF2F5B" w:rsidRDefault="000A77C1" w:rsidP="000A77C1">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1</w:t>
            </w:r>
          </w:p>
        </w:tc>
        <w:tc>
          <w:tcPr>
            <w:tcW w:w="2127" w:type="dxa"/>
            <w:vAlign w:val="center"/>
            <w:hideMark/>
          </w:tcPr>
          <w:p w14:paraId="21F093D1" w14:textId="77777777" w:rsidR="000A77C1" w:rsidRPr="00EF2F5B" w:rsidRDefault="000A77C1" w:rsidP="000A77C1">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1 lux</w:t>
            </w:r>
          </w:p>
        </w:tc>
      </w:tr>
      <w:tr w:rsidR="00EF2F5B" w:rsidRPr="00EF2F5B" w14:paraId="2B926F1C" w14:textId="77777777" w:rsidTr="000A77C1">
        <w:tc>
          <w:tcPr>
            <w:tcW w:w="704" w:type="dxa"/>
            <w:vAlign w:val="center"/>
            <w:hideMark/>
          </w:tcPr>
          <w:p w14:paraId="74CC1FDC" w14:textId="77777777" w:rsidR="000A77C1" w:rsidRPr="00EF2F5B" w:rsidRDefault="000A77C1" w:rsidP="000A77C1">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LZ2</w:t>
            </w:r>
          </w:p>
        </w:tc>
        <w:tc>
          <w:tcPr>
            <w:tcW w:w="2977" w:type="dxa"/>
            <w:vAlign w:val="center"/>
            <w:hideMark/>
          </w:tcPr>
          <w:p w14:paraId="55EF3009" w14:textId="77777777" w:rsidR="000A77C1" w:rsidRPr="00EF2F5B" w:rsidRDefault="000A77C1" w:rsidP="000A77C1">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3, 3, 5, 5, 10, 3</w:t>
            </w:r>
          </w:p>
        </w:tc>
        <w:tc>
          <w:tcPr>
            <w:tcW w:w="2551" w:type="dxa"/>
            <w:vAlign w:val="center"/>
            <w:hideMark/>
          </w:tcPr>
          <w:p w14:paraId="54129F83" w14:textId="77777777" w:rsidR="000A77C1" w:rsidRPr="00EF2F5B" w:rsidRDefault="000A77C1" w:rsidP="000A77C1">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3</w:t>
            </w:r>
          </w:p>
        </w:tc>
        <w:tc>
          <w:tcPr>
            <w:tcW w:w="2127" w:type="dxa"/>
            <w:vAlign w:val="center"/>
            <w:hideMark/>
          </w:tcPr>
          <w:p w14:paraId="697E410D" w14:textId="77777777" w:rsidR="000A77C1" w:rsidRPr="00EF2F5B" w:rsidRDefault="000A77C1" w:rsidP="000A77C1">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3 lux</w:t>
            </w:r>
          </w:p>
        </w:tc>
      </w:tr>
      <w:tr w:rsidR="00EF2F5B" w:rsidRPr="00EF2F5B" w14:paraId="76DCC664" w14:textId="77777777" w:rsidTr="000A77C1">
        <w:tc>
          <w:tcPr>
            <w:tcW w:w="704" w:type="dxa"/>
            <w:vAlign w:val="center"/>
            <w:hideMark/>
          </w:tcPr>
          <w:p w14:paraId="2BBD416A" w14:textId="77777777" w:rsidR="000A77C1" w:rsidRPr="00EF2F5B" w:rsidRDefault="000A77C1" w:rsidP="000A77C1">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LZ3</w:t>
            </w:r>
          </w:p>
        </w:tc>
        <w:tc>
          <w:tcPr>
            <w:tcW w:w="2977" w:type="dxa"/>
            <w:vAlign w:val="center"/>
            <w:hideMark/>
          </w:tcPr>
          <w:p w14:paraId="16835AD9" w14:textId="77777777" w:rsidR="000A77C1" w:rsidRPr="00EF2F5B" w:rsidRDefault="000A77C1" w:rsidP="000A77C1">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8, 8, 10, 10, 10, 8</w:t>
            </w:r>
          </w:p>
        </w:tc>
        <w:tc>
          <w:tcPr>
            <w:tcW w:w="2551" w:type="dxa"/>
            <w:vAlign w:val="center"/>
            <w:hideMark/>
          </w:tcPr>
          <w:p w14:paraId="4840FA6B" w14:textId="77777777" w:rsidR="000A77C1" w:rsidRPr="00EF2F5B" w:rsidRDefault="000A77C1" w:rsidP="000A77C1">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8</w:t>
            </w:r>
          </w:p>
        </w:tc>
        <w:tc>
          <w:tcPr>
            <w:tcW w:w="2127" w:type="dxa"/>
            <w:vAlign w:val="center"/>
            <w:hideMark/>
          </w:tcPr>
          <w:p w14:paraId="7FD3AE90" w14:textId="77777777" w:rsidR="000A77C1" w:rsidRPr="00EF2F5B" w:rsidRDefault="000A77C1" w:rsidP="000A77C1">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8 lux</w:t>
            </w:r>
          </w:p>
        </w:tc>
      </w:tr>
      <w:tr w:rsidR="000A77C1" w:rsidRPr="00EF2F5B" w14:paraId="2B88518F" w14:textId="77777777" w:rsidTr="000A77C1">
        <w:tc>
          <w:tcPr>
            <w:tcW w:w="704" w:type="dxa"/>
            <w:vAlign w:val="center"/>
            <w:hideMark/>
          </w:tcPr>
          <w:p w14:paraId="0EB3E2BE" w14:textId="77777777" w:rsidR="000A77C1" w:rsidRPr="00EF2F5B" w:rsidRDefault="000A77C1" w:rsidP="000A77C1">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LZ4</w:t>
            </w:r>
          </w:p>
        </w:tc>
        <w:tc>
          <w:tcPr>
            <w:tcW w:w="2977" w:type="dxa"/>
            <w:vAlign w:val="center"/>
            <w:hideMark/>
          </w:tcPr>
          <w:p w14:paraId="260E429B" w14:textId="77777777" w:rsidR="000A77C1" w:rsidRPr="00EF2F5B" w:rsidRDefault="000A77C1" w:rsidP="000A77C1">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15, 15, 25, 25, 25, 15</w:t>
            </w:r>
          </w:p>
        </w:tc>
        <w:tc>
          <w:tcPr>
            <w:tcW w:w="2551" w:type="dxa"/>
            <w:vAlign w:val="center"/>
            <w:hideMark/>
          </w:tcPr>
          <w:p w14:paraId="0C1DF4E6" w14:textId="77777777" w:rsidR="000A77C1" w:rsidRPr="00EF2F5B" w:rsidRDefault="000A77C1" w:rsidP="000A77C1">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15</w:t>
            </w:r>
          </w:p>
        </w:tc>
        <w:tc>
          <w:tcPr>
            <w:tcW w:w="2127" w:type="dxa"/>
            <w:vAlign w:val="center"/>
            <w:hideMark/>
          </w:tcPr>
          <w:p w14:paraId="7448E50E" w14:textId="77777777" w:rsidR="000A77C1" w:rsidRPr="00EF2F5B" w:rsidRDefault="000A77C1" w:rsidP="000A77C1">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15 lux</w:t>
            </w:r>
          </w:p>
        </w:tc>
      </w:tr>
    </w:tbl>
    <w:p w14:paraId="4FF5A62A" w14:textId="77777777" w:rsidR="00C864B8" w:rsidRPr="00EF2F5B" w:rsidRDefault="00C864B8" w:rsidP="00C864B8">
      <w:pPr>
        <w:rPr>
          <w:color w:val="000000" w:themeColor="text1"/>
        </w:rPr>
      </w:pPr>
    </w:p>
    <w:p w14:paraId="51709DF9" w14:textId="3C4C235E" w:rsidR="00C864B8" w:rsidRPr="00EF2F5B" w:rsidRDefault="00C864B8" w:rsidP="00C864B8">
      <w:pPr>
        <w:jc w:val="both"/>
        <w:rPr>
          <w:color w:val="000000" w:themeColor="text1"/>
          <w:spacing w:val="0"/>
        </w:rPr>
      </w:pPr>
      <w:r w:rsidRPr="00EF2F5B">
        <w:rPr>
          <w:color w:val="000000" w:themeColor="text1"/>
          <w:spacing w:val="0"/>
        </w:rPr>
        <w:t>The systematic derivation of a single, conservative, universally compliant threshold set (1, 3, 8, 15 lux) is novel.  The originality lies not in introducing new photometrics, but in:</w:t>
      </w:r>
    </w:p>
    <w:p w14:paraId="532C960A" w14:textId="2CE392E8" w:rsidR="00C864B8" w:rsidRPr="00EF2F5B" w:rsidRDefault="00C864B8" w:rsidP="00C864B8">
      <w:pPr>
        <w:pStyle w:val="ListParagraph"/>
        <w:numPr>
          <w:ilvl w:val="0"/>
          <w:numId w:val="14"/>
        </w:numPr>
        <w:rPr>
          <w:color w:val="000000" w:themeColor="text1"/>
          <w:spacing w:val="0"/>
        </w:rPr>
      </w:pPr>
      <w:r w:rsidRPr="00EF2F5B">
        <w:rPr>
          <w:color w:val="000000" w:themeColor="text1"/>
          <w:spacing w:val="0"/>
        </w:rPr>
        <w:t xml:space="preserve">Framing standard </w:t>
      </w:r>
      <w:r w:rsidR="00434D7F" w:rsidRPr="00EF2F5B">
        <w:rPr>
          <w:color w:val="000000" w:themeColor="text1"/>
          <w:spacing w:val="0"/>
        </w:rPr>
        <w:t>harmonisation</w:t>
      </w:r>
      <w:r w:rsidRPr="00EF2F5B">
        <w:rPr>
          <w:color w:val="000000" w:themeColor="text1"/>
          <w:spacing w:val="0"/>
        </w:rPr>
        <w:t xml:space="preserve"> as a regulatory convergence problem for Universal compliance compatibility </w:t>
      </w:r>
    </w:p>
    <w:p w14:paraId="2AA790D4" w14:textId="3795151F" w:rsidR="00C864B8" w:rsidRPr="00EF2F5B" w:rsidRDefault="00C864B8" w:rsidP="00C864B8">
      <w:pPr>
        <w:pStyle w:val="ListParagraph"/>
        <w:numPr>
          <w:ilvl w:val="0"/>
          <w:numId w:val="14"/>
        </w:numPr>
        <w:rPr>
          <w:color w:val="000000" w:themeColor="text1"/>
          <w:spacing w:val="0"/>
        </w:rPr>
      </w:pPr>
      <w:r w:rsidRPr="00EF2F5B">
        <w:rPr>
          <w:color w:val="000000" w:themeColor="text1"/>
          <w:spacing w:val="0"/>
        </w:rPr>
        <w:t xml:space="preserve">Explicitly </w:t>
      </w:r>
      <w:r w:rsidR="00434D7F" w:rsidRPr="00EF2F5B">
        <w:rPr>
          <w:color w:val="000000" w:themeColor="text1"/>
          <w:spacing w:val="0"/>
        </w:rPr>
        <w:t>operationalising</w:t>
      </w:r>
      <w:r w:rsidRPr="00EF2F5B">
        <w:rPr>
          <w:color w:val="000000" w:themeColor="text1"/>
          <w:spacing w:val="0"/>
        </w:rPr>
        <w:t xml:space="preserve"> a worst‑case / non‑deterioration principle (no standard weakened).</w:t>
      </w:r>
    </w:p>
    <w:p w14:paraId="796BEACE" w14:textId="77777777" w:rsidR="00C864B8" w:rsidRPr="00EF2F5B" w:rsidRDefault="00C864B8" w:rsidP="00C864B8">
      <w:pPr>
        <w:pStyle w:val="ListParagraph"/>
        <w:numPr>
          <w:ilvl w:val="0"/>
          <w:numId w:val="14"/>
        </w:numPr>
        <w:rPr>
          <w:color w:val="000000" w:themeColor="text1"/>
          <w:spacing w:val="0"/>
        </w:rPr>
      </w:pPr>
      <w:r w:rsidRPr="00EF2F5B">
        <w:rPr>
          <w:color w:val="000000" w:themeColor="text1"/>
          <w:spacing w:val="0"/>
        </w:rPr>
        <w:t>Translating fragmented standards into an implementation‑ready governance framework.</w:t>
      </w:r>
    </w:p>
    <w:p w14:paraId="13943FAE" w14:textId="1C1F4FFF" w:rsidR="00C04FFE" w:rsidRPr="00EF2F5B" w:rsidRDefault="00B729D6" w:rsidP="00F0093D">
      <w:pPr>
        <w:spacing w:after="0" w:line="240" w:lineRule="auto"/>
        <w:jc w:val="both"/>
        <w:rPr>
          <w:color w:val="000000" w:themeColor="text1"/>
          <w:spacing w:val="0"/>
        </w:rPr>
      </w:pPr>
      <w:r w:rsidRPr="00EF2F5B">
        <w:rPr>
          <w:color w:val="000000" w:themeColor="text1"/>
          <w:spacing w:val="0"/>
        </w:rPr>
        <w:t>The unified thresholds are derived using a conservative minimum-selection rule, ensuring that the adopted limits do not exceed any value currently accepted within major international standards. This guarantees full backward compatibility with all regulatory frameworks and prevents any reduction in environmental protection.</w:t>
      </w:r>
    </w:p>
    <w:p w14:paraId="11D0A297" w14:textId="77777777" w:rsidR="00827552" w:rsidRPr="00EF2F5B" w:rsidRDefault="00827552" w:rsidP="00F0093D">
      <w:pPr>
        <w:spacing w:after="0" w:line="240" w:lineRule="auto"/>
        <w:jc w:val="both"/>
        <w:rPr>
          <w:color w:val="000000" w:themeColor="text1"/>
          <w:spacing w:val="0"/>
        </w:rPr>
      </w:pPr>
    </w:p>
    <w:p w14:paraId="1848FF1F" w14:textId="1A589AD3" w:rsidR="00827552" w:rsidRPr="00EF2F5B" w:rsidRDefault="00827552" w:rsidP="00F0093D">
      <w:pPr>
        <w:spacing w:after="0" w:line="240" w:lineRule="auto"/>
        <w:jc w:val="both"/>
        <w:rPr>
          <w:b/>
          <w:bCs/>
          <w:color w:val="000000" w:themeColor="text1"/>
          <w:spacing w:val="0"/>
        </w:rPr>
      </w:pPr>
      <w:r w:rsidRPr="00EF2F5B">
        <w:rPr>
          <w:b/>
          <w:bCs/>
          <w:color w:val="000000" w:themeColor="text1"/>
          <w:spacing w:val="0"/>
        </w:rPr>
        <w:t>3.4 Validation</w:t>
      </w:r>
    </w:p>
    <w:p w14:paraId="155AD157" w14:textId="64B67E69" w:rsidR="00827552" w:rsidRPr="00EF2F5B" w:rsidRDefault="00A42DC1" w:rsidP="00827552">
      <w:pPr>
        <w:spacing w:before="100" w:beforeAutospacing="1" w:after="100" w:afterAutospacing="1" w:line="240" w:lineRule="auto"/>
        <w:outlineLvl w:val="2"/>
        <w:rPr>
          <w:rFonts w:eastAsia="Times New Roman"/>
          <w:b/>
          <w:bCs/>
          <w:snapToGrid/>
          <w:color w:val="000000" w:themeColor="text1"/>
          <w:spacing w:val="0"/>
          <w:kern w:val="0"/>
          <w:sz w:val="27"/>
          <w:szCs w:val="27"/>
          <w14:ligatures w14:val="none"/>
        </w:rPr>
      </w:pPr>
      <w:r w:rsidRPr="00EF2F5B">
        <w:rPr>
          <w:rFonts w:eastAsia="Times New Roman"/>
          <w:b/>
          <w:bCs/>
          <w:snapToGrid/>
          <w:color w:val="000000" w:themeColor="text1"/>
          <w:spacing w:val="0"/>
          <w:kern w:val="0"/>
          <w:sz w:val="27"/>
          <w:szCs w:val="27"/>
          <w14:ligatures w14:val="none"/>
        </w:rPr>
        <w:t>3.</w:t>
      </w:r>
      <w:r w:rsidR="00827552" w:rsidRPr="00EF2F5B">
        <w:rPr>
          <w:rFonts w:eastAsia="Times New Roman"/>
          <w:b/>
          <w:bCs/>
          <w:snapToGrid/>
          <w:color w:val="000000" w:themeColor="text1"/>
          <w:spacing w:val="0"/>
          <w:kern w:val="0"/>
          <w:sz w:val="27"/>
          <w:szCs w:val="27"/>
          <w14:ligatures w14:val="none"/>
        </w:rPr>
        <w:t>4.1 Simulation-Based Case Study</w:t>
      </w:r>
    </w:p>
    <w:p w14:paraId="581DB5D8" w14:textId="77777777" w:rsidR="00827552" w:rsidRPr="00EF2F5B" w:rsidRDefault="00827552" w:rsidP="00827552">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A </w:t>
      </w:r>
      <w:r w:rsidRPr="00EF2F5B">
        <w:rPr>
          <w:rFonts w:eastAsia="Times New Roman"/>
          <w:b/>
          <w:bCs/>
          <w:snapToGrid/>
          <w:color w:val="000000" w:themeColor="text1"/>
          <w:spacing w:val="0"/>
          <w:kern w:val="0"/>
          <w14:ligatures w14:val="none"/>
        </w:rPr>
        <w:t>representative roadway lighting scenario</w:t>
      </w:r>
      <w:r w:rsidRPr="00EF2F5B">
        <w:rPr>
          <w:rFonts w:eastAsia="Times New Roman"/>
          <w:snapToGrid/>
          <w:color w:val="000000" w:themeColor="text1"/>
          <w:spacing w:val="0"/>
          <w:kern w:val="0"/>
          <w14:ligatures w14:val="none"/>
        </w:rPr>
        <w:t xml:space="preserve"> was modelled:</w:t>
      </w:r>
    </w:p>
    <w:p w14:paraId="1AAB0CD2" w14:textId="673CEE61" w:rsidR="00A01895" w:rsidRPr="00EF2F5B" w:rsidRDefault="00A01895" w:rsidP="00A01895">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Table </w:t>
      </w:r>
      <w:r w:rsidR="00C215A2" w:rsidRPr="00EF2F5B">
        <w:rPr>
          <w:rFonts w:eastAsia="Times New Roman"/>
          <w:snapToGrid/>
          <w:color w:val="000000" w:themeColor="text1"/>
          <w:spacing w:val="0"/>
          <w:kern w:val="0"/>
          <w14:ligatures w14:val="none"/>
        </w:rPr>
        <w:t>15</w:t>
      </w:r>
      <w:r w:rsidRPr="00EF2F5B">
        <w:rPr>
          <w:rFonts w:eastAsia="Times New Roman"/>
          <w:snapToGrid/>
          <w:color w:val="000000" w:themeColor="text1"/>
          <w:spacing w:val="0"/>
          <w:kern w:val="0"/>
          <w14:ligatures w14:val="none"/>
        </w:rPr>
        <w:t xml:space="preserve"> below shows representative roadway lighting parameters selected based on common roadway lighting practices described in ANSI/IES RP-8-25. </w:t>
      </w:r>
    </w:p>
    <w:p w14:paraId="2F17A0B8" w14:textId="2791F7A6" w:rsidR="00A01895" w:rsidRPr="00EF2F5B" w:rsidRDefault="00A01895" w:rsidP="00A01895">
      <w:pPr>
        <w:spacing w:after="0" w:line="240" w:lineRule="auto"/>
        <w:jc w:val="center"/>
        <w:rPr>
          <w:rFonts w:eastAsia="Times New Roman"/>
          <w:b/>
          <w:bCs/>
          <w:snapToGrid/>
          <w:color w:val="000000" w:themeColor="text1"/>
          <w:spacing w:val="0"/>
          <w:kern w:val="0"/>
          <w:sz w:val="20"/>
          <w:szCs w:val="20"/>
          <w14:ligatures w14:val="none"/>
        </w:rPr>
      </w:pPr>
      <w:r w:rsidRPr="00EF2F5B">
        <w:rPr>
          <w:rFonts w:eastAsia="Times New Roman"/>
          <w:b/>
          <w:bCs/>
          <w:snapToGrid/>
          <w:color w:val="000000" w:themeColor="text1"/>
          <w:spacing w:val="0"/>
          <w:kern w:val="0"/>
          <w:sz w:val="20"/>
          <w:szCs w:val="20"/>
          <w14:ligatures w14:val="none"/>
        </w:rPr>
        <w:lastRenderedPageBreak/>
        <w:t>Table 1</w:t>
      </w:r>
      <w:r w:rsidR="00C215A2" w:rsidRPr="00EF2F5B">
        <w:rPr>
          <w:rFonts w:eastAsia="Times New Roman"/>
          <w:b/>
          <w:bCs/>
          <w:snapToGrid/>
          <w:color w:val="000000" w:themeColor="text1"/>
          <w:spacing w:val="0"/>
          <w:kern w:val="0"/>
          <w:sz w:val="20"/>
          <w:szCs w:val="20"/>
          <w14:ligatures w14:val="none"/>
        </w:rPr>
        <w:t>5</w:t>
      </w:r>
      <w:r w:rsidRPr="00EF2F5B">
        <w:rPr>
          <w:rFonts w:eastAsia="Times New Roman"/>
          <w:b/>
          <w:bCs/>
          <w:snapToGrid/>
          <w:color w:val="000000" w:themeColor="text1"/>
          <w:spacing w:val="0"/>
          <w:kern w:val="0"/>
          <w:sz w:val="20"/>
          <w:szCs w:val="20"/>
          <w14:ligatures w14:val="none"/>
        </w:rPr>
        <w:t>: Roadway lighting parameters</w:t>
      </w:r>
    </w:p>
    <w:p w14:paraId="387D70CF" w14:textId="77777777" w:rsidR="00A01895" w:rsidRPr="00EF2F5B" w:rsidRDefault="00A01895" w:rsidP="00A01895">
      <w:pPr>
        <w:spacing w:after="0" w:line="240" w:lineRule="auto"/>
        <w:jc w:val="center"/>
        <w:rPr>
          <w:rFonts w:eastAsia="Times New Roman"/>
          <w:snapToGrid/>
          <w:color w:val="000000" w:themeColor="text1"/>
          <w:spacing w:val="0"/>
          <w:kern w:val="0"/>
          <w:sz w:val="20"/>
          <w:szCs w:val="20"/>
          <w14:ligatures w14:val="none"/>
        </w:rPr>
      </w:pPr>
      <w:r w:rsidRPr="00EF2F5B">
        <w:rPr>
          <w:rFonts w:eastAsia="Times New Roman"/>
          <w:snapToGrid/>
          <w:color w:val="000000" w:themeColor="text1"/>
          <w:spacing w:val="0"/>
          <w:kern w:val="0"/>
          <w:sz w:val="20"/>
          <w:szCs w:val="20"/>
          <w14:ligatures w14:val="none"/>
        </w:rPr>
        <w:t>Source: by the author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49"/>
        <w:gridCol w:w="2693"/>
      </w:tblGrid>
      <w:tr w:rsidR="00EF2F5B" w:rsidRPr="00EF2F5B" w14:paraId="63E22796" w14:textId="77777777" w:rsidTr="00AE79FB">
        <w:trPr>
          <w:tblHeader/>
        </w:trPr>
        <w:tc>
          <w:tcPr>
            <w:tcW w:w="5949" w:type="dxa"/>
            <w:vAlign w:val="center"/>
            <w:hideMark/>
          </w:tcPr>
          <w:p w14:paraId="3F5D975B" w14:textId="77777777" w:rsidR="00A01895" w:rsidRPr="00EF2F5B" w:rsidRDefault="00A01895" w:rsidP="00AE79FB">
            <w:pPr>
              <w:spacing w:after="0" w:line="240" w:lineRule="auto"/>
              <w:jc w:val="center"/>
              <w:rPr>
                <w:rFonts w:eastAsia="Times New Roman"/>
                <w:b/>
                <w:bCs/>
                <w:snapToGrid/>
                <w:color w:val="000000" w:themeColor="text1"/>
                <w:spacing w:val="0"/>
                <w:kern w:val="0"/>
                <w14:ligatures w14:val="none"/>
              </w:rPr>
            </w:pPr>
            <w:r w:rsidRPr="00EF2F5B">
              <w:rPr>
                <w:rFonts w:eastAsia="Times New Roman"/>
                <w:b/>
                <w:bCs/>
                <w:snapToGrid/>
                <w:color w:val="000000" w:themeColor="text1"/>
                <w:spacing w:val="0"/>
                <w:kern w:val="0"/>
                <w14:ligatures w14:val="none"/>
              </w:rPr>
              <w:t>Parameter</w:t>
            </w:r>
          </w:p>
        </w:tc>
        <w:tc>
          <w:tcPr>
            <w:tcW w:w="2693" w:type="dxa"/>
            <w:vAlign w:val="center"/>
            <w:hideMark/>
          </w:tcPr>
          <w:p w14:paraId="048455F4" w14:textId="77777777" w:rsidR="00A01895" w:rsidRPr="00EF2F5B" w:rsidRDefault="00A01895" w:rsidP="00AE79FB">
            <w:pPr>
              <w:spacing w:after="0" w:line="240" w:lineRule="auto"/>
              <w:jc w:val="center"/>
              <w:rPr>
                <w:rFonts w:eastAsia="Times New Roman"/>
                <w:b/>
                <w:bCs/>
                <w:snapToGrid/>
                <w:color w:val="000000" w:themeColor="text1"/>
                <w:spacing w:val="0"/>
                <w:kern w:val="0"/>
                <w14:ligatures w14:val="none"/>
              </w:rPr>
            </w:pPr>
            <w:r w:rsidRPr="00EF2F5B">
              <w:rPr>
                <w:rFonts w:eastAsia="Times New Roman"/>
                <w:b/>
                <w:bCs/>
                <w:snapToGrid/>
                <w:color w:val="000000" w:themeColor="text1"/>
                <w:spacing w:val="0"/>
                <w:kern w:val="0"/>
                <w14:ligatures w14:val="none"/>
              </w:rPr>
              <w:t>Value</w:t>
            </w:r>
          </w:p>
        </w:tc>
      </w:tr>
      <w:tr w:rsidR="00EF2F5B" w:rsidRPr="00EF2F5B" w14:paraId="6327BC07" w14:textId="77777777" w:rsidTr="00AE79FB">
        <w:tc>
          <w:tcPr>
            <w:tcW w:w="5949" w:type="dxa"/>
            <w:vAlign w:val="center"/>
            <w:hideMark/>
          </w:tcPr>
          <w:p w14:paraId="76159D4D" w14:textId="77777777" w:rsidR="00A01895" w:rsidRPr="00EF2F5B" w:rsidRDefault="00A01895" w:rsidP="00AE79FB">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Mounting height</w:t>
            </w:r>
          </w:p>
        </w:tc>
        <w:tc>
          <w:tcPr>
            <w:tcW w:w="2693" w:type="dxa"/>
            <w:vAlign w:val="center"/>
            <w:hideMark/>
          </w:tcPr>
          <w:p w14:paraId="36407DD2" w14:textId="77777777" w:rsidR="00A01895" w:rsidRPr="00EF2F5B" w:rsidRDefault="00A01895" w:rsidP="00AE79FB">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10 m</w:t>
            </w:r>
          </w:p>
        </w:tc>
      </w:tr>
      <w:tr w:rsidR="00EF2F5B" w:rsidRPr="00EF2F5B" w14:paraId="7008699B" w14:textId="77777777" w:rsidTr="00AE79FB">
        <w:tc>
          <w:tcPr>
            <w:tcW w:w="5949" w:type="dxa"/>
            <w:vAlign w:val="center"/>
          </w:tcPr>
          <w:p w14:paraId="6D7CCE66" w14:textId="4E97AC94" w:rsidR="00FE5113" w:rsidRPr="00EF2F5B" w:rsidRDefault="00FE5113" w:rsidP="00AE79FB">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Road Width</w:t>
            </w:r>
          </w:p>
        </w:tc>
        <w:tc>
          <w:tcPr>
            <w:tcW w:w="2693" w:type="dxa"/>
            <w:vAlign w:val="center"/>
          </w:tcPr>
          <w:p w14:paraId="680702EF" w14:textId="1ADBEFAD" w:rsidR="00FE5113" w:rsidRPr="00EF2F5B" w:rsidRDefault="00FE5113" w:rsidP="00AE79FB">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12 m</w:t>
            </w:r>
          </w:p>
        </w:tc>
      </w:tr>
      <w:tr w:rsidR="00EF2F5B" w:rsidRPr="00EF2F5B" w14:paraId="3FEC6DAE" w14:textId="77777777" w:rsidTr="00AE79FB">
        <w:tc>
          <w:tcPr>
            <w:tcW w:w="5949" w:type="dxa"/>
            <w:vAlign w:val="center"/>
            <w:hideMark/>
          </w:tcPr>
          <w:p w14:paraId="0665311D" w14:textId="6F442931" w:rsidR="00A01895" w:rsidRPr="00EF2F5B" w:rsidRDefault="00A01895" w:rsidP="00AE79FB">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Distance to residence</w:t>
            </w:r>
            <w:r w:rsidR="00FE5113" w:rsidRPr="00EF2F5B">
              <w:rPr>
                <w:rFonts w:eastAsia="Times New Roman"/>
                <w:snapToGrid/>
                <w:color w:val="000000" w:themeColor="text1"/>
                <w:spacing w:val="0"/>
                <w:kern w:val="0"/>
                <w14:ligatures w14:val="none"/>
              </w:rPr>
              <w:t xml:space="preserve"> (Setback distance)</w:t>
            </w:r>
          </w:p>
        </w:tc>
        <w:tc>
          <w:tcPr>
            <w:tcW w:w="2693" w:type="dxa"/>
            <w:vAlign w:val="center"/>
            <w:hideMark/>
          </w:tcPr>
          <w:p w14:paraId="7319CD78" w14:textId="77777777" w:rsidR="00A01895" w:rsidRPr="00EF2F5B" w:rsidRDefault="00A01895" w:rsidP="00AE79FB">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25 m</w:t>
            </w:r>
          </w:p>
        </w:tc>
      </w:tr>
      <w:tr w:rsidR="00EF2F5B" w:rsidRPr="00EF2F5B" w14:paraId="6BDD2078" w14:textId="77777777" w:rsidTr="00AE79FB">
        <w:tc>
          <w:tcPr>
            <w:tcW w:w="5949" w:type="dxa"/>
            <w:vAlign w:val="center"/>
            <w:hideMark/>
          </w:tcPr>
          <w:p w14:paraId="6C387411" w14:textId="77777777" w:rsidR="00A01895" w:rsidRPr="00EF2F5B" w:rsidRDefault="00A01895" w:rsidP="00AE79FB">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Observer eye height</w:t>
            </w:r>
          </w:p>
        </w:tc>
        <w:tc>
          <w:tcPr>
            <w:tcW w:w="2693" w:type="dxa"/>
            <w:vAlign w:val="center"/>
            <w:hideMark/>
          </w:tcPr>
          <w:p w14:paraId="4CC9916F" w14:textId="77777777" w:rsidR="00A01895" w:rsidRPr="00EF2F5B" w:rsidRDefault="00A01895" w:rsidP="00AE79FB">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1.5 m</w:t>
            </w:r>
          </w:p>
        </w:tc>
      </w:tr>
      <w:tr w:rsidR="008B585E" w:rsidRPr="00EF2F5B" w14:paraId="07B2A9BD" w14:textId="77777777" w:rsidTr="000E3E19">
        <w:tc>
          <w:tcPr>
            <w:tcW w:w="8642" w:type="dxa"/>
            <w:gridSpan w:val="2"/>
            <w:vAlign w:val="center"/>
          </w:tcPr>
          <w:p w14:paraId="47830063" w14:textId="383DC46E" w:rsidR="00FE5113" w:rsidRPr="00EF2F5B" w:rsidRDefault="00FE5113" w:rsidP="00FE5113">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Luminaire: Lithonia Lighting, 149W, 90CRI, 50K</w:t>
            </w:r>
          </w:p>
        </w:tc>
      </w:tr>
    </w:tbl>
    <w:p w14:paraId="290B4DB2" w14:textId="77777777" w:rsidR="00FE5113" w:rsidRPr="00EF2F5B" w:rsidRDefault="00FE5113" w:rsidP="00A01895">
      <w:pPr>
        <w:rPr>
          <w:color w:val="000000" w:themeColor="text1"/>
          <w:spacing w:val="0"/>
        </w:rPr>
      </w:pPr>
    </w:p>
    <w:p w14:paraId="1D3390EF" w14:textId="7F66E27A" w:rsidR="00A01895" w:rsidRPr="00EF2F5B" w:rsidRDefault="00A01895" w:rsidP="00A01895">
      <w:pPr>
        <w:rPr>
          <w:color w:val="000000" w:themeColor="text1"/>
          <w:spacing w:val="0"/>
        </w:rPr>
      </w:pPr>
      <w:r w:rsidRPr="00EF2F5B">
        <w:rPr>
          <w:color w:val="000000" w:themeColor="text1"/>
          <w:spacing w:val="0"/>
        </w:rPr>
        <w:t>Five observation points were evaluated relative to the luminaire location:</w:t>
      </w:r>
    </w:p>
    <w:p w14:paraId="5E4BE5AF" w14:textId="77777777" w:rsidR="00A01895" w:rsidRPr="00EF2F5B" w:rsidRDefault="00A01895" w:rsidP="00A01895">
      <w:pPr>
        <w:pStyle w:val="ListParagraph"/>
        <w:numPr>
          <w:ilvl w:val="0"/>
          <w:numId w:val="28"/>
        </w:numPr>
        <w:rPr>
          <w:color w:val="000000" w:themeColor="text1"/>
          <w:spacing w:val="0"/>
        </w:rPr>
      </w:pPr>
      <w:r w:rsidRPr="00EF2F5B">
        <w:rPr>
          <w:color w:val="000000" w:themeColor="text1"/>
          <w:spacing w:val="0"/>
        </w:rPr>
        <w:t>directly opposite the pole</w:t>
      </w:r>
    </w:p>
    <w:p w14:paraId="20B741A5" w14:textId="77777777" w:rsidR="00A01895" w:rsidRPr="00EF2F5B" w:rsidRDefault="00A01895" w:rsidP="00A01895">
      <w:pPr>
        <w:pStyle w:val="ListParagraph"/>
        <w:numPr>
          <w:ilvl w:val="0"/>
          <w:numId w:val="28"/>
        </w:numPr>
        <w:rPr>
          <w:color w:val="000000" w:themeColor="text1"/>
          <w:spacing w:val="0"/>
        </w:rPr>
      </w:pPr>
      <w:r w:rsidRPr="00EF2F5B">
        <w:rPr>
          <w:color w:val="000000" w:themeColor="text1"/>
          <w:spacing w:val="0"/>
        </w:rPr>
        <w:t>10 m lateral offset</w:t>
      </w:r>
    </w:p>
    <w:p w14:paraId="315E0CF7" w14:textId="77777777" w:rsidR="00A01895" w:rsidRPr="00EF2F5B" w:rsidRDefault="00A01895" w:rsidP="00A01895">
      <w:pPr>
        <w:pStyle w:val="ListParagraph"/>
        <w:numPr>
          <w:ilvl w:val="0"/>
          <w:numId w:val="28"/>
        </w:numPr>
        <w:rPr>
          <w:color w:val="000000" w:themeColor="text1"/>
          <w:spacing w:val="0"/>
        </w:rPr>
      </w:pPr>
      <w:r w:rsidRPr="00EF2F5B">
        <w:rPr>
          <w:color w:val="000000" w:themeColor="text1"/>
          <w:spacing w:val="0"/>
        </w:rPr>
        <w:t>20 m lateral offset.</w:t>
      </w:r>
    </w:p>
    <w:p w14:paraId="0FB6DEC3" w14:textId="77777777" w:rsidR="00827552" w:rsidRPr="00EF2F5B" w:rsidRDefault="00827552" w:rsidP="00827552">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Three evaluation frameworks were applied:</w:t>
      </w:r>
    </w:p>
    <w:p w14:paraId="758C8C8B" w14:textId="66D8588E" w:rsidR="00827552" w:rsidRPr="00EF2F5B" w:rsidRDefault="00827552" w:rsidP="00827552">
      <w:pPr>
        <w:numPr>
          <w:ilvl w:val="0"/>
          <w:numId w:val="27"/>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IES RP-8, IDA and TAC compliance </w:t>
      </w:r>
    </w:p>
    <w:p w14:paraId="2BF8A90F" w14:textId="6312CFD3" w:rsidR="00827552" w:rsidRPr="00EF2F5B" w:rsidRDefault="00827552" w:rsidP="00827552">
      <w:pPr>
        <w:numPr>
          <w:ilvl w:val="0"/>
          <w:numId w:val="27"/>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CIE 150 and ILP compliance </w:t>
      </w:r>
    </w:p>
    <w:p w14:paraId="218A9BD3" w14:textId="3C00C31B" w:rsidR="00827552" w:rsidRPr="00EF2F5B" w:rsidRDefault="00827552" w:rsidP="00827552">
      <w:pPr>
        <w:numPr>
          <w:ilvl w:val="0"/>
          <w:numId w:val="27"/>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AS/NZS 42822019 compliance</w:t>
      </w:r>
    </w:p>
    <w:p w14:paraId="7D7A61F6" w14:textId="77777777" w:rsidR="00827552" w:rsidRPr="00EF2F5B" w:rsidRDefault="00827552" w:rsidP="00827552">
      <w:pPr>
        <w:numPr>
          <w:ilvl w:val="0"/>
          <w:numId w:val="27"/>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Proposed unified standard </w:t>
      </w:r>
    </w:p>
    <w:p w14:paraId="64816CE2" w14:textId="39A39383" w:rsidR="00A01895" w:rsidRPr="00EF2F5B" w:rsidRDefault="00A01895" w:rsidP="00A01895">
      <w:pPr>
        <w:rPr>
          <w:snapToGrid/>
          <w:color w:val="000000" w:themeColor="text1"/>
          <w:spacing w:val="0"/>
          <w:kern w:val="0"/>
          <w:lang w:val="en-ZA" w:bidi="ar-SA"/>
          <w14:ligatures w14:val="none"/>
        </w:rPr>
      </w:pPr>
      <w:r w:rsidRPr="00EF2F5B">
        <w:rPr>
          <w:color w:val="000000" w:themeColor="text1"/>
          <w:spacing w:val="0"/>
        </w:rPr>
        <w:t xml:space="preserve">These locations represent typical viewing geometries encountered in residential environments adjacent to roadways.   </w:t>
      </w:r>
      <w:r w:rsidRPr="00EF2F5B">
        <w:rPr>
          <w:snapToGrid/>
          <w:color w:val="000000" w:themeColor="text1"/>
          <w:spacing w:val="0"/>
          <w:kern w:val="0"/>
          <w:lang w:val="en-ZA" w:bidi="ar-SA"/>
          <w14:ligatures w14:val="none"/>
        </w:rPr>
        <w:fldChar w:fldCharType="begin"/>
      </w:r>
      <w:r w:rsidRPr="00EF2F5B">
        <w:rPr>
          <w:snapToGrid/>
          <w:color w:val="000000" w:themeColor="text1"/>
          <w:spacing w:val="0"/>
          <w:kern w:val="0"/>
          <w:lang w:val="en-ZA" w:bidi="ar-SA"/>
          <w14:ligatures w14:val="none"/>
        </w:rPr>
        <w:instrText xml:space="preserve"> REF _Ref145747764 \h  \* MERGEFORMAT </w:instrText>
      </w:r>
      <w:r w:rsidRPr="00EF2F5B">
        <w:rPr>
          <w:snapToGrid/>
          <w:color w:val="000000" w:themeColor="text1"/>
          <w:spacing w:val="0"/>
          <w:kern w:val="0"/>
          <w:lang w:val="en-ZA" w:bidi="ar-SA"/>
          <w14:ligatures w14:val="none"/>
        </w:rPr>
      </w:r>
      <w:r w:rsidRPr="00EF2F5B">
        <w:rPr>
          <w:snapToGrid/>
          <w:color w:val="000000" w:themeColor="text1"/>
          <w:spacing w:val="0"/>
          <w:kern w:val="0"/>
          <w:lang w:val="en-ZA" w:bidi="ar-SA"/>
          <w14:ligatures w14:val="none"/>
        </w:rPr>
        <w:fldChar w:fldCharType="separate"/>
      </w:r>
      <w:r w:rsidRPr="00EF2F5B">
        <w:rPr>
          <w:snapToGrid/>
          <w:color w:val="000000" w:themeColor="text1"/>
          <w:spacing w:val="0"/>
          <w:kern w:val="0"/>
          <w:lang w:val="en-ZA" w:bidi="ar-SA"/>
          <w14:ligatures w14:val="none"/>
        </w:rPr>
        <w:t xml:space="preserve">Figure </w:t>
      </w:r>
      <w:r w:rsidR="00A42DC1" w:rsidRPr="00EF2F5B">
        <w:rPr>
          <w:snapToGrid/>
          <w:color w:val="000000" w:themeColor="text1"/>
          <w:spacing w:val="0"/>
          <w:kern w:val="0"/>
          <w:lang w:val="en-ZA" w:bidi="ar-SA"/>
          <w14:ligatures w14:val="none"/>
        </w:rPr>
        <w:t>3</w:t>
      </w:r>
      <w:r w:rsidRPr="00EF2F5B">
        <w:rPr>
          <w:snapToGrid/>
          <w:color w:val="000000" w:themeColor="text1"/>
          <w:spacing w:val="0"/>
          <w:kern w:val="0"/>
          <w:lang w:val="en-ZA" w:bidi="ar-SA"/>
          <w14:ligatures w14:val="none"/>
        </w:rPr>
        <w:fldChar w:fldCharType="end"/>
      </w:r>
      <w:r w:rsidRPr="00EF2F5B">
        <w:rPr>
          <w:snapToGrid/>
          <w:color w:val="000000" w:themeColor="text1"/>
          <w:spacing w:val="0"/>
          <w:kern w:val="0"/>
          <w:lang w:val="en-ZA" w:bidi="ar-SA"/>
          <w14:ligatures w14:val="none"/>
        </w:rPr>
        <w:t xml:space="preserve"> below shows the computer calculation results for the ECI. </w:t>
      </w:r>
    </w:p>
    <w:p w14:paraId="543B1159" w14:textId="4914FCB2" w:rsidR="00A01895" w:rsidRPr="00EF2F5B" w:rsidRDefault="00A01895" w:rsidP="00A01895">
      <w:pPr>
        <w:spacing w:before="120" w:after="0" w:line="240" w:lineRule="auto"/>
        <w:jc w:val="center"/>
        <w:rPr>
          <w:b/>
          <w:bCs/>
          <w:snapToGrid/>
          <w:color w:val="000000" w:themeColor="text1"/>
          <w:spacing w:val="0"/>
          <w:kern w:val="0"/>
          <w:sz w:val="20"/>
          <w:szCs w:val="20"/>
          <w:lang w:val="en-CA" w:eastAsia="en-CA" w:bidi="ar-SA"/>
          <w14:ligatures w14:val="none"/>
        </w:rPr>
      </w:pPr>
      <w:bookmarkStart w:id="49" w:name="_Ref145747764"/>
      <w:bookmarkStart w:id="50" w:name="_Ref145747749"/>
      <w:bookmarkStart w:id="51" w:name="_Toc205658496"/>
      <w:r w:rsidRPr="00EF2F5B">
        <w:rPr>
          <w:b/>
          <w:bCs/>
          <w:snapToGrid/>
          <w:color w:val="000000" w:themeColor="text1"/>
          <w:spacing w:val="0"/>
          <w:kern w:val="0"/>
          <w:sz w:val="20"/>
          <w:szCs w:val="20"/>
          <w:lang w:val="en-CA" w:eastAsia="en-CA" w:bidi="ar-SA"/>
          <w14:ligatures w14:val="none"/>
        </w:rPr>
        <w:t xml:space="preserve">Figure </w:t>
      </w:r>
      <w:r w:rsidR="00A42DC1" w:rsidRPr="00EF2F5B">
        <w:rPr>
          <w:b/>
          <w:bCs/>
          <w:snapToGrid/>
          <w:color w:val="000000" w:themeColor="text1"/>
          <w:spacing w:val="0"/>
          <w:kern w:val="0"/>
          <w:sz w:val="20"/>
          <w:szCs w:val="20"/>
          <w:lang w:val="en-CA" w:eastAsia="en-CA" w:bidi="ar-SA"/>
          <w14:ligatures w14:val="none"/>
        </w:rPr>
        <w:t>3</w:t>
      </w:r>
      <w:bookmarkEnd w:id="49"/>
      <w:r w:rsidRPr="00EF2F5B">
        <w:rPr>
          <w:b/>
          <w:bCs/>
          <w:snapToGrid/>
          <w:color w:val="000000" w:themeColor="text1"/>
          <w:spacing w:val="0"/>
          <w:kern w:val="0"/>
          <w:sz w:val="20"/>
          <w:szCs w:val="20"/>
          <w:lang w:val="en-CA" w:eastAsia="en-CA" w:bidi="ar-SA"/>
          <w14:ligatures w14:val="none"/>
        </w:rPr>
        <w:t xml:space="preserve">: </w:t>
      </w:r>
      <w:r w:rsidR="00FE5113" w:rsidRPr="00EF2F5B">
        <w:rPr>
          <w:b/>
          <w:bCs/>
          <w:snapToGrid/>
          <w:color w:val="000000" w:themeColor="text1"/>
          <w:spacing w:val="0"/>
          <w:kern w:val="0"/>
          <w:sz w:val="20"/>
          <w:szCs w:val="20"/>
          <w:lang w:val="en-CA" w:eastAsia="en-CA" w:bidi="ar-SA"/>
          <w14:ligatures w14:val="none"/>
        </w:rPr>
        <w:t xml:space="preserve">Façade (Vertical) </w:t>
      </w:r>
      <w:r w:rsidRPr="00EF2F5B">
        <w:rPr>
          <w:b/>
          <w:bCs/>
          <w:snapToGrid/>
          <w:color w:val="000000" w:themeColor="text1"/>
          <w:spacing w:val="0"/>
          <w:kern w:val="0"/>
          <w:sz w:val="20"/>
          <w:szCs w:val="20"/>
          <w:lang w:val="en-CA" w:eastAsia="en-CA" w:bidi="ar-SA"/>
          <w14:ligatures w14:val="none"/>
        </w:rPr>
        <w:t>Computer Calculation</w:t>
      </w:r>
      <w:bookmarkEnd w:id="50"/>
      <w:bookmarkEnd w:id="51"/>
    </w:p>
    <w:p w14:paraId="7915736C" w14:textId="77777777" w:rsidR="00A01895" w:rsidRPr="00EF2F5B" w:rsidRDefault="00A01895" w:rsidP="00A01895">
      <w:pPr>
        <w:spacing w:after="0" w:line="240" w:lineRule="auto"/>
        <w:jc w:val="center"/>
        <w:rPr>
          <w:snapToGrid/>
          <w:color w:val="000000" w:themeColor="text1"/>
          <w:spacing w:val="0"/>
          <w:kern w:val="0"/>
          <w:sz w:val="16"/>
          <w:szCs w:val="16"/>
          <w:lang w:bidi="ar-SA"/>
          <w14:ligatures w14:val="none"/>
        </w:rPr>
      </w:pPr>
      <w:r w:rsidRPr="00EF2F5B">
        <w:rPr>
          <w:snapToGrid/>
          <w:color w:val="000000" w:themeColor="text1"/>
          <w:spacing w:val="0"/>
          <w:kern w:val="0"/>
          <w:sz w:val="16"/>
          <w:szCs w:val="16"/>
          <w:lang w:bidi="ar-SA"/>
          <w14:ligatures w14:val="none"/>
        </w:rPr>
        <w:t>Source: Designed by the author</w:t>
      </w:r>
    </w:p>
    <w:p w14:paraId="04354E9C" w14:textId="477DCA7F" w:rsidR="00EE36E9" w:rsidRPr="00EF2F5B" w:rsidRDefault="00EE36E9" w:rsidP="00EE36E9">
      <w:pPr>
        <w:spacing w:after="0" w:line="240" w:lineRule="auto"/>
        <w:jc w:val="center"/>
        <w:rPr>
          <w:color w:val="000000" w:themeColor="text1"/>
          <w:spacing w:val="0"/>
        </w:rPr>
      </w:pPr>
      <w:r w:rsidRPr="00EF2F5B">
        <w:rPr>
          <w:noProof/>
          <w:color w:val="000000" w:themeColor="text1"/>
          <w:spacing w:val="0"/>
          <w:lang w:val="en-IN" w:eastAsia="en-IN" w:bidi="ar-SA"/>
        </w:rPr>
        <w:drawing>
          <wp:inline distT="0" distB="0" distL="0" distR="0" wp14:anchorId="3FCE5090" wp14:editId="18580EA9">
            <wp:extent cx="4609788" cy="2905125"/>
            <wp:effectExtent l="38100" t="38100" r="38735" b="28575"/>
            <wp:docPr id="1867308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308961" name=""/>
                    <pic:cNvPicPr/>
                  </pic:nvPicPr>
                  <pic:blipFill rotWithShape="1">
                    <a:blip r:embed="rId10" cstate="screen">
                      <a:extLst>
                        <a:ext uri="{28A0092B-C50C-407E-A947-70E740481C1C}">
                          <a14:useLocalDpi xmlns:a14="http://schemas.microsoft.com/office/drawing/2010/main"/>
                        </a:ext>
                      </a:extLst>
                    </a:blip>
                    <a:srcRect/>
                    <a:stretch>
                      <a:fillRect/>
                    </a:stretch>
                  </pic:blipFill>
                  <pic:spPr bwMode="auto">
                    <a:xfrm>
                      <a:off x="0" y="0"/>
                      <a:ext cx="4639434" cy="2923808"/>
                    </a:xfrm>
                    <a:prstGeom prst="rect">
                      <a:avLst/>
                    </a:prstGeom>
                    <a:ln w="38100" cap="flat" cmpd="sng" algn="ctr">
                      <a:solidFill>
                        <a:srgbClr val="FF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95A9691" w14:textId="77777777" w:rsidR="0060726F" w:rsidRPr="00EF2F5B" w:rsidRDefault="0060726F" w:rsidP="00FE5113">
      <w:pPr>
        <w:spacing w:before="120" w:after="180" w:line="360" w:lineRule="auto"/>
        <w:jc w:val="both"/>
        <w:rPr>
          <w:snapToGrid/>
          <w:color w:val="000000" w:themeColor="text1"/>
          <w:spacing w:val="0"/>
          <w:kern w:val="0"/>
          <w:lang w:val="en-ZA" w:bidi="ar-SA"/>
          <w14:ligatures w14:val="none"/>
        </w:rPr>
      </w:pPr>
    </w:p>
    <w:p w14:paraId="3FCA2810" w14:textId="710B80DC" w:rsidR="0060726F" w:rsidRPr="00EF2F5B" w:rsidRDefault="00E13CF7" w:rsidP="0060726F">
      <w:pPr>
        <w:spacing w:after="0" w:line="240" w:lineRule="auto"/>
        <w:jc w:val="both"/>
        <w:rPr>
          <w:rFonts w:eastAsia="Times New Roman"/>
          <w:color w:val="000000" w:themeColor="text1"/>
          <w:spacing w:val="0"/>
          <w:kern w:val="0"/>
          <w:lang w:val="en-GB" w:eastAsia="en-GB"/>
          <w14:ligatures w14:val="none"/>
        </w:rPr>
      </w:pPr>
      <w:r w:rsidRPr="00EF2F5B">
        <w:rPr>
          <w:rFonts w:eastAsia="Times New Roman"/>
          <w:color w:val="000000" w:themeColor="text1"/>
          <w:spacing w:val="0"/>
          <w:kern w:val="0"/>
          <w:lang w:val="en-GB" w:eastAsia="en-GB"/>
          <w14:ligatures w14:val="none"/>
        </w:rPr>
        <w:t xml:space="preserve">Figure 4 </w:t>
      </w:r>
      <w:r w:rsidR="0060726F" w:rsidRPr="00EF2F5B">
        <w:rPr>
          <w:rFonts w:eastAsia="Times New Roman"/>
          <w:color w:val="000000" w:themeColor="text1"/>
          <w:spacing w:val="0"/>
          <w:kern w:val="0"/>
          <w:lang w:val="en-GB" w:eastAsia="en-GB"/>
          <w14:ligatures w14:val="none"/>
        </w:rPr>
        <w:t>below shows where the vertical illuminance calculation will be performed.</w:t>
      </w:r>
    </w:p>
    <w:p w14:paraId="496FC1CF" w14:textId="77777777" w:rsidR="0060726F" w:rsidRPr="00EF2F5B" w:rsidRDefault="0060726F" w:rsidP="0060726F">
      <w:pPr>
        <w:spacing w:after="0" w:line="240" w:lineRule="auto"/>
        <w:jc w:val="both"/>
        <w:rPr>
          <w:rFonts w:eastAsia="Times New Roman"/>
          <w:color w:val="000000" w:themeColor="text1"/>
          <w:spacing w:val="0"/>
          <w:kern w:val="0"/>
          <w:lang w:val="en-GB" w:eastAsia="en-GB"/>
          <w14:ligatures w14:val="none"/>
        </w:rPr>
      </w:pPr>
    </w:p>
    <w:p w14:paraId="5F6AED6D" w14:textId="0B58E9C1" w:rsidR="0060726F" w:rsidRPr="00EF2F5B" w:rsidRDefault="0060726F" w:rsidP="0060726F">
      <w:pPr>
        <w:spacing w:after="0" w:line="240" w:lineRule="auto"/>
        <w:jc w:val="center"/>
        <w:rPr>
          <w:b/>
          <w:bCs/>
          <w:snapToGrid/>
          <w:color w:val="000000" w:themeColor="text1"/>
          <w:spacing w:val="0"/>
          <w:kern w:val="0"/>
          <w:sz w:val="20"/>
          <w:szCs w:val="20"/>
          <w:lang w:val="en-CA" w:eastAsia="en-CA" w:bidi="ar-SA"/>
          <w14:ligatures w14:val="none"/>
        </w:rPr>
      </w:pPr>
      <w:bookmarkStart w:id="52" w:name="_Ref123329670"/>
      <w:bookmarkStart w:id="53" w:name="_Toc107167992"/>
      <w:bookmarkStart w:id="54" w:name="_Toc205658475"/>
      <w:r w:rsidRPr="00EF2F5B">
        <w:rPr>
          <w:b/>
          <w:bCs/>
          <w:snapToGrid/>
          <w:color w:val="000000" w:themeColor="text1"/>
          <w:spacing w:val="0"/>
          <w:kern w:val="0"/>
          <w:sz w:val="20"/>
          <w:szCs w:val="20"/>
          <w:lang w:val="en-CA" w:eastAsia="en-CA" w:bidi="ar-SA"/>
          <w14:ligatures w14:val="none"/>
        </w:rPr>
        <w:t xml:space="preserve">Figure </w:t>
      </w:r>
      <w:bookmarkEnd w:id="52"/>
      <w:r w:rsidR="00E13CF7" w:rsidRPr="00EF2F5B">
        <w:rPr>
          <w:b/>
          <w:bCs/>
          <w:snapToGrid/>
          <w:color w:val="000000" w:themeColor="text1"/>
          <w:spacing w:val="0"/>
          <w:kern w:val="0"/>
          <w:sz w:val="20"/>
          <w:szCs w:val="20"/>
          <w:lang w:val="en-CA" w:eastAsia="en-CA" w:bidi="ar-SA"/>
          <w14:ligatures w14:val="none"/>
        </w:rPr>
        <w:t>4</w:t>
      </w:r>
      <w:r w:rsidRPr="00EF2F5B">
        <w:rPr>
          <w:b/>
          <w:bCs/>
          <w:snapToGrid/>
          <w:color w:val="000000" w:themeColor="text1"/>
          <w:spacing w:val="0"/>
          <w:kern w:val="0"/>
          <w:sz w:val="20"/>
          <w:szCs w:val="20"/>
          <w:lang w:val="en-CA" w:eastAsia="en-CA" w:bidi="ar-SA"/>
          <w14:ligatures w14:val="none"/>
        </w:rPr>
        <w:t>: Vertical Illuminance</w:t>
      </w:r>
      <w:bookmarkEnd w:id="53"/>
      <w:bookmarkEnd w:id="54"/>
    </w:p>
    <w:p w14:paraId="24235686" w14:textId="5536B706" w:rsidR="0060726F" w:rsidRPr="00EF2F5B" w:rsidRDefault="0060726F" w:rsidP="0060726F">
      <w:pPr>
        <w:spacing w:after="0" w:line="240" w:lineRule="auto"/>
        <w:jc w:val="center"/>
        <w:rPr>
          <w:rFonts w:eastAsia="Times New Roman"/>
          <w:snapToGrid/>
          <w:color w:val="000000" w:themeColor="text1"/>
          <w:spacing w:val="0"/>
          <w:kern w:val="0"/>
          <w:sz w:val="18"/>
          <w:szCs w:val="18"/>
          <w:lang w:val="en-GB" w:eastAsia="en-GB"/>
          <w14:ligatures w14:val="none"/>
        </w:rPr>
      </w:pPr>
      <w:r w:rsidRPr="00EF2F5B">
        <w:rPr>
          <w:rFonts w:eastAsia="Times New Roman"/>
          <w:snapToGrid/>
          <w:color w:val="000000" w:themeColor="text1"/>
          <w:spacing w:val="0"/>
          <w:kern w:val="0"/>
          <w:sz w:val="18"/>
          <w:szCs w:val="18"/>
          <w:lang w:val="en-GB" w:eastAsia="en-GB"/>
          <w14:ligatures w14:val="none"/>
        </w:rPr>
        <w:t>Designed by the author, adopted from ANSI/IES RP-8 (2025)</w:t>
      </w:r>
    </w:p>
    <w:p w14:paraId="7ABB2A0B" w14:textId="77777777" w:rsidR="0060726F" w:rsidRPr="00EF2F5B" w:rsidRDefault="0060726F" w:rsidP="0060726F">
      <w:pPr>
        <w:spacing w:after="0" w:line="240" w:lineRule="auto"/>
        <w:jc w:val="center"/>
        <w:rPr>
          <w:rFonts w:eastAsia="Times New Roman"/>
          <w:color w:val="000000" w:themeColor="text1"/>
          <w:spacing w:val="0"/>
          <w:kern w:val="0"/>
          <w:lang w:val="en-GB" w:eastAsia="en-GB"/>
          <w14:ligatures w14:val="none"/>
        </w:rPr>
      </w:pPr>
      <w:r w:rsidRPr="00EF2F5B">
        <w:rPr>
          <w:rFonts w:eastAsia="Times New Roman"/>
          <w:noProof/>
          <w:snapToGrid/>
          <w:color w:val="000000" w:themeColor="text1"/>
          <w:spacing w:val="0"/>
          <w:kern w:val="0"/>
          <w:lang w:val="en-IN" w:eastAsia="en-IN" w:bidi="ar-SA"/>
          <w14:ligatures w14:val="none"/>
        </w:rPr>
        <w:drawing>
          <wp:inline distT="0" distB="0" distL="0" distR="0" wp14:anchorId="375F4038" wp14:editId="5C2F6FCC">
            <wp:extent cx="5072400" cy="2836800"/>
            <wp:effectExtent l="0" t="0" r="0" b="1905"/>
            <wp:docPr id="27" name="Picture 2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agram&#10;&#10;Description automatically generated with medium confidence"/>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5072400" cy="2836800"/>
                    </a:xfrm>
                    <a:prstGeom prst="rect">
                      <a:avLst/>
                    </a:prstGeom>
                    <a:ln>
                      <a:noFill/>
                    </a:ln>
                    <a:extLst>
                      <a:ext uri="{53640926-AAD7-44D8-BBD7-CCE9431645EC}">
                        <a14:shadowObscured xmlns:a14="http://schemas.microsoft.com/office/drawing/2010/main"/>
                      </a:ext>
                    </a:extLst>
                  </pic:spPr>
                </pic:pic>
              </a:graphicData>
            </a:graphic>
          </wp:inline>
        </w:drawing>
      </w:r>
    </w:p>
    <w:p w14:paraId="7948E041" w14:textId="77777777" w:rsidR="0060726F" w:rsidRPr="00EF2F5B" w:rsidRDefault="0060726F" w:rsidP="0060726F">
      <w:pPr>
        <w:spacing w:after="0" w:line="240" w:lineRule="auto"/>
        <w:rPr>
          <w:rFonts w:eastAsia="Times New Roman"/>
          <w:color w:val="000000" w:themeColor="text1"/>
          <w:spacing w:val="0"/>
          <w:kern w:val="0"/>
          <w:lang w:val="en-GB" w:eastAsia="en-GB"/>
          <w14:ligatures w14:val="none"/>
        </w:rPr>
      </w:pPr>
    </w:p>
    <w:tbl>
      <w:tblPr>
        <w:tblStyle w:val="TableGrid4"/>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1"/>
      </w:tblGrid>
      <w:tr w:rsidR="00D6314A" w:rsidRPr="00EF2F5B" w14:paraId="00BAB0F2" w14:textId="77777777" w:rsidTr="00A00C69">
        <w:tc>
          <w:tcPr>
            <w:tcW w:w="7938" w:type="dxa"/>
          </w:tcPr>
          <w:p w14:paraId="7BD00BFB" w14:textId="77777777" w:rsidR="0060726F" w:rsidRPr="00EF2F5B" w:rsidRDefault="0060726F" w:rsidP="00A00C69">
            <w:pPr>
              <w:rPr>
                <w:rFonts w:ascii="Times New Roman" w:hAnsi="Times New Roman" w:cs="Times New Roman"/>
                <w:spacing w:val="0"/>
              </w:rPr>
            </w:pPr>
            <m:oMathPara>
              <m:oMath>
                <m:r>
                  <m:rPr>
                    <m:nor/>
                  </m:rPr>
                  <w:rPr>
                    <w:rFonts w:ascii="Times New Roman" w:hAnsi="Times New Roman" w:cs="Times New Roman"/>
                    <w:spacing w:val="0"/>
                  </w:rPr>
                  <m:t>Vertical Illuminance [E</m:t>
                </m:r>
                <m:r>
                  <m:rPr>
                    <m:nor/>
                  </m:rPr>
                  <w:rPr>
                    <w:rFonts w:ascii="Times New Roman" w:hAnsi="Times New Roman" w:cs="Times New Roman"/>
                    <w:spacing w:val="0"/>
                    <w:vertAlign w:val="subscript"/>
                  </w:rPr>
                  <m:t>V</m:t>
                </m:r>
                <m:r>
                  <m:rPr>
                    <m:nor/>
                  </m:rPr>
                  <w:rPr>
                    <w:rFonts w:ascii="Times New Roman" w:hAnsi="Times New Roman" w:cs="Times New Roman"/>
                    <w:spacing w:val="0"/>
                  </w:rPr>
                  <m:t>]=</m:t>
                </m:r>
                <m:f>
                  <m:fPr>
                    <m:ctrlPr>
                      <w:rPr>
                        <w:rFonts w:ascii="Cambria Math" w:hAnsi="Cambria Math" w:cs="Times New Roman"/>
                        <w:spacing w:val="0"/>
                      </w:rPr>
                    </m:ctrlPr>
                  </m:fPr>
                  <m:num>
                    <m:r>
                      <m:rPr>
                        <m:nor/>
                      </m:rPr>
                      <w:rPr>
                        <w:rFonts w:ascii="Times New Roman" w:hAnsi="Times New Roman" w:cs="Times New Roman"/>
                        <w:spacing w:val="0"/>
                      </w:rPr>
                      <m:t>Intensity * Sine an</m:t>
                    </m:r>
                    <m:r>
                      <m:rPr>
                        <m:nor/>
                      </m:rPr>
                      <w:rPr>
                        <w:rFonts w:ascii="Cambria Math" w:hAnsi="Times New Roman" w:cs="Times New Roman"/>
                        <w:spacing w:val="0"/>
                      </w:rPr>
                      <m:t>gl</m:t>
                    </m:r>
                    <m:r>
                      <m:rPr>
                        <m:nor/>
                      </m:rPr>
                      <w:rPr>
                        <w:rFonts w:ascii="Times New Roman" w:hAnsi="Times New Roman" w:cs="Times New Roman"/>
                        <w:spacing w:val="0"/>
                      </w:rPr>
                      <m:t>e [I</m:t>
                    </m:r>
                    <m:r>
                      <m:rPr>
                        <m:nor/>
                      </m:rPr>
                      <w:rPr>
                        <w:rFonts w:ascii="Times New Roman" w:hAnsi="Times New Roman" w:cs="Times New Roman"/>
                        <w:spacing w:val="0"/>
                        <w:vertAlign w:val="subscript"/>
                      </w:rPr>
                      <m:t>θ</m:t>
                    </m:r>
                    <m:r>
                      <m:rPr>
                        <m:nor/>
                      </m:rPr>
                      <w:rPr>
                        <w:rFonts w:ascii="Times New Roman" w:hAnsi="Times New Roman" w:cs="Times New Roman"/>
                        <w:spacing w:val="0"/>
                      </w:rPr>
                      <m:t xml:space="preserve"> sinθ]</m:t>
                    </m:r>
                  </m:num>
                  <m:den>
                    <m:r>
                      <m:rPr>
                        <m:nor/>
                      </m:rPr>
                      <w:rPr>
                        <w:rFonts w:ascii="Times New Roman" w:hAnsi="Times New Roman" w:cs="Times New Roman"/>
                        <w:spacing w:val="0"/>
                      </w:rPr>
                      <m:t>Distance Square [D</m:t>
                    </m:r>
                    <m:r>
                      <m:rPr>
                        <m:nor/>
                      </m:rPr>
                      <w:rPr>
                        <w:rFonts w:ascii="Times New Roman" w:hAnsi="Times New Roman" w:cs="Times New Roman"/>
                        <w:spacing w:val="0"/>
                        <w:vertAlign w:val="superscript"/>
                      </w:rPr>
                      <m:t>2</m:t>
                    </m:r>
                    <m:r>
                      <m:rPr>
                        <m:nor/>
                      </m:rPr>
                      <w:rPr>
                        <w:rFonts w:ascii="Times New Roman" w:hAnsi="Times New Roman" w:cs="Times New Roman"/>
                        <w:spacing w:val="0"/>
                      </w:rPr>
                      <m:t>]</m:t>
                    </m:r>
                  </m:den>
                </m:f>
              </m:oMath>
            </m:oMathPara>
          </w:p>
        </w:tc>
        <w:tc>
          <w:tcPr>
            <w:tcW w:w="851" w:type="dxa"/>
          </w:tcPr>
          <w:p w14:paraId="77688B73" w14:textId="4A6550F0" w:rsidR="0060726F" w:rsidRPr="00EF2F5B" w:rsidRDefault="0060726F" w:rsidP="00A00C69">
            <w:pPr>
              <w:tabs>
                <w:tab w:val="center" w:pos="3289"/>
                <w:tab w:val="right" w:pos="6917"/>
              </w:tabs>
              <w:overflowPunct w:val="0"/>
              <w:autoSpaceDE w:val="0"/>
              <w:autoSpaceDN w:val="0"/>
              <w:adjustRightInd w:val="0"/>
              <w:jc w:val="right"/>
              <w:textAlignment w:val="baseline"/>
              <w:rPr>
                <w:rFonts w:ascii="Times New Roman" w:hAnsi="Times New Roman" w:cs="Times New Roman"/>
                <w:spacing w:val="0"/>
              </w:rPr>
            </w:pPr>
            <w:r w:rsidRPr="00EF2F5B">
              <w:rPr>
                <w:rFonts w:ascii="Times New Roman" w:hAnsi="Times New Roman" w:cs="Times New Roman"/>
                <w:spacing w:val="0"/>
              </w:rPr>
              <w:t>(</w:t>
            </w:r>
            <w:r w:rsidR="00D6314A" w:rsidRPr="00EF2F5B">
              <w:rPr>
                <w:spacing w:val="0"/>
              </w:rPr>
              <w:t>1</w:t>
            </w:r>
            <w:r w:rsidRPr="00EF2F5B">
              <w:rPr>
                <w:rFonts w:ascii="Times New Roman" w:eastAsiaTheme="minorHAnsi" w:hAnsi="Times New Roman" w:cs="Times New Roman"/>
                <w:spacing w:val="0"/>
                <w:lang w:val="en-ZA" w:bidi="ar-SA"/>
              </w:rPr>
              <w:t>)</w:t>
            </w:r>
          </w:p>
        </w:tc>
      </w:tr>
    </w:tbl>
    <w:p w14:paraId="1522D243" w14:textId="77777777" w:rsidR="0060726F" w:rsidRPr="00EF2F5B" w:rsidRDefault="0060726F" w:rsidP="0060726F">
      <w:pPr>
        <w:spacing w:after="0" w:line="240" w:lineRule="auto"/>
        <w:rPr>
          <w:rFonts w:eastAsia="Times New Roman"/>
          <w:snapToGrid/>
          <w:color w:val="000000" w:themeColor="text1"/>
          <w:spacing w:val="0"/>
          <w:kern w:val="0"/>
          <w:lang w:val="en-GB" w:eastAsia="en-GB"/>
          <w14:ligatures w14:val="none"/>
        </w:rPr>
      </w:pPr>
    </w:p>
    <w:p w14:paraId="73E91D78" w14:textId="3F95049F" w:rsidR="0060726F" w:rsidRPr="00EF2F5B" w:rsidRDefault="0060726F" w:rsidP="0060726F">
      <w:pPr>
        <w:spacing w:after="0" w:line="240" w:lineRule="auto"/>
        <w:jc w:val="both"/>
        <w:rPr>
          <w:rFonts w:eastAsia="Times New Roman"/>
          <w:noProof/>
          <w:snapToGrid/>
          <w:color w:val="000000" w:themeColor="text1"/>
          <w:spacing w:val="0"/>
          <w:kern w:val="0"/>
          <w:lang w:val="en-GB" w:eastAsia="en-GB"/>
          <w14:ligatures w14:val="none"/>
        </w:rPr>
      </w:pPr>
      <w:r w:rsidRPr="00EF2F5B">
        <w:rPr>
          <w:rFonts w:eastAsia="Times New Roman"/>
          <w:noProof/>
          <w:snapToGrid/>
          <w:color w:val="000000" w:themeColor="text1"/>
          <w:spacing w:val="0"/>
          <w:kern w:val="0"/>
          <w:lang w:val="en-GB" w:eastAsia="en-GB"/>
          <w14:ligatures w14:val="none"/>
        </w:rPr>
        <w:t xml:space="preserve">The basic calculation of flux transfer is </w:t>
      </w:r>
      <w:r w:rsidR="00D6314A" w:rsidRPr="00EF2F5B">
        <w:rPr>
          <w:rFonts w:eastAsia="Times New Roman"/>
          <w:noProof/>
          <w:snapToGrid/>
          <w:color w:val="000000" w:themeColor="text1"/>
          <w:spacing w:val="0"/>
          <w:kern w:val="0"/>
          <w:lang w:val="en-GB" w:eastAsia="en-GB"/>
          <w14:ligatures w14:val="none"/>
        </w:rPr>
        <w:t xml:space="preserve">the </w:t>
      </w:r>
      <w:r w:rsidRPr="00EF2F5B">
        <w:rPr>
          <w:rFonts w:eastAsia="Times New Roman"/>
          <w:noProof/>
          <w:snapToGrid/>
          <w:color w:val="000000" w:themeColor="text1"/>
          <w:spacing w:val="0"/>
          <w:kern w:val="0"/>
          <w:lang w:val="en-GB" w:eastAsia="en-GB"/>
          <w14:ligatures w14:val="none"/>
        </w:rPr>
        <w:t>inverse square cosine law (ANSI/IES RP-8, 2025). For the particular case in which the surface is normal to the flux, θ = 90 degrees, the equation is simplified to:</w:t>
      </w:r>
    </w:p>
    <w:p w14:paraId="39AA04BC" w14:textId="77777777" w:rsidR="00D6314A" w:rsidRPr="00EF2F5B" w:rsidRDefault="00D6314A" w:rsidP="0060726F">
      <w:pPr>
        <w:spacing w:after="0" w:line="240" w:lineRule="auto"/>
        <w:jc w:val="both"/>
        <w:rPr>
          <w:rFonts w:eastAsia="Times New Roman"/>
          <w:noProof/>
          <w:snapToGrid/>
          <w:color w:val="000000" w:themeColor="text1"/>
          <w:spacing w:val="0"/>
          <w:kern w:val="0"/>
          <w:lang w:val="en-GB" w:eastAsia="en-GB"/>
          <w14:ligatures w14:val="none"/>
        </w:rPr>
      </w:pPr>
    </w:p>
    <w:tbl>
      <w:tblPr>
        <w:tblStyle w:val="TableGrid4"/>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1"/>
      </w:tblGrid>
      <w:tr w:rsidR="00D6314A" w:rsidRPr="00EF2F5B" w14:paraId="3D7C034E" w14:textId="77777777" w:rsidTr="00A00C69">
        <w:tc>
          <w:tcPr>
            <w:tcW w:w="7938" w:type="dxa"/>
          </w:tcPr>
          <w:p w14:paraId="511C74B9" w14:textId="77777777" w:rsidR="0060726F" w:rsidRPr="00EF2F5B" w:rsidRDefault="0060726F" w:rsidP="00A00C69">
            <w:pPr>
              <w:rPr>
                <w:rFonts w:ascii="Times New Roman" w:hAnsi="Times New Roman" w:cs="Times New Roman"/>
                <w:spacing w:val="0"/>
              </w:rPr>
            </w:pPr>
            <m:oMathPara>
              <m:oMath>
                <m:r>
                  <m:rPr>
                    <m:nor/>
                  </m:rPr>
                  <w:rPr>
                    <w:rFonts w:ascii="Times New Roman" w:hAnsi="Times New Roman" w:cs="Times New Roman"/>
                    <w:spacing w:val="0"/>
                  </w:rPr>
                  <m:t>Horizontal Illuminance [E</m:t>
                </m:r>
                <m:r>
                  <m:rPr>
                    <m:nor/>
                  </m:rPr>
                  <w:rPr>
                    <w:rFonts w:ascii="Times New Roman" w:hAnsi="Times New Roman" w:cs="Times New Roman"/>
                    <w:spacing w:val="0"/>
                    <w:vertAlign w:val="subscript"/>
                  </w:rPr>
                  <m:t>H</m:t>
                </m:r>
                <m:r>
                  <m:rPr>
                    <m:nor/>
                  </m:rPr>
                  <w:rPr>
                    <w:rFonts w:ascii="Times New Roman" w:hAnsi="Times New Roman" w:cs="Times New Roman"/>
                    <w:spacing w:val="0"/>
                  </w:rPr>
                  <m:t>]=</m:t>
                </m:r>
                <m:f>
                  <m:fPr>
                    <m:ctrlPr>
                      <w:rPr>
                        <w:rFonts w:ascii="Cambria Math" w:hAnsi="Cambria Math" w:cs="Times New Roman"/>
                        <w:spacing w:val="0"/>
                      </w:rPr>
                    </m:ctrlPr>
                  </m:fPr>
                  <m:num>
                    <m:r>
                      <m:rPr>
                        <m:nor/>
                      </m:rPr>
                      <w:rPr>
                        <w:rFonts w:ascii="Times New Roman" w:hAnsi="Times New Roman" w:cs="Times New Roman"/>
                        <w:spacing w:val="0"/>
                      </w:rPr>
                      <m:t>Intensity [I</m:t>
                    </m:r>
                    <m:r>
                      <m:rPr>
                        <m:nor/>
                      </m:rPr>
                      <w:rPr>
                        <w:rFonts w:ascii="Times New Roman" w:hAnsi="Times New Roman" w:cs="Times New Roman"/>
                        <w:spacing w:val="0"/>
                        <w:vertAlign w:val="subscript"/>
                      </w:rPr>
                      <m:t>θ</m:t>
                    </m:r>
                    <m:r>
                      <m:rPr>
                        <m:nor/>
                      </m:rPr>
                      <w:rPr>
                        <w:rFonts w:ascii="Times New Roman" w:hAnsi="Times New Roman" w:cs="Times New Roman"/>
                        <w:spacing w:val="0"/>
                      </w:rPr>
                      <m:t>]</m:t>
                    </m:r>
                  </m:num>
                  <m:den>
                    <m:r>
                      <m:rPr>
                        <m:nor/>
                      </m:rPr>
                      <w:rPr>
                        <w:rFonts w:ascii="Times New Roman" w:hAnsi="Times New Roman" w:cs="Times New Roman"/>
                        <w:spacing w:val="0"/>
                      </w:rPr>
                      <m:t>Distance Square [D</m:t>
                    </m:r>
                    <m:r>
                      <m:rPr>
                        <m:nor/>
                      </m:rPr>
                      <w:rPr>
                        <w:rFonts w:ascii="Times New Roman" w:hAnsi="Times New Roman" w:cs="Times New Roman"/>
                        <w:spacing w:val="0"/>
                        <w:vertAlign w:val="superscript"/>
                      </w:rPr>
                      <m:t>2</m:t>
                    </m:r>
                    <m:r>
                      <m:rPr>
                        <m:nor/>
                      </m:rPr>
                      <w:rPr>
                        <w:rFonts w:ascii="Times New Roman" w:hAnsi="Times New Roman" w:cs="Times New Roman"/>
                        <w:spacing w:val="0"/>
                      </w:rPr>
                      <m:t>]</m:t>
                    </m:r>
                  </m:den>
                </m:f>
              </m:oMath>
            </m:oMathPara>
          </w:p>
        </w:tc>
        <w:tc>
          <w:tcPr>
            <w:tcW w:w="851" w:type="dxa"/>
          </w:tcPr>
          <w:p w14:paraId="4BB6C3A2" w14:textId="20999926" w:rsidR="0060726F" w:rsidRPr="00EF2F5B" w:rsidRDefault="0060726F" w:rsidP="00A00C69">
            <w:pPr>
              <w:tabs>
                <w:tab w:val="center" w:pos="3289"/>
                <w:tab w:val="right" w:pos="6917"/>
              </w:tabs>
              <w:overflowPunct w:val="0"/>
              <w:autoSpaceDE w:val="0"/>
              <w:autoSpaceDN w:val="0"/>
              <w:adjustRightInd w:val="0"/>
              <w:jc w:val="right"/>
              <w:textAlignment w:val="baseline"/>
              <w:rPr>
                <w:rFonts w:ascii="Times New Roman" w:hAnsi="Times New Roman" w:cs="Times New Roman"/>
                <w:spacing w:val="0"/>
              </w:rPr>
            </w:pPr>
            <w:r w:rsidRPr="00EF2F5B">
              <w:rPr>
                <w:rFonts w:ascii="Times New Roman" w:hAnsi="Times New Roman" w:cs="Times New Roman"/>
                <w:spacing w:val="0"/>
              </w:rPr>
              <w:t>(</w:t>
            </w:r>
            <w:r w:rsidR="00D6314A" w:rsidRPr="00EF2F5B">
              <w:rPr>
                <w:rFonts w:ascii="Times New Roman" w:hAnsi="Times New Roman" w:cs="Times New Roman"/>
                <w:spacing w:val="0"/>
              </w:rPr>
              <w:t>2</w:t>
            </w:r>
            <w:r w:rsidRPr="00EF2F5B">
              <w:rPr>
                <w:rFonts w:ascii="Times New Roman" w:eastAsiaTheme="minorHAnsi" w:hAnsi="Times New Roman" w:cs="Times New Roman"/>
                <w:spacing w:val="0"/>
                <w:lang w:val="en-ZA" w:bidi="ar-SA"/>
              </w:rPr>
              <w:t>)</w:t>
            </w:r>
          </w:p>
        </w:tc>
      </w:tr>
    </w:tbl>
    <w:p w14:paraId="59979EED" w14:textId="77777777" w:rsidR="0060726F" w:rsidRPr="00EF2F5B" w:rsidRDefault="0060726F" w:rsidP="0060726F">
      <w:pPr>
        <w:spacing w:after="0" w:line="240" w:lineRule="auto"/>
        <w:jc w:val="both"/>
        <w:rPr>
          <w:rFonts w:eastAsia="Times New Roman"/>
          <w:color w:val="000000" w:themeColor="text1"/>
          <w:spacing w:val="0"/>
          <w:kern w:val="0"/>
          <w:lang w:val="en-GB" w:eastAsia="en-GB"/>
          <w14:ligatures w14:val="none"/>
        </w:rPr>
      </w:pPr>
    </w:p>
    <w:tbl>
      <w:tblPr>
        <w:tblStyle w:val="TableGrid4"/>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1"/>
      </w:tblGrid>
      <w:tr w:rsidR="00D6314A" w:rsidRPr="00EF2F5B" w14:paraId="1D342366" w14:textId="77777777" w:rsidTr="00A00C69">
        <w:tc>
          <w:tcPr>
            <w:tcW w:w="7938" w:type="dxa"/>
          </w:tcPr>
          <w:p w14:paraId="28B8D0E7" w14:textId="77777777" w:rsidR="0060726F" w:rsidRPr="00EF2F5B" w:rsidRDefault="0060726F" w:rsidP="00A00C69">
            <w:pPr>
              <w:rPr>
                <w:rFonts w:ascii="Times New Roman" w:hAnsi="Times New Roman" w:cs="Times New Roman"/>
                <w:spacing w:val="0"/>
              </w:rPr>
            </w:pPr>
            <m:oMathPara>
              <m:oMath>
                <m:r>
                  <m:rPr>
                    <m:nor/>
                  </m:rPr>
                  <w:rPr>
                    <w:rFonts w:ascii="Times New Roman" w:hAnsi="Times New Roman" w:cs="Times New Roman"/>
                    <w:spacing w:val="0"/>
                  </w:rPr>
                  <m:t>Vertical Illuminance [E</m:t>
                </m:r>
                <m:r>
                  <m:rPr>
                    <m:nor/>
                  </m:rPr>
                  <w:rPr>
                    <w:rFonts w:ascii="Times New Roman" w:hAnsi="Times New Roman" w:cs="Times New Roman"/>
                    <w:spacing w:val="0"/>
                    <w:vertAlign w:val="subscript"/>
                  </w:rPr>
                  <m:t>V</m:t>
                </m:r>
                <m:r>
                  <m:rPr>
                    <m:nor/>
                  </m:rPr>
                  <w:rPr>
                    <w:rFonts w:ascii="Times New Roman" w:hAnsi="Times New Roman" w:cs="Times New Roman"/>
                    <w:spacing w:val="0"/>
                  </w:rPr>
                  <m:t xml:space="preserve">] = </m:t>
                </m:r>
                <m:r>
                  <w:rPr>
                    <w:rFonts w:ascii="Cambria Math" w:hAnsi="Cambria Math" w:cs="Times New Roman"/>
                    <w:spacing w:val="0"/>
                  </w:rPr>
                  <m:t>0</m:t>
                </m:r>
              </m:oMath>
            </m:oMathPara>
          </w:p>
        </w:tc>
        <w:tc>
          <w:tcPr>
            <w:tcW w:w="851" w:type="dxa"/>
          </w:tcPr>
          <w:p w14:paraId="5532E97C" w14:textId="583CF7A7" w:rsidR="0060726F" w:rsidRPr="00EF2F5B" w:rsidRDefault="0060726F" w:rsidP="00A00C69">
            <w:pPr>
              <w:tabs>
                <w:tab w:val="center" w:pos="3289"/>
                <w:tab w:val="right" w:pos="6917"/>
              </w:tabs>
              <w:overflowPunct w:val="0"/>
              <w:autoSpaceDE w:val="0"/>
              <w:autoSpaceDN w:val="0"/>
              <w:adjustRightInd w:val="0"/>
              <w:jc w:val="right"/>
              <w:textAlignment w:val="baseline"/>
              <w:rPr>
                <w:rFonts w:ascii="Times New Roman" w:hAnsi="Times New Roman" w:cs="Times New Roman"/>
                <w:spacing w:val="0"/>
              </w:rPr>
            </w:pPr>
            <w:r w:rsidRPr="00EF2F5B">
              <w:rPr>
                <w:rFonts w:ascii="Times New Roman" w:hAnsi="Times New Roman" w:cs="Times New Roman"/>
                <w:spacing w:val="0"/>
              </w:rPr>
              <w:t>(</w:t>
            </w:r>
            <w:r w:rsidR="00D6314A" w:rsidRPr="00EF2F5B">
              <w:rPr>
                <w:spacing w:val="0"/>
              </w:rPr>
              <w:t>3</w:t>
            </w:r>
            <w:r w:rsidRPr="00EF2F5B">
              <w:rPr>
                <w:rFonts w:ascii="Times New Roman" w:eastAsiaTheme="minorHAnsi" w:hAnsi="Times New Roman" w:cs="Times New Roman"/>
                <w:spacing w:val="0"/>
                <w:lang w:val="en-ZA" w:bidi="ar-SA"/>
              </w:rPr>
              <w:t>)</w:t>
            </w:r>
          </w:p>
        </w:tc>
      </w:tr>
    </w:tbl>
    <w:p w14:paraId="743EC25D" w14:textId="77777777" w:rsidR="0060726F" w:rsidRPr="00EF2F5B" w:rsidRDefault="0060726F" w:rsidP="0060726F">
      <w:pPr>
        <w:spacing w:after="0" w:line="240" w:lineRule="auto"/>
        <w:rPr>
          <w:rFonts w:eastAsia="Times New Roman"/>
          <w:snapToGrid/>
          <w:color w:val="000000" w:themeColor="text1"/>
          <w:spacing w:val="0"/>
          <w:kern w:val="0"/>
          <w:lang w:val="en-GB" w:eastAsia="en-GB"/>
          <w14:ligatures w14:val="none"/>
        </w:rPr>
      </w:pPr>
    </w:p>
    <w:p w14:paraId="26B36079" w14:textId="77777777" w:rsidR="0060726F" w:rsidRPr="00EF2F5B" w:rsidRDefault="0060726F" w:rsidP="0060726F">
      <w:pPr>
        <w:spacing w:after="0" w:line="240" w:lineRule="auto"/>
        <w:rPr>
          <w:rFonts w:eastAsia="Times New Roman"/>
          <w:snapToGrid/>
          <w:color w:val="000000" w:themeColor="text1"/>
          <w:spacing w:val="0"/>
          <w:kern w:val="0"/>
          <w:lang w:val="en-ZA" w:eastAsia="en-GB"/>
          <w14:ligatures w14:val="none"/>
        </w:rPr>
      </w:pPr>
      <w:r w:rsidRPr="00EF2F5B">
        <w:rPr>
          <w:rFonts w:eastAsia="Times New Roman"/>
          <w:snapToGrid/>
          <w:color w:val="000000" w:themeColor="text1"/>
          <w:spacing w:val="0"/>
          <w:kern w:val="0"/>
          <w:lang w:val="en-ZA" w:eastAsia="en-GB"/>
          <w14:ligatures w14:val="none"/>
        </w:rPr>
        <w:t>Where:     E</w:t>
      </w:r>
      <w:r w:rsidRPr="00EF2F5B">
        <w:rPr>
          <w:rFonts w:eastAsia="Times New Roman"/>
          <w:snapToGrid/>
          <w:color w:val="000000" w:themeColor="text1"/>
          <w:spacing w:val="0"/>
          <w:kern w:val="0"/>
          <w:vertAlign w:val="subscript"/>
          <w:lang w:val="en-ZA" w:eastAsia="en-GB"/>
          <w14:ligatures w14:val="none"/>
        </w:rPr>
        <w:t>H</w:t>
      </w:r>
      <w:r w:rsidRPr="00EF2F5B">
        <w:rPr>
          <w:rFonts w:eastAsia="Times New Roman"/>
          <w:snapToGrid/>
          <w:color w:val="000000" w:themeColor="text1"/>
          <w:spacing w:val="0"/>
          <w:kern w:val="0"/>
          <w:lang w:val="en-ZA" w:eastAsia="en-GB"/>
          <w14:ligatures w14:val="none"/>
        </w:rPr>
        <w:t xml:space="preserve"> = horizontal illuminance.  </w:t>
      </w:r>
    </w:p>
    <w:p w14:paraId="4A88D102" w14:textId="77777777" w:rsidR="0060726F" w:rsidRPr="00EF2F5B" w:rsidRDefault="0060726F" w:rsidP="0060726F">
      <w:pPr>
        <w:spacing w:after="0" w:line="240" w:lineRule="auto"/>
        <w:rPr>
          <w:rFonts w:eastAsia="Times New Roman"/>
          <w:snapToGrid/>
          <w:color w:val="000000" w:themeColor="text1"/>
          <w:spacing w:val="0"/>
          <w:kern w:val="0"/>
          <w:lang w:val="en-GB" w:eastAsia="en-GB"/>
          <w14:ligatures w14:val="none"/>
        </w:rPr>
      </w:pPr>
      <w:r w:rsidRPr="00EF2F5B">
        <w:rPr>
          <w:rFonts w:eastAsia="Times New Roman"/>
          <w:snapToGrid/>
          <w:color w:val="000000" w:themeColor="text1"/>
          <w:spacing w:val="0"/>
          <w:kern w:val="0"/>
          <w:lang w:val="en-GB" w:eastAsia="en-GB"/>
          <w14:ligatures w14:val="none"/>
        </w:rPr>
        <w:t xml:space="preserve">                </w:t>
      </w:r>
      <w:proofErr w:type="spellStart"/>
      <w:r w:rsidRPr="00EF2F5B">
        <w:rPr>
          <w:rFonts w:eastAsia="Times New Roman"/>
          <w:snapToGrid/>
          <w:color w:val="000000" w:themeColor="text1"/>
          <w:spacing w:val="0"/>
          <w:kern w:val="0"/>
          <w:lang w:val="en-GB" w:eastAsia="en-GB"/>
          <w14:ligatures w14:val="none"/>
        </w:rPr>
        <w:t>I</w:t>
      </w:r>
      <w:r w:rsidRPr="00EF2F5B">
        <w:rPr>
          <w:rFonts w:eastAsia="Times New Roman"/>
          <w:snapToGrid/>
          <w:color w:val="000000" w:themeColor="text1"/>
          <w:spacing w:val="0"/>
          <w:kern w:val="0"/>
          <w:vertAlign w:val="subscript"/>
          <w:lang w:val="en-GB" w:eastAsia="en-GB"/>
          <w14:ligatures w14:val="none"/>
        </w:rPr>
        <w:t>θ</w:t>
      </w:r>
      <w:proofErr w:type="spellEnd"/>
      <w:r w:rsidRPr="00EF2F5B">
        <w:rPr>
          <w:rFonts w:eastAsia="Times New Roman"/>
          <w:snapToGrid/>
          <w:color w:val="000000" w:themeColor="text1"/>
          <w:spacing w:val="0"/>
          <w:kern w:val="0"/>
          <w:lang w:val="en-GB" w:eastAsia="en-GB"/>
          <w14:ligatures w14:val="none"/>
        </w:rPr>
        <w:t xml:space="preserve"> = luminous intensity of an illuminance source.</w:t>
      </w:r>
    </w:p>
    <w:p w14:paraId="7DC70567" w14:textId="77777777" w:rsidR="0060726F" w:rsidRPr="00EF2F5B" w:rsidRDefault="0060726F" w:rsidP="0060726F">
      <w:pPr>
        <w:spacing w:after="0" w:line="240" w:lineRule="auto"/>
        <w:ind w:left="1276"/>
        <w:rPr>
          <w:rFonts w:eastAsia="Times New Roman"/>
          <w:snapToGrid/>
          <w:color w:val="000000" w:themeColor="text1"/>
          <w:spacing w:val="0"/>
          <w:kern w:val="0"/>
          <w:lang w:val="en-GB" w:eastAsia="en-GB"/>
          <w14:ligatures w14:val="none"/>
        </w:rPr>
      </w:pPr>
      <w:r w:rsidRPr="00EF2F5B">
        <w:rPr>
          <w:rFonts w:eastAsia="Times New Roman"/>
          <w:snapToGrid/>
          <w:color w:val="000000" w:themeColor="text1"/>
          <w:spacing w:val="0"/>
          <w:kern w:val="0"/>
          <w:lang w:val="en-GB" w:eastAsia="en-GB"/>
          <w14:ligatures w14:val="none"/>
        </w:rPr>
        <w:t>θ = the angle measured from the vertical to the incident ray.</w:t>
      </w:r>
    </w:p>
    <w:p w14:paraId="57272BCA" w14:textId="77777777" w:rsidR="0060726F" w:rsidRPr="00EF2F5B" w:rsidRDefault="0060726F" w:rsidP="0060726F">
      <w:pPr>
        <w:spacing w:after="0" w:line="240" w:lineRule="auto"/>
        <w:ind w:left="1276"/>
        <w:rPr>
          <w:rFonts w:eastAsia="Times New Roman"/>
          <w:snapToGrid/>
          <w:color w:val="000000" w:themeColor="text1"/>
          <w:spacing w:val="0"/>
          <w:kern w:val="0"/>
          <w:lang w:val="en-GB" w:eastAsia="en-GB"/>
          <w14:ligatures w14:val="none"/>
        </w:rPr>
      </w:pPr>
      <w:r w:rsidRPr="00EF2F5B">
        <w:rPr>
          <w:rFonts w:eastAsia="Times New Roman"/>
          <w:snapToGrid/>
          <w:color w:val="000000" w:themeColor="text1"/>
          <w:spacing w:val="0"/>
          <w:kern w:val="0"/>
          <w:lang w:val="en-GB" w:eastAsia="en-GB"/>
          <w14:ligatures w14:val="none"/>
        </w:rPr>
        <w:t>E</w:t>
      </w:r>
      <w:r w:rsidRPr="00EF2F5B">
        <w:rPr>
          <w:rFonts w:eastAsia="Times New Roman"/>
          <w:snapToGrid/>
          <w:color w:val="000000" w:themeColor="text1"/>
          <w:spacing w:val="0"/>
          <w:kern w:val="0"/>
          <w:vertAlign w:val="subscript"/>
          <w:lang w:val="en-GB" w:eastAsia="en-GB"/>
          <w14:ligatures w14:val="none"/>
        </w:rPr>
        <w:t>v</w:t>
      </w:r>
      <w:r w:rsidRPr="00EF2F5B">
        <w:rPr>
          <w:rFonts w:eastAsia="Times New Roman"/>
          <w:snapToGrid/>
          <w:color w:val="000000" w:themeColor="text1"/>
          <w:spacing w:val="0"/>
          <w:kern w:val="0"/>
          <w:lang w:val="en-GB" w:eastAsia="en-GB"/>
          <w14:ligatures w14:val="none"/>
        </w:rPr>
        <w:t xml:space="preserve"> = vertical illuminance.</w:t>
      </w:r>
    </w:p>
    <w:p w14:paraId="14C7C977" w14:textId="77777777" w:rsidR="0060726F" w:rsidRPr="00EF2F5B" w:rsidRDefault="0060726F" w:rsidP="0060726F">
      <w:pPr>
        <w:spacing w:after="0" w:line="240" w:lineRule="auto"/>
        <w:ind w:left="1276"/>
        <w:rPr>
          <w:rFonts w:eastAsia="Times New Roman"/>
          <w:snapToGrid/>
          <w:color w:val="000000" w:themeColor="text1"/>
          <w:spacing w:val="0"/>
          <w:kern w:val="0"/>
          <w:lang w:val="en-GB" w:eastAsia="en-GB"/>
          <w14:ligatures w14:val="none"/>
        </w:rPr>
      </w:pPr>
      <w:r w:rsidRPr="00EF2F5B">
        <w:rPr>
          <w:rFonts w:eastAsia="Times New Roman"/>
          <w:snapToGrid/>
          <w:color w:val="000000" w:themeColor="text1"/>
          <w:spacing w:val="0"/>
          <w:kern w:val="0"/>
          <w:lang w:val="en-GB" w:eastAsia="en-GB"/>
          <w14:ligatures w14:val="none"/>
        </w:rPr>
        <w:t>h = vertical distance from the source.</w:t>
      </w:r>
    </w:p>
    <w:p w14:paraId="4F888EFB" w14:textId="77777777" w:rsidR="0060726F" w:rsidRPr="00EF2F5B" w:rsidRDefault="0060726F" w:rsidP="0060726F">
      <w:pPr>
        <w:spacing w:after="0" w:line="240" w:lineRule="auto"/>
        <w:ind w:left="1276"/>
        <w:rPr>
          <w:rFonts w:eastAsia="Times New Roman"/>
          <w:snapToGrid/>
          <w:color w:val="000000" w:themeColor="text1"/>
          <w:spacing w:val="0"/>
          <w:kern w:val="0"/>
          <w:lang w:val="en-GB" w:eastAsia="en-GB"/>
          <w14:ligatures w14:val="none"/>
        </w:rPr>
      </w:pPr>
      <w:r w:rsidRPr="00EF2F5B">
        <w:rPr>
          <w:rFonts w:eastAsia="Times New Roman"/>
          <w:snapToGrid/>
          <w:color w:val="000000" w:themeColor="text1"/>
          <w:spacing w:val="0"/>
          <w:kern w:val="0"/>
          <w:lang w:val="en-GB" w:eastAsia="en-GB"/>
          <w14:ligatures w14:val="none"/>
        </w:rPr>
        <w:t xml:space="preserve">D = distance between the source and point P.  </w:t>
      </w:r>
    </w:p>
    <w:p w14:paraId="44E2083A" w14:textId="77777777" w:rsidR="0060726F" w:rsidRPr="00EF2F5B" w:rsidRDefault="0060726F" w:rsidP="0060726F">
      <w:pPr>
        <w:spacing w:after="0" w:line="240" w:lineRule="auto"/>
        <w:ind w:left="1276"/>
        <w:rPr>
          <w:rFonts w:eastAsia="Times New Roman"/>
          <w:snapToGrid/>
          <w:color w:val="000000" w:themeColor="text1"/>
          <w:spacing w:val="0"/>
          <w:kern w:val="0"/>
          <w:lang w:val="en-GB" w:eastAsia="en-GB"/>
          <w14:ligatures w14:val="none"/>
        </w:rPr>
      </w:pPr>
      <w:r w:rsidRPr="00EF2F5B">
        <w:rPr>
          <w:rFonts w:eastAsia="Times New Roman"/>
          <w:snapToGrid/>
          <w:color w:val="000000" w:themeColor="text1"/>
          <w:spacing w:val="0"/>
          <w:kern w:val="0"/>
          <w:lang w:val="en-GB" w:eastAsia="en-GB"/>
          <w14:ligatures w14:val="none"/>
        </w:rPr>
        <w:t>D = h/</w:t>
      </w:r>
      <w:proofErr w:type="spellStart"/>
      <w:r w:rsidRPr="00EF2F5B">
        <w:rPr>
          <w:rFonts w:eastAsia="Times New Roman"/>
          <w:snapToGrid/>
          <w:color w:val="000000" w:themeColor="text1"/>
          <w:spacing w:val="0"/>
          <w:kern w:val="0"/>
          <w:lang w:val="en-GB" w:eastAsia="en-GB"/>
          <w14:ligatures w14:val="none"/>
        </w:rPr>
        <w:t>cosθ</w:t>
      </w:r>
      <w:proofErr w:type="spellEnd"/>
      <w:r w:rsidRPr="00EF2F5B">
        <w:rPr>
          <w:rFonts w:eastAsia="Times New Roman"/>
          <w:snapToGrid/>
          <w:color w:val="000000" w:themeColor="text1"/>
          <w:spacing w:val="0"/>
          <w:kern w:val="0"/>
          <w:lang w:val="en-GB" w:eastAsia="en-GB"/>
          <w14:ligatures w14:val="none"/>
        </w:rPr>
        <w:t xml:space="preserve"> = C/</w:t>
      </w:r>
      <w:proofErr w:type="spellStart"/>
      <w:r w:rsidRPr="00EF2F5B">
        <w:rPr>
          <w:rFonts w:eastAsia="Times New Roman"/>
          <w:snapToGrid/>
          <w:color w:val="000000" w:themeColor="text1"/>
          <w:spacing w:val="0"/>
          <w:kern w:val="0"/>
          <w:lang w:val="en-GB" w:eastAsia="en-GB"/>
          <w14:ligatures w14:val="none"/>
        </w:rPr>
        <w:t>sinθ</w:t>
      </w:r>
      <w:proofErr w:type="spellEnd"/>
      <w:r w:rsidRPr="00EF2F5B">
        <w:rPr>
          <w:rFonts w:eastAsia="Times New Roman"/>
          <w:snapToGrid/>
          <w:color w:val="000000" w:themeColor="text1"/>
          <w:spacing w:val="0"/>
          <w:kern w:val="0"/>
          <w:lang w:val="en-GB" w:eastAsia="en-GB"/>
          <w14:ligatures w14:val="none"/>
        </w:rPr>
        <w:t xml:space="preserve">  </w:t>
      </w:r>
    </w:p>
    <w:p w14:paraId="2E627921" w14:textId="77777777" w:rsidR="0060726F" w:rsidRPr="00EF2F5B" w:rsidRDefault="0060726F" w:rsidP="0060726F">
      <w:pPr>
        <w:spacing w:after="0" w:line="240" w:lineRule="auto"/>
        <w:jc w:val="both"/>
        <w:rPr>
          <w:rFonts w:eastAsia="Times New Roman"/>
          <w:snapToGrid/>
          <w:color w:val="000000" w:themeColor="text1"/>
          <w:spacing w:val="0"/>
          <w:kern w:val="0"/>
          <w:lang w:val="en-GB" w:eastAsia="en-GB"/>
          <w14:ligatures w14:val="none"/>
        </w:rPr>
      </w:pPr>
    </w:p>
    <w:p w14:paraId="12CDBB96" w14:textId="02A7D796" w:rsidR="0060726F" w:rsidRPr="00EF2F5B" w:rsidRDefault="0060726F" w:rsidP="0060726F">
      <w:pPr>
        <w:spacing w:after="0" w:line="240" w:lineRule="auto"/>
        <w:jc w:val="both"/>
        <w:rPr>
          <w:rFonts w:eastAsia="Times New Roman"/>
          <w:snapToGrid/>
          <w:color w:val="000000" w:themeColor="text1"/>
          <w:spacing w:val="0"/>
          <w:kern w:val="0"/>
          <w:lang w:val="en-GB" w:eastAsia="en-GB"/>
          <w14:ligatures w14:val="none"/>
        </w:rPr>
      </w:pPr>
      <w:r w:rsidRPr="00EF2F5B">
        <w:rPr>
          <w:rFonts w:eastAsia="Times New Roman"/>
          <w:snapToGrid/>
          <w:color w:val="000000" w:themeColor="text1"/>
          <w:spacing w:val="0"/>
          <w:kern w:val="0"/>
          <w:lang w:val="en-GB" w:eastAsia="en-GB"/>
          <w14:ligatures w14:val="none"/>
        </w:rPr>
        <w:t xml:space="preserve">As measured from the OLS, the horizontal and vertical illumination </w:t>
      </w:r>
      <w:r w:rsidR="00D6314A" w:rsidRPr="00EF2F5B">
        <w:rPr>
          <w:rFonts w:eastAsia="Times New Roman"/>
          <w:snapToGrid/>
          <w:color w:val="000000" w:themeColor="text1"/>
          <w:spacing w:val="0"/>
          <w:kern w:val="0"/>
          <w:lang w:val="en-GB" w:eastAsia="en-GB"/>
          <w14:ligatures w14:val="none"/>
        </w:rPr>
        <w:t>are</w:t>
      </w:r>
      <w:r w:rsidRPr="00EF2F5B">
        <w:rPr>
          <w:rFonts w:eastAsia="Times New Roman"/>
          <w:snapToGrid/>
          <w:color w:val="000000" w:themeColor="text1"/>
          <w:spacing w:val="0"/>
          <w:kern w:val="0"/>
          <w:lang w:val="en-GB" w:eastAsia="en-GB"/>
          <w14:ligatures w14:val="none"/>
        </w:rPr>
        <w:t xml:space="preserve"> inversely proportional to the </w:t>
      </w:r>
      <w:r w:rsidR="00D6314A" w:rsidRPr="00EF2F5B">
        <w:rPr>
          <w:rFonts w:eastAsia="Times New Roman"/>
          <w:snapToGrid/>
          <w:color w:val="000000" w:themeColor="text1"/>
          <w:spacing w:val="0"/>
          <w:kern w:val="0"/>
          <w:lang w:val="en-GB" w:eastAsia="en-GB"/>
          <w14:ligatures w14:val="none"/>
        </w:rPr>
        <w:t>square of the vertical distance</w:t>
      </w:r>
      <w:r w:rsidRPr="00EF2F5B">
        <w:rPr>
          <w:rFonts w:eastAsia="Times New Roman"/>
          <w:snapToGrid/>
          <w:color w:val="000000" w:themeColor="text1"/>
          <w:spacing w:val="0"/>
          <w:kern w:val="0"/>
          <w:lang w:val="en-GB" w:eastAsia="en-GB"/>
          <w14:ligatures w14:val="none"/>
        </w:rPr>
        <w:t>. In general, the relationship is expressed as:</w:t>
      </w:r>
    </w:p>
    <w:p w14:paraId="79A21FBD" w14:textId="77777777" w:rsidR="0060726F" w:rsidRPr="00EF2F5B" w:rsidRDefault="0060726F" w:rsidP="0060726F">
      <w:pPr>
        <w:spacing w:after="0" w:line="240" w:lineRule="auto"/>
        <w:rPr>
          <w:rFonts w:eastAsia="Times New Roman"/>
          <w:snapToGrid/>
          <w:color w:val="000000" w:themeColor="text1"/>
          <w:spacing w:val="0"/>
          <w:kern w:val="0"/>
          <w:lang w:val="en-GB" w:eastAsia="en-GB"/>
          <w14:ligatures w14:val="none"/>
        </w:rPr>
      </w:pPr>
    </w:p>
    <w:tbl>
      <w:tblPr>
        <w:tblStyle w:val="TableGrid4"/>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1"/>
      </w:tblGrid>
      <w:tr w:rsidR="00D6314A" w:rsidRPr="00EF2F5B" w14:paraId="576C03D1" w14:textId="77777777" w:rsidTr="00A00C69">
        <w:tc>
          <w:tcPr>
            <w:tcW w:w="7938" w:type="dxa"/>
          </w:tcPr>
          <w:p w14:paraId="5BA882FB" w14:textId="77777777" w:rsidR="0060726F" w:rsidRPr="00EF2F5B" w:rsidRDefault="0060726F" w:rsidP="00A00C69">
            <w:pPr>
              <w:rPr>
                <w:rFonts w:ascii="Times New Roman" w:hAnsi="Times New Roman" w:cs="Times New Roman"/>
                <w:spacing w:val="0"/>
              </w:rPr>
            </w:pPr>
            <m:oMathPara>
              <m:oMath>
                <m:r>
                  <m:rPr>
                    <m:nor/>
                  </m:rPr>
                  <w:rPr>
                    <w:rFonts w:ascii="Times New Roman" w:hAnsi="Times New Roman" w:cs="Times New Roman"/>
                    <w:spacing w:val="0"/>
                  </w:rPr>
                  <m:t>Horizontal Illuminance [E</m:t>
                </m:r>
                <m:r>
                  <m:rPr>
                    <m:nor/>
                  </m:rPr>
                  <w:rPr>
                    <w:rFonts w:ascii="Times New Roman" w:hAnsi="Times New Roman" w:cs="Times New Roman"/>
                    <w:spacing w:val="0"/>
                    <w:vertAlign w:val="subscript"/>
                  </w:rPr>
                  <m:t>H</m:t>
                </m:r>
                <m:r>
                  <m:rPr>
                    <m:nor/>
                  </m:rPr>
                  <w:rPr>
                    <w:rFonts w:ascii="Times New Roman" w:hAnsi="Times New Roman" w:cs="Times New Roman"/>
                    <w:spacing w:val="0"/>
                  </w:rPr>
                  <m:t>]=</m:t>
                </m:r>
                <m:f>
                  <m:fPr>
                    <m:ctrlPr>
                      <w:rPr>
                        <w:rFonts w:ascii="Cambria Math" w:hAnsi="Cambria Math" w:cs="Times New Roman"/>
                        <w:spacing w:val="0"/>
                      </w:rPr>
                    </m:ctrlPr>
                  </m:fPr>
                  <m:num>
                    <m:r>
                      <m:rPr>
                        <m:nor/>
                      </m:rPr>
                      <w:rPr>
                        <w:rFonts w:ascii="Times New Roman" w:hAnsi="Times New Roman" w:cs="Times New Roman"/>
                        <w:spacing w:val="0"/>
                      </w:rPr>
                      <m:t>Intensity * cosine angle [I</m:t>
                    </m:r>
                    <m:r>
                      <m:rPr>
                        <m:nor/>
                      </m:rPr>
                      <w:rPr>
                        <w:rFonts w:ascii="Times New Roman" w:hAnsi="Times New Roman" w:cs="Times New Roman"/>
                        <w:spacing w:val="0"/>
                        <w:vertAlign w:val="subscript"/>
                      </w:rPr>
                      <m:t>θ</m:t>
                    </m:r>
                    <m:r>
                      <m:rPr>
                        <m:nor/>
                      </m:rPr>
                      <w:rPr>
                        <w:rFonts w:ascii="Times New Roman" w:hAnsi="Times New Roman" w:cs="Times New Roman"/>
                        <w:spacing w:val="0"/>
                      </w:rPr>
                      <m:t xml:space="preserve"> cos</m:t>
                    </m:r>
                    <m:r>
                      <m:rPr>
                        <m:nor/>
                      </m:rPr>
                      <w:rPr>
                        <w:rFonts w:ascii="Times New Roman" w:hAnsi="Times New Roman" w:cs="Times New Roman"/>
                        <w:spacing w:val="0"/>
                        <w:vertAlign w:val="superscript"/>
                      </w:rPr>
                      <m:t>3</m:t>
                    </m:r>
                    <m:r>
                      <m:rPr>
                        <m:nor/>
                      </m:rPr>
                      <w:rPr>
                        <w:rFonts w:ascii="Times New Roman" w:hAnsi="Times New Roman" w:cs="Times New Roman"/>
                        <w:spacing w:val="0"/>
                      </w:rPr>
                      <m:t>θ]</m:t>
                    </m:r>
                  </m:num>
                  <m:den>
                    <m:r>
                      <m:rPr>
                        <m:nor/>
                      </m:rPr>
                      <w:rPr>
                        <w:rFonts w:ascii="Times New Roman" w:hAnsi="Times New Roman" w:cs="Times New Roman"/>
                        <w:spacing w:val="0"/>
                      </w:rPr>
                      <m:t>Distance Square [h</m:t>
                    </m:r>
                    <m:r>
                      <m:rPr>
                        <m:nor/>
                      </m:rPr>
                      <w:rPr>
                        <w:rFonts w:ascii="Times New Roman" w:hAnsi="Times New Roman" w:cs="Times New Roman"/>
                        <w:spacing w:val="0"/>
                        <w:vertAlign w:val="superscript"/>
                      </w:rPr>
                      <m:t>2</m:t>
                    </m:r>
                    <m:r>
                      <m:rPr>
                        <m:nor/>
                      </m:rPr>
                      <w:rPr>
                        <w:rFonts w:ascii="Times New Roman" w:hAnsi="Times New Roman" w:cs="Times New Roman"/>
                        <w:spacing w:val="0"/>
                      </w:rPr>
                      <m:t>]</m:t>
                    </m:r>
                  </m:den>
                </m:f>
              </m:oMath>
            </m:oMathPara>
          </w:p>
        </w:tc>
        <w:tc>
          <w:tcPr>
            <w:tcW w:w="851" w:type="dxa"/>
          </w:tcPr>
          <w:p w14:paraId="6AB5B19F" w14:textId="60153DDD" w:rsidR="0060726F" w:rsidRPr="00EF2F5B" w:rsidRDefault="0060726F" w:rsidP="00A00C69">
            <w:pPr>
              <w:tabs>
                <w:tab w:val="center" w:pos="3289"/>
                <w:tab w:val="right" w:pos="6917"/>
              </w:tabs>
              <w:overflowPunct w:val="0"/>
              <w:autoSpaceDE w:val="0"/>
              <w:autoSpaceDN w:val="0"/>
              <w:adjustRightInd w:val="0"/>
              <w:jc w:val="right"/>
              <w:textAlignment w:val="baseline"/>
              <w:rPr>
                <w:rFonts w:ascii="Times New Roman" w:hAnsi="Times New Roman" w:cs="Times New Roman"/>
                <w:spacing w:val="0"/>
              </w:rPr>
            </w:pPr>
            <w:r w:rsidRPr="00EF2F5B">
              <w:rPr>
                <w:rFonts w:ascii="Times New Roman" w:hAnsi="Times New Roman" w:cs="Times New Roman"/>
                <w:spacing w:val="0"/>
              </w:rPr>
              <w:t>(</w:t>
            </w:r>
            <w:r w:rsidR="00D6314A" w:rsidRPr="00EF2F5B">
              <w:rPr>
                <w:spacing w:val="0"/>
              </w:rPr>
              <w:t>4</w:t>
            </w:r>
            <w:r w:rsidRPr="00EF2F5B">
              <w:rPr>
                <w:rFonts w:ascii="Times New Roman" w:eastAsiaTheme="minorHAnsi" w:hAnsi="Times New Roman" w:cs="Times New Roman"/>
                <w:spacing w:val="0"/>
                <w:lang w:val="en-ZA" w:bidi="ar-SA"/>
              </w:rPr>
              <w:t>)</w:t>
            </w:r>
          </w:p>
        </w:tc>
      </w:tr>
    </w:tbl>
    <w:p w14:paraId="65DB47B5" w14:textId="77777777" w:rsidR="0060726F" w:rsidRPr="00EF2F5B" w:rsidRDefault="0060726F" w:rsidP="0060726F">
      <w:pPr>
        <w:spacing w:after="0" w:line="240" w:lineRule="auto"/>
        <w:jc w:val="both"/>
        <w:rPr>
          <w:rFonts w:eastAsia="Times New Roman"/>
          <w:color w:val="000000" w:themeColor="text1"/>
          <w:spacing w:val="0"/>
          <w:kern w:val="0"/>
          <w:lang w:val="en-GB" w:eastAsia="en-GB"/>
          <w14:ligatures w14:val="none"/>
        </w:rPr>
      </w:pPr>
    </w:p>
    <w:tbl>
      <w:tblPr>
        <w:tblStyle w:val="TableGrid4"/>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51"/>
      </w:tblGrid>
      <w:tr w:rsidR="00D6314A" w:rsidRPr="00EF2F5B" w14:paraId="30D756D0" w14:textId="77777777" w:rsidTr="00A00C69">
        <w:tc>
          <w:tcPr>
            <w:tcW w:w="7938" w:type="dxa"/>
          </w:tcPr>
          <w:p w14:paraId="285AE257" w14:textId="77777777" w:rsidR="0060726F" w:rsidRPr="00EF2F5B" w:rsidRDefault="0060726F" w:rsidP="00A00C69">
            <w:pPr>
              <w:rPr>
                <w:rFonts w:ascii="Times New Roman" w:hAnsi="Times New Roman" w:cs="Times New Roman"/>
                <w:spacing w:val="0"/>
              </w:rPr>
            </w:pPr>
            <m:oMathPara>
              <m:oMath>
                <m:r>
                  <m:rPr>
                    <m:nor/>
                  </m:rPr>
                  <w:rPr>
                    <w:rFonts w:ascii="Times New Roman" w:hAnsi="Times New Roman" w:cs="Times New Roman"/>
                    <w:spacing w:val="0"/>
                  </w:rPr>
                  <m:t>Vertical Illuminance [E</m:t>
                </m:r>
                <m:r>
                  <m:rPr>
                    <m:nor/>
                  </m:rPr>
                  <w:rPr>
                    <w:rFonts w:ascii="Times New Roman" w:hAnsi="Times New Roman" w:cs="Times New Roman"/>
                    <w:spacing w:val="0"/>
                    <w:vertAlign w:val="subscript"/>
                  </w:rPr>
                  <m:t>V</m:t>
                </m:r>
                <m:r>
                  <m:rPr>
                    <m:nor/>
                  </m:rPr>
                  <w:rPr>
                    <w:rFonts w:ascii="Times New Roman" w:hAnsi="Times New Roman" w:cs="Times New Roman"/>
                    <w:spacing w:val="0"/>
                  </w:rPr>
                  <m:t>]=</m:t>
                </m:r>
                <m:f>
                  <m:fPr>
                    <m:ctrlPr>
                      <w:rPr>
                        <w:rFonts w:ascii="Cambria Math" w:hAnsi="Cambria Math" w:cs="Times New Roman"/>
                        <w:spacing w:val="0"/>
                      </w:rPr>
                    </m:ctrlPr>
                  </m:fPr>
                  <m:num>
                    <m:r>
                      <m:rPr>
                        <m:nor/>
                      </m:rPr>
                      <w:rPr>
                        <w:rFonts w:ascii="Times New Roman" w:hAnsi="Times New Roman" w:cs="Times New Roman"/>
                        <w:spacing w:val="0"/>
                      </w:rPr>
                      <m:t>Intensity * sine &amp; cosine anlges [I</m:t>
                    </m:r>
                    <m:r>
                      <m:rPr>
                        <m:nor/>
                      </m:rPr>
                      <w:rPr>
                        <w:rFonts w:ascii="Times New Roman" w:hAnsi="Times New Roman" w:cs="Times New Roman"/>
                        <w:spacing w:val="0"/>
                        <w:vertAlign w:val="subscript"/>
                      </w:rPr>
                      <m:t>θ</m:t>
                    </m:r>
                    <m:r>
                      <m:rPr>
                        <m:nor/>
                      </m:rPr>
                      <w:rPr>
                        <w:rFonts w:ascii="Times New Roman" w:hAnsi="Times New Roman" w:cs="Times New Roman"/>
                        <w:spacing w:val="0"/>
                      </w:rPr>
                      <m:t xml:space="preserve"> cos</m:t>
                    </m:r>
                    <m:r>
                      <m:rPr>
                        <m:nor/>
                      </m:rPr>
                      <w:rPr>
                        <w:rFonts w:ascii="Times New Roman" w:hAnsi="Times New Roman" w:cs="Times New Roman"/>
                        <w:spacing w:val="0"/>
                        <w:vertAlign w:val="superscript"/>
                      </w:rPr>
                      <m:t>2</m:t>
                    </m:r>
                    <m:r>
                      <m:rPr>
                        <m:nor/>
                      </m:rPr>
                      <w:rPr>
                        <w:rFonts w:ascii="Times New Roman" w:hAnsi="Times New Roman" w:cs="Times New Roman"/>
                        <w:spacing w:val="0"/>
                      </w:rPr>
                      <m:t>θ sinθ]</m:t>
                    </m:r>
                  </m:num>
                  <m:den>
                    <m:r>
                      <m:rPr>
                        <m:nor/>
                      </m:rPr>
                      <w:rPr>
                        <w:rFonts w:ascii="Times New Roman" w:hAnsi="Times New Roman" w:cs="Times New Roman"/>
                        <w:spacing w:val="0"/>
                      </w:rPr>
                      <m:t>Distance Square [h</m:t>
                    </m:r>
                    <m:r>
                      <m:rPr>
                        <m:nor/>
                      </m:rPr>
                      <w:rPr>
                        <w:rFonts w:ascii="Times New Roman" w:hAnsi="Times New Roman" w:cs="Times New Roman"/>
                        <w:spacing w:val="0"/>
                        <w:vertAlign w:val="superscript"/>
                      </w:rPr>
                      <m:t>2</m:t>
                    </m:r>
                    <m:r>
                      <m:rPr>
                        <m:nor/>
                      </m:rPr>
                      <w:rPr>
                        <w:rFonts w:ascii="Times New Roman" w:hAnsi="Times New Roman" w:cs="Times New Roman"/>
                        <w:spacing w:val="0"/>
                      </w:rPr>
                      <m:t>]</m:t>
                    </m:r>
                  </m:den>
                </m:f>
              </m:oMath>
            </m:oMathPara>
          </w:p>
        </w:tc>
        <w:tc>
          <w:tcPr>
            <w:tcW w:w="851" w:type="dxa"/>
          </w:tcPr>
          <w:p w14:paraId="41A9F98C" w14:textId="6FFFB226" w:rsidR="0060726F" w:rsidRPr="00EF2F5B" w:rsidRDefault="0060726F" w:rsidP="00A00C69">
            <w:pPr>
              <w:tabs>
                <w:tab w:val="center" w:pos="3289"/>
                <w:tab w:val="right" w:pos="6917"/>
              </w:tabs>
              <w:overflowPunct w:val="0"/>
              <w:autoSpaceDE w:val="0"/>
              <w:autoSpaceDN w:val="0"/>
              <w:adjustRightInd w:val="0"/>
              <w:jc w:val="right"/>
              <w:textAlignment w:val="baseline"/>
              <w:rPr>
                <w:rFonts w:ascii="Times New Roman" w:hAnsi="Times New Roman" w:cs="Times New Roman"/>
                <w:spacing w:val="0"/>
              </w:rPr>
            </w:pPr>
            <w:r w:rsidRPr="00EF2F5B">
              <w:rPr>
                <w:rFonts w:ascii="Times New Roman" w:hAnsi="Times New Roman" w:cs="Times New Roman"/>
                <w:spacing w:val="0"/>
              </w:rPr>
              <w:t>(</w:t>
            </w:r>
            <w:r w:rsidR="00D6314A" w:rsidRPr="00EF2F5B">
              <w:rPr>
                <w:spacing w:val="0"/>
              </w:rPr>
              <w:t>5</w:t>
            </w:r>
            <w:r w:rsidRPr="00EF2F5B">
              <w:rPr>
                <w:rFonts w:ascii="Times New Roman" w:eastAsiaTheme="minorHAnsi" w:hAnsi="Times New Roman" w:cs="Times New Roman"/>
                <w:spacing w:val="0"/>
                <w:lang w:val="en-ZA" w:bidi="ar-SA"/>
              </w:rPr>
              <w:t>)</w:t>
            </w:r>
          </w:p>
        </w:tc>
      </w:tr>
    </w:tbl>
    <w:p w14:paraId="502A3311" w14:textId="77777777" w:rsidR="0060726F" w:rsidRPr="00EF2F5B" w:rsidRDefault="0060726F" w:rsidP="0060726F">
      <w:pPr>
        <w:spacing w:after="0" w:line="240" w:lineRule="auto"/>
        <w:rPr>
          <w:rFonts w:eastAsia="Times New Roman"/>
          <w:snapToGrid/>
          <w:color w:val="000000" w:themeColor="text1"/>
          <w:spacing w:val="0"/>
          <w:kern w:val="0"/>
          <w:lang w:val="en-GB" w:eastAsia="en-GB"/>
          <w14:ligatures w14:val="none"/>
        </w:rPr>
      </w:pPr>
    </w:p>
    <w:p w14:paraId="7DF5F448" w14:textId="762856A6" w:rsidR="0060726F" w:rsidRPr="00EF2F5B" w:rsidRDefault="0060726F" w:rsidP="0060726F">
      <w:pPr>
        <w:spacing w:after="0" w:line="240" w:lineRule="auto"/>
        <w:jc w:val="both"/>
        <w:rPr>
          <w:rFonts w:eastAsia="Times New Roman"/>
          <w:noProof/>
          <w:color w:val="000000" w:themeColor="text1"/>
          <w:spacing w:val="0"/>
          <w:kern w:val="0"/>
          <w:lang w:val="en-GB" w:eastAsia="en-GB"/>
          <w14:ligatures w14:val="none"/>
        </w:rPr>
      </w:pPr>
      <w:bookmarkStart w:id="55" w:name="_Hlk196666349"/>
      <w:r w:rsidRPr="00EF2F5B">
        <w:rPr>
          <w:rFonts w:eastAsia="Times New Roman"/>
          <w:noProof/>
          <w:color w:val="000000" w:themeColor="text1"/>
          <w:spacing w:val="0"/>
          <w:kern w:val="0"/>
          <w:lang w:val="en-GB" w:eastAsia="en-GB"/>
          <w14:ligatures w14:val="none"/>
        </w:rPr>
        <w:t xml:space="preserve">(If cos θ =90°, this formula is not applicable. </w:t>
      </w:r>
    </w:p>
    <w:bookmarkEnd w:id="55"/>
    <w:p w14:paraId="5FA95794" w14:textId="77777777" w:rsidR="0060726F" w:rsidRPr="00EF2F5B" w:rsidRDefault="0060726F" w:rsidP="0060726F">
      <w:pPr>
        <w:spacing w:after="0" w:line="240" w:lineRule="auto"/>
        <w:jc w:val="both"/>
        <w:rPr>
          <w:rFonts w:eastAsia="Times New Roman"/>
          <w:noProof/>
          <w:color w:val="000000" w:themeColor="text1"/>
          <w:spacing w:val="0"/>
          <w:kern w:val="0"/>
          <w:lang w:val="en-GB" w:eastAsia="en-GB"/>
          <w14:ligatures w14:val="none"/>
        </w:rPr>
      </w:pPr>
    </w:p>
    <w:p w14:paraId="7E91B87B" w14:textId="77777777" w:rsidR="0060726F" w:rsidRPr="00EF2F5B" w:rsidRDefault="0060726F" w:rsidP="0060726F">
      <w:pPr>
        <w:spacing w:after="0" w:line="240" w:lineRule="auto"/>
        <w:jc w:val="both"/>
        <w:rPr>
          <w:rFonts w:eastAsia="Times New Roman"/>
          <w:noProof/>
          <w:color w:val="000000" w:themeColor="text1"/>
          <w:spacing w:val="0"/>
          <w:kern w:val="0"/>
          <w:lang w:val="en-GB" w:eastAsia="en-GB"/>
          <w14:ligatures w14:val="none"/>
        </w:rPr>
      </w:pPr>
      <w:r w:rsidRPr="00EF2F5B">
        <w:rPr>
          <w:rFonts w:eastAsia="Times New Roman"/>
          <w:noProof/>
          <w:color w:val="000000" w:themeColor="text1"/>
          <w:spacing w:val="0"/>
          <w:kern w:val="0"/>
          <w:lang w:val="en-GB" w:eastAsia="en-GB"/>
          <w14:ligatures w14:val="none"/>
        </w:rPr>
        <w:t>These equations form the basis of conventional outdoor lighting calculations.</w:t>
      </w:r>
    </w:p>
    <w:p w14:paraId="0C27D15A" w14:textId="2871BCE6" w:rsidR="00FE5113" w:rsidRPr="00EF2F5B" w:rsidRDefault="00FE5113" w:rsidP="00FE5113">
      <w:pPr>
        <w:spacing w:before="120" w:after="180" w:line="360" w:lineRule="auto"/>
        <w:jc w:val="both"/>
        <w:rPr>
          <w:snapToGrid/>
          <w:color w:val="000000" w:themeColor="text1"/>
          <w:spacing w:val="0"/>
          <w:kern w:val="0"/>
          <w:lang w:val="en-ZA" w:bidi="ar-SA"/>
          <w14:ligatures w14:val="none"/>
        </w:rPr>
      </w:pPr>
      <w:r w:rsidRPr="00EF2F5B">
        <w:rPr>
          <w:snapToGrid/>
          <w:color w:val="000000" w:themeColor="text1"/>
          <w:spacing w:val="0"/>
          <w:kern w:val="0"/>
          <w:lang w:val="en-ZA" w:bidi="ar-SA"/>
          <w14:ligatures w14:val="none"/>
        </w:rPr>
        <w:t xml:space="preserve">Table </w:t>
      </w:r>
      <w:r w:rsidR="00C215A2" w:rsidRPr="00EF2F5B">
        <w:rPr>
          <w:snapToGrid/>
          <w:color w:val="000000" w:themeColor="text1"/>
          <w:spacing w:val="0"/>
          <w:kern w:val="0"/>
          <w:lang w:val="en-ZA" w:bidi="ar-SA"/>
          <w14:ligatures w14:val="none"/>
        </w:rPr>
        <w:t>16</w:t>
      </w:r>
      <w:r w:rsidRPr="00EF2F5B">
        <w:rPr>
          <w:snapToGrid/>
          <w:color w:val="000000" w:themeColor="text1"/>
          <w:spacing w:val="0"/>
          <w:kern w:val="0"/>
          <w:lang w:val="en-ZA" w:bidi="ar-SA"/>
          <w14:ligatures w14:val="none"/>
        </w:rPr>
        <w:t xml:space="preserve"> below shows the required manual calculation results for the </w:t>
      </w:r>
      <w:r w:rsidR="002E1FD2" w:rsidRPr="00EF2F5B">
        <w:rPr>
          <w:snapToGrid/>
          <w:color w:val="000000" w:themeColor="text1"/>
          <w:spacing w:val="0"/>
          <w:kern w:val="0"/>
          <w:lang w:val="en-ZA" w:bidi="ar-SA"/>
          <w14:ligatures w14:val="none"/>
        </w:rPr>
        <w:t xml:space="preserve">vertical </w:t>
      </w:r>
      <w:r w:rsidR="00352BE1" w:rsidRPr="00EF2F5B">
        <w:rPr>
          <w:snapToGrid/>
          <w:color w:val="000000" w:themeColor="text1"/>
          <w:spacing w:val="0"/>
          <w:kern w:val="0"/>
          <w:lang w:val="en-ZA" w:bidi="ar-SA"/>
          <w14:ligatures w14:val="none"/>
        </w:rPr>
        <w:t>illuminance</w:t>
      </w:r>
      <w:r w:rsidRPr="00EF2F5B">
        <w:rPr>
          <w:snapToGrid/>
          <w:color w:val="000000" w:themeColor="text1"/>
          <w:spacing w:val="0"/>
          <w:kern w:val="0"/>
          <w:lang w:val="en-ZA" w:bidi="ar-SA"/>
          <w14:ligatures w14:val="none"/>
        </w:rPr>
        <w:t xml:space="preserve">.  </w:t>
      </w:r>
    </w:p>
    <w:p w14:paraId="6E972EDA" w14:textId="2AB9EBB9" w:rsidR="00FE5113" w:rsidRPr="00EF2F5B" w:rsidRDefault="00FE5113" w:rsidP="00FE5113">
      <w:pPr>
        <w:spacing w:after="0" w:line="240" w:lineRule="auto"/>
        <w:jc w:val="center"/>
        <w:rPr>
          <w:b/>
          <w:bCs/>
          <w:snapToGrid/>
          <w:color w:val="000000" w:themeColor="text1"/>
          <w:spacing w:val="0"/>
          <w:kern w:val="0"/>
          <w:sz w:val="20"/>
          <w:szCs w:val="20"/>
          <w:lang w:val="en-CA" w:eastAsia="en-CA" w:bidi="ar-SA"/>
          <w14:ligatures w14:val="none"/>
        </w:rPr>
      </w:pPr>
      <w:bookmarkStart w:id="56" w:name="_Ref145747896"/>
      <w:bookmarkStart w:id="57" w:name="_Toc205658559"/>
      <w:r w:rsidRPr="00EF2F5B">
        <w:rPr>
          <w:b/>
          <w:bCs/>
          <w:snapToGrid/>
          <w:color w:val="000000" w:themeColor="text1"/>
          <w:spacing w:val="0"/>
          <w:kern w:val="0"/>
          <w:sz w:val="20"/>
          <w:szCs w:val="20"/>
          <w:lang w:val="en-CA" w:eastAsia="en-CA" w:bidi="ar-SA"/>
          <w14:ligatures w14:val="none"/>
        </w:rPr>
        <w:t xml:space="preserve">Table </w:t>
      </w:r>
      <w:r w:rsidR="00C215A2" w:rsidRPr="00EF2F5B">
        <w:rPr>
          <w:b/>
          <w:bCs/>
          <w:snapToGrid/>
          <w:color w:val="000000" w:themeColor="text1"/>
          <w:spacing w:val="0"/>
          <w:kern w:val="0"/>
          <w:sz w:val="20"/>
          <w:szCs w:val="20"/>
          <w:lang w:val="en-CA" w:eastAsia="en-CA" w:bidi="ar-SA"/>
          <w14:ligatures w14:val="none"/>
        </w:rPr>
        <w:t>16</w:t>
      </w:r>
      <w:r w:rsidRPr="00EF2F5B">
        <w:rPr>
          <w:b/>
          <w:bCs/>
          <w:snapToGrid/>
          <w:color w:val="000000" w:themeColor="text1"/>
          <w:spacing w:val="0"/>
          <w:kern w:val="0"/>
          <w:sz w:val="20"/>
          <w:szCs w:val="20"/>
          <w:lang w:val="en-CA" w:eastAsia="en-CA" w:bidi="ar-SA"/>
          <w14:ligatures w14:val="none"/>
        </w:rPr>
        <w:t>:</w:t>
      </w:r>
      <w:bookmarkEnd w:id="56"/>
      <w:r w:rsidRPr="00EF2F5B">
        <w:rPr>
          <w:b/>
          <w:bCs/>
          <w:snapToGrid/>
          <w:color w:val="000000" w:themeColor="text1"/>
          <w:spacing w:val="0"/>
          <w:kern w:val="0"/>
          <w:sz w:val="20"/>
          <w:szCs w:val="20"/>
          <w:lang w:val="en-CA" w:eastAsia="en-CA" w:bidi="ar-SA"/>
          <w14:ligatures w14:val="none"/>
        </w:rPr>
        <w:t xml:space="preserve"> Manual Calculation</w:t>
      </w:r>
      <w:bookmarkEnd w:id="57"/>
    </w:p>
    <w:p w14:paraId="38ED5423" w14:textId="77777777" w:rsidR="00FE5113" w:rsidRPr="00EF2F5B" w:rsidRDefault="00FE5113" w:rsidP="00FE5113">
      <w:pPr>
        <w:spacing w:after="0" w:line="240" w:lineRule="auto"/>
        <w:jc w:val="center"/>
        <w:rPr>
          <w:snapToGrid/>
          <w:color w:val="000000" w:themeColor="text1"/>
          <w:spacing w:val="0"/>
          <w:kern w:val="0"/>
          <w:sz w:val="20"/>
          <w:szCs w:val="20"/>
          <w:lang w:val="en-CA" w:eastAsia="en-CA" w:bidi="ar-SA"/>
          <w14:ligatures w14:val="none"/>
        </w:rPr>
      </w:pPr>
      <w:r w:rsidRPr="00EF2F5B">
        <w:rPr>
          <w:snapToGrid/>
          <w:color w:val="000000" w:themeColor="text1"/>
          <w:spacing w:val="0"/>
          <w:kern w:val="0"/>
          <w:sz w:val="20"/>
          <w:szCs w:val="20"/>
          <w:lang w:val="en-CA" w:eastAsia="en-CA" w:bidi="ar-SA"/>
          <w14:ligatures w14:val="none"/>
        </w:rPr>
        <w:t>Source: by the author</w:t>
      </w:r>
    </w:p>
    <w:tbl>
      <w:tblPr>
        <w:tblW w:w="8649" w:type="dxa"/>
        <w:jc w:val="center"/>
        <w:tblLayout w:type="fixed"/>
        <w:tblCellMar>
          <w:left w:w="70" w:type="dxa"/>
          <w:right w:w="70" w:type="dxa"/>
        </w:tblCellMar>
        <w:tblLook w:val="0000" w:firstRow="0" w:lastRow="0" w:firstColumn="0" w:lastColumn="0" w:noHBand="0" w:noVBand="0"/>
      </w:tblPr>
      <w:tblGrid>
        <w:gridCol w:w="2977"/>
        <w:gridCol w:w="1134"/>
        <w:gridCol w:w="1134"/>
        <w:gridCol w:w="1134"/>
        <w:gridCol w:w="1134"/>
        <w:gridCol w:w="1136"/>
      </w:tblGrid>
      <w:tr w:rsidR="00EF2F5B" w:rsidRPr="00EF2F5B" w14:paraId="5FCD75A3" w14:textId="77777777" w:rsidTr="00AE79FB">
        <w:trPr>
          <w:trHeight w:val="284"/>
          <w:jc w:val="center"/>
        </w:trPr>
        <w:tc>
          <w:tcPr>
            <w:tcW w:w="2977" w:type="dxa"/>
            <w:tcBorders>
              <w:top w:val="single" w:sz="4" w:space="0" w:color="auto"/>
              <w:left w:val="single" w:sz="4" w:space="0" w:color="auto"/>
              <w:bottom w:val="single" w:sz="4" w:space="0" w:color="auto"/>
              <w:right w:val="single" w:sz="4" w:space="0" w:color="auto"/>
            </w:tcBorders>
            <w:vAlign w:val="center"/>
          </w:tcPr>
          <w:p w14:paraId="03C18EC5"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Description</w:t>
            </w:r>
          </w:p>
        </w:tc>
        <w:tc>
          <w:tcPr>
            <w:tcW w:w="1134" w:type="dxa"/>
            <w:tcBorders>
              <w:top w:val="single" w:sz="4" w:space="0" w:color="auto"/>
              <w:left w:val="single" w:sz="4" w:space="0" w:color="auto"/>
              <w:bottom w:val="single" w:sz="4" w:space="0" w:color="auto"/>
              <w:right w:val="single" w:sz="4" w:space="0" w:color="auto"/>
            </w:tcBorders>
            <w:vAlign w:val="center"/>
          </w:tcPr>
          <w:p w14:paraId="338EDD0E"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Point L2 is 20m right to Point X</w:t>
            </w:r>
          </w:p>
        </w:tc>
        <w:tc>
          <w:tcPr>
            <w:tcW w:w="1134" w:type="dxa"/>
            <w:tcBorders>
              <w:top w:val="single" w:sz="4" w:space="0" w:color="auto"/>
              <w:left w:val="single" w:sz="4" w:space="0" w:color="auto"/>
              <w:bottom w:val="single" w:sz="4" w:space="0" w:color="auto"/>
              <w:right w:val="single" w:sz="4" w:space="0" w:color="auto"/>
            </w:tcBorders>
            <w:vAlign w:val="center"/>
          </w:tcPr>
          <w:p w14:paraId="0AC3327D"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6"/>
                <w:szCs w:val="16"/>
                <w:lang w:bidi="ar-SA"/>
                <w14:ligatures w14:val="none"/>
              </w:rPr>
            </w:pPr>
            <w:r w:rsidRPr="00EF2F5B">
              <w:rPr>
                <w:rFonts w:eastAsia="Times New Roman"/>
                <w:bCs/>
                <w:snapToGrid/>
                <w:color w:val="000000" w:themeColor="text1"/>
                <w:spacing w:val="0"/>
                <w:kern w:val="0"/>
                <w:sz w:val="18"/>
                <w:szCs w:val="18"/>
                <w:lang w:bidi="ar-SA"/>
                <w14:ligatures w14:val="none"/>
              </w:rPr>
              <w:t>Point L1 is 10m right to Point X</w:t>
            </w:r>
          </w:p>
        </w:tc>
        <w:tc>
          <w:tcPr>
            <w:tcW w:w="1134" w:type="dxa"/>
            <w:tcBorders>
              <w:top w:val="single" w:sz="4" w:space="0" w:color="auto"/>
              <w:left w:val="single" w:sz="4" w:space="0" w:color="auto"/>
              <w:bottom w:val="single" w:sz="4" w:space="0" w:color="auto"/>
              <w:right w:val="single" w:sz="4" w:space="0" w:color="auto"/>
            </w:tcBorders>
            <w:vAlign w:val="center"/>
          </w:tcPr>
          <w:p w14:paraId="7D749510"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Window opposite to Pole (Point X)</w:t>
            </w:r>
          </w:p>
        </w:tc>
        <w:tc>
          <w:tcPr>
            <w:tcW w:w="1134" w:type="dxa"/>
            <w:tcBorders>
              <w:top w:val="single" w:sz="4" w:space="0" w:color="auto"/>
              <w:left w:val="single" w:sz="4" w:space="0" w:color="auto"/>
              <w:bottom w:val="single" w:sz="4" w:space="0" w:color="auto"/>
              <w:right w:val="single" w:sz="4" w:space="0" w:color="auto"/>
            </w:tcBorders>
            <w:vAlign w:val="center"/>
          </w:tcPr>
          <w:p w14:paraId="7C8774BB"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Point R1 is 10m right to Point X</w:t>
            </w:r>
          </w:p>
        </w:tc>
        <w:tc>
          <w:tcPr>
            <w:tcW w:w="1136" w:type="dxa"/>
            <w:tcBorders>
              <w:top w:val="single" w:sz="4" w:space="0" w:color="auto"/>
              <w:left w:val="single" w:sz="4" w:space="0" w:color="auto"/>
              <w:bottom w:val="single" w:sz="4" w:space="0" w:color="auto"/>
              <w:right w:val="single" w:sz="4" w:space="0" w:color="auto"/>
            </w:tcBorders>
            <w:vAlign w:val="center"/>
          </w:tcPr>
          <w:p w14:paraId="739615C1"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Point R2 is 20m right to Point X</w:t>
            </w:r>
          </w:p>
        </w:tc>
      </w:tr>
      <w:tr w:rsidR="00EF2F5B" w:rsidRPr="00EF2F5B" w14:paraId="19A41082" w14:textId="77777777" w:rsidTr="00AE79FB">
        <w:trPr>
          <w:trHeight w:val="60"/>
          <w:jc w:val="center"/>
        </w:trPr>
        <w:tc>
          <w:tcPr>
            <w:tcW w:w="2977" w:type="dxa"/>
            <w:tcBorders>
              <w:top w:val="single" w:sz="4" w:space="0" w:color="auto"/>
              <w:left w:val="single" w:sz="4" w:space="0" w:color="auto"/>
              <w:bottom w:val="single" w:sz="4" w:space="0" w:color="auto"/>
              <w:right w:val="single" w:sz="4" w:space="0" w:color="auto"/>
            </w:tcBorders>
            <w:vAlign w:val="center"/>
          </w:tcPr>
          <w:p w14:paraId="6826D70A"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Pole MH from eye (h)</w:t>
            </w:r>
          </w:p>
        </w:tc>
        <w:tc>
          <w:tcPr>
            <w:tcW w:w="1134" w:type="dxa"/>
            <w:tcBorders>
              <w:top w:val="single" w:sz="4" w:space="0" w:color="auto"/>
              <w:left w:val="single" w:sz="4" w:space="0" w:color="auto"/>
              <w:bottom w:val="single" w:sz="4" w:space="0" w:color="auto"/>
              <w:right w:val="single" w:sz="4" w:space="0" w:color="auto"/>
            </w:tcBorders>
            <w:vAlign w:val="center"/>
          </w:tcPr>
          <w:p w14:paraId="351478E5"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6D6EAFFF"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4A62BC6D"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10.00</w:t>
            </w:r>
          </w:p>
        </w:tc>
        <w:tc>
          <w:tcPr>
            <w:tcW w:w="1134" w:type="dxa"/>
            <w:tcBorders>
              <w:top w:val="single" w:sz="4" w:space="0" w:color="auto"/>
              <w:left w:val="single" w:sz="4" w:space="0" w:color="auto"/>
              <w:bottom w:val="single" w:sz="4" w:space="0" w:color="auto"/>
              <w:right w:val="single" w:sz="4" w:space="0" w:color="auto"/>
            </w:tcBorders>
            <w:vAlign w:val="center"/>
          </w:tcPr>
          <w:p w14:paraId="48E385ED"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10.00</w:t>
            </w:r>
          </w:p>
        </w:tc>
        <w:tc>
          <w:tcPr>
            <w:tcW w:w="1136" w:type="dxa"/>
            <w:tcBorders>
              <w:top w:val="single" w:sz="4" w:space="0" w:color="auto"/>
              <w:left w:val="single" w:sz="4" w:space="0" w:color="auto"/>
              <w:bottom w:val="single" w:sz="4" w:space="0" w:color="auto"/>
              <w:right w:val="single" w:sz="4" w:space="0" w:color="auto"/>
            </w:tcBorders>
            <w:vAlign w:val="center"/>
          </w:tcPr>
          <w:p w14:paraId="5B95B741"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10.00</w:t>
            </w:r>
          </w:p>
        </w:tc>
      </w:tr>
      <w:tr w:rsidR="00EF2F5B" w:rsidRPr="00EF2F5B" w14:paraId="4B188D53" w14:textId="77777777" w:rsidTr="00AE79FB">
        <w:trPr>
          <w:trHeight w:val="259"/>
          <w:jc w:val="center"/>
        </w:trPr>
        <w:tc>
          <w:tcPr>
            <w:tcW w:w="2977" w:type="dxa"/>
            <w:tcBorders>
              <w:top w:val="single" w:sz="4" w:space="0" w:color="auto"/>
              <w:left w:val="single" w:sz="4" w:space="0" w:color="auto"/>
              <w:bottom w:val="single" w:sz="4" w:space="0" w:color="auto"/>
              <w:right w:val="single" w:sz="4" w:space="0" w:color="auto"/>
            </w:tcBorders>
            <w:vAlign w:val="center"/>
          </w:tcPr>
          <w:p w14:paraId="461A012D"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Pole to Home window (C)</w:t>
            </w:r>
          </w:p>
        </w:tc>
        <w:tc>
          <w:tcPr>
            <w:tcW w:w="1134" w:type="dxa"/>
            <w:tcBorders>
              <w:top w:val="single" w:sz="4" w:space="0" w:color="auto"/>
              <w:left w:val="single" w:sz="4" w:space="0" w:color="auto"/>
              <w:bottom w:val="single" w:sz="4" w:space="0" w:color="auto"/>
              <w:right w:val="single" w:sz="4" w:space="0" w:color="auto"/>
            </w:tcBorders>
            <w:vAlign w:val="center"/>
          </w:tcPr>
          <w:p w14:paraId="6EABECCB"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32.02</w:t>
            </w:r>
          </w:p>
        </w:tc>
        <w:tc>
          <w:tcPr>
            <w:tcW w:w="1134" w:type="dxa"/>
            <w:tcBorders>
              <w:top w:val="single" w:sz="4" w:space="0" w:color="auto"/>
              <w:left w:val="single" w:sz="4" w:space="0" w:color="auto"/>
              <w:bottom w:val="single" w:sz="4" w:space="0" w:color="auto"/>
              <w:right w:val="single" w:sz="4" w:space="0" w:color="auto"/>
            </w:tcBorders>
            <w:vAlign w:val="center"/>
          </w:tcPr>
          <w:p w14:paraId="54A81298"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6"/>
                <w:szCs w:val="16"/>
                <w:lang w:bidi="ar-SA"/>
                <w14:ligatures w14:val="none"/>
              </w:rPr>
            </w:pPr>
            <w:r w:rsidRPr="00EF2F5B">
              <w:rPr>
                <w:rFonts w:eastAsia="Times New Roman"/>
                <w:bCs/>
                <w:snapToGrid/>
                <w:color w:val="000000" w:themeColor="text1"/>
                <w:spacing w:val="0"/>
                <w:kern w:val="0"/>
                <w:sz w:val="18"/>
                <w:szCs w:val="18"/>
                <w:lang w:bidi="ar-SA"/>
                <w14:ligatures w14:val="none"/>
              </w:rPr>
              <w:t>26.93</w:t>
            </w:r>
          </w:p>
        </w:tc>
        <w:tc>
          <w:tcPr>
            <w:tcW w:w="1134" w:type="dxa"/>
            <w:tcBorders>
              <w:top w:val="single" w:sz="4" w:space="0" w:color="auto"/>
              <w:left w:val="single" w:sz="4" w:space="0" w:color="auto"/>
              <w:bottom w:val="single" w:sz="4" w:space="0" w:color="auto"/>
              <w:right w:val="single" w:sz="4" w:space="0" w:color="auto"/>
            </w:tcBorders>
            <w:vAlign w:val="center"/>
          </w:tcPr>
          <w:p w14:paraId="4EDE2BF5"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25.00</w:t>
            </w:r>
          </w:p>
        </w:tc>
        <w:tc>
          <w:tcPr>
            <w:tcW w:w="1134" w:type="dxa"/>
            <w:tcBorders>
              <w:top w:val="single" w:sz="4" w:space="0" w:color="auto"/>
              <w:left w:val="single" w:sz="4" w:space="0" w:color="auto"/>
              <w:bottom w:val="single" w:sz="4" w:space="0" w:color="auto"/>
              <w:right w:val="single" w:sz="4" w:space="0" w:color="auto"/>
            </w:tcBorders>
            <w:vAlign w:val="center"/>
          </w:tcPr>
          <w:p w14:paraId="3C492E92"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26.93</w:t>
            </w:r>
          </w:p>
        </w:tc>
        <w:tc>
          <w:tcPr>
            <w:tcW w:w="1136" w:type="dxa"/>
            <w:tcBorders>
              <w:top w:val="single" w:sz="4" w:space="0" w:color="auto"/>
              <w:left w:val="single" w:sz="4" w:space="0" w:color="auto"/>
              <w:bottom w:val="single" w:sz="4" w:space="0" w:color="auto"/>
              <w:right w:val="single" w:sz="4" w:space="0" w:color="auto"/>
            </w:tcBorders>
            <w:vAlign w:val="center"/>
          </w:tcPr>
          <w:p w14:paraId="5E8C6556"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32.02</w:t>
            </w:r>
          </w:p>
        </w:tc>
      </w:tr>
      <w:tr w:rsidR="00EF2F5B" w:rsidRPr="00EF2F5B" w14:paraId="0F4E103A" w14:textId="77777777" w:rsidTr="00AE79FB">
        <w:trPr>
          <w:trHeight w:val="336"/>
          <w:jc w:val="center"/>
        </w:trPr>
        <w:tc>
          <w:tcPr>
            <w:tcW w:w="2977" w:type="dxa"/>
            <w:tcBorders>
              <w:top w:val="single" w:sz="4" w:space="0" w:color="auto"/>
              <w:left w:val="single" w:sz="4" w:space="0" w:color="auto"/>
              <w:bottom w:val="single" w:sz="4" w:space="0" w:color="auto"/>
              <w:right w:val="single" w:sz="4" w:space="0" w:color="auto"/>
            </w:tcBorders>
            <w:vAlign w:val="center"/>
          </w:tcPr>
          <w:p w14:paraId="07F29760"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Tan θ</w:t>
            </w:r>
          </w:p>
        </w:tc>
        <w:tc>
          <w:tcPr>
            <w:tcW w:w="1134" w:type="dxa"/>
            <w:tcBorders>
              <w:top w:val="single" w:sz="4" w:space="0" w:color="auto"/>
              <w:left w:val="single" w:sz="4" w:space="0" w:color="auto"/>
              <w:bottom w:val="single" w:sz="4" w:space="0" w:color="auto"/>
              <w:right w:val="single" w:sz="4" w:space="0" w:color="auto"/>
            </w:tcBorders>
            <w:vAlign w:val="center"/>
          </w:tcPr>
          <w:p w14:paraId="00A5F8C6"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3.20</w:t>
            </w:r>
          </w:p>
        </w:tc>
        <w:tc>
          <w:tcPr>
            <w:tcW w:w="1134" w:type="dxa"/>
            <w:tcBorders>
              <w:top w:val="single" w:sz="4" w:space="0" w:color="auto"/>
              <w:left w:val="single" w:sz="4" w:space="0" w:color="auto"/>
              <w:bottom w:val="single" w:sz="4" w:space="0" w:color="auto"/>
              <w:right w:val="single" w:sz="4" w:space="0" w:color="auto"/>
            </w:tcBorders>
            <w:vAlign w:val="center"/>
          </w:tcPr>
          <w:p w14:paraId="7A456E90"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6"/>
                <w:szCs w:val="16"/>
                <w:lang w:bidi="ar-SA"/>
                <w14:ligatures w14:val="none"/>
              </w:rPr>
            </w:pPr>
            <w:r w:rsidRPr="00EF2F5B">
              <w:rPr>
                <w:rFonts w:eastAsia="Times New Roman"/>
                <w:bCs/>
                <w:snapToGrid/>
                <w:color w:val="000000" w:themeColor="text1"/>
                <w:spacing w:val="0"/>
                <w:kern w:val="0"/>
                <w:sz w:val="18"/>
                <w:szCs w:val="18"/>
                <w:lang w:bidi="ar-SA"/>
                <w14:ligatures w14:val="none"/>
              </w:rPr>
              <w:t>2.69</w:t>
            </w:r>
          </w:p>
        </w:tc>
        <w:tc>
          <w:tcPr>
            <w:tcW w:w="1134" w:type="dxa"/>
            <w:tcBorders>
              <w:top w:val="single" w:sz="4" w:space="0" w:color="auto"/>
              <w:left w:val="single" w:sz="4" w:space="0" w:color="auto"/>
              <w:bottom w:val="single" w:sz="4" w:space="0" w:color="auto"/>
              <w:right w:val="single" w:sz="4" w:space="0" w:color="auto"/>
            </w:tcBorders>
            <w:vAlign w:val="center"/>
          </w:tcPr>
          <w:p w14:paraId="54AF71B7"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2.50</w:t>
            </w:r>
          </w:p>
        </w:tc>
        <w:tc>
          <w:tcPr>
            <w:tcW w:w="1134" w:type="dxa"/>
            <w:tcBorders>
              <w:top w:val="single" w:sz="4" w:space="0" w:color="auto"/>
              <w:left w:val="single" w:sz="4" w:space="0" w:color="auto"/>
              <w:bottom w:val="single" w:sz="4" w:space="0" w:color="auto"/>
              <w:right w:val="single" w:sz="4" w:space="0" w:color="auto"/>
            </w:tcBorders>
            <w:vAlign w:val="center"/>
          </w:tcPr>
          <w:p w14:paraId="69AA51F8"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2.69</w:t>
            </w:r>
          </w:p>
        </w:tc>
        <w:tc>
          <w:tcPr>
            <w:tcW w:w="1136" w:type="dxa"/>
            <w:tcBorders>
              <w:top w:val="single" w:sz="4" w:space="0" w:color="auto"/>
              <w:left w:val="single" w:sz="4" w:space="0" w:color="auto"/>
              <w:bottom w:val="single" w:sz="4" w:space="0" w:color="auto"/>
              <w:right w:val="single" w:sz="4" w:space="0" w:color="auto"/>
            </w:tcBorders>
            <w:vAlign w:val="center"/>
          </w:tcPr>
          <w:p w14:paraId="461784CA"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3.20</w:t>
            </w:r>
          </w:p>
        </w:tc>
      </w:tr>
      <w:tr w:rsidR="00EF2F5B" w:rsidRPr="00EF2F5B" w14:paraId="36535329" w14:textId="77777777" w:rsidTr="00AE79FB">
        <w:trPr>
          <w:trHeight w:val="331"/>
          <w:jc w:val="center"/>
        </w:trPr>
        <w:tc>
          <w:tcPr>
            <w:tcW w:w="2977" w:type="dxa"/>
            <w:tcBorders>
              <w:top w:val="single" w:sz="4" w:space="0" w:color="auto"/>
              <w:left w:val="single" w:sz="4" w:space="0" w:color="auto"/>
              <w:bottom w:val="single" w:sz="4" w:space="0" w:color="auto"/>
              <w:right w:val="single" w:sz="4" w:space="0" w:color="auto"/>
            </w:tcBorders>
            <w:vAlign w:val="center"/>
          </w:tcPr>
          <w:p w14:paraId="40D1488D"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Angle θ</w:t>
            </w:r>
          </w:p>
        </w:tc>
        <w:tc>
          <w:tcPr>
            <w:tcW w:w="1134" w:type="dxa"/>
            <w:tcBorders>
              <w:top w:val="single" w:sz="4" w:space="0" w:color="auto"/>
              <w:left w:val="single" w:sz="4" w:space="0" w:color="auto"/>
              <w:bottom w:val="single" w:sz="4" w:space="0" w:color="auto"/>
              <w:right w:val="single" w:sz="4" w:space="0" w:color="auto"/>
            </w:tcBorders>
            <w:vAlign w:val="center"/>
          </w:tcPr>
          <w:p w14:paraId="37D92E01"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72.65</w:t>
            </w:r>
          </w:p>
        </w:tc>
        <w:tc>
          <w:tcPr>
            <w:tcW w:w="1134" w:type="dxa"/>
            <w:tcBorders>
              <w:top w:val="single" w:sz="4" w:space="0" w:color="auto"/>
              <w:left w:val="single" w:sz="4" w:space="0" w:color="auto"/>
              <w:bottom w:val="single" w:sz="4" w:space="0" w:color="auto"/>
              <w:right w:val="single" w:sz="4" w:space="0" w:color="auto"/>
            </w:tcBorders>
            <w:vAlign w:val="center"/>
          </w:tcPr>
          <w:p w14:paraId="21C69B9B"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6"/>
                <w:szCs w:val="16"/>
                <w:lang w:bidi="ar-SA"/>
                <w14:ligatures w14:val="none"/>
              </w:rPr>
            </w:pPr>
            <w:r w:rsidRPr="00EF2F5B">
              <w:rPr>
                <w:rFonts w:eastAsia="Times New Roman"/>
                <w:bCs/>
                <w:snapToGrid/>
                <w:color w:val="000000" w:themeColor="text1"/>
                <w:spacing w:val="0"/>
                <w:kern w:val="0"/>
                <w:sz w:val="18"/>
                <w:szCs w:val="18"/>
                <w:lang w:bidi="ar-SA"/>
                <w14:ligatures w14:val="none"/>
              </w:rPr>
              <w:t>69.61</w:t>
            </w:r>
          </w:p>
        </w:tc>
        <w:tc>
          <w:tcPr>
            <w:tcW w:w="1134" w:type="dxa"/>
            <w:tcBorders>
              <w:top w:val="single" w:sz="4" w:space="0" w:color="auto"/>
              <w:left w:val="single" w:sz="4" w:space="0" w:color="auto"/>
              <w:bottom w:val="single" w:sz="4" w:space="0" w:color="auto"/>
              <w:right w:val="single" w:sz="4" w:space="0" w:color="auto"/>
            </w:tcBorders>
            <w:vAlign w:val="center"/>
          </w:tcPr>
          <w:p w14:paraId="5B4C4879"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68.19</w:t>
            </w:r>
          </w:p>
        </w:tc>
        <w:tc>
          <w:tcPr>
            <w:tcW w:w="1134" w:type="dxa"/>
            <w:tcBorders>
              <w:top w:val="single" w:sz="4" w:space="0" w:color="auto"/>
              <w:left w:val="single" w:sz="4" w:space="0" w:color="auto"/>
              <w:bottom w:val="single" w:sz="4" w:space="0" w:color="auto"/>
              <w:right w:val="single" w:sz="4" w:space="0" w:color="auto"/>
            </w:tcBorders>
            <w:vAlign w:val="center"/>
          </w:tcPr>
          <w:p w14:paraId="18852885"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69.61</w:t>
            </w:r>
          </w:p>
        </w:tc>
        <w:tc>
          <w:tcPr>
            <w:tcW w:w="1136" w:type="dxa"/>
            <w:tcBorders>
              <w:top w:val="single" w:sz="4" w:space="0" w:color="auto"/>
              <w:left w:val="single" w:sz="4" w:space="0" w:color="auto"/>
              <w:bottom w:val="single" w:sz="4" w:space="0" w:color="auto"/>
              <w:right w:val="single" w:sz="4" w:space="0" w:color="auto"/>
            </w:tcBorders>
            <w:vAlign w:val="center"/>
          </w:tcPr>
          <w:p w14:paraId="477032A2"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72.65</w:t>
            </w:r>
          </w:p>
        </w:tc>
      </w:tr>
      <w:tr w:rsidR="00EF2F5B" w:rsidRPr="00EF2F5B" w14:paraId="563D4163" w14:textId="77777777" w:rsidTr="00AE79FB">
        <w:trPr>
          <w:trHeight w:val="60"/>
          <w:jc w:val="center"/>
        </w:trPr>
        <w:tc>
          <w:tcPr>
            <w:tcW w:w="2977" w:type="dxa"/>
            <w:tcBorders>
              <w:top w:val="single" w:sz="4" w:space="0" w:color="auto"/>
              <w:left w:val="single" w:sz="4" w:space="0" w:color="auto"/>
              <w:bottom w:val="single" w:sz="4" w:space="0" w:color="auto"/>
              <w:right w:val="single" w:sz="4" w:space="0" w:color="auto"/>
            </w:tcBorders>
            <w:vAlign w:val="center"/>
          </w:tcPr>
          <w:p w14:paraId="35AA0B5C"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Intensity(I)</w:t>
            </w:r>
          </w:p>
        </w:tc>
        <w:tc>
          <w:tcPr>
            <w:tcW w:w="1134" w:type="dxa"/>
            <w:tcBorders>
              <w:top w:val="single" w:sz="4" w:space="0" w:color="auto"/>
              <w:left w:val="single" w:sz="4" w:space="0" w:color="auto"/>
              <w:bottom w:val="single" w:sz="4" w:space="0" w:color="auto"/>
              <w:right w:val="single" w:sz="4" w:space="0" w:color="auto"/>
            </w:tcBorders>
            <w:vAlign w:val="center"/>
          </w:tcPr>
          <w:p w14:paraId="57829C7E"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1649.10</w:t>
            </w:r>
          </w:p>
        </w:tc>
        <w:tc>
          <w:tcPr>
            <w:tcW w:w="1134" w:type="dxa"/>
            <w:tcBorders>
              <w:top w:val="single" w:sz="4" w:space="0" w:color="auto"/>
              <w:left w:val="single" w:sz="4" w:space="0" w:color="auto"/>
              <w:bottom w:val="single" w:sz="4" w:space="0" w:color="auto"/>
              <w:right w:val="single" w:sz="4" w:space="0" w:color="auto"/>
            </w:tcBorders>
            <w:vAlign w:val="center"/>
          </w:tcPr>
          <w:p w14:paraId="48BA5FF8"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6"/>
                <w:szCs w:val="16"/>
                <w:lang w:bidi="ar-SA"/>
                <w14:ligatures w14:val="none"/>
              </w:rPr>
            </w:pPr>
            <w:r w:rsidRPr="00EF2F5B">
              <w:rPr>
                <w:rFonts w:eastAsia="Times New Roman"/>
                <w:bCs/>
                <w:snapToGrid/>
                <w:color w:val="000000" w:themeColor="text1"/>
                <w:spacing w:val="0"/>
                <w:kern w:val="0"/>
                <w:sz w:val="16"/>
                <w:szCs w:val="16"/>
                <w:lang w:bidi="ar-SA"/>
                <w14:ligatures w14:val="none"/>
              </w:rPr>
              <w:t>1415.10</w:t>
            </w:r>
          </w:p>
        </w:tc>
        <w:tc>
          <w:tcPr>
            <w:tcW w:w="1134" w:type="dxa"/>
            <w:tcBorders>
              <w:top w:val="single" w:sz="4" w:space="0" w:color="auto"/>
              <w:left w:val="single" w:sz="4" w:space="0" w:color="auto"/>
              <w:bottom w:val="single" w:sz="4" w:space="0" w:color="auto"/>
              <w:right w:val="single" w:sz="4" w:space="0" w:color="auto"/>
            </w:tcBorders>
            <w:vAlign w:val="center"/>
          </w:tcPr>
          <w:p w14:paraId="310090E6"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942.40</w:t>
            </w:r>
          </w:p>
        </w:tc>
        <w:tc>
          <w:tcPr>
            <w:tcW w:w="1134" w:type="dxa"/>
            <w:tcBorders>
              <w:top w:val="single" w:sz="4" w:space="0" w:color="auto"/>
              <w:left w:val="single" w:sz="4" w:space="0" w:color="auto"/>
              <w:bottom w:val="single" w:sz="4" w:space="0" w:color="auto"/>
              <w:right w:val="single" w:sz="4" w:space="0" w:color="auto"/>
            </w:tcBorders>
            <w:vAlign w:val="center"/>
          </w:tcPr>
          <w:p w14:paraId="7DC39F4B"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1415.10</w:t>
            </w:r>
          </w:p>
        </w:tc>
        <w:tc>
          <w:tcPr>
            <w:tcW w:w="1136" w:type="dxa"/>
            <w:tcBorders>
              <w:top w:val="single" w:sz="4" w:space="0" w:color="auto"/>
              <w:left w:val="single" w:sz="4" w:space="0" w:color="auto"/>
              <w:bottom w:val="single" w:sz="4" w:space="0" w:color="auto"/>
              <w:right w:val="single" w:sz="4" w:space="0" w:color="auto"/>
            </w:tcBorders>
            <w:vAlign w:val="center"/>
          </w:tcPr>
          <w:p w14:paraId="54C2F4FC"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1649.10</w:t>
            </w:r>
          </w:p>
        </w:tc>
      </w:tr>
      <w:tr w:rsidR="00EF2F5B" w:rsidRPr="00EF2F5B" w14:paraId="60A41786" w14:textId="77777777" w:rsidTr="00AE79FB">
        <w:trPr>
          <w:trHeight w:val="163"/>
          <w:jc w:val="center"/>
        </w:trPr>
        <w:tc>
          <w:tcPr>
            <w:tcW w:w="2977" w:type="dxa"/>
            <w:tcBorders>
              <w:top w:val="single" w:sz="4" w:space="0" w:color="auto"/>
              <w:left w:val="single" w:sz="4" w:space="0" w:color="auto"/>
              <w:bottom w:val="single" w:sz="4" w:space="0" w:color="auto"/>
              <w:right w:val="single" w:sz="4" w:space="0" w:color="auto"/>
            </w:tcBorders>
            <w:vAlign w:val="center"/>
          </w:tcPr>
          <w:p w14:paraId="070244A4"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Cos</w:t>
            </w:r>
            <w:r w:rsidRPr="00EF2F5B">
              <w:rPr>
                <w:rFonts w:eastAsia="Times New Roman"/>
                <w:bCs/>
                <w:snapToGrid/>
                <w:color w:val="000000" w:themeColor="text1"/>
                <w:spacing w:val="0"/>
                <w:kern w:val="0"/>
                <w:sz w:val="18"/>
                <w:szCs w:val="18"/>
                <w:vertAlign w:val="superscript"/>
                <w:lang w:bidi="ar-SA"/>
                <w14:ligatures w14:val="none"/>
              </w:rPr>
              <w:t>2</w:t>
            </w:r>
            <w:r w:rsidRPr="00EF2F5B">
              <w:rPr>
                <w:rFonts w:eastAsia="Times New Roman"/>
                <w:bCs/>
                <w:snapToGrid/>
                <w:color w:val="000000" w:themeColor="text1"/>
                <w:spacing w:val="0"/>
                <w:kern w:val="0"/>
                <w:sz w:val="18"/>
                <w:szCs w:val="18"/>
                <w:lang w:bidi="ar-SA"/>
                <w14:ligatures w14:val="none"/>
              </w:rPr>
              <w:t>θ</w:t>
            </w:r>
          </w:p>
        </w:tc>
        <w:tc>
          <w:tcPr>
            <w:tcW w:w="1134" w:type="dxa"/>
            <w:tcBorders>
              <w:top w:val="single" w:sz="4" w:space="0" w:color="auto"/>
              <w:left w:val="single" w:sz="4" w:space="0" w:color="auto"/>
              <w:bottom w:val="single" w:sz="4" w:space="0" w:color="auto"/>
              <w:right w:val="single" w:sz="4" w:space="0" w:color="auto"/>
            </w:tcBorders>
            <w:vAlign w:val="center"/>
          </w:tcPr>
          <w:p w14:paraId="7D0FFA9A"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0.09</w:t>
            </w:r>
          </w:p>
        </w:tc>
        <w:tc>
          <w:tcPr>
            <w:tcW w:w="1134" w:type="dxa"/>
            <w:tcBorders>
              <w:top w:val="single" w:sz="4" w:space="0" w:color="auto"/>
              <w:left w:val="single" w:sz="4" w:space="0" w:color="auto"/>
              <w:bottom w:val="single" w:sz="4" w:space="0" w:color="auto"/>
              <w:right w:val="single" w:sz="4" w:space="0" w:color="auto"/>
            </w:tcBorders>
            <w:vAlign w:val="center"/>
          </w:tcPr>
          <w:p w14:paraId="690DDA88"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0.12</w:t>
            </w:r>
          </w:p>
        </w:tc>
        <w:tc>
          <w:tcPr>
            <w:tcW w:w="1134" w:type="dxa"/>
            <w:tcBorders>
              <w:top w:val="single" w:sz="4" w:space="0" w:color="auto"/>
              <w:left w:val="single" w:sz="4" w:space="0" w:color="auto"/>
              <w:bottom w:val="single" w:sz="4" w:space="0" w:color="auto"/>
              <w:right w:val="single" w:sz="4" w:space="0" w:color="auto"/>
            </w:tcBorders>
            <w:vAlign w:val="center"/>
          </w:tcPr>
          <w:p w14:paraId="53858585"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0.14</w:t>
            </w:r>
          </w:p>
        </w:tc>
        <w:tc>
          <w:tcPr>
            <w:tcW w:w="1134" w:type="dxa"/>
            <w:tcBorders>
              <w:top w:val="single" w:sz="4" w:space="0" w:color="auto"/>
              <w:left w:val="single" w:sz="4" w:space="0" w:color="auto"/>
              <w:bottom w:val="single" w:sz="4" w:space="0" w:color="auto"/>
              <w:right w:val="single" w:sz="4" w:space="0" w:color="auto"/>
            </w:tcBorders>
            <w:vAlign w:val="center"/>
          </w:tcPr>
          <w:p w14:paraId="446031A8"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0.12</w:t>
            </w:r>
          </w:p>
        </w:tc>
        <w:tc>
          <w:tcPr>
            <w:tcW w:w="1136" w:type="dxa"/>
            <w:tcBorders>
              <w:top w:val="single" w:sz="4" w:space="0" w:color="auto"/>
              <w:left w:val="single" w:sz="4" w:space="0" w:color="auto"/>
              <w:bottom w:val="single" w:sz="4" w:space="0" w:color="auto"/>
              <w:right w:val="single" w:sz="4" w:space="0" w:color="auto"/>
            </w:tcBorders>
            <w:vAlign w:val="center"/>
          </w:tcPr>
          <w:p w14:paraId="395DDAEA"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0.09</w:t>
            </w:r>
          </w:p>
        </w:tc>
      </w:tr>
      <w:tr w:rsidR="00EF2F5B" w:rsidRPr="00EF2F5B" w14:paraId="2FAB0FAD" w14:textId="77777777" w:rsidTr="00145B81">
        <w:trPr>
          <w:trHeight w:val="70"/>
          <w:jc w:val="center"/>
        </w:trPr>
        <w:tc>
          <w:tcPr>
            <w:tcW w:w="2977" w:type="dxa"/>
            <w:tcBorders>
              <w:top w:val="single" w:sz="4" w:space="0" w:color="auto"/>
              <w:left w:val="single" w:sz="4" w:space="0" w:color="auto"/>
              <w:bottom w:val="single" w:sz="4" w:space="0" w:color="auto"/>
              <w:right w:val="single" w:sz="4" w:space="0" w:color="auto"/>
            </w:tcBorders>
          </w:tcPr>
          <w:p w14:paraId="1D4FFF7D" w14:textId="40BC9A64" w:rsidR="00C215A2" w:rsidRPr="00EF2F5B" w:rsidRDefault="00C215A2" w:rsidP="00C215A2">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color w:val="000000" w:themeColor="text1"/>
                <w:sz w:val="18"/>
                <w:szCs w:val="18"/>
              </w:rPr>
              <w:t>Sin θ</w:t>
            </w:r>
          </w:p>
        </w:tc>
        <w:tc>
          <w:tcPr>
            <w:tcW w:w="1134" w:type="dxa"/>
            <w:tcBorders>
              <w:top w:val="single" w:sz="4" w:space="0" w:color="auto"/>
              <w:left w:val="single" w:sz="4" w:space="0" w:color="auto"/>
              <w:bottom w:val="single" w:sz="4" w:space="0" w:color="auto"/>
              <w:right w:val="single" w:sz="4" w:space="0" w:color="auto"/>
            </w:tcBorders>
          </w:tcPr>
          <w:p w14:paraId="21092BD0" w14:textId="11ED2B6E" w:rsidR="00C215A2" w:rsidRPr="00EF2F5B" w:rsidRDefault="00C215A2" w:rsidP="00C215A2">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color w:val="000000" w:themeColor="text1"/>
                <w:sz w:val="18"/>
                <w:szCs w:val="18"/>
              </w:rPr>
              <w:t>0.95</w:t>
            </w:r>
          </w:p>
        </w:tc>
        <w:tc>
          <w:tcPr>
            <w:tcW w:w="1134" w:type="dxa"/>
            <w:tcBorders>
              <w:top w:val="single" w:sz="4" w:space="0" w:color="auto"/>
              <w:left w:val="single" w:sz="4" w:space="0" w:color="auto"/>
              <w:bottom w:val="single" w:sz="4" w:space="0" w:color="auto"/>
              <w:right w:val="single" w:sz="4" w:space="0" w:color="auto"/>
            </w:tcBorders>
          </w:tcPr>
          <w:p w14:paraId="77E29663" w14:textId="0E0E7D52" w:rsidR="00C215A2" w:rsidRPr="00EF2F5B" w:rsidRDefault="00C215A2" w:rsidP="00C215A2">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color w:val="000000" w:themeColor="text1"/>
                <w:sz w:val="18"/>
                <w:szCs w:val="18"/>
              </w:rPr>
              <w:t>0.94</w:t>
            </w:r>
          </w:p>
        </w:tc>
        <w:tc>
          <w:tcPr>
            <w:tcW w:w="1134" w:type="dxa"/>
            <w:tcBorders>
              <w:top w:val="single" w:sz="4" w:space="0" w:color="auto"/>
              <w:left w:val="single" w:sz="4" w:space="0" w:color="auto"/>
              <w:bottom w:val="single" w:sz="4" w:space="0" w:color="auto"/>
              <w:right w:val="single" w:sz="4" w:space="0" w:color="auto"/>
            </w:tcBorders>
          </w:tcPr>
          <w:p w14:paraId="4AB04D46" w14:textId="5A496BFA" w:rsidR="00C215A2" w:rsidRPr="00EF2F5B" w:rsidRDefault="00C215A2" w:rsidP="00C215A2">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color w:val="000000" w:themeColor="text1"/>
                <w:sz w:val="18"/>
                <w:szCs w:val="18"/>
              </w:rPr>
              <w:t>0.93</w:t>
            </w:r>
          </w:p>
        </w:tc>
        <w:tc>
          <w:tcPr>
            <w:tcW w:w="1134" w:type="dxa"/>
            <w:tcBorders>
              <w:top w:val="single" w:sz="4" w:space="0" w:color="auto"/>
              <w:left w:val="single" w:sz="4" w:space="0" w:color="auto"/>
              <w:bottom w:val="single" w:sz="4" w:space="0" w:color="auto"/>
              <w:right w:val="single" w:sz="4" w:space="0" w:color="auto"/>
            </w:tcBorders>
          </w:tcPr>
          <w:p w14:paraId="68915344" w14:textId="1FB4A774" w:rsidR="00C215A2" w:rsidRPr="00EF2F5B" w:rsidRDefault="00C215A2" w:rsidP="00C215A2">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color w:val="000000" w:themeColor="text1"/>
                <w:sz w:val="18"/>
                <w:szCs w:val="18"/>
              </w:rPr>
              <w:t>0.94</w:t>
            </w:r>
          </w:p>
        </w:tc>
        <w:tc>
          <w:tcPr>
            <w:tcW w:w="1136" w:type="dxa"/>
            <w:tcBorders>
              <w:top w:val="single" w:sz="4" w:space="0" w:color="auto"/>
              <w:left w:val="single" w:sz="4" w:space="0" w:color="auto"/>
              <w:bottom w:val="single" w:sz="4" w:space="0" w:color="auto"/>
              <w:right w:val="single" w:sz="4" w:space="0" w:color="auto"/>
            </w:tcBorders>
          </w:tcPr>
          <w:p w14:paraId="2A343391" w14:textId="00ECCDC5" w:rsidR="00C215A2" w:rsidRPr="00EF2F5B" w:rsidRDefault="00C215A2" w:rsidP="00C215A2">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color w:val="000000" w:themeColor="text1"/>
                <w:sz w:val="18"/>
                <w:szCs w:val="18"/>
              </w:rPr>
              <w:t>0.95</w:t>
            </w:r>
          </w:p>
        </w:tc>
      </w:tr>
      <w:tr w:rsidR="00EF2F5B" w:rsidRPr="00EF2F5B" w14:paraId="48748CD1" w14:textId="77777777" w:rsidTr="00D127D5">
        <w:trPr>
          <w:trHeight w:val="70"/>
          <w:jc w:val="center"/>
        </w:trPr>
        <w:tc>
          <w:tcPr>
            <w:tcW w:w="2977" w:type="dxa"/>
            <w:tcBorders>
              <w:top w:val="single" w:sz="4" w:space="0" w:color="auto"/>
              <w:left w:val="single" w:sz="4" w:space="0" w:color="auto"/>
              <w:bottom w:val="single" w:sz="4" w:space="0" w:color="auto"/>
              <w:right w:val="single" w:sz="4" w:space="0" w:color="auto"/>
            </w:tcBorders>
            <w:vAlign w:val="center"/>
          </w:tcPr>
          <w:p w14:paraId="12276BB0"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h</w:t>
            </w:r>
            <w:r w:rsidRPr="00EF2F5B">
              <w:rPr>
                <w:rFonts w:eastAsia="Times New Roman"/>
                <w:bCs/>
                <w:snapToGrid/>
                <w:color w:val="000000" w:themeColor="text1"/>
                <w:spacing w:val="0"/>
                <w:kern w:val="0"/>
                <w:sz w:val="18"/>
                <w:szCs w:val="18"/>
                <w:vertAlign w:val="superscript"/>
                <w:lang w:bidi="ar-SA"/>
                <w14:ligatures w14:val="none"/>
              </w:rPr>
              <w:t>2</w:t>
            </w:r>
          </w:p>
        </w:tc>
        <w:tc>
          <w:tcPr>
            <w:tcW w:w="1134" w:type="dxa"/>
            <w:tcBorders>
              <w:top w:val="single" w:sz="4" w:space="0" w:color="auto"/>
              <w:left w:val="single" w:sz="4" w:space="0" w:color="auto"/>
              <w:bottom w:val="single" w:sz="4" w:space="0" w:color="auto"/>
              <w:right w:val="single" w:sz="4" w:space="0" w:color="auto"/>
            </w:tcBorders>
            <w:vAlign w:val="center"/>
          </w:tcPr>
          <w:p w14:paraId="0D5B0A05"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89C1570"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16EF6FAA"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7A9B778A"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100</w:t>
            </w:r>
          </w:p>
        </w:tc>
        <w:tc>
          <w:tcPr>
            <w:tcW w:w="1136" w:type="dxa"/>
            <w:tcBorders>
              <w:top w:val="single" w:sz="4" w:space="0" w:color="auto"/>
              <w:left w:val="single" w:sz="4" w:space="0" w:color="auto"/>
              <w:bottom w:val="single" w:sz="4" w:space="0" w:color="auto"/>
              <w:right w:val="single" w:sz="4" w:space="0" w:color="auto"/>
            </w:tcBorders>
            <w:vAlign w:val="center"/>
          </w:tcPr>
          <w:p w14:paraId="3945DE79" w14:textId="77777777"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100</w:t>
            </w:r>
          </w:p>
        </w:tc>
      </w:tr>
      <w:tr w:rsidR="00EF2F5B" w:rsidRPr="00EF2F5B" w14:paraId="424A44AC" w14:textId="77777777" w:rsidTr="00AE79FB">
        <w:trPr>
          <w:trHeight w:val="163"/>
          <w:jc w:val="center"/>
        </w:trPr>
        <w:tc>
          <w:tcPr>
            <w:tcW w:w="2977" w:type="dxa"/>
            <w:tcBorders>
              <w:top w:val="single" w:sz="4" w:space="0" w:color="auto"/>
              <w:left w:val="single" w:sz="4" w:space="0" w:color="auto"/>
              <w:bottom w:val="single" w:sz="4" w:space="0" w:color="auto"/>
              <w:right w:val="single" w:sz="4" w:space="0" w:color="auto"/>
            </w:tcBorders>
            <w:vAlign w:val="center"/>
          </w:tcPr>
          <w:p w14:paraId="3A4B04FE" w14:textId="12DF160C" w:rsidR="00FE5113" w:rsidRPr="00EF2F5B" w:rsidRDefault="00C215A2"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 xml:space="preserve">Vertical </w:t>
            </w:r>
            <w:r w:rsidR="00FE5113" w:rsidRPr="00EF2F5B">
              <w:rPr>
                <w:rFonts w:eastAsia="Times New Roman"/>
                <w:bCs/>
                <w:snapToGrid/>
                <w:color w:val="000000" w:themeColor="text1"/>
                <w:spacing w:val="0"/>
                <w:kern w:val="0"/>
                <w:sz w:val="18"/>
                <w:szCs w:val="18"/>
                <w:lang w:bidi="ar-SA"/>
                <w14:ligatures w14:val="none"/>
              </w:rPr>
              <w:t>Illuminance</w:t>
            </w:r>
            <w:r w:rsidRPr="00EF2F5B">
              <w:rPr>
                <w:rFonts w:eastAsia="Times New Roman"/>
                <w:bCs/>
                <w:snapToGrid/>
                <w:color w:val="000000" w:themeColor="text1"/>
                <w:spacing w:val="0"/>
                <w:kern w:val="0"/>
                <w:sz w:val="18"/>
                <w:szCs w:val="18"/>
                <w:lang w:bidi="ar-SA"/>
                <w14:ligatures w14:val="none"/>
              </w:rPr>
              <w:t xml:space="preserve"> (Ev)</w:t>
            </w:r>
          </w:p>
        </w:tc>
        <w:tc>
          <w:tcPr>
            <w:tcW w:w="1134" w:type="dxa"/>
            <w:tcBorders>
              <w:top w:val="single" w:sz="4" w:space="0" w:color="auto"/>
              <w:left w:val="single" w:sz="4" w:space="0" w:color="auto"/>
              <w:bottom w:val="single" w:sz="4" w:space="0" w:color="auto"/>
              <w:right w:val="single" w:sz="4" w:space="0" w:color="auto"/>
            </w:tcBorders>
            <w:vAlign w:val="center"/>
          </w:tcPr>
          <w:p w14:paraId="6B0B60A8" w14:textId="29302843"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w:t>
            </w:r>
            <w:r w:rsidR="00C215A2" w:rsidRPr="00EF2F5B">
              <w:rPr>
                <w:rFonts w:eastAsia="Times New Roman"/>
                <w:bCs/>
                <w:snapToGrid/>
                <w:color w:val="000000" w:themeColor="text1"/>
                <w:spacing w:val="0"/>
                <w:kern w:val="0"/>
                <w:sz w:val="18"/>
                <w:szCs w:val="18"/>
                <w:lang w:bidi="ar-SA"/>
                <w14:ligatures w14:val="none"/>
              </w:rPr>
              <w:t>42</w:t>
            </w:r>
          </w:p>
        </w:tc>
        <w:tc>
          <w:tcPr>
            <w:tcW w:w="1134" w:type="dxa"/>
            <w:tcBorders>
              <w:top w:val="single" w:sz="4" w:space="0" w:color="auto"/>
              <w:left w:val="single" w:sz="4" w:space="0" w:color="auto"/>
              <w:bottom w:val="single" w:sz="4" w:space="0" w:color="auto"/>
              <w:right w:val="single" w:sz="4" w:space="0" w:color="auto"/>
            </w:tcBorders>
            <w:vAlign w:val="center"/>
          </w:tcPr>
          <w:p w14:paraId="2E880BD0" w14:textId="1D3AB7BF"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w:t>
            </w:r>
            <w:r w:rsidR="00C215A2" w:rsidRPr="00EF2F5B">
              <w:rPr>
                <w:rFonts w:eastAsia="Times New Roman"/>
                <w:bCs/>
                <w:snapToGrid/>
                <w:color w:val="000000" w:themeColor="text1"/>
                <w:spacing w:val="0"/>
                <w:kern w:val="0"/>
                <w:sz w:val="18"/>
                <w:szCs w:val="18"/>
                <w:lang w:bidi="ar-SA"/>
                <w14:ligatures w14:val="none"/>
              </w:rPr>
              <w:t>59</w:t>
            </w:r>
          </w:p>
        </w:tc>
        <w:tc>
          <w:tcPr>
            <w:tcW w:w="1134" w:type="dxa"/>
            <w:tcBorders>
              <w:top w:val="single" w:sz="4" w:space="0" w:color="auto"/>
              <w:left w:val="single" w:sz="4" w:space="0" w:color="auto"/>
              <w:bottom w:val="single" w:sz="4" w:space="0" w:color="auto"/>
              <w:right w:val="single" w:sz="4" w:space="0" w:color="auto"/>
            </w:tcBorders>
            <w:vAlign w:val="center"/>
          </w:tcPr>
          <w:p w14:paraId="3439EAED" w14:textId="6066B32C"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w:t>
            </w:r>
            <w:r w:rsidR="00C215A2" w:rsidRPr="00EF2F5B">
              <w:rPr>
                <w:rFonts w:eastAsia="Times New Roman"/>
                <w:bCs/>
                <w:snapToGrid/>
                <w:color w:val="000000" w:themeColor="text1"/>
                <w:spacing w:val="0"/>
                <w:kern w:val="0"/>
                <w:sz w:val="18"/>
                <w:szCs w:val="18"/>
                <w:lang w:bidi="ar-SA"/>
                <w14:ligatures w14:val="none"/>
              </w:rPr>
              <w:t>22</w:t>
            </w:r>
          </w:p>
        </w:tc>
        <w:tc>
          <w:tcPr>
            <w:tcW w:w="1134" w:type="dxa"/>
            <w:tcBorders>
              <w:top w:val="single" w:sz="4" w:space="0" w:color="auto"/>
              <w:left w:val="single" w:sz="4" w:space="0" w:color="auto"/>
              <w:bottom w:val="single" w:sz="4" w:space="0" w:color="auto"/>
              <w:right w:val="single" w:sz="4" w:space="0" w:color="auto"/>
            </w:tcBorders>
            <w:vAlign w:val="center"/>
          </w:tcPr>
          <w:p w14:paraId="2CF66110" w14:textId="529C0C4B"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w:t>
            </w:r>
            <w:r w:rsidR="00C215A2" w:rsidRPr="00EF2F5B">
              <w:rPr>
                <w:rFonts w:eastAsia="Times New Roman"/>
                <w:bCs/>
                <w:snapToGrid/>
                <w:color w:val="000000" w:themeColor="text1"/>
                <w:spacing w:val="0"/>
                <w:kern w:val="0"/>
                <w:sz w:val="18"/>
                <w:szCs w:val="18"/>
                <w:lang w:bidi="ar-SA"/>
                <w14:ligatures w14:val="none"/>
              </w:rPr>
              <w:t>59</w:t>
            </w:r>
          </w:p>
        </w:tc>
        <w:tc>
          <w:tcPr>
            <w:tcW w:w="1136" w:type="dxa"/>
            <w:tcBorders>
              <w:top w:val="single" w:sz="4" w:space="0" w:color="auto"/>
              <w:left w:val="single" w:sz="4" w:space="0" w:color="auto"/>
              <w:bottom w:val="single" w:sz="4" w:space="0" w:color="auto"/>
              <w:right w:val="single" w:sz="4" w:space="0" w:color="auto"/>
            </w:tcBorders>
            <w:vAlign w:val="center"/>
          </w:tcPr>
          <w:p w14:paraId="02F669EC" w14:textId="14014FDB" w:rsidR="00FE5113" w:rsidRPr="00EF2F5B" w:rsidRDefault="00FE5113" w:rsidP="00AE79FB">
            <w:pPr>
              <w:overflowPunct w:val="0"/>
              <w:autoSpaceDE w:val="0"/>
              <w:autoSpaceDN w:val="0"/>
              <w:adjustRightInd w:val="0"/>
              <w:spacing w:after="0" w:line="240" w:lineRule="auto"/>
              <w:jc w:val="center"/>
              <w:textAlignment w:val="baseline"/>
              <w:rPr>
                <w:rFonts w:eastAsia="Times New Roman"/>
                <w:bCs/>
                <w:snapToGrid/>
                <w:color w:val="000000" w:themeColor="text1"/>
                <w:spacing w:val="0"/>
                <w:kern w:val="0"/>
                <w:sz w:val="18"/>
                <w:szCs w:val="18"/>
                <w:lang w:bidi="ar-SA"/>
                <w14:ligatures w14:val="none"/>
              </w:rPr>
            </w:pPr>
            <w:r w:rsidRPr="00EF2F5B">
              <w:rPr>
                <w:rFonts w:eastAsia="Times New Roman"/>
                <w:bCs/>
                <w:snapToGrid/>
                <w:color w:val="000000" w:themeColor="text1"/>
                <w:spacing w:val="0"/>
                <w:kern w:val="0"/>
                <w:sz w:val="18"/>
                <w:szCs w:val="18"/>
                <w:lang w:bidi="ar-SA"/>
                <w14:ligatures w14:val="none"/>
              </w:rPr>
              <w:t>1.</w:t>
            </w:r>
            <w:r w:rsidR="00C215A2" w:rsidRPr="00EF2F5B">
              <w:rPr>
                <w:rFonts w:eastAsia="Times New Roman"/>
                <w:bCs/>
                <w:snapToGrid/>
                <w:color w:val="000000" w:themeColor="text1"/>
                <w:spacing w:val="0"/>
                <w:kern w:val="0"/>
                <w:sz w:val="18"/>
                <w:szCs w:val="18"/>
                <w:lang w:bidi="ar-SA"/>
                <w14:ligatures w14:val="none"/>
              </w:rPr>
              <w:t>42</w:t>
            </w:r>
          </w:p>
        </w:tc>
      </w:tr>
    </w:tbl>
    <w:p w14:paraId="36394E55" w14:textId="77777777" w:rsidR="00FE5113" w:rsidRPr="00EF2F5B" w:rsidRDefault="00FE5113" w:rsidP="00FE5113">
      <w:pPr>
        <w:spacing w:before="120" w:after="180" w:line="360" w:lineRule="auto"/>
        <w:rPr>
          <w:rFonts w:eastAsia="Times New Roman"/>
          <w:bCs/>
          <w:snapToGrid/>
          <w:color w:val="000000" w:themeColor="text1"/>
          <w:spacing w:val="0"/>
          <w:kern w:val="0"/>
          <w:sz w:val="18"/>
          <w:szCs w:val="18"/>
          <w:lang w:val="en-ZA" w:eastAsia="en-GB" w:bidi="ar-SA"/>
          <w14:ligatures w14:val="none"/>
        </w:rPr>
      </w:pPr>
      <w:r w:rsidRPr="00EF2F5B">
        <w:rPr>
          <w:rFonts w:eastAsia="Times New Roman"/>
          <w:bCs/>
          <w:snapToGrid/>
          <w:color w:val="000000" w:themeColor="text1"/>
          <w:spacing w:val="0"/>
          <w:kern w:val="0"/>
          <w:sz w:val="18"/>
          <w:szCs w:val="18"/>
          <w:lang w:val="en-ZA" w:eastAsia="en-GB" w:bidi="ar-SA"/>
          <w14:ligatures w14:val="none"/>
        </w:rPr>
        <w:t>Note: The intensity values have been taken from the OL computer calculation</w:t>
      </w:r>
    </w:p>
    <w:p w14:paraId="23098D93" w14:textId="77777777" w:rsidR="00FE34A2" w:rsidRPr="00EF2F5B" w:rsidRDefault="00FE34A2" w:rsidP="00FE34A2">
      <w:pPr>
        <w:jc w:val="both"/>
        <w:rPr>
          <w:color w:val="000000" w:themeColor="text1"/>
          <w:spacing w:val="0"/>
        </w:rPr>
      </w:pPr>
      <w:r w:rsidRPr="00EF2F5B">
        <w:rPr>
          <w:color w:val="000000" w:themeColor="text1"/>
          <w:spacing w:val="0"/>
        </w:rPr>
        <w:t>The results indicate that the calculated vertical illuminance values ranged from approximately 1.22 lux to 1.59 lux, depending on the observer’s position and viewing angle.</w:t>
      </w:r>
    </w:p>
    <w:p w14:paraId="63ACF1A1" w14:textId="77777777" w:rsidR="00FE34A2" w:rsidRPr="00EF2F5B" w:rsidRDefault="00FE34A2" w:rsidP="00FE34A2">
      <w:pPr>
        <w:jc w:val="both"/>
        <w:rPr>
          <w:color w:val="000000" w:themeColor="text1"/>
          <w:spacing w:val="0"/>
        </w:rPr>
      </w:pPr>
      <w:r w:rsidRPr="00EF2F5B">
        <w:rPr>
          <w:color w:val="000000" w:themeColor="text1"/>
          <w:spacing w:val="0"/>
        </w:rPr>
        <w:t>Importantly, the manual calculations matched the computer simulation results, confirming the validity of the proposed formula. This agreement demonstrates that the derived equation accurately represents the geometric relationship governing illuminance from outdoor luminaires.</w:t>
      </w:r>
    </w:p>
    <w:p w14:paraId="73A29CD8" w14:textId="73B8EC45" w:rsidR="00F04628" w:rsidRPr="00EF2F5B" w:rsidRDefault="004C6FB6" w:rsidP="00FE34A2">
      <w:pPr>
        <w:jc w:val="both"/>
        <w:rPr>
          <w:color w:val="000000" w:themeColor="text1"/>
          <w:spacing w:val="0"/>
        </w:rPr>
      </w:pPr>
      <w:r w:rsidRPr="00EF2F5B">
        <w:rPr>
          <w:color w:val="000000" w:themeColor="text1"/>
          <w:spacing w:val="0"/>
        </w:rPr>
        <w:t>Sensitivity Analysis indicates that the</w:t>
      </w:r>
      <w:r w:rsidRPr="00EF2F5B">
        <w:rPr>
          <w:b/>
          <w:bCs/>
          <w:color w:val="000000" w:themeColor="text1"/>
          <w:spacing w:val="0"/>
        </w:rPr>
        <w:t xml:space="preserve"> </w:t>
      </w:r>
      <w:r w:rsidRPr="00EF2F5B">
        <w:rPr>
          <w:color w:val="000000" w:themeColor="text1"/>
          <w:spacing w:val="0"/>
        </w:rPr>
        <w:t xml:space="preserve">vertical illumination parameters vary based on the light source mounting height, intensity distribution, and the distance of the Observer.  The findings indicate that the minimum-threshold model is robust across all configurations and reduces worst-case exposure.  </w:t>
      </w:r>
      <w:r w:rsidR="000C31B3" w:rsidRPr="00EF2F5B">
        <w:rPr>
          <w:color w:val="000000" w:themeColor="text1"/>
          <w:spacing w:val="0"/>
        </w:rPr>
        <w:t>The following section will provide the required results from the above-noted assessments.</w:t>
      </w:r>
    </w:p>
    <w:p w14:paraId="7AB4355E" w14:textId="77777777" w:rsidR="008936E7" w:rsidRPr="00EF2F5B" w:rsidRDefault="008936E7" w:rsidP="008936E7">
      <w:pPr>
        <w:pStyle w:val="ListParagraph"/>
        <w:spacing w:after="0" w:line="240" w:lineRule="auto"/>
        <w:jc w:val="both"/>
        <w:rPr>
          <w:b/>
          <w:bCs/>
          <w:color w:val="000000" w:themeColor="text1"/>
          <w:spacing w:val="0"/>
        </w:rPr>
      </w:pPr>
    </w:p>
    <w:p w14:paraId="535ED577" w14:textId="10DE4202" w:rsidR="002F5949" w:rsidRPr="00EF2F5B" w:rsidRDefault="002F5949" w:rsidP="008936E7">
      <w:pPr>
        <w:pStyle w:val="ListParagraph"/>
        <w:numPr>
          <w:ilvl w:val="0"/>
          <w:numId w:val="19"/>
        </w:numPr>
        <w:spacing w:after="0" w:line="240" w:lineRule="auto"/>
        <w:ind w:left="284" w:hanging="284"/>
        <w:jc w:val="both"/>
        <w:rPr>
          <w:b/>
          <w:bCs/>
          <w:color w:val="000000" w:themeColor="text1"/>
          <w:spacing w:val="0"/>
        </w:rPr>
      </w:pPr>
      <w:r w:rsidRPr="00EF2F5B">
        <w:rPr>
          <w:b/>
          <w:bCs/>
          <w:color w:val="000000" w:themeColor="text1"/>
          <w:spacing w:val="0"/>
        </w:rPr>
        <w:t>RESULTS:</w:t>
      </w:r>
      <w:r w:rsidR="00671BA9" w:rsidRPr="00EF2F5B">
        <w:rPr>
          <w:b/>
          <w:bCs/>
          <w:color w:val="000000" w:themeColor="text1"/>
          <w:spacing w:val="0"/>
        </w:rPr>
        <w:t xml:space="preserve"> PROPOSED UNIFIED </w:t>
      </w:r>
      <w:r w:rsidR="00A700A8" w:rsidRPr="00EF2F5B">
        <w:rPr>
          <w:b/>
          <w:bCs/>
          <w:color w:val="000000" w:themeColor="text1"/>
          <w:spacing w:val="0"/>
        </w:rPr>
        <w:t xml:space="preserve">GLOBAL </w:t>
      </w:r>
      <w:r w:rsidR="00671BA9" w:rsidRPr="00EF2F5B">
        <w:rPr>
          <w:b/>
          <w:bCs/>
          <w:color w:val="000000" w:themeColor="text1"/>
          <w:spacing w:val="0"/>
        </w:rPr>
        <w:t>FRAMEWORK</w:t>
      </w:r>
      <w:r w:rsidR="00A700A8" w:rsidRPr="00EF2F5B">
        <w:rPr>
          <w:b/>
          <w:bCs/>
          <w:color w:val="000000" w:themeColor="text1"/>
          <w:spacing w:val="0"/>
        </w:rPr>
        <w:t xml:space="preserve"> FOR OTL</w:t>
      </w:r>
    </w:p>
    <w:p w14:paraId="0828A5BC" w14:textId="77777777" w:rsidR="00FF14BC" w:rsidRPr="00EF2F5B" w:rsidRDefault="00FF14BC" w:rsidP="00F0093D">
      <w:pPr>
        <w:spacing w:after="0" w:line="240" w:lineRule="auto"/>
        <w:jc w:val="both"/>
        <w:rPr>
          <w:b/>
          <w:bCs/>
          <w:color w:val="000000" w:themeColor="text1"/>
          <w:spacing w:val="0"/>
        </w:rPr>
      </w:pPr>
    </w:p>
    <w:p w14:paraId="4EB6020A" w14:textId="1EBF6C70" w:rsidR="008B585E" w:rsidRPr="00EF2F5B" w:rsidRDefault="00A700A8" w:rsidP="00A700A8">
      <w:pPr>
        <w:rPr>
          <w:rFonts w:ascii="Times New Roman Bold" w:hAnsi="Times New Roman Bold"/>
          <w:b/>
          <w:bCs/>
          <w:color w:val="000000" w:themeColor="text1"/>
          <w:spacing w:val="0"/>
        </w:rPr>
      </w:pPr>
      <w:r w:rsidRPr="00EF2F5B">
        <w:rPr>
          <w:rFonts w:ascii="Times New Roman Bold" w:hAnsi="Times New Roman Bold"/>
          <w:b/>
          <w:bCs/>
          <w:color w:val="000000" w:themeColor="text1"/>
          <w:spacing w:val="0"/>
        </w:rPr>
        <w:t xml:space="preserve">4.1 </w:t>
      </w:r>
      <w:r w:rsidR="008B585E" w:rsidRPr="00EF2F5B">
        <w:rPr>
          <w:rFonts w:ascii="Times New Roman Bold" w:hAnsi="Times New Roman Bold"/>
          <w:b/>
          <w:bCs/>
          <w:color w:val="000000" w:themeColor="text1"/>
          <w:spacing w:val="0"/>
        </w:rPr>
        <w:t>Validation Results</w:t>
      </w:r>
    </w:p>
    <w:p w14:paraId="590A7077" w14:textId="2B676C6C" w:rsidR="00392E62" w:rsidRPr="00EF2F5B" w:rsidRDefault="00392E62" w:rsidP="00392E62">
      <w:pPr>
        <w:spacing w:before="120" w:after="180"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The validation results and the findings highlight that the outdoor trespass lighting is well below the required threshold light level of 3 lux for the obtrusive lighting zone LZ2. Table 17 below indicates the criteria if the study location if it is within an obtrusive lighting zone (LZ2).</w:t>
      </w:r>
    </w:p>
    <w:p w14:paraId="3C3E699F" w14:textId="72799F9D" w:rsidR="003A4251" w:rsidRPr="00EF2F5B" w:rsidRDefault="003A4251" w:rsidP="003A4251">
      <w:pPr>
        <w:spacing w:after="0" w:line="240" w:lineRule="auto"/>
        <w:jc w:val="center"/>
        <w:rPr>
          <w:rFonts w:eastAsia="Times New Roman"/>
          <w:b/>
          <w:bCs/>
          <w:snapToGrid/>
          <w:color w:val="000000" w:themeColor="text1"/>
          <w:spacing w:val="0"/>
          <w:kern w:val="0"/>
          <w:sz w:val="20"/>
          <w:szCs w:val="20"/>
          <w14:ligatures w14:val="none"/>
        </w:rPr>
      </w:pPr>
      <w:r w:rsidRPr="00EF2F5B">
        <w:rPr>
          <w:rFonts w:eastAsia="Times New Roman"/>
          <w:b/>
          <w:bCs/>
          <w:snapToGrid/>
          <w:color w:val="000000" w:themeColor="text1"/>
          <w:spacing w:val="0"/>
          <w:kern w:val="0"/>
          <w:sz w:val="20"/>
          <w:szCs w:val="20"/>
          <w14:ligatures w14:val="none"/>
        </w:rPr>
        <w:t>Table 17: Criteria for the obtrusive lighting zone (LZ2)</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2360"/>
        <w:gridCol w:w="1604"/>
        <w:gridCol w:w="1418"/>
        <w:gridCol w:w="1701"/>
        <w:gridCol w:w="1843"/>
      </w:tblGrid>
      <w:tr w:rsidR="00EF2F5B" w:rsidRPr="00EF2F5B" w14:paraId="4FA660DF" w14:textId="77777777" w:rsidTr="00392E62">
        <w:trPr>
          <w:tblHeader/>
        </w:trPr>
        <w:tc>
          <w:tcPr>
            <w:tcW w:w="2360" w:type="dxa"/>
            <w:vAlign w:val="center"/>
            <w:hideMark/>
          </w:tcPr>
          <w:p w14:paraId="37790862" w14:textId="77777777" w:rsidR="008B585E" w:rsidRPr="00EF2F5B" w:rsidRDefault="008B585E" w:rsidP="008B585E">
            <w:pPr>
              <w:spacing w:after="0" w:line="240" w:lineRule="auto"/>
              <w:jc w:val="center"/>
              <w:rPr>
                <w:rFonts w:eastAsia="Times New Roman"/>
                <w:b/>
                <w:bCs/>
                <w:snapToGrid/>
                <w:color w:val="000000" w:themeColor="text1"/>
                <w:spacing w:val="0"/>
                <w:kern w:val="0"/>
                <w14:ligatures w14:val="none"/>
              </w:rPr>
            </w:pPr>
            <w:r w:rsidRPr="00EF2F5B">
              <w:rPr>
                <w:rFonts w:eastAsia="Times New Roman"/>
                <w:b/>
                <w:bCs/>
                <w:snapToGrid/>
                <w:color w:val="000000" w:themeColor="text1"/>
                <w:spacing w:val="0"/>
                <w:kern w:val="0"/>
                <w14:ligatures w14:val="none"/>
              </w:rPr>
              <w:t>Metric</w:t>
            </w:r>
          </w:p>
        </w:tc>
        <w:tc>
          <w:tcPr>
            <w:tcW w:w="1604" w:type="dxa"/>
            <w:vAlign w:val="center"/>
            <w:hideMark/>
          </w:tcPr>
          <w:p w14:paraId="39436DC5" w14:textId="7D9F4B98" w:rsidR="008B585E" w:rsidRPr="00EF2F5B" w:rsidRDefault="008B585E" w:rsidP="008B585E">
            <w:pPr>
              <w:spacing w:after="0" w:line="240" w:lineRule="auto"/>
              <w:jc w:val="center"/>
              <w:rPr>
                <w:rFonts w:eastAsia="Times New Roman"/>
                <w:b/>
                <w:bCs/>
                <w:snapToGrid/>
                <w:color w:val="000000" w:themeColor="text1"/>
                <w:spacing w:val="0"/>
                <w:kern w:val="0"/>
                <w14:ligatures w14:val="none"/>
              </w:rPr>
            </w:pPr>
            <w:r w:rsidRPr="00EF2F5B">
              <w:rPr>
                <w:rFonts w:eastAsia="Times New Roman"/>
                <w:b/>
                <w:bCs/>
                <w:snapToGrid/>
                <w:color w:val="000000" w:themeColor="text1"/>
                <w:spacing w:val="0"/>
                <w:kern w:val="0"/>
                <w14:ligatures w14:val="none"/>
              </w:rPr>
              <w:t>IES RP-8, IDA and TAC</w:t>
            </w:r>
          </w:p>
        </w:tc>
        <w:tc>
          <w:tcPr>
            <w:tcW w:w="1418" w:type="dxa"/>
            <w:vAlign w:val="center"/>
            <w:hideMark/>
          </w:tcPr>
          <w:p w14:paraId="6AD6F40F" w14:textId="63282B63" w:rsidR="008B585E" w:rsidRPr="00EF2F5B" w:rsidRDefault="008B585E" w:rsidP="008B585E">
            <w:pPr>
              <w:spacing w:after="0" w:line="240" w:lineRule="auto"/>
              <w:jc w:val="center"/>
              <w:rPr>
                <w:rFonts w:eastAsia="Times New Roman"/>
                <w:b/>
                <w:bCs/>
                <w:snapToGrid/>
                <w:color w:val="000000" w:themeColor="text1"/>
                <w:spacing w:val="0"/>
                <w:kern w:val="0"/>
                <w14:ligatures w14:val="none"/>
              </w:rPr>
            </w:pPr>
            <w:r w:rsidRPr="00EF2F5B">
              <w:rPr>
                <w:rFonts w:eastAsia="Times New Roman"/>
                <w:b/>
                <w:bCs/>
                <w:snapToGrid/>
                <w:color w:val="000000" w:themeColor="text1"/>
                <w:spacing w:val="0"/>
                <w:kern w:val="0"/>
                <w14:ligatures w14:val="none"/>
              </w:rPr>
              <w:t>CIE 150 and ILP</w:t>
            </w:r>
          </w:p>
        </w:tc>
        <w:tc>
          <w:tcPr>
            <w:tcW w:w="1701" w:type="dxa"/>
          </w:tcPr>
          <w:p w14:paraId="2B6A5522" w14:textId="11012CC4" w:rsidR="008B585E" w:rsidRPr="00EF2F5B" w:rsidRDefault="008B585E" w:rsidP="008B585E">
            <w:pPr>
              <w:spacing w:after="0" w:line="240" w:lineRule="auto"/>
              <w:jc w:val="center"/>
              <w:rPr>
                <w:rFonts w:eastAsia="Times New Roman"/>
                <w:b/>
                <w:bCs/>
                <w:snapToGrid/>
                <w:color w:val="000000" w:themeColor="text1"/>
                <w:spacing w:val="0"/>
                <w:kern w:val="0"/>
                <w14:ligatures w14:val="none"/>
              </w:rPr>
            </w:pPr>
            <w:r w:rsidRPr="00EF2F5B">
              <w:rPr>
                <w:rFonts w:eastAsia="Times New Roman"/>
                <w:b/>
                <w:bCs/>
                <w:snapToGrid/>
                <w:color w:val="000000" w:themeColor="text1"/>
                <w:spacing w:val="0"/>
                <w:kern w:val="0"/>
                <w14:ligatures w14:val="none"/>
              </w:rPr>
              <w:t>AS/NZS 42822019</w:t>
            </w:r>
          </w:p>
        </w:tc>
        <w:tc>
          <w:tcPr>
            <w:tcW w:w="1843" w:type="dxa"/>
            <w:vAlign w:val="center"/>
            <w:hideMark/>
          </w:tcPr>
          <w:p w14:paraId="535DC6F4" w14:textId="1D14360D" w:rsidR="008B585E" w:rsidRPr="00EF2F5B" w:rsidRDefault="008B585E" w:rsidP="008B585E">
            <w:pPr>
              <w:spacing w:after="0" w:line="240" w:lineRule="auto"/>
              <w:jc w:val="center"/>
              <w:rPr>
                <w:rFonts w:eastAsia="Times New Roman"/>
                <w:b/>
                <w:bCs/>
                <w:snapToGrid/>
                <w:color w:val="000000" w:themeColor="text1"/>
                <w:spacing w:val="0"/>
                <w:kern w:val="0"/>
                <w14:ligatures w14:val="none"/>
              </w:rPr>
            </w:pPr>
            <w:r w:rsidRPr="00EF2F5B">
              <w:rPr>
                <w:rFonts w:eastAsia="Times New Roman"/>
                <w:b/>
                <w:bCs/>
                <w:snapToGrid/>
                <w:color w:val="000000" w:themeColor="text1"/>
                <w:spacing w:val="0"/>
                <w:kern w:val="0"/>
                <w14:ligatures w14:val="none"/>
              </w:rPr>
              <w:t>Unified</w:t>
            </w:r>
          </w:p>
        </w:tc>
      </w:tr>
      <w:tr w:rsidR="00EF2F5B" w:rsidRPr="00EF2F5B" w14:paraId="4EAD7879" w14:textId="77777777" w:rsidTr="00392E62">
        <w:tc>
          <w:tcPr>
            <w:tcW w:w="2360" w:type="dxa"/>
            <w:vAlign w:val="center"/>
            <w:hideMark/>
          </w:tcPr>
          <w:p w14:paraId="3CDF29DF" w14:textId="77777777" w:rsidR="008B585E" w:rsidRPr="00EF2F5B" w:rsidRDefault="008B585E" w:rsidP="008B585E">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Compliance achieved</w:t>
            </w:r>
          </w:p>
        </w:tc>
        <w:tc>
          <w:tcPr>
            <w:tcW w:w="1604" w:type="dxa"/>
            <w:vAlign w:val="center"/>
            <w:hideMark/>
          </w:tcPr>
          <w:p w14:paraId="58562833" w14:textId="77777777" w:rsidR="008B585E" w:rsidRPr="00EF2F5B" w:rsidRDefault="008B585E" w:rsidP="008B585E">
            <w:pPr>
              <w:spacing w:after="0" w:line="240" w:lineRule="auto"/>
              <w:jc w:val="center"/>
              <w:rPr>
                <w:rFonts w:eastAsia="Times New Roman"/>
                <w:snapToGrid/>
                <w:color w:val="000000" w:themeColor="text1"/>
                <w:spacing w:val="0"/>
                <w:kern w:val="0"/>
                <w14:ligatures w14:val="none"/>
              </w:rPr>
            </w:pPr>
            <w:r w:rsidRPr="00EF2F5B">
              <w:rPr>
                <w:rFonts w:ascii="Segoe UI Symbol" w:eastAsia="Times New Roman" w:hAnsi="Segoe UI Symbol" w:cs="Segoe UI Symbol"/>
                <w:snapToGrid/>
                <w:color w:val="000000" w:themeColor="text1"/>
                <w:spacing w:val="0"/>
                <w:kern w:val="0"/>
                <w14:ligatures w14:val="none"/>
              </w:rPr>
              <w:t>✔</w:t>
            </w:r>
          </w:p>
        </w:tc>
        <w:tc>
          <w:tcPr>
            <w:tcW w:w="1418" w:type="dxa"/>
            <w:vAlign w:val="center"/>
            <w:hideMark/>
          </w:tcPr>
          <w:p w14:paraId="7C5124B5" w14:textId="77777777" w:rsidR="008B585E" w:rsidRPr="00EF2F5B" w:rsidRDefault="008B585E" w:rsidP="008B585E">
            <w:pPr>
              <w:spacing w:after="0" w:line="240" w:lineRule="auto"/>
              <w:jc w:val="center"/>
              <w:rPr>
                <w:rFonts w:eastAsia="Times New Roman"/>
                <w:snapToGrid/>
                <w:color w:val="000000" w:themeColor="text1"/>
                <w:spacing w:val="0"/>
                <w:kern w:val="0"/>
                <w14:ligatures w14:val="none"/>
              </w:rPr>
            </w:pPr>
            <w:r w:rsidRPr="00EF2F5B">
              <w:rPr>
                <w:rFonts w:ascii="Segoe UI Symbol" w:eastAsia="Times New Roman" w:hAnsi="Segoe UI Symbol" w:cs="Segoe UI Symbol"/>
                <w:snapToGrid/>
                <w:color w:val="000000" w:themeColor="text1"/>
                <w:spacing w:val="0"/>
                <w:kern w:val="0"/>
                <w14:ligatures w14:val="none"/>
              </w:rPr>
              <w:t>✔</w:t>
            </w:r>
          </w:p>
        </w:tc>
        <w:tc>
          <w:tcPr>
            <w:tcW w:w="1701" w:type="dxa"/>
          </w:tcPr>
          <w:p w14:paraId="1BD43B36" w14:textId="70E11E5F" w:rsidR="008B585E" w:rsidRPr="00EF2F5B" w:rsidRDefault="008B585E" w:rsidP="008B585E">
            <w:pPr>
              <w:spacing w:after="0" w:line="240" w:lineRule="auto"/>
              <w:jc w:val="center"/>
              <w:rPr>
                <w:rFonts w:ascii="Segoe UI Symbol" w:eastAsia="Times New Roman" w:hAnsi="Segoe UI Symbol" w:cs="Segoe UI Symbol"/>
                <w:snapToGrid/>
                <w:color w:val="000000" w:themeColor="text1"/>
                <w:spacing w:val="0"/>
                <w:kern w:val="0"/>
                <w14:ligatures w14:val="none"/>
              </w:rPr>
            </w:pPr>
            <w:r w:rsidRPr="00EF2F5B">
              <w:rPr>
                <w:rFonts w:ascii="Segoe UI Symbol" w:eastAsia="Times New Roman" w:hAnsi="Segoe UI Symbol" w:cs="Segoe UI Symbol"/>
                <w:snapToGrid/>
                <w:color w:val="000000" w:themeColor="text1"/>
                <w:spacing w:val="0"/>
                <w:kern w:val="0"/>
                <w14:ligatures w14:val="none"/>
              </w:rPr>
              <w:t>✔</w:t>
            </w:r>
          </w:p>
        </w:tc>
        <w:tc>
          <w:tcPr>
            <w:tcW w:w="1843" w:type="dxa"/>
            <w:vAlign w:val="center"/>
            <w:hideMark/>
          </w:tcPr>
          <w:p w14:paraId="4FFA4171" w14:textId="2950CCF9" w:rsidR="008B585E" w:rsidRPr="00EF2F5B" w:rsidRDefault="008B585E" w:rsidP="008B585E">
            <w:pPr>
              <w:spacing w:after="0" w:line="240" w:lineRule="auto"/>
              <w:jc w:val="center"/>
              <w:rPr>
                <w:rFonts w:eastAsia="Times New Roman"/>
                <w:snapToGrid/>
                <w:color w:val="000000" w:themeColor="text1"/>
                <w:spacing w:val="0"/>
                <w:kern w:val="0"/>
                <w14:ligatures w14:val="none"/>
              </w:rPr>
            </w:pPr>
            <w:r w:rsidRPr="00EF2F5B">
              <w:rPr>
                <w:rFonts w:ascii="Segoe UI Symbol" w:eastAsia="Times New Roman" w:hAnsi="Segoe UI Symbol" w:cs="Segoe UI Symbol"/>
                <w:snapToGrid/>
                <w:color w:val="000000" w:themeColor="text1"/>
                <w:spacing w:val="0"/>
                <w:kern w:val="0"/>
                <w14:ligatures w14:val="none"/>
              </w:rPr>
              <w:t>✔</w:t>
            </w:r>
          </w:p>
        </w:tc>
      </w:tr>
      <w:tr w:rsidR="00EF2F5B" w:rsidRPr="00EF2F5B" w14:paraId="4108D3A4" w14:textId="77777777" w:rsidTr="00392E62">
        <w:tc>
          <w:tcPr>
            <w:tcW w:w="2360" w:type="dxa"/>
            <w:vAlign w:val="center"/>
            <w:hideMark/>
          </w:tcPr>
          <w:p w14:paraId="6FF38D6D" w14:textId="77777777" w:rsidR="008B585E" w:rsidRPr="00EF2F5B" w:rsidRDefault="008B585E" w:rsidP="008B585E">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Maximum Ev (lux)</w:t>
            </w:r>
          </w:p>
        </w:tc>
        <w:tc>
          <w:tcPr>
            <w:tcW w:w="1604" w:type="dxa"/>
            <w:vAlign w:val="center"/>
            <w:hideMark/>
          </w:tcPr>
          <w:p w14:paraId="6D8575C5" w14:textId="640C5055" w:rsidR="008B585E" w:rsidRPr="00EF2F5B" w:rsidRDefault="00061D0F" w:rsidP="008B585E">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3</w:t>
            </w:r>
            <w:r w:rsidR="008B585E" w:rsidRPr="00EF2F5B">
              <w:rPr>
                <w:rFonts w:eastAsia="Times New Roman"/>
                <w:snapToGrid/>
                <w:color w:val="000000" w:themeColor="text1"/>
                <w:spacing w:val="0"/>
                <w:kern w:val="0"/>
                <w14:ligatures w14:val="none"/>
              </w:rPr>
              <w:t>.0</w:t>
            </w:r>
          </w:p>
        </w:tc>
        <w:tc>
          <w:tcPr>
            <w:tcW w:w="1418" w:type="dxa"/>
            <w:vAlign w:val="center"/>
            <w:hideMark/>
          </w:tcPr>
          <w:p w14:paraId="34040B6A" w14:textId="6554C44A" w:rsidR="008B585E" w:rsidRPr="00EF2F5B" w:rsidRDefault="00061D0F" w:rsidP="008B585E">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5</w:t>
            </w:r>
            <w:r w:rsidR="008B585E" w:rsidRPr="00EF2F5B">
              <w:rPr>
                <w:rFonts w:eastAsia="Times New Roman"/>
                <w:snapToGrid/>
                <w:color w:val="000000" w:themeColor="text1"/>
                <w:spacing w:val="0"/>
                <w:kern w:val="0"/>
                <w14:ligatures w14:val="none"/>
              </w:rPr>
              <w:t>.0</w:t>
            </w:r>
          </w:p>
        </w:tc>
        <w:tc>
          <w:tcPr>
            <w:tcW w:w="1701" w:type="dxa"/>
          </w:tcPr>
          <w:p w14:paraId="1564A2BB" w14:textId="1DEDCA1B" w:rsidR="008B585E" w:rsidRPr="00EF2F5B" w:rsidRDefault="00234000" w:rsidP="008B585E">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10.0</w:t>
            </w:r>
          </w:p>
        </w:tc>
        <w:tc>
          <w:tcPr>
            <w:tcW w:w="1843" w:type="dxa"/>
            <w:vAlign w:val="center"/>
            <w:hideMark/>
          </w:tcPr>
          <w:p w14:paraId="1A36BD4C" w14:textId="4024D40F" w:rsidR="008B585E" w:rsidRPr="00EF2F5B" w:rsidRDefault="00061D0F" w:rsidP="008B585E">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3</w:t>
            </w:r>
            <w:r w:rsidR="008B585E" w:rsidRPr="00EF2F5B">
              <w:rPr>
                <w:rFonts w:eastAsia="Times New Roman"/>
                <w:snapToGrid/>
                <w:color w:val="000000" w:themeColor="text1"/>
                <w:spacing w:val="0"/>
                <w:kern w:val="0"/>
                <w14:ligatures w14:val="none"/>
              </w:rPr>
              <w:t>.0</w:t>
            </w:r>
          </w:p>
        </w:tc>
      </w:tr>
      <w:tr w:rsidR="00EF2F5B" w:rsidRPr="00EF2F5B" w14:paraId="74BC27F3" w14:textId="77777777" w:rsidTr="00392E62">
        <w:tc>
          <w:tcPr>
            <w:tcW w:w="2360" w:type="dxa"/>
            <w:vAlign w:val="center"/>
            <w:hideMark/>
          </w:tcPr>
          <w:p w14:paraId="0AAC1BEA" w14:textId="77777777" w:rsidR="008B585E" w:rsidRPr="00EF2F5B" w:rsidRDefault="008B585E" w:rsidP="008B585E">
            <w:pPr>
              <w:spacing w:after="0"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Over-lighting risk</w:t>
            </w:r>
          </w:p>
        </w:tc>
        <w:tc>
          <w:tcPr>
            <w:tcW w:w="1604" w:type="dxa"/>
            <w:vAlign w:val="center"/>
            <w:hideMark/>
          </w:tcPr>
          <w:p w14:paraId="07B7919D" w14:textId="77777777" w:rsidR="008B585E" w:rsidRPr="00EF2F5B" w:rsidRDefault="008B585E" w:rsidP="008B585E">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Medium</w:t>
            </w:r>
          </w:p>
        </w:tc>
        <w:tc>
          <w:tcPr>
            <w:tcW w:w="1418" w:type="dxa"/>
            <w:vAlign w:val="center"/>
            <w:hideMark/>
          </w:tcPr>
          <w:p w14:paraId="2859F0F4" w14:textId="77777777" w:rsidR="008B585E" w:rsidRPr="00EF2F5B" w:rsidRDefault="008B585E" w:rsidP="008B585E">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High</w:t>
            </w:r>
          </w:p>
        </w:tc>
        <w:tc>
          <w:tcPr>
            <w:tcW w:w="1701" w:type="dxa"/>
          </w:tcPr>
          <w:p w14:paraId="7B6DC421" w14:textId="0B134334" w:rsidR="008B585E" w:rsidRPr="00EF2F5B" w:rsidRDefault="00234000" w:rsidP="008B585E">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High</w:t>
            </w:r>
          </w:p>
        </w:tc>
        <w:tc>
          <w:tcPr>
            <w:tcW w:w="1843" w:type="dxa"/>
            <w:vAlign w:val="center"/>
            <w:hideMark/>
          </w:tcPr>
          <w:p w14:paraId="1D7D8DF8" w14:textId="50C39D13" w:rsidR="008B585E" w:rsidRPr="00EF2F5B" w:rsidRDefault="008B585E" w:rsidP="008B585E">
            <w:pPr>
              <w:spacing w:after="0" w:line="240" w:lineRule="auto"/>
              <w:jc w:val="center"/>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Low</w:t>
            </w:r>
          </w:p>
        </w:tc>
      </w:tr>
    </w:tbl>
    <w:p w14:paraId="715592B4" w14:textId="77777777" w:rsidR="008B585E" w:rsidRPr="00EF2F5B" w:rsidRDefault="008B585E" w:rsidP="008B585E">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Key Finding:</w:t>
      </w:r>
    </w:p>
    <w:p w14:paraId="7AEA0649" w14:textId="77777777" w:rsidR="008B585E" w:rsidRPr="00EF2F5B" w:rsidRDefault="008B585E" w:rsidP="008B585E">
      <w:pPr>
        <w:numPr>
          <w:ilvl w:val="0"/>
          <w:numId w:val="29"/>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Unified thresholds never exceed any existing standard </w:t>
      </w:r>
    </w:p>
    <w:p w14:paraId="7F002B4E" w14:textId="77777777" w:rsidR="008B585E" w:rsidRPr="00EF2F5B" w:rsidRDefault="008B585E" w:rsidP="008B585E">
      <w:pPr>
        <w:numPr>
          <w:ilvl w:val="0"/>
          <w:numId w:val="29"/>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Provide the most conservative compliant condition </w:t>
      </w:r>
    </w:p>
    <w:p w14:paraId="4CDB558A" w14:textId="11965A95" w:rsidR="00A23117" w:rsidRPr="00EF2F5B" w:rsidRDefault="00A23117" w:rsidP="00A23117">
      <w:pPr>
        <w:rPr>
          <w:rFonts w:ascii="Times New Roman Bold" w:hAnsi="Times New Roman Bold"/>
          <w:b/>
          <w:bCs/>
          <w:color w:val="000000" w:themeColor="text1"/>
          <w:spacing w:val="0"/>
        </w:rPr>
      </w:pPr>
      <w:r w:rsidRPr="00EF2F5B">
        <w:rPr>
          <w:rFonts w:ascii="Times New Roman Bold" w:hAnsi="Times New Roman Bold"/>
          <w:b/>
          <w:bCs/>
          <w:color w:val="000000" w:themeColor="text1"/>
          <w:spacing w:val="0"/>
        </w:rPr>
        <w:t>4.2 Unified Obtrusive Lighting Zone Limits (UOLZL)</w:t>
      </w:r>
    </w:p>
    <w:p w14:paraId="78300EF1" w14:textId="651DC821" w:rsidR="002F5949" w:rsidRPr="00EF2F5B" w:rsidRDefault="00671BA9" w:rsidP="000C4E98">
      <w:pPr>
        <w:spacing w:after="0" w:line="240" w:lineRule="auto"/>
        <w:jc w:val="both"/>
        <w:rPr>
          <w:color w:val="000000" w:themeColor="text1"/>
          <w:spacing w:val="0"/>
        </w:rPr>
      </w:pPr>
      <w:r w:rsidRPr="00EF2F5B">
        <w:rPr>
          <w:color w:val="000000" w:themeColor="text1"/>
          <w:spacing w:val="0"/>
        </w:rPr>
        <w:t xml:space="preserve">The harmonised system consolidates international categories into four environmental zones. </w:t>
      </w:r>
      <w:r w:rsidR="002F5949" w:rsidRPr="00EF2F5B">
        <w:rPr>
          <w:color w:val="000000" w:themeColor="text1"/>
          <w:spacing w:val="0"/>
        </w:rPr>
        <w:t>Therefore, the author proposes a unified standard to test OTL</w:t>
      </w:r>
      <w:r w:rsidRPr="00EF2F5B">
        <w:rPr>
          <w:color w:val="000000" w:themeColor="text1"/>
          <w:spacing w:val="0"/>
        </w:rPr>
        <w:t xml:space="preserve">. </w:t>
      </w:r>
      <w:r w:rsidR="002F5949" w:rsidRPr="00EF2F5B">
        <w:rPr>
          <w:color w:val="000000" w:themeColor="text1"/>
          <w:spacing w:val="0"/>
        </w:rPr>
        <w:t xml:space="preserve">These zones can be adapted as </w:t>
      </w:r>
      <w:r w:rsidR="000C4E98" w:rsidRPr="00EF2F5B">
        <w:rPr>
          <w:color w:val="000000" w:themeColor="text1"/>
          <w:spacing w:val="0"/>
        </w:rPr>
        <w:t>Unified Obtrusive Lighting Zone Limits (UOLZL)</w:t>
      </w:r>
      <w:r w:rsidR="002F5949" w:rsidRPr="00EF2F5B">
        <w:rPr>
          <w:color w:val="000000" w:themeColor="text1"/>
          <w:spacing w:val="0"/>
        </w:rPr>
        <w:t xml:space="preserve"> for OTL.  </w:t>
      </w:r>
      <w:r w:rsidR="002F5949" w:rsidRPr="00EF2F5B">
        <w:rPr>
          <w:color w:val="000000" w:themeColor="text1"/>
          <w:spacing w:val="0"/>
          <w:cs/>
        </w:rPr>
        <w:fldChar w:fldCharType="begin"/>
      </w:r>
      <w:r w:rsidR="002F5949" w:rsidRPr="00EF2F5B">
        <w:rPr>
          <w:color w:val="000000" w:themeColor="text1"/>
          <w:spacing w:val="0"/>
        </w:rPr>
        <w:instrText xml:space="preserve"> REF _Ref137886755 \h  \* MERGEFORMAT </w:instrText>
      </w:r>
      <w:r w:rsidR="002F5949" w:rsidRPr="00EF2F5B">
        <w:rPr>
          <w:color w:val="000000" w:themeColor="text1"/>
          <w:spacing w:val="0"/>
          <w:cs/>
        </w:rPr>
      </w:r>
      <w:r w:rsidR="002F5949" w:rsidRPr="00EF2F5B">
        <w:rPr>
          <w:color w:val="000000" w:themeColor="text1"/>
          <w:spacing w:val="0"/>
          <w:cs/>
        </w:rPr>
        <w:fldChar w:fldCharType="separate"/>
      </w:r>
      <w:r w:rsidR="002F5949" w:rsidRPr="00EF2F5B">
        <w:rPr>
          <w:color w:val="000000" w:themeColor="text1"/>
          <w:spacing w:val="0"/>
        </w:rPr>
        <w:t>Table 1</w:t>
      </w:r>
      <w:r w:rsidR="00B03BC5" w:rsidRPr="00EF2F5B">
        <w:rPr>
          <w:color w:val="000000" w:themeColor="text1"/>
          <w:spacing w:val="0"/>
        </w:rPr>
        <w:t>8</w:t>
      </w:r>
      <w:r w:rsidR="002F5949" w:rsidRPr="00EF2F5B">
        <w:rPr>
          <w:color w:val="000000" w:themeColor="text1"/>
          <w:spacing w:val="0"/>
          <w:cs/>
        </w:rPr>
        <w:fldChar w:fldCharType="end"/>
      </w:r>
      <w:r w:rsidR="00FF14BC" w:rsidRPr="00EF2F5B">
        <w:rPr>
          <w:color w:val="000000" w:themeColor="text1"/>
          <w:spacing w:val="0"/>
        </w:rPr>
        <w:t xml:space="preserve">, </w:t>
      </w:r>
      <w:r w:rsidR="002F5949" w:rsidRPr="00EF2F5B">
        <w:rPr>
          <w:color w:val="000000" w:themeColor="text1"/>
          <w:spacing w:val="0"/>
        </w:rPr>
        <w:t>shows the proposed unified OL zones:</w:t>
      </w:r>
    </w:p>
    <w:p w14:paraId="66BA3626" w14:textId="77777777" w:rsidR="002F5949" w:rsidRPr="00EF2F5B" w:rsidRDefault="002F5949" w:rsidP="00F0093D">
      <w:pPr>
        <w:spacing w:after="0" w:line="240" w:lineRule="auto"/>
        <w:rPr>
          <w:color w:val="000000" w:themeColor="text1"/>
          <w:spacing w:val="0"/>
        </w:rPr>
      </w:pPr>
    </w:p>
    <w:p w14:paraId="10BC40BA" w14:textId="2EC0D2D3" w:rsidR="002F5949" w:rsidRPr="00EF2F5B" w:rsidRDefault="002F5949" w:rsidP="00FF14BC">
      <w:pPr>
        <w:jc w:val="center"/>
        <w:rPr>
          <w:rFonts w:ascii="Times New Roman Bold" w:hAnsi="Times New Roman Bold"/>
          <w:b/>
          <w:bCs/>
          <w:color w:val="000000" w:themeColor="text1"/>
          <w:spacing w:val="0"/>
          <w:sz w:val="20"/>
          <w:szCs w:val="20"/>
        </w:rPr>
      </w:pPr>
      <w:bookmarkStart w:id="58" w:name="_Ref137886755"/>
      <w:bookmarkStart w:id="59" w:name="_Toc205658532"/>
      <w:r w:rsidRPr="00EF2F5B">
        <w:rPr>
          <w:rFonts w:ascii="Times New Roman Bold" w:hAnsi="Times New Roman Bold"/>
          <w:b/>
          <w:bCs/>
          <w:color w:val="000000" w:themeColor="text1"/>
          <w:spacing w:val="0"/>
          <w:sz w:val="20"/>
          <w:szCs w:val="20"/>
        </w:rPr>
        <w:t>Table 1</w:t>
      </w:r>
      <w:r w:rsidR="00B03BC5" w:rsidRPr="00EF2F5B">
        <w:rPr>
          <w:rFonts w:ascii="Times New Roman Bold" w:hAnsi="Times New Roman Bold"/>
          <w:b/>
          <w:bCs/>
          <w:color w:val="000000" w:themeColor="text1"/>
          <w:spacing w:val="0"/>
          <w:sz w:val="20"/>
          <w:szCs w:val="20"/>
        </w:rPr>
        <w:t>8</w:t>
      </w:r>
      <w:bookmarkEnd w:id="58"/>
      <w:r w:rsidRPr="00EF2F5B">
        <w:rPr>
          <w:rFonts w:ascii="Times New Roman Bold" w:hAnsi="Times New Roman Bold"/>
          <w:b/>
          <w:bCs/>
          <w:color w:val="000000" w:themeColor="text1"/>
          <w:spacing w:val="0"/>
          <w:sz w:val="20"/>
          <w:szCs w:val="20"/>
        </w:rPr>
        <w:t xml:space="preserve">: The Proposed </w:t>
      </w:r>
      <w:r w:rsidR="00682D49" w:rsidRPr="00EF2F5B">
        <w:rPr>
          <w:rFonts w:ascii="Times New Roman Bold" w:hAnsi="Times New Roman Bold"/>
          <w:b/>
          <w:bCs/>
          <w:color w:val="000000" w:themeColor="text1"/>
          <w:spacing w:val="0"/>
          <w:sz w:val="20"/>
          <w:szCs w:val="20"/>
        </w:rPr>
        <w:t>Unified Obtrusive Lighting Zone Limits (UOLZL)</w:t>
      </w:r>
      <w:bookmarkEnd w:id="59"/>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987"/>
        <w:gridCol w:w="1134"/>
        <w:gridCol w:w="1134"/>
        <w:gridCol w:w="1985"/>
        <w:gridCol w:w="2693"/>
      </w:tblGrid>
      <w:tr w:rsidR="00EF2F5B" w:rsidRPr="00EF2F5B" w14:paraId="589B4EFF" w14:textId="77777777" w:rsidTr="00FF14BC">
        <w:trPr>
          <w:jc w:val="center"/>
        </w:trPr>
        <w:tc>
          <w:tcPr>
            <w:tcW w:w="851" w:type="dxa"/>
            <w:vAlign w:val="center"/>
          </w:tcPr>
          <w:p w14:paraId="210BC8C8" w14:textId="77777777" w:rsidR="002F5949" w:rsidRPr="00EF2F5B" w:rsidRDefault="002F594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cs/>
                <w14:ligatures w14:val="none"/>
              </w:rPr>
            </w:pPr>
            <w:r w:rsidRPr="00EF2F5B">
              <w:rPr>
                <w:rFonts w:eastAsia="Times New Roman"/>
                <w:snapToGrid/>
                <w:color w:val="000000" w:themeColor="text1"/>
                <w:spacing w:val="0"/>
                <w:kern w:val="0"/>
                <w:sz w:val="20"/>
                <w:szCs w:val="20"/>
                <w14:ligatures w14:val="none"/>
              </w:rPr>
              <w:t>No.</w:t>
            </w:r>
          </w:p>
        </w:tc>
        <w:tc>
          <w:tcPr>
            <w:tcW w:w="987" w:type="dxa"/>
            <w:vAlign w:val="center"/>
          </w:tcPr>
          <w:p w14:paraId="5C2276BF" w14:textId="77777777" w:rsidR="002F5949" w:rsidRPr="00EF2F5B" w:rsidRDefault="002F594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14:ligatures w14:val="none"/>
              </w:rPr>
              <w:t>OL Zones</w:t>
            </w:r>
          </w:p>
        </w:tc>
        <w:tc>
          <w:tcPr>
            <w:tcW w:w="1134" w:type="dxa"/>
            <w:vAlign w:val="center"/>
          </w:tcPr>
          <w:p w14:paraId="31327247" w14:textId="345888EC" w:rsidR="002F5949" w:rsidRPr="00EF2F5B" w:rsidRDefault="00CE6B78"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14:ligatures w14:val="none"/>
              </w:rPr>
            </w:pPr>
            <w:r w:rsidRPr="00EF2F5B">
              <w:rPr>
                <w:rFonts w:eastAsia="Times New Roman"/>
                <w:snapToGrid/>
                <w:color w:val="000000" w:themeColor="text1"/>
                <w:spacing w:val="0"/>
                <w:kern w:val="0"/>
                <w:sz w:val="20"/>
                <w:szCs w:val="20"/>
                <w14:ligatures w14:val="none"/>
              </w:rPr>
              <w:t xml:space="preserve">Unified Limit </w:t>
            </w:r>
            <w:r w:rsidR="00D77BBF" w:rsidRPr="00EF2F5B">
              <w:rPr>
                <w:rFonts w:eastAsia="Times New Roman"/>
                <w:snapToGrid/>
                <w:color w:val="000000" w:themeColor="text1"/>
                <w:spacing w:val="0"/>
                <w:kern w:val="0"/>
                <w:sz w:val="20"/>
                <w:szCs w:val="20"/>
                <w14:ligatures w14:val="none"/>
              </w:rPr>
              <w:t>(Ev)</w:t>
            </w:r>
          </w:p>
        </w:tc>
        <w:tc>
          <w:tcPr>
            <w:tcW w:w="1134" w:type="dxa"/>
            <w:vAlign w:val="center"/>
          </w:tcPr>
          <w:p w14:paraId="7756CF0D" w14:textId="77777777" w:rsidR="002F5949" w:rsidRPr="00EF2F5B" w:rsidRDefault="002F594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14:ligatures w14:val="none"/>
              </w:rPr>
              <w:t>Ambient Brightness</w:t>
            </w:r>
          </w:p>
        </w:tc>
        <w:tc>
          <w:tcPr>
            <w:tcW w:w="1985" w:type="dxa"/>
            <w:vAlign w:val="center"/>
          </w:tcPr>
          <w:p w14:paraId="58522DF1" w14:textId="77777777" w:rsidR="002F5949" w:rsidRPr="00EF2F5B" w:rsidRDefault="002F594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14:ligatures w14:val="none"/>
              </w:rPr>
            </w:pPr>
            <w:r w:rsidRPr="00EF2F5B">
              <w:rPr>
                <w:rFonts w:eastAsia="Times New Roman"/>
                <w:snapToGrid/>
                <w:color w:val="000000" w:themeColor="text1"/>
                <w:spacing w:val="0"/>
                <w:kern w:val="0"/>
                <w:sz w:val="20"/>
                <w:szCs w:val="20"/>
                <w14:ligatures w14:val="none"/>
              </w:rPr>
              <w:t>Locations</w:t>
            </w:r>
          </w:p>
        </w:tc>
        <w:tc>
          <w:tcPr>
            <w:tcW w:w="2693" w:type="dxa"/>
            <w:vAlign w:val="center"/>
          </w:tcPr>
          <w:p w14:paraId="63B95914" w14:textId="77777777" w:rsidR="002F5949" w:rsidRPr="00EF2F5B" w:rsidRDefault="002F594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14:ligatures w14:val="none"/>
              </w:rPr>
            </w:pPr>
            <w:r w:rsidRPr="00EF2F5B">
              <w:rPr>
                <w:rFonts w:eastAsia="Times New Roman"/>
                <w:snapToGrid/>
                <w:color w:val="000000" w:themeColor="text1"/>
                <w:spacing w:val="0"/>
                <w:kern w:val="0"/>
                <w:sz w:val="20"/>
                <w:szCs w:val="20"/>
                <w14:ligatures w14:val="none"/>
              </w:rPr>
              <w:t>Land Use</w:t>
            </w:r>
          </w:p>
        </w:tc>
      </w:tr>
      <w:tr w:rsidR="00EF2F5B" w:rsidRPr="00EF2F5B" w14:paraId="025C1D23" w14:textId="77777777" w:rsidTr="00FF14BC">
        <w:trPr>
          <w:trHeight w:val="284"/>
          <w:jc w:val="center"/>
        </w:trPr>
        <w:tc>
          <w:tcPr>
            <w:tcW w:w="851" w:type="dxa"/>
            <w:vAlign w:val="center"/>
          </w:tcPr>
          <w:p w14:paraId="59327AB5" w14:textId="10709CBC" w:rsidR="002F5949" w:rsidRPr="00EF2F5B" w:rsidRDefault="00D77BBF"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14:ligatures w14:val="none"/>
              </w:rPr>
            </w:pPr>
            <w:r w:rsidRPr="00EF2F5B">
              <w:rPr>
                <w:rFonts w:eastAsia="Times New Roman"/>
                <w:snapToGrid/>
                <w:color w:val="000000" w:themeColor="text1"/>
                <w:spacing w:val="0"/>
                <w:kern w:val="0"/>
                <w:sz w:val="20"/>
                <w:szCs w:val="20"/>
                <w14:ligatures w14:val="none"/>
              </w:rPr>
              <w:t>14</w:t>
            </w:r>
            <w:r w:rsidR="002F5949" w:rsidRPr="00EF2F5B">
              <w:rPr>
                <w:rFonts w:eastAsia="Times New Roman"/>
                <w:snapToGrid/>
                <w:color w:val="000000" w:themeColor="text1"/>
                <w:spacing w:val="0"/>
                <w:kern w:val="0"/>
                <w:sz w:val="20"/>
                <w:szCs w:val="20"/>
                <w14:ligatures w14:val="none"/>
              </w:rPr>
              <w:t>a</w:t>
            </w:r>
          </w:p>
        </w:tc>
        <w:tc>
          <w:tcPr>
            <w:tcW w:w="987" w:type="dxa"/>
            <w:vAlign w:val="center"/>
          </w:tcPr>
          <w:p w14:paraId="009A4514" w14:textId="77777777" w:rsidR="002F5949" w:rsidRPr="00EF2F5B" w:rsidRDefault="002F594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LZ1</w:t>
            </w:r>
          </w:p>
        </w:tc>
        <w:tc>
          <w:tcPr>
            <w:tcW w:w="1134" w:type="dxa"/>
            <w:vAlign w:val="center"/>
          </w:tcPr>
          <w:p w14:paraId="3958C325" w14:textId="61372BE1" w:rsidR="002F5949" w:rsidRPr="00EF2F5B" w:rsidRDefault="002F594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w:t>
            </w:r>
            <w:r w:rsidR="00D77BBF" w:rsidRPr="00EF2F5B">
              <w:rPr>
                <w:rFonts w:eastAsia="Times New Roman"/>
                <w:snapToGrid/>
                <w:color w:val="000000" w:themeColor="text1"/>
                <w:spacing w:val="0"/>
                <w:kern w:val="0"/>
                <w:sz w:val="20"/>
                <w:szCs w:val="20"/>
                <w:lang w:bidi="ar-SA"/>
                <w14:ligatures w14:val="none"/>
              </w:rPr>
              <w:t xml:space="preserve"> Lux</w:t>
            </w:r>
          </w:p>
        </w:tc>
        <w:tc>
          <w:tcPr>
            <w:tcW w:w="1134" w:type="dxa"/>
            <w:vAlign w:val="center"/>
          </w:tcPr>
          <w:p w14:paraId="1D4322BC" w14:textId="77777777" w:rsidR="002F5949" w:rsidRPr="00EF2F5B" w:rsidRDefault="002F594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Dark</w:t>
            </w:r>
          </w:p>
        </w:tc>
        <w:tc>
          <w:tcPr>
            <w:tcW w:w="1985" w:type="dxa"/>
            <w:vAlign w:val="center"/>
          </w:tcPr>
          <w:p w14:paraId="33983F65" w14:textId="77777777" w:rsidR="002F5949" w:rsidRPr="00EF2F5B" w:rsidRDefault="002F594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Environmentally Sensitive Area (ESA)</w:t>
            </w:r>
          </w:p>
        </w:tc>
        <w:tc>
          <w:tcPr>
            <w:tcW w:w="2693" w:type="dxa"/>
            <w:vAlign w:val="center"/>
          </w:tcPr>
          <w:p w14:paraId="72C4C8E6" w14:textId="77777777" w:rsidR="002F5949" w:rsidRPr="00EF2F5B" w:rsidRDefault="002F5949" w:rsidP="00F0093D">
            <w:pPr>
              <w:overflowPunct w:val="0"/>
              <w:autoSpaceDE w:val="0"/>
              <w:autoSpaceDN w:val="0"/>
              <w:adjustRightInd w:val="0"/>
              <w:spacing w:after="0" w:line="240" w:lineRule="auto"/>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Natural Park, River, Valley, Sensitive Vegetative Species</w:t>
            </w:r>
          </w:p>
        </w:tc>
      </w:tr>
      <w:tr w:rsidR="00EF2F5B" w:rsidRPr="00EF2F5B" w14:paraId="1C09484C" w14:textId="77777777" w:rsidTr="00FF14BC">
        <w:trPr>
          <w:trHeight w:val="284"/>
          <w:jc w:val="center"/>
        </w:trPr>
        <w:tc>
          <w:tcPr>
            <w:tcW w:w="851" w:type="dxa"/>
            <w:vAlign w:val="center"/>
          </w:tcPr>
          <w:p w14:paraId="22D68BAD" w14:textId="3E7609EF" w:rsidR="002F5949" w:rsidRPr="00EF2F5B" w:rsidRDefault="00D77BBF"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14:ligatures w14:val="none"/>
              </w:rPr>
            </w:pPr>
            <w:r w:rsidRPr="00EF2F5B">
              <w:rPr>
                <w:rFonts w:eastAsia="Times New Roman"/>
                <w:snapToGrid/>
                <w:color w:val="000000" w:themeColor="text1"/>
                <w:spacing w:val="0"/>
                <w:kern w:val="0"/>
                <w:sz w:val="20"/>
                <w:szCs w:val="20"/>
                <w14:ligatures w14:val="none"/>
              </w:rPr>
              <w:t>14</w:t>
            </w:r>
            <w:r w:rsidR="002F5949" w:rsidRPr="00EF2F5B">
              <w:rPr>
                <w:rFonts w:eastAsia="Times New Roman"/>
                <w:snapToGrid/>
                <w:color w:val="000000" w:themeColor="text1"/>
                <w:spacing w:val="0"/>
                <w:kern w:val="0"/>
                <w:sz w:val="20"/>
                <w:szCs w:val="20"/>
                <w14:ligatures w14:val="none"/>
              </w:rPr>
              <w:t>b</w:t>
            </w:r>
          </w:p>
        </w:tc>
        <w:tc>
          <w:tcPr>
            <w:tcW w:w="987" w:type="dxa"/>
            <w:vAlign w:val="center"/>
          </w:tcPr>
          <w:p w14:paraId="1BB93C07" w14:textId="77777777" w:rsidR="002F5949" w:rsidRPr="00EF2F5B" w:rsidRDefault="002F594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LZ2</w:t>
            </w:r>
          </w:p>
        </w:tc>
        <w:tc>
          <w:tcPr>
            <w:tcW w:w="1134" w:type="dxa"/>
            <w:vAlign w:val="center"/>
          </w:tcPr>
          <w:p w14:paraId="2C408A4C" w14:textId="025D7B4E" w:rsidR="002F5949" w:rsidRPr="00EF2F5B" w:rsidRDefault="002F594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14:ligatures w14:val="none"/>
              </w:rPr>
            </w:pPr>
            <w:r w:rsidRPr="00EF2F5B">
              <w:rPr>
                <w:rFonts w:eastAsia="Times New Roman"/>
                <w:snapToGrid/>
                <w:color w:val="000000" w:themeColor="text1"/>
                <w:spacing w:val="0"/>
                <w:kern w:val="0"/>
                <w:sz w:val="20"/>
                <w:szCs w:val="20"/>
                <w14:ligatures w14:val="none"/>
              </w:rPr>
              <w:t>3</w:t>
            </w:r>
            <w:r w:rsidR="00D77BBF" w:rsidRPr="00EF2F5B">
              <w:rPr>
                <w:rFonts w:eastAsia="Times New Roman"/>
                <w:snapToGrid/>
                <w:color w:val="000000" w:themeColor="text1"/>
                <w:spacing w:val="0"/>
                <w:kern w:val="0"/>
                <w:sz w:val="20"/>
                <w:szCs w:val="20"/>
                <w14:ligatures w14:val="none"/>
              </w:rPr>
              <w:t xml:space="preserve"> Lux </w:t>
            </w:r>
          </w:p>
        </w:tc>
        <w:tc>
          <w:tcPr>
            <w:tcW w:w="1134" w:type="dxa"/>
            <w:vAlign w:val="center"/>
          </w:tcPr>
          <w:p w14:paraId="43065076" w14:textId="77777777" w:rsidR="002F5949" w:rsidRPr="00EF2F5B" w:rsidRDefault="002F594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14:ligatures w14:val="none"/>
              </w:rPr>
              <w:t>Low</w:t>
            </w:r>
          </w:p>
        </w:tc>
        <w:tc>
          <w:tcPr>
            <w:tcW w:w="1985" w:type="dxa"/>
            <w:vAlign w:val="center"/>
          </w:tcPr>
          <w:p w14:paraId="6449AA50" w14:textId="77777777" w:rsidR="002F5949" w:rsidRPr="00EF2F5B" w:rsidRDefault="002F594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14:ligatures w14:val="none"/>
              </w:rPr>
            </w:pPr>
            <w:r w:rsidRPr="00EF2F5B">
              <w:rPr>
                <w:rFonts w:eastAsia="Times New Roman"/>
                <w:snapToGrid/>
                <w:color w:val="000000" w:themeColor="text1"/>
                <w:spacing w:val="0"/>
                <w:kern w:val="0"/>
                <w:sz w:val="20"/>
                <w:szCs w:val="20"/>
                <w:lang w:bidi="ar-SA"/>
                <w14:ligatures w14:val="none"/>
              </w:rPr>
              <w:t>Rural</w:t>
            </w:r>
          </w:p>
        </w:tc>
        <w:tc>
          <w:tcPr>
            <w:tcW w:w="2693" w:type="dxa"/>
            <w:vAlign w:val="center"/>
          </w:tcPr>
          <w:p w14:paraId="7917AB08" w14:textId="77777777" w:rsidR="002F5949" w:rsidRPr="00EF2F5B" w:rsidRDefault="002F594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Rural, Agricultural or Open Spaces</w:t>
            </w:r>
          </w:p>
        </w:tc>
      </w:tr>
      <w:tr w:rsidR="00EF2F5B" w:rsidRPr="00EF2F5B" w14:paraId="280510C7" w14:textId="77777777" w:rsidTr="00FF14BC">
        <w:trPr>
          <w:trHeight w:val="518"/>
          <w:jc w:val="center"/>
        </w:trPr>
        <w:tc>
          <w:tcPr>
            <w:tcW w:w="851" w:type="dxa"/>
            <w:vAlign w:val="center"/>
          </w:tcPr>
          <w:p w14:paraId="2B273EC9" w14:textId="29ABA30B" w:rsidR="002F5949" w:rsidRPr="00EF2F5B" w:rsidRDefault="00D77BBF"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14:ligatures w14:val="none"/>
              </w:rPr>
            </w:pPr>
            <w:r w:rsidRPr="00EF2F5B">
              <w:rPr>
                <w:rFonts w:eastAsia="Times New Roman"/>
                <w:snapToGrid/>
                <w:color w:val="000000" w:themeColor="text1"/>
                <w:spacing w:val="0"/>
                <w:kern w:val="0"/>
                <w:sz w:val="20"/>
                <w:szCs w:val="20"/>
                <w14:ligatures w14:val="none"/>
              </w:rPr>
              <w:t>14</w:t>
            </w:r>
            <w:r w:rsidR="002F5949" w:rsidRPr="00EF2F5B">
              <w:rPr>
                <w:rFonts w:eastAsia="Times New Roman"/>
                <w:snapToGrid/>
                <w:color w:val="000000" w:themeColor="text1"/>
                <w:spacing w:val="0"/>
                <w:kern w:val="0"/>
                <w:sz w:val="20"/>
                <w:szCs w:val="20"/>
                <w14:ligatures w14:val="none"/>
              </w:rPr>
              <w:t>c</w:t>
            </w:r>
          </w:p>
        </w:tc>
        <w:tc>
          <w:tcPr>
            <w:tcW w:w="987" w:type="dxa"/>
            <w:vAlign w:val="center"/>
          </w:tcPr>
          <w:p w14:paraId="1BA0812F" w14:textId="77777777" w:rsidR="002F5949" w:rsidRPr="00EF2F5B" w:rsidRDefault="002F594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LZ3</w:t>
            </w:r>
          </w:p>
        </w:tc>
        <w:tc>
          <w:tcPr>
            <w:tcW w:w="1134" w:type="dxa"/>
            <w:vAlign w:val="center"/>
          </w:tcPr>
          <w:p w14:paraId="7788AB95" w14:textId="4E7538DA" w:rsidR="002F5949" w:rsidRPr="00EF2F5B" w:rsidRDefault="002F594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8</w:t>
            </w:r>
            <w:r w:rsidR="00D77BBF" w:rsidRPr="00EF2F5B">
              <w:rPr>
                <w:rFonts w:eastAsia="Times New Roman"/>
                <w:snapToGrid/>
                <w:color w:val="000000" w:themeColor="text1"/>
                <w:spacing w:val="0"/>
                <w:kern w:val="0"/>
                <w:sz w:val="20"/>
                <w:szCs w:val="20"/>
                <w:lang w:bidi="ar-SA"/>
                <w14:ligatures w14:val="none"/>
              </w:rPr>
              <w:t xml:space="preserve"> Lux</w:t>
            </w:r>
          </w:p>
        </w:tc>
        <w:tc>
          <w:tcPr>
            <w:tcW w:w="1134" w:type="dxa"/>
            <w:vAlign w:val="center"/>
          </w:tcPr>
          <w:p w14:paraId="512B6638" w14:textId="77777777" w:rsidR="002F5949" w:rsidRPr="00EF2F5B" w:rsidRDefault="002F594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Medium</w:t>
            </w:r>
          </w:p>
        </w:tc>
        <w:tc>
          <w:tcPr>
            <w:tcW w:w="1985" w:type="dxa"/>
            <w:vAlign w:val="center"/>
          </w:tcPr>
          <w:p w14:paraId="08FD4C30" w14:textId="77777777" w:rsidR="002F5949" w:rsidRPr="00EF2F5B" w:rsidRDefault="002F594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Urban and Suburban Residential</w:t>
            </w:r>
          </w:p>
        </w:tc>
        <w:tc>
          <w:tcPr>
            <w:tcW w:w="2693" w:type="dxa"/>
            <w:vAlign w:val="center"/>
          </w:tcPr>
          <w:p w14:paraId="786078BE" w14:textId="77777777" w:rsidR="002F5949" w:rsidRPr="00EF2F5B" w:rsidRDefault="002F5949" w:rsidP="00F0093D">
            <w:pPr>
              <w:overflowPunct w:val="0"/>
              <w:autoSpaceDE w:val="0"/>
              <w:autoSpaceDN w:val="0"/>
              <w:adjustRightInd w:val="0"/>
              <w:spacing w:after="0" w:line="240" w:lineRule="auto"/>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Low/Medium Density residential or Institutional Facilities &amp; Churches</w:t>
            </w:r>
          </w:p>
        </w:tc>
      </w:tr>
      <w:tr w:rsidR="00EF2F5B" w:rsidRPr="00EF2F5B" w14:paraId="52622FC7" w14:textId="77777777" w:rsidTr="00FF14BC">
        <w:trPr>
          <w:trHeight w:val="284"/>
          <w:jc w:val="center"/>
        </w:trPr>
        <w:tc>
          <w:tcPr>
            <w:tcW w:w="851" w:type="dxa"/>
            <w:vAlign w:val="center"/>
          </w:tcPr>
          <w:p w14:paraId="65617097" w14:textId="44EC42FB" w:rsidR="002F5949" w:rsidRPr="00EF2F5B" w:rsidRDefault="00D77BBF"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14:ligatures w14:val="none"/>
              </w:rPr>
            </w:pPr>
            <w:r w:rsidRPr="00EF2F5B">
              <w:rPr>
                <w:rFonts w:eastAsia="Times New Roman"/>
                <w:snapToGrid/>
                <w:color w:val="000000" w:themeColor="text1"/>
                <w:spacing w:val="0"/>
                <w:kern w:val="0"/>
                <w:sz w:val="20"/>
                <w:szCs w:val="20"/>
                <w14:ligatures w14:val="none"/>
              </w:rPr>
              <w:t>14</w:t>
            </w:r>
            <w:r w:rsidR="002F5949" w:rsidRPr="00EF2F5B">
              <w:rPr>
                <w:rFonts w:eastAsia="Times New Roman"/>
                <w:snapToGrid/>
                <w:color w:val="000000" w:themeColor="text1"/>
                <w:spacing w:val="0"/>
                <w:kern w:val="0"/>
                <w:sz w:val="20"/>
                <w:szCs w:val="20"/>
                <w14:ligatures w14:val="none"/>
              </w:rPr>
              <w:t>d</w:t>
            </w:r>
          </w:p>
        </w:tc>
        <w:tc>
          <w:tcPr>
            <w:tcW w:w="987" w:type="dxa"/>
            <w:vAlign w:val="center"/>
          </w:tcPr>
          <w:p w14:paraId="662949F0" w14:textId="77777777" w:rsidR="002F5949" w:rsidRPr="00EF2F5B" w:rsidRDefault="002F594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LZ4</w:t>
            </w:r>
          </w:p>
        </w:tc>
        <w:tc>
          <w:tcPr>
            <w:tcW w:w="1134" w:type="dxa"/>
            <w:vAlign w:val="center"/>
          </w:tcPr>
          <w:p w14:paraId="59066A68" w14:textId="7B418613" w:rsidR="002F5949" w:rsidRPr="00EF2F5B" w:rsidRDefault="002F594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15</w:t>
            </w:r>
            <w:r w:rsidR="00D77BBF" w:rsidRPr="00EF2F5B">
              <w:rPr>
                <w:rFonts w:eastAsia="Times New Roman"/>
                <w:snapToGrid/>
                <w:color w:val="000000" w:themeColor="text1"/>
                <w:spacing w:val="0"/>
                <w:kern w:val="0"/>
                <w:sz w:val="20"/>
                <w:szCs w:val="20"/>
                <w:lang w:bidi="ar-SA"/>
                <w14:ligatures w14:val="none"/>
              </w:rPr>
              <w:t xml:space="preserve"> Lux </w:t>
            </w:r>
          </w:p>
        </w:tc>
        <w:tc>
          <w:tcPr>
            <w:tcW w:w="1134" w:type="dxa"/>
            <w:vAlign w:val="center"/>
          </w:tcPr>
          <w:p w14:paraId="662CF909" w14:textId="77777777" w:rsidR="002F5949" w:rsidRPr="00EF2F5B" w:rsidRDefault="002F5949" w:rsidP="00F0093D">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High</w:t>
            </w:r>
          </w:p>
        </w:tc>
        <w:tc>
          <w:tcPr>
            <w:tcW w:w="1985" w:type="dxa"/>
            <w:vAlign w:val="center"/>
          </w:tcPr>
          <w:p w14:paraId="665AC5A1" w14:textId="77777777" w:rsidR="002F5949" w:rsidRPr="00EF2F5B" w:rsidRDefault="002F594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Dense Urban with blended Residential, Commercial and Industrial</w:t>
            </w:r>
          </w:p>
        </w:tc>
        <w:tc>
          <w:tcPr>
            <w:tcW w:w="2693" w:type="dxa"/>
            <w:vAlign w:val="center"/>
          </w:tcPr>
          <w:p w14:paraId="435C98E4" w14:textId="5969F330" w:rsidR="002F5949" w:rsidRPr="00EF2F5B" w:rsidRDefault="002F5949" w:rsidP="00F0093D">
            <w:pPr>
              <w:overflowPunct w:val="0"/>
              <w:autoSpaceDE w:val="0"/>
              <w:autoSpaceDN w:val="0"/>
              <w:adjustRightInd w:val="0"/>
              <w:spacing w:after="0" w:line="240" w:lineRule="auto"/>
              <w:jc w:val="both"/>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 xml:space="preserve">Commercial, Industrial &amp; </w:t>
            </w:r>
            <w:r w:rsidR="00BD4FDA" w:rsidRPr="00EF2F5B">
              <w:rPr>
                <w:rFonts w:eastAsia="Times New Roman"/>
                <w:snapToGrid/>
                <w:color w:val="000000" w:themeColor="text1"/>
                <w:spacing w:val="0"/>
                <w:kern w:val="0"/>
                <w:sz w:val="20"/>
                <w:szCs w:val="20"/>
                <w:lang w:bidi="ar-SA"/>
                <w14:ligatures w14:val="none"/>
              </w:rPr>
              <w:t>high-density residential</w:t>
            </w:r>
            <w:r w:rsidRPr="00EF2F5B">
              <w:rPr>
                <w:rFonts w:eastAsia="Times New Roman"/>
                <w:snapToGrid/>
                <w:color w:val="000000" w:themeColor="text1"/>
                <w:spacing w:val="0"/>
                <w:kern w:val="0"/>
                <w:sz w:val="20"/>
                <w:szCs w:val="20"/>
                <w:lang w:bidi="ar-SA"/>
                <w14:ligatures w14:val="none"/>
              </w:rPr>
              <w:t xml:space="preserve"> &amp; </w:t>
            </w:r>
            <w:r w:rsidR="00BD4FDA" w:rsidRPr="00EF2F5B">
              <w:rPr>
                <w:rFonts w:eastAsia="Times New Roman"/>
                <w:snapToGrid/>
                <w:color w:val="000000" w:themeColor="text1"/>
                <w:spacing w:val="0"/>
                <w:kern w:val="0"/>
                <w:sz w:val="20"/>
                <w:szCs w:val="20"/>
                <w:lang w:bidi="ar-SA"/>
                <w14:ligatures w14:val="none"/>
              </w:rPr>
              <w:t>recreational mixed-use</w:t>
            </w:r>
            <w:r w:rsidRPr="00EF2F5B">
              <w:rPr>
                <w:rFonts w:eastAsia="Times New Roman"/>
                <w:snapToGrid/>
                <w:color w:val="000000" w:themeColor="text1"/>
                <w:spacing w:val="0"/>
                <w:kern w:val="0"/>
                <w:sz w:val="20"/>
                <w:szCs w:val="20"/>
                <w:lang w:bidi="ar-SA"/>
                <w14:ligatures w14:val="none"/>
              </w:rPr>
              <w:t>.</w:t>
            </w:r>
          </w:p>
        </w:tc>
      </w:tr>
    </w:tbl>
    <w:p w14:paraId="0D80FB46" w14:textId="74DB80DF" w:rsidR="00671BA9" w:rsidRPr="00EF2F5B" w:rsidRDefault="00671BA9" w:rsidP="00BD4FDA">
      <w:pPr>
        <w:spacing w:before="100" w:beforeAutospacing="1" w:after="100" w:afterAutospacing="1" w:line="240" w:lineRule="auto"/>
        <w:jc w:val="both"/>
        <w:rPr>
          <w:rFonts w:eastAsia="Times New Roman"/>
          <w:snapToGrid/>
          <w:color w:val="000000" w:themeColor="text1"/>
          <w:spacing w:val="0"/>
          <w:kern w:val="0"/>
          <w14:ligatures w14:val="none"/>
        </w:rPr>
      </w:pPr>
      <w:r w:rsidRPr="00EF2F5B">
        <w:rPr>
          <w:rFonts w:eastAsia="Times New Roman"/>
          <w:b/>
          <w:bCs/>
          <w:snapToGrid/>
          <w:color w:val="000000" w:themeColor="text1"/>
          <w:spacing w:val="0"/>
          <w:kern w:val="0"/>
          <w14:ligatures w14:val="none"/>
        </w:rPr>
        <w:t>Definition:</w:t>
      </w:r>
      <w:r w:rsidRPr="00EF2F5B">
        <w:rPr>
          <w:rFonts w:eastAsia="Times New Roman"/>
          <w:snapToGrid/>
          <w:color w:val="000000" w:themeColor="text1"/>
          <w:spacing w:val="0"/>
          <w:kern w:val="0"/>
          <w14:ligatures w14:val="none"/>
        </w:rPr>
        <w:t xml:space="preserve"> Maximum allowable vertical illuminance at any point along the vertical plane of the property boundary, measured according to CIE 150:2017 or ANSI/IES RP-8-25 procedures.</w:t>
      </w:r>
    </w:p>
    <w:p w14:paraId="28346860" w14:textId="77777777" w:rsidR="00671BA9" w:rsidRPr="00EF2F5B" w:rsidRDefault="00671BA9" w:rsidP="00CD23BB">
      <w:pPr>
        <w:spacing w:before="100" w:beforeAutospacing="1" w:after="100" w:afterAutospacing="1"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Curfew differentiation is intentionally excluded to enhance enforcement clarity and reduce administrative variability.</w:t>
      </w:r>
    </w:p>
    <w:p w14:paraId="39BDB0B9" w14:textId="77777777" w:rsidR="00F04628" w:rsidRPr="00EF2F5B" w:rsidRDefault="00F04628" w:rsidP="00F04628">
      <w:pPr>
        <w:spacing w:after="0" w:line="240" w:lineRule="auto"/>
        <w:jc w:val="both"/>
        <w:rPr>
          <w:b/>
          <w:bCs/>
          <w:snapToGrid/>
          <w:color w:val="000000" w:themeColor="text1"/>
          <w:spacing w:val="0"/>
          <w:kern w:val="0"/>
          <w:lang w:val="en-ZA" w:bidi="ar-SA"/>
          <w14:ligatures w14:val="none"/>
        </w:rPr>
      </w:pPr>
      <w:bookmarkStart w:id="60" w:name="_Hlk191834417"/>
      <w:r w:rsidRPr="00EF2F5B">
        <w:rPr>
          <w:b/>
          <w:bCs/>
          <w:snapToGrid/>
          <w:color w:val="000000" w:themeColor="text1"/>
          <w:spacing w:val="0"/>
          <w:kern w:val="0"/>
          <w:lang w:val="en-ZA" w:bidi="ar-SA"/>
          <w14:ligatures w14:val="none"/>
        </w:rPr>
        <w:t>Proposed design criteria for OTL</w:t>
      </w:r>
    </w:p>
    <w:p w14:paraId="3D316EF7" w14:textId="77777777" w:rsidR="00F04628" w:rsidRPr="00EF2F5B" w:rsidRDefault="00F04628" w:rsidP="00F04628">
      <w:pPr>
        <w:spacing w:after="0" w:line="240" w:lineRule="auto"/>
        <w:jc w:val="both"/>
        <w:rPr>
          <w:b/>
          <w:bCs/>
          <w:snapToGrid/>
          <w:color w:val="000000" w:themeColor="text1"/>
          <w:spacing w:val="0"/>
          <w:kern w:val="0"/>
          <w:lang w:val="en-ZA" w:bidi="ar-SA"/>
          <w14:ligatures w14:val="none"/>
        </w:rPr>
      </w:pPr>
    </w:p>
    <w:bookmarkEnd w:id="60"/>
    <w:p w14:paraId="0FB4D0CF" w14:textId="292DC236" w:rsidR="00F04628" w:rsidRPr="00EF2F5B" w:rsidRDefault="001E14EC" w:rsidP="001E14EC">
      <w:pPr>
        <w:spacing w:after="0" w:line="240" w:lineRule="auto"/>
        <w:jc w:val="both"/>
        <w:rPr>
          <w:rFonts w:eastAsia="Times New Roman"/>
          <w:snapToGrid/>
          <w:color w:val="000000" w:themeColor="text1"/>
          <w:spacing w:val="0"/>
          <w:kern w:val="0"/>
          <w:szCs w:val="22"/>
          <w:lang w:val="en-GB" w:eastAsia="en-GB" w:bidi="ar-SA"/>
          <w14:ligatures w14:val="none"/>
        </w:rPr>
      </w:pPr>
      <w:r w:rsidRPr="00EF2F5B">
        <w:rPr>
          <w:snapToGrid/>
          <w:color w:val="000000" w:themeColor="text1"/>
          <w:spacing w:val="0"/>
          <w:kern w:val="0"/>
          <w:lang w:val="en-GB"/>
          <w14:ligatures w14:val="none"/>
        </w:rPr>
        <w:t>T</w:t>
      </w:r>
      <w:r w:rsidR="00F04628" w:rsidRPr="00EF2F5B">
        <w:rPr>
          <w:snapToGrid/>
          <w:color w:val="000000" w:themeColor="text1"/>
          <w:spacing w:val="0"/>
          <w:kern w:val="0"/>
          <w:lang w:val="en-GB"/>
          <w14:ligatures w14:val="none"/>
        </w:rPr>
        <w:t>he OTL at a height of 1.5m can be calculated using OL design software or measured using a light meter. All measurement and calculation methods must meet IES or CIE standards (ANSI/IES RP-8-25, 202</w:t>
      </w:r>
      <w:r w:rsidR="0008305D" w:rsidRPr="00EF2F5B">
        <w:rPr>
          <w:snapToGrid/>
          <w:color w:val="000000" w:themeColor="text1"/>
          <w:spacing w:val="0"/>
          <w:kern w:val="0"/>
          <w:lang w:val="en-GB"/>
          <w14:ligatures w14:val="none"/>
        </w:rPr>
        <w:t>5</w:t>
      </w:r>
      <w:r w:rsidR="00F04628" w:rsidRPr="00EF2F5B">
        <w:rPr>
          <w:snapToGrid/>
          <w:color w:val="000000" w:themeColor="text1"/>
          <w:spacing w:val="0"/>
          <w:kern w:val="0"/>
          <w:lang w:val="en-GB"/>
          <w14:ligatures w14:val="none"/>
        </w:rPr>
        <w:t xml:space="preserve">; CIE-150, 2017). </w:t>
      </w:r>
      <w:r w:rsidR="00F04628" w:rsidRPr="00EF2F5B">
        <w:rPr>
          <w:rFonts w:eastAsia="Times New Roman"/>
          <w:snapToGrid/>
          <w:color w:val="000000" w:themeColor="text1"/>
          <w:spacing w:val="0"/>
          <w:kern w:val="0"/>
          <w:szCs w:val="22"/>
          <w:lang w:val="en-GB" w:eastAsia="en-GB" w:bidi="ar-SA"/>
          <w14:ligatures w14:val="none"/>
        </w:rPr>
        <w:t xml:space="preserve">The author presents </w:t>
      </w:r>
      <w:r w:rsidR="00BE7AD1" w:rsidRPr="00EF2F5B">
        <w:rPr>
          <w:rFonts w:eastAsia="Times New Roman"/>
          <w:snapToGrid/>
          <w:color w:val="000000" w:themeColor="text1"/>
          <w:spacing w:val="0"/>
          <w:kern w:val="0"/>
          <w:szCs w:val="22"/>
          <w:lang w:val="en-GB" w:eastAsia="en-GB" w:bidi="ar-SA"/>
          <w14:ligatures w14:val="none"/>
        </w:rPr>
        <w:t xml:space="preserve">a unified </w:t>
      </w:r>
      <w:r w:rsidR="00F04628" w:rsidRPr="00EF2F5B">
        <w:rPr>
          <w:rFonts w:eastAsia="Times New Roman"/>
          <w:snapToGrid/>
          <w:color w:val="000000" w:themeColor="text1"/>
          <w:spacing w:val="0"/>
          <w:kern w:val="0"/>
          <w:szCs w:val="22"/>
          <w:lang w:val="en-GB" w:eastAsia="en-GB" w:bidi="ar-SA"/>
          <w14:ligatures w14:val="none"/>
        </w:rPr>
        <w:t xml:space="preserve">OTL </w:t>
      </w:r>
      <w:r w:rsidRPr="00EF2F5B">
        <w:rPr>
          <w:rFonts w:eastAsia="Times New Roman"/>
          <w:snapToGrid/>
          <w:color w:val="000000" w:themeColor="text1"/>
          <w:spacing w:val="0"/>
          <w:kern w:val="0"/>
          <w:szCs w:val="22"/>
          <w:lang w:val="en-GB" w:eastAsia="en-GB" w:bidi="ar-SA"/>
          <w14:ligatures w14:val="none"/>
        </w:rPr>
        <w:t xml:space="preserve">with </w:t>
      </w:r>
      <w:r w:rsidR="00F04628" w:rsidRPr="00EF2F5B">
        <w:rPr>
          <w:rFonts w:eastAsia="Times New Roman"/>
          <w:snapToGrid/>
          <w:color w:val="000000" w:themeColor="text1"/>
          <w:spacing w:val="0"/>
          <w:kern w:val="0"/>
          <w:szCs w:val="22"/>
          <w:lang w:val="en-GB" w:eastAsia="en-GB" w:bidi="ar-SA"/>
          <w14:ligatures w14:val="none"/>
        </w:rPr>
        <w:t xml:space="preserve">limiting values for the maximum levels in </w:t>
      </w:r>
      <w:r w:rsidR="00F04628" w:rsidRPr="00EF2F5B">
        <w:rPr>
          <w:rFonts w:eastAsia="Times New Roman"/>
          <w:snapToGrid/>
          <w:color w:val="000000" w:themeColor="text1"/>
          <w:spacing w:val="0"/>
          <w:kern w:val="0"/>
          <w:szCs w:val="22"/>
          <w:lang w:val="en-GB" w:eastAsia="en-GB" w:bidi="ar-SA"/>
          <w14:ligatures w14:val="none"/>
        </w:rPr>
        <w:fldChar w:fldCharType="begin"/>
      </w:r>
      <w:r w:rsidR="00F04628" w:rsidRPr="00EF2F5B">
        <w:rPr>
          <w:rFonts w:eastAsia="Times New Roman"/>
          <w:snapToGrid/>
          <w:color w:val="000000" w:themeColor="text1"/>
          <w:spacing w:val="0"/>
          <w:kern w:val="0"/>
          <w:szCs w:val="22"/>
          <w:lang w:val="en-GB" w:eastAsia="en-GB" w:bidi="ar-SA"/>
          <w14:ligatures w14:val="none"/>
        </w:rPr>
        <w:instrText xml:space="preserve"> REF _Ref145453124 \h </w:instrText>
      </w:r>
      <w:r w:rsidR="00CD3499" w:rsidRPr="00EF2F5B">
        <w:rPr>
          <w:rFonts w:eastAsia="Times New Roman"/>
          <w:snapToGrid/>
          <w:color w:val="000000" w:themeColor="text1"/>
          <w:spacing w:val="0"/>
          <w:kern w:val="0"/>
          <w:szCs w:val="22"/>
          <w:lang w:val="en-GB" w:eastAsia="en-GB" w:bidi="ar-SA"/>
          <w14:ligatures w14:val="none"/>
        </w:rPr>
        <w:instrText xml:space="preserve"> \* MERGEFORMAT </w:instrText>
      </w:r>
      <w:r w:rsidR="00F04628" w:rsidRPr="00EF2F5B">
        <w:rPr>
          <w:rFonts w:eastAsia="Times New Roman"/>
          <w:snapToGrid/>
          <w:color w:val="000000" w:themeColor="text1"/>
          <w:spacing w:val="0"/>
          <w:kern w:val="0"/>
          <w:szCs w:val="22"/>
          <w:lang w:val="en-GB" w:eastAsia="en-GB" w:bidi="ar-SA"/>
          <w14:ligatures w14:val="none"/>
        </w:rPr>
      </w:r>
      <w:r w:rsidR="00F04628" w:rsidRPr="00EF2F5B">
        <w:rPr>
          <w:rFonts w:eastAsia="Times New Roman"/>
          <w:snapToGrid/>
          <w:color w:val="000000" w:themeColor="text1"/>
          <w:spacing w:val="0"/>
          <w:kern w:val="0"/>
          <w:szCs w:val="22"/>
          <w:lang w:val="en-GB" w:eastAsia="en-GB" w:bidi="ar-SA"/>
          <w14:ligatures w14:val="none"/>
        </w:rPr>
        <w:fldChar w:fldCharType="separate"/>
      </w:r>
      <w:r w:rsidR="00F04628" w:rsidRPr="00EF2F5B">
        <w:rPr>
          <w:snapToGrid/>
          <w:color w:val="000000" w:themeColor="text1"/>
          <w:spacing w:val="0"/>
          <w:kern w:val="0"/>
          <w:lang w:val="en-ZA" w:bidi="ar-SA"/>
          <w14:ligatures w14:val="none"/>
        </w:rPr>
        <w:t xml:space="preserve">Table </w:t>
      </w:r>
      <w:r w:rsidR="00BE7AD1" w:rsidRPr="00EF2F5B">
        <w:rPr>
          <w:snapToGrid/>
          <w:color w:val="000000" w:themeColor="text1"/>
          <w:spacing w:val="0"/>
          <w:kern w:val="0"/>
          <w:lang w:val="en-ZA" w:bidi="ar-SA"/>
          <w14:ligatures w14:val="none"/>
        </w:rPr>
        <w:t>1</w:t>
      </w:r>
      <w:r w:rsidR="00B03BC5" w:rsidRPr="00EF2F5B">
        <w:rPr>
          <w:snapToGrid/>
          <w:color w:val="000000" w:themeColor="text1"/>
          <w:spacing w:val="0"/>
          <w:kern w:val="0"/>
          <w:lang w:val="en-ZA" w:bidi="ar-SA"/>
          <w14:ligatures w14:val="none"/>
        </w:rPr>
        <w:t>9</w:t>
      </w:r>
      <w:r w:rsidR="00F04628" w:rsidRPr="00EF2F5B">
        <w:rPr>
          <w:rFonts w:eastAsia="Times New Roman"/>
          <w:snapToGrid/>
          <w:color w:val="000000" w:themeColor="text1"/>
          <w:spacing w:val="0"/>
          <w:kern w:val="0"/>
          <w:szCs w:val="22"/>
          <w:lang w:val="en-GB" w:eastAsia="en-GB" w:bidi="ar-SA"/>
          <w14:ligatures w14:val="none"/>
        </w:rPr>
        <w:fldChar w:fldCharType="end"/>
      </w:r>
      <w:r w:rsidR="00BE7AD1" w:rsidRPr="00EF2F5B">
        <w:rPr>
          <w:rFonts w:eastAsia="Times New Roman"/>
          <w:snapToGrid/>
          <w:color w:val="000000" w:themeColor="text1"/>
          <w:spacing w:val="0"/>
          <w:kern w:val="0"/>
          <w:szCs w:val="22"/>
          <w:lang w:val="en-GB" w:eastAsia="en-GB" w:bidi="ar-SA"/>
          <w14:ligatures w14:val="none"/>
        </w:rPr>
        <w:t>.</w:t>
      </w:r>
      <w:r w:rsidR="00F04628" w:rsidRPr="00EF2F5B">
        <w:rPr>
          <w:rFonts w:eastAsia="Times New Roman"/>
          <w:snapToGrid/>
          <w:color w:val="000000" w:themeColor="text1"/>
          <w:spacing w:val="0"/>
          <w:kern w:val="0"/>
          <w:szCs w:val="22"/>
          <w:lang w:val="en-GB" w:eastAsia="en-GB" w:bidi="ar-SA"/>
          <w14:ligatures w14:val="none"/>
        </w:rPr>
        <w:t xml:space="preserve"> </w:t>
      </w:r>
    </w:p>
    <w:p w14:paraId="07A1C928" w14:textId="77777777" w:rsidR="00BE7AD1" w:rsidRPr="00EF2F5B" w:rsidRDefault="00BE7AD1" w:rsidP="00F04628">
      <w:pPr>
        <w:spacing w:after="0" w:line="240" w:lineRule="auto"/>
        <w:ind w:right="15" w:hanging="10"/>
        <w:jc w:val="both"/>
        <w:rPr>
          <w:rFonts w:eastAsia="Times New Roman"/>
          <w:snapToGrid/>
          <w:color w:val="000000" w:themeColor="text1"/>
          <w:spacing w:val="0"/>
          <w:kern w:val="0"/>
          <w:szCs w:val="22"/>
          <w:lang w:val="en-GB" w:eastAsia="en-GB" w:bidi="ar-SA"/>
          <w14:ligatures w14:val="none"/>
        </w:rPr>
      </w:pPr>
    </w:p>
    <w:p w14:paraId="0F6229CB" w14:textId="63A252FC" w:rsidR="00F04628" w:rsidRPr="00EF2F5B" w:rsidRDefault="00F04628" w:rsidP="00F04628">
      <w:pPr>
        <w:spacing w:after="0" w:line="240" w:lineRule="auto"/>
        <w:jc w:val="center"/>
        <w:rPr>
          <w:rFonts w:ascii="Times New Roman Bold" w:hAnsi="Times New Roman Bold"/>
          <w:snapToGrid/>
          <w:color w:val="000000" w:themeColor="text1"/>
          <w:spacing w:val="0"/>
          <w:kern w:val="0"/>
          <w:sz w:val="20"/>
          <w:szCs w:val="20"/>
          <w:lang w:eastAsia="en-CA" w:bidi="ar-SA"/>
          <w14:ligatures w14:val="none"/>
        </w:rPr>
      </w:pPr>
      <w:bookmarkStart w:id="61" w:name="_Ref145453124"/>
      <w:bookmarkStart w:id="62" w:name="_Toc205658534"/>
      <w:bookmarkStart w:id="63" w:name="_Hlk137413699"/>
      <w:r w:rsidRPr="00EF2F5B">
        <w:rPr>
          <w:rFonts w:ascii="Times New Roman Bold" w:hAnsi="Times New Roman Bold"/>
          <w:snapToGrid/>
          <w:color w:val="000000" w:themeColor="text1"/>
          <w:spacing w:val="0"/>
          <w:kern w:val="0"/>
          <w:sz w:val="20"/>
          <w:szCs w:val="20"/>
          <w:lang w:val="en-CA" w:eastAsia="en-CA" w:bidi="ar-SA"/>
          <w14:ligatures w14:val="none"/>
        </w:rPr>
        <w:t xml:space="preserve">Table </w:t>
      </w:r>
      <w:r w:rsidR="00BE7AD1" w:rsidRPr="00EF2F5B">
        <w:rPr>
          <w:rFonts w:ascii="Times New Roman Bold" w:hAnsi="Times New Roman Bold"/>
          <w:snapToGrid/>
          <w:color w:val="000000" w:themeColor="text1"/>
          <w:spacing w:val="0"/>
          <w:kern w:val="0"/>
          <w:sz w:val="20"/>
          <w:szCs w:val="20"/>
          <w:lang w:val="en-CA" w:eastAsia="en-CA" w:bidi="ar-SA"/>
          <w14:ligatures w14:val="none"/>
        </w:rPr>
        <w:t>1</w:t>
      </w:r>
      <w:r w:rsidR="00B03BC5" w:rsidRPr="00EF2F5B">
        <w:rPr>
          <w:rFonts w:ascii="Times New Roman Bold" w:hAnsi="Times New Roman Bold"/>
          <w:snapToGrid/>
          <w:color w:val="000000" w:themeColor="text1"/>
          <w:spacing w:val="0"/>
          <w:kern w:val="0"/>
          <w:sz w:val="20"/>
          <w:szCs w:val="20"/>
          <w:lang w:val="en-CA" w:eastAsia="en-CA" w:bidi="ar-SA"/>
          <w14:ligatures w14:val="none"/>
        </w:rPr>
        <w:t>9</w:t>
      </w:r>
      <w:bookmarkEnd w:id="61"/>
      <w:r w:rsidR="00BE7AD1" w:rsidRPr="00EF2F5B">
        <w:rPr>
          <w:rFonts w:ascii="Times New Roman Bold" w:hAnsi="Times New Roman Bold"/>
          <w:snapToGrid/>
          <w:color w:val="000000" w:themeColor="text1"/>
          <w:spacing w:val="0"/>
          <w:kern w:val="0"/>
          <w:sz w:val="20"/>
          <w:szCs w:val="20"/>
          <w:lang w:val="en-CA" w:eastAsia="en-CA" w:bidi="ar-SA"/>
          <w14:ligatures w14:val="none"/>
        </w:rPr>
        <w:t>:</w:t>
      </w:r>
      <w:r w:rsidRPr="00EF2F5B">
        <w:rPr>
          <w:rFonts w:ascii="Times New Roman Bold" w:hAnsi="Times New Roman Bold"/>
          <w:snapToGrid/>
          <w:color w:val="000000" w:themeColor="text1"/>
          <w:spacing w:val="0"/>
          <w:kern w:val="0"/>
          <w:sz w:val="20"/>
          <w:szCs w:val="20"/>
          <w:lang w:eastAsia="en-CA" w:bidi="ar-SA"/>
          <w14:ligatures w14:val="none"/>
        </w:rPr>
        <w:t xml:space="preserve"> Proposed unified outdoor OTL levels</w:t>
      </w:r>
      <w:bookmarkEnd w:id="62"/>
    </w:p>
    <w:p w14:paraId="7A58A116" w14:textId="77777777" w:rsidR="00F04628" w:rsidRPr="00EF2F5B" w:rsidRDefault="00F04628" w:rsidP="00F04628">
      <w:pPr>
        <w:spacing w:after="0" w:line="240" w:lineRule="auto"/>
        <w:jc w:val="center"/>
        <w:rPr>
          <w:rFonts w:ascii="Times New Roman Bold" w:hAnsi="Times New Roman Bold"/>
          <w:snapToGrid/>
          <w:color w:val="000000" w:themeColor="text1"/>
          <w:spacing w:val="0"/>
          <w:kern w:val="0"/>
          <w:sz w:val="20"/>
          <w:szCs w:val="20"/>
          <w:lang w:eastAsia="en-CA" w:bidi="ar-SA"/>
          <w14:ligatures w14:val="none"/>
        </w:rPr>
      </w:pPr>
    </w:p>
    <w:tbl>
      <w:tblPr>
        <w:tblW w:w="8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3261"/>
        <w:gridCol w:w="3119"/>
      </w:tblGrid>
      <w:tr w:rsidR="00EF2F5B" w:rsidRPr="00EF2F5B" w14:paraId="5B4CBB97" w14:textId="77777777" w:rsidTr="00883BCA">
        <w:trPr>
          <w:jc w:val="center"/>
        </w:trPr>
        <w:tc>
          <w:tcPr>
            <w:tcW w:w="2127" w:type="dxa"/>
            <w:vAlign w:val="center"/>
          </w:tcPr>
          <w:bookmarkEnd w:id="63"/>
          <w:p w14:paraId="43EA111C" w14:textId="77777777" w:rsidR="00F04628" w:rsidRPr="00EF2F5B" w:rsidRDefault="00F04628" w:rsidP="00883BCA">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cs/>
                <w:lang w:bidi="ar-SA"/>
                <w14:ligatures w14:val="none"/>
              </w:rPr>
            </w:pPr>
            <w:r w:rsidRPr="00EF2F5B">
              <w:rPr>
                <w:rFonts w:eastAsia="Times New Roman"/>
                <w:snapToGrid/>
                <w:color w:val="000000" w:themeColor="text1"/>
                <w:spacing w:val="0"/>
                <w:kern w:val="0"/>
                <w:sz w:val="20"/>
                <w:szCs w:val="20"/>
                <w:lang w:bidi="ar-SA"/>
                <w14:ligatures w14:val="none"/>
              </w:rPr>
              <w:t>No.</w:t>
            </w:r>
          </w:p>
        </w:tc>
        <w:tc>
          <w:tcPr>
            <w:tcW w:w="3261" w:type="dxa"/>
            <w:vAlign w:val="center"/>
          </w:tcPr>
          <w:p w14:paraId="059F3A24" w14:textId="77777777" w:rsidR="00F04628" w:rsidRPr="00EF2F5B" w:rsidRDefault="00F04628" w:rsidP="00883BCA">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OL Zones</w:t>
            </w:r>
          </w:p>
        </w:tc>
        <w:tc>
          <w:tcPr>
            <w:tcW w:w="3119" w:type="dxa"/>
            <w:vAlign w:val="center"/>
          </w:tcPr>
          <w:p w14:paraId="488617D2" w14:textId="1403096F" w:rsidR="00F04628" w:rsidRPr="00EF2F5B" w:rsidRDefault="00C04FFE" w:rsidP="00883BCA">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Unified Limit (Ev)</w:t>
            </w:r>
            <w:r w:rsidR="00F04628" w:rsidRPr="00EF2F5B">
              <w:rPr>
                <w:rFonts w:eastAsia="Times New Roman"/>
                <w:snapToGrid/>
                <w:color w:val="000000" w:themeColor="text1"/>
                <w:spacing w:val="0"/>
                <w:kern w:val="0"/>
                <w:sz w:val="20"/>
                <w:szCs w:val="20"/>
                <w:lang w:bidi="ar-SA"/>
                <w14:ligatures w14:val="none"/>
              </w:rPr>
              <w:t xml:space="preserve"> (Lum. /Sq. m.)</w:t>
            </w:r>
          </w:p>
        </w:tc>
      </w:tr>
      <w:tr w:rsidR="00EF2F5B" w:rsidRPr="00EF2F5B" w14:paraId="4F784BDB" w14:textId="77777777" w:rsidTr="00883BCA">
        <w:trPr>
          <w:trHeight w:val="284"/>
          <w:jc w:val="center"/>
        </w:trPr>
        <w:tc>
          <w:tcPr>
            <w:tcW w:w="2127" w:type="dxa"/>
            <w:vAlign w:val="center"/>
          </w:tcPr>
          <w:p w14:paraId="29C563B4" w14:textId="01114EF0" w:rsidR="00F04628" w:rsidRPr="00EF2F5B" w:rsidRDefault="0016079F" w:rsidP="00883BCA">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15</w:t>
            </w:r>
            <w:r w:rsidR="00F04628" w:rsidRPr="00EF2F5B">
              <w:rPr>
                <w:rFonts w:eastAsia="Times New Roman"/>
                <w:snapToGrid/>
                <w:color w:val="000000" w:themeColor="text1"/>
                <w:spacing w:val="0"/>
                <w:kern w:val="0"/>
                <w:sz w:val="20"/>
                <w:szCs w:val="20"/>
                <w:lang w:bidi="ar-SA"/>
                <w14:ligatures w14:val="none"/>
              </w:rPr>
              <w:t>a</w:t>
            </w:r>
          </w:p>
        </w:tc>
        <w:tc>
          <w:tcPr>
            <w:tcW w:w="3261" w:type="dxa"/>
            <w:vAlign w:val="center"/>
          </w:tcPr>
          <w:p w14:paraId="148EADAF" w14:textId="77777777" w:rsidR="00F04628" w:rsidRPr="00EF2F5B" w:rsidRDefault="00F04628" w:rsidP="00883BCA">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LZ1</w:t>
            </w:r>
          </w:p>
        </w:tc>
        <w:tc>
          <w:tcPr>
            <w:tcW w:w="3119" w:type="dxa"/>
            <w:vAlign w:val="center"/>
          </w:tcPr>
          <w:p w14:paraId="40A9DC61" w14:textId="77777777" w:rsidR="00F04628" w:rsidRPr="00EF2F5B" w:rsidRDefault="00F04628" w:rsidP="00883BCA">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1.0 lux</w:t>
            </w:r>
          </w:p>
        </w:tc>
      </w:tr>
      <w:tr w:rsidR="00EF2F5B" w:rsidRPr="00EF2F5B" w14:paraId="18D9BD3D" w14:textId="77777777" w:rsidTr="00883BCA">
        <w:trPr>
          <w:trHeight w:val="284"/>
          <w:jc w:val="center"/>
        </w:trPr>
        <w:tc>
          <w:tcPr>
            <w:tcW w:w="2127" w:type="dxa"/>
            <w:vAlign w:val="center"/>
          </w:tcPr>
          <w:p w14:paraId="5502E97F" w14:textId="6F824BC9" w:rsidR="00F04628" w:rsidRPr="00EF2F5B" w:rsidRDefault="0016079F" w:rsidP="00883BCA">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15</w:t>
            </w:r>
            <w:r w:rsidR="00F04628" w:rsidRPr="00EF2F5B">
              <w:rPr>
                <w:rFonts w:eastAsia="Times New Roman"/>
                <w:snapToGrid/>
                <w:color w:val="000000" w:themeColor="text1"/>
                <w:spacing w:val="0"/>
                <w:kern w:val="0"/>
                <w:sz w:val="20"/>
                <w:szCs w:val="20"/>
                <w:lang w:bidi="ar-SA"/>
                <w14:ligatures w14:val="none"/>
              </w:rPr>
              <w:t>b</w:t>
            </w:r>
          </w:p>
        </w:tc>
        <w:tc>
          <w:tcPr>
            <w:tcW w:w="3261" w:type="dxa"/>
            <w:vAlign w:val="center"/>
          </w:tcPr>
          <w:p w14:paraId="6BC49E47" w14:textId="77777777" w:rsidR="00F04628" w:rsidRPr="00EF2F5B" w:rsidRDefault="00F04628" w:rsidP="00883BCA">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LZ2</w:t>
            </w:r>
          </w:p>
        </w:tc>
        <w:tc>
          <w:tcPr>
            <w:tcW w:w="3119" w:type="dxa"/>
            <w:vAlign w:val="center"/>
          </w:tcPr>
          <w:p w14:paraId="70F8EE45" w14:textId="77777777" w:rsidR="00F04628" w:rsidRPr="00EF2F5B" w:rsidRDefault="00F04628" w:rsidP="00883BCA">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3.0 lux</w:t>
            </w:r>
          </w:p>
        </w:tc>
      </w:tr>
      <w:tr w:rsidR="00EF2F5B" w:rsidRPr="00EF2F5B" w14:paraId="47B3EE58" w14:textId="77777777" w:rsidTr="00883BCA">
        <w:trPr>
          <w:trHeight w:val="284"/>
          <w:jc w:val="center"/>
        </w:trPr>
        <w:tc>
          <w:tcPr>
            <w:tcW w:w="2127" w:type="dxa"/>
            <w:vAlign w:val="center"/>
          </w:tcPr>
          <w:p w14:paraId="743D7D7C" w14:textId="4439B4EF" w:rsidR="00F04628" w:rsidRPr="00EF2F5B" w:rsidRDefault="0016079F" w:rsidP="00883BCA">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15</w:t>
            </w:r>
            <w:r w:rsidR="00F04628" w:rsidRPr="00EF2F5B">
              <w:rPr>
                <w:rFonts w:eastAsia="Times New Roman"/>
                <w:snapToGrid/>
                <w:color w:val="000000" w:themeColor="text1"/>
                <w:spacing w:val="0"/>
                <w:kern w:val="0"/>
                <w:sz w:val="20"/>
                <w:szCs w:val="20"/>
                <w:lang w:bidi="ar-SA"/>
                <w14:ligatures w14:val="none"/>
              </w:rPr>
              <w:t>c</w:t>
            </w:r>
          </w:p>
        </w:tc>
        <w:tc>
          <w:tcPr>
            <w:tcW w:w="3261" w:type="dxa"/>
            <w:vAlign w:val="center"/>
          </w:tcPr>
          <w:p w14:paraId="76040451" w14:textId="77777777" w:rsidR="00F04628" w:rsidRPr="00EF2F5B" w:rsidRDefault="00F04628" w:rsidP="00883BCA">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LZ3</w:t>
            </w:r>
          </w:p>
        </w:tc>
        <w:tc>
          <w:tcPr>
            <w:tcW w:w="3119" w:type="dxa"/>
            <w:vAlign w:val="center"/>
          </w:tcPr>
          <w:p w14:paraId="13268473" w14:textId="77777777" w:rsidR="00F04628" w:rsidRPr="00EF2F5B" w:rsidRDefault="00F04628" w:rsidP="00883BCA">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8.0 lux</w:t>
            </w:r>
          </w:p>
        </w:tc>
      </w:tr>
      <w:tr w:rsidR="00CD3499" w:rsidRPr="00EF2F5B" w14:paraId="003C8061" w14:textId="77777777" w:rsidTr="00883BCA">
        <w:trPr>
          <w:trHeight w:val="284"/>
          <w:jc w:val="center"/>
        </w:trPr>
        <w:tc>
          <w:tcPr>
            <w:tcW w:w="2127" w:type="dxa"/>
            <w:vAlign w:val="center"/>
          </w:tcPr>
          <w:p w14:paraId="5CCB7325" w14:textId="02052892" w:rsidR="00F04628" w:rsidRPr="00EF2F5B" w:rsidRDefault="0016079F" w:rsidP="00883BCA">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15</w:t>
            </w:r>
            <w:r w:rsidR="00F04628" w:rsidRPr="00EF2F5B">
              <w:rPr>
                <w:rFonts w:eastAsia="Times New Roman"/>
                <w:snapToGrid/>
                <w:color w:val="000000" w:themeColor="text1"/>
                <w:spacing w:val="0"/>
                <w:kern w:val="0"/>
                <w:sz w:val="20"/>
                <w:szCs w:val="20"/>
                <w:lang w:bidi="ar-SA"/>
                <w14:ligatures w14:val="none"/>
              </w:rPr>
              <w:t>d</w:t>
            </w:r>
          </w:p>
        </w:tc>
        <w:tc>
          <w:tcPr>
            <w:tcW w:w="3261" w:type="dxa"/>
            <w:vAlign w:val="center"/>
          </w:tcPr>
          <w:p w14:paraId="040D2FBB" w14:textId="77777777" w:rsidR="00F04628" w:rsidRPr="00EF2F5B" w:rsidRDefault="00F04628" w:rsidP="00883BCA">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LZ4</w:t>
            </w:r>
          </w:p>
        </w:tc>
        <w:tc>
          <w:tcPr>
            <w:tcW w:w="3119" w:type="dxa"/>
            <w:vAlign w:val="center"/>
          </w:tcPr>
          <w:p w14:paraId="08ECD1E2" w14:textId="77777777" w:rsidR="00F04628" w:rsidRPr="00EF2F5B" w:rsidRDefault="00F04628" w:rsidP="00883BCA">
            <w:pPr>
              <w:overflowPunct w:val="0"/>
              <w:autoSpaceDE w:val="0"/>
              <w:autoSpaceDN w:val="0"/>
              <w:adjustRightInd w:val="0"/>
              <w:spacing w:after="0" w:line="240" w:lineRule="auto"/>
              <w:jc w:val="center"/>
              <w:textAlignment w:val="baseline"/>
              <w:rPr>
                <w:rFonts w:eastAsia="Times New Roman"/>
                <w:snapToGrid/>
                <w:color w:val="000000" w:themeColor="text1"/>
                <w:spacing w:val="0"/>
                <w:kern w:val="0"/>
                <w:sz w:val="20"/>
                <w:szCs w:val="20"/>
                <w:lang w:bidi="ar-SA"/>
                <w14:ligatures w14:val="none"/>
              </w:rPr>
            </w:pPr>
            <w:r w:rsidRPr="00EF2F5B">
              <w:rPr>
                <w:rFonts w:eastAsia="Times New Roman"/>
                <w:snapToGrid/>
                <w:color w:val="000000" w:themeColor="text1"/>
                <w:spacing w:val="0"/>
                <w:kern w:val="0"/>
                <w:sz w:val="20"/>
                <w:szCs w:val="20"/>
                <w:lang w:bidi="ar-SA"/>
                <w14:ligatures w14:val="none"/>
              </w:rPr>
              <w:t>15.0 lux</w:t>
            </w:r>
          </w:p>
        </w:tc>
      </w:tr>
    </w:tbl>
    <w:p w14:paraId="2C15C256" w14:textId="77777777" w:rsidR="00F04628" w:rsidRPr="00EF2F5B" w:rsidRDefault="00F04628" w:rsidP="00F04628">
      <w:pPr>
        <w:spacing w:after="0" w:line="240" w:lineRule="auto"/>
        <w:ind w:right="17" w:hanging="11"/>
        <w:jc w:val="both"/>
        <w:rPr>
          <w:rFonts w:eastAsia="Times New Roman"/>
          <w:snapToGrid/>
          <w:color w:val="000000" w:themeColor="text1"/>
          <w:spacing w:val="0"/>
          <w:kern w:val="0"/>
          <w:szCs w:val="22"/>
          <w:lang w:val="en-GB" w:eastAsia="en-GB" w:bidi="ar-SA"/>
          <w14:ligatures w14:val="none"/>
        </w:rPr>
      </w:pPr>
    </w:p>
    <w:p w14:paraId="59CD2074" w14:textId="66FF4D70" w:rsidR="00F04628" w:rsidRPr="00EF2F5B" w:rsidRDefault="00E13CF7" w:rsidP="00F04628">
      <w:pPr>
        <w:spacing w:after="0" w:line="240" w:lineRule="auto"/>
        <w:ind w:right="15" w:hanging="10"/>
        <w:jc w:val="both"/>
        <w:rPr>
          <w:rFonts w:eastAsia="Times New Roman"/>
          <w:snapToGrid/>
          <w:color w:val="000000" w:themeColor="text1"/>
          <w:spacing w:val="0"/>
          <w:kern w:val="0"/>
          <w:szCs w:val="22"/>
          <w:lang w:val="en-GB" w:eastAsia="en-GB" w:bidi="ar-SA"/>
          <w14:ligatures w14:val="none"/>
        </w:rPr>
      </w:pPr>
      <w:r w:rsidRPr="00EF2F5B">
        <w:rPr>
          <w:rFonts w:eastAsia="Times New Roman"/>
          <w:snapToGrid/>
          <w:color w:val="000000" w:themeColor="text1"/>
          <w:spacing w:val="0"/>
          <w:kern w:val="0"/>
          <w:szCs w:val="22"/>
          <w:lang w:val="en-GB" w:eastAsia="en-GB" w:bidi="ar-SA"/>
          <w14:ligatures w14:val="none"/>
        </w:rPr>
        <w:t xml:space="preserve">Figure 5 </w:t>
      </w:r>
      <w:r w:rsidR="00F04628" w:rsidRPr="00EF2F5B">
        <w:rPr>
          <w:rFonts w:eastAsia="Times New Roman"/>
          <w:snapToGrid/>
          <w:color w:val="000000" w:themeColor="text1"/>
          <w:spacing w:val="0"/>
          <w:kern w:val="0"/>
          <w:szCs w:val="22"/>
          <w:lang w:val="en-GB" w:eastAsia="en-GB" w:bidi="ar-SA"/>
          <w14:ligatures w14:val="none"/>
        </w:rPr>
        <w:t>below shows</w:t>
      </w:r>
      <w:r w:rsidR="00F04628" w:rsidRPr="00EF2F5B">
        <w:rPr>
          <w:snapToGrid/>
          <w:color w:val="000000" w:themeColor="text1"/>
          <w:spacing w:val="0"/>
          <w:kern w:val="0"/>
          <w:lang w:val="en-ZA" w:bidi="ar-SA"/>
          <w14:ligatures w14:val="none"/>
        </w:rPr>
        <w:t xml:space="preserve"> </w:t>
      </w:r>
      <w:r w:rsidR="00F04628" w:rsidRPr="00EF2F5B">
        <w:rPr>
          <w:rFonts w:eastAsia="Times New Roman"/>
          <w:snapToGrid/>
          <w:color w:val="000000" w:themeColor="text1"/>
          <w:spacing w:val="0"/>
          <w:kern w:val="0"/>
          <w:szCs w:val="22"/>
          <w:lang w:val="en-GB" w:eastAsia="en-GB" w:bidi="ar-SA"/>
          <w14:ligatures w14:val="none"/>
        </w:rPr>
        <w:t>A graphical representation of OTL levels versus OL zones</w:t>
      </w:r>
      <w:r w:rsidR="00E93E05" w:rsidRPr="00EF2F5B">
        <w:rPr>
          <w:rFonts w:eastAsia="Times New Roman"/>
          <w:snapToGrid/>
          <w:color w:val="000000" w:themeColor="text1"/>
          <w:spacing w:val="0"/>
          <w:kern w:val="0"/>
          <w:szCs w:val="22"/>
          <w:lang w:val="en-GB" w:eastAsia="en-GB" w:bidi="ar-SA"/>
          <w14:ligatures w14:val="none"/>
        </w:rPr>
        <w:t xml:space="preserve"> after harmonisation</w:t>
      </w:r>
      <w:r w:rsidR="00F04628" w:rsidRPr="00EF2F5B">
        <w:rPr>
          <w:rFonts w:eastAsia="Times New Roman"/>
          <w:snapToGrid/>
          <w:color w:val="000000" w:themeColor="text1"/>
          <w:spacing w:val="0"/>
          <w:kern w:val="0"/>
          <w:szCs w:val="22"/>
          <w:lang w:val="en-GB" w:eastAsia="en-GB" w:bidi="ar-SA"/>
          <w14:ligatures w14:val="none"/>
        </w:rPr>
        <w:t>.</w:t>
      </w:r>
    </w:p>
    <w:p w14:paraId="089A88F1" w14:textId="77777777" w:rsidR="00BE7AD1" w:rsidRPr="00EF2F5B" w:rsidRDefault="00BE7AD1" w:rsidP="00F04628">
      <w:pPr>
        <w:spacing w:after="0" w:line="240" w:lineRule="auto"/>
        <w:ind w:right="15" w:hanging="10"/>
        <w:jc w:val="both"/>
        <w:rPr>
          <w:rFonts w:eastAsia="Times New Roman"/>
          <w:b/>
          <w:bCs/>
          <w:snapToGrid/>
          <w:color w:val="000000" w:themeColor="text1"/>
          <w:spacing w:val="0"/>
          <w:kern w:val="0"/>
          <w:szCs w:val="22"/>
          <w:lang w:val="en-GB" w:eastAsia="en-GB" w:bidi="ar-SA"/>
          <w14:ligatures w14:val="none"/>
        </w:rPr>
      </w:pPr>
    </w:p>
    <w:p w14:paraId="2D62E7BF" w14:textId="2D1FC376" w:rsidR="00F04628" w:rsidRPr="00EF2F5B" w:rsidRDefault="00F04628" w:rsidP="00BE7AD1">
      <w:pPr>
        <w:spacing w:after="0" w:line="240" w:lineRule="auto"/>
        <w:jc w:val="center"/>
        <w:rPr>
          <w:b/>
          <w:bCs/>
          <w:color w:val="000000" w:themeColor="text1"/>
          <w:spacing w:val="0"/>
          <w:sz w:val="20"/>
          <w:szCs w:val="20"/>
        </w:rPr>
      </w:pPr>
      <w:bookmarkStart w:id="64" w:name="_Ref146486377"/>
      <w:bookmarkStart w:id="65" w:name="_Toc205658479"/>
      <w:r w:rsidRPr="00EF2F5B">
        <w:rPr>
          <w:b/>
          <w:bCs/>
          <w:color w:val="000000" w:themeColor="text1"/>
          <w:spacing w:val="0"/>
          <w:sz w:val="20"/>
          <w:szCs w:val="20"/>
        </w:rPr>
        <w:t xml:space="preserve">Figure </w:t>
      </w:r>
      <w:bookmarkEnd w:id="64"/>
      <w:r w:rsidR="00E13CF7" w:rsidRPr="00EF2F5B">
        <w:rPr>
          <w:b/>
          <w:bCs/>
          <w:color w:val="000000" w:themeColor="text1"/>
          <w:spacing w:val="0"/>
          <w:sz w:val="20"/>
          <w:szCs w:val="20"/>
        </w:rPr>
        <w:t>5</w:t>
      </w:r>
      <w:r w:rsidR="00BE7AD1" w:rsidRPr="00EF2F5B">
        <w:rPr>
          <w:b/>
          <w:bCs/>
          <w:color w:val="000000" w:themeColor="text1"/>
          <w:spacing w:val="0"/>
          <w:sz w:val="20"/>
          <w:szCs w:val="20"/>
        </w:rPr>
        <w:t>:</w:t>
      </w:r>
      <w:r w:rsidRPr="00EF2F5B">
        <w:rPr>
          <w:b/>
          <w:bCs/>
          <w:color w:val="000000" w:themeColor="text1"/>
          <w:spacing w:val="0"/>
          <w:sz w:val="20"/>
          <w:szCs w:val="20"/>
        </w:rPr>
        <w:t xml:space="preserve"> A graphical representation of OTL levels versus OL zones</w:t>
      </w:r>
      <w:bookmarkEnd w:id="65"/>
      <w:r w:rsidR="002B7DE3" w:rsidRPr="00EF2F5B">
        <w:rPr>
          <w:b/>
          <w:bCs/>
          <w:color w:val="000000" w:themeColor="text1"/>
          <w:spacing w:val="0"/>
          <w:sz w:val="20"/>
          <w:szCs w:val="20"/>
        </w:rPr>
        <w:t xml:space="preserve"> after harmonisation</w:t>
      </w:r>
    </w:p>
    <w:p w14:paraId="4661498D" w14:textId="77777777" w:rsidR="00F04628" w:rsidRPr="00EF2F5B" w:rsidRDefault="00F04628" w:rsidP="00BE7AD1">
      <w:pPr>
        <w:spacing w:after="0" w:line="240" w:lineRule="auto"/>
        <w:jc w:val="center"/>
        <w:rPr>
          <w:color w:val="000000" w:themeColor="text1"/>
          <w:spacing w:val="0"/>
          <w:sz w:val="16"/>
          <w:szCs w:val="16"/>
        </w:rPr>
      </w:pPr>
      <w:r w:rsidRPr="00EF2F5B">
        <w:rPr>
          <w:color w:val="000000" w:themeColor="text1"/>
          <w:spacing w:val="0"/>
          <w:sz w:val="16"/>
          <w:szCs w:val="16"/>
        </w:rPr>
        <w:t>(Source: by the author)</w:t>
      </w:r>
    </w:p>
    <w:p w14:paraId="1D4F84C9" w14:textId="77777777" w:rsidR="00F04628" w:rsidRPr="00EF2F5B" w:rsidRDefault="00F04628" w:rsidP="00F04628">
      <w:pPr>
        <w:spacing w:after="0" w:line="240" w:lineRule="auto"/>
        <w:ind w:right="17" w:hanging="11"/>
        <w:jc w:val="center"/>
        <w:rPr>
          <w:rFonts w:eastAsia="Times New Roman"/>
          <w:snapToGrid/>
          <w:color w:val="000000" w:themeColor="text1"/>
          <w:spacing w:val="0"/>
          <w:kern w:val="0"/>
          <w:szCs w:val="22"/>
          <w:lang w:val="en-GB" w:eastAsia="en-GB" w:bidi="ar-SA"/>
          <w14:ligatures w14:val="none"/>
        </w:rPr>
      </w:pPr>
      <w:r w:rsidRPr="00EF2F5B">
        <w:rPr>
          <w:rFonts w:ascii="Aptos" w:eastAsia="Aptos" w:hAnsi="Aptos" w:cs="Latha"/>
          <w:noProof/>
          <w:snapToGrid/>
          <w:color w:val="000000" w:themeColor="text1"/>
          <w:spacing w:val="0"/>
          <w:lang w:val="en-IN" w:eastAsia="en-IN" w:bidi="ar-SA"/>
        </w:rPr>
        <w:drawing>
          <wp:inline distT="0" distB="0" distL="0" distR="0" wp14:anchorId="330ED38A" wp14:editId="330BD102">
            <wp:extent cx="5116058" cy="2911642"/>
            <wp:effectExtent l="0" t="0" r="8890" b="3175"/>
            <wp:docPr id="20517784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778484" name="Picture 1" descr="A screenshot of a computer&#10;&#10;AI-generated content may be incorrect."/>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5175372" cy="2945399"/>
                    </a:xfrm>
                    <a:prstGeom prst="rect">
                      <a:avLst/>
                    </a:prstGeom>
                    <a:ln>
                      <a:noFill/>
                    </a:ln>
                    <a:extLst>
                      <a:ext uri="{53640926-AAD7-44D8-BBD7-CCE9431645EC}">
                        <a14:shadowObscured xmlns:a14="http://schemas.microsoft.com/office/drawing/2010/main"/>
                      </a:ext>
                    </a:extLst>
                  </pic:spPr>
                </pic:pic>
              </a:graphicData>
            </a:graphic>
          </wp:inline>
        </w:drawing>
      </w:r>
    </w:p>
    <w:p w14:paraId="1C91E4F5" w14:textId="77777777" w:rsidR="00BE7AD1" w:rsidRPr="00EF2F5B" w:rsidRDefault="00BE7AD1" w:rsidP="00F04628">
      <w:pPr>
        <w:spacing w:after="0" w:line="240" w:lineRule="auto"/>
        <w:ind w:right="15" w:hanging="10"/>
        <w:jc w:val="both"/>
        <w:rPr>
          <w:rFonts w:eastAsia="Times New Roman"/>
          <w:snapToGrid/>
          <w:color w:val="000000" w:themeColor="text1"/>
          <w:spacing w:val="0"/>
          <w:kern w:val="0"/>
          <w:szCs w:val="22"/>
          <w:lang w:val="en-GB" w:eastAsia="en-GB" w:bidi="ar-SA"/>
          <w14:ligatures w14:val="none"/>
        </w:rPr>
      </w:pPr>
    </w:p>
    <w:p w14:paraId="243E8E8D" w14:textId="1F9A48E2" w:rsidR="009F5A54" w:rsidRPr="00EF2F5B" w:rsidRDefault="009F5A54" w:rsidP="0052164D">
      <w:pPr>
        <w:spacing w:after="0" w:line="240" w:lineRule="auto"/>
        <w:ind w:right="15" w:hanging="10"/>
        <w:jc w:val="both"/>
        <w:rPr>
          <w:rFonts w:eastAsia="Times New Roman"/>
          <w:snapToGrid/>
          <w:color w:val="000000" w:themeColor="text1"/>
          <w:spacing w:val="0"/>
          <w:kern w:val="0"/>
          <w:szCs w:val="22"/>
          <w:lang w:val="en-GB" w:eastAsia="en-GB" w:bidi="ar-SA"/>
          <w14:ligatures w14:val="none"/>
        </w:rPr>
      </w:pPr>
      <w:r w:rsidRPr="00EF2F5B">
        <w:rPr>
          <w:rFonts w:eastAsia="Times New Roman"/>
          <w:snapToGrid/>
          <w:color w:val="000000" w:themeColor="text1"/>
          <w:spacing w:val="0"/>
          <w:kern w:val="0"/>
          <w:szCs w:val="22"/>
          <w:lang w:val="en-GB" w:eastAsia="en-GB" w:bidi="ar-SA"/>
          <w14:ligatures w14:val="none"/>
        </w:rPr>
        <w:t>A minimum-threshold convergence methodology was applied to derive unified obtrusive lighting limits. For each environmental zone, the lowest maximum vertical illuminance value reported across major international standards (IES, CIE, ILP, AS/NZS, IDA, TAC) was selected. Missing values were excluded from the selection process. This approach ensures that the unified thresholds remain within all existing regulatory limits, thereby guaranteeing universal compliance and preserving the most conservative level of environmental protection. The resulting unified limits of 1, 3, 8, and 15 lux for Zones LZ1–LZ4 represent a globally harmonised and legally defensible framework.</w:t>
      </w:r>
    </w:p>
    <w:p w14:paraId="172429EB" w14:textId="77777777" w:rsidR="009F5A54" w:rsidRPr="00EF2F5B" w:rsidRDefault="009F5A54" w:rsidP="0052164D">
      <w:pPr>
        <w:spacing w:after="0" w:line="240" w:lineRule="auto"/>
        <w:ind w:right="15" w:hanging="10"/>
        <w:jc w:val="both"/>
        <w:rPr>
          <w:rFonts w:eastAsia="Times New Roman"/>
          <w:snapToGrid/>
          <w:color w:val="000000" w:themeColor="text1"/>
          <w:spacing w:val="0"/>
          <w:kern w:val="0"/>
          <w:szCs w:val="22"/>
          <w:lang w:val="en-GB" w:eastAsia="en-GB" w:bidi="ar-SA"/>
          <w14:ligatures w14:val="none"/>
        </w:rPr>
      </w:pPr>
    </w:p>
    <w:p w14:paraId="7F292010" w14:textId="0EEF8DEB" w:rsidR="002F5949" w:rsidRPr="00EF2F5B" w:rsidRDefault="00F04628" w:rsidP="0052164D">
      <w:pPr>
        <w:spacing w:after="0" w:line="240" w:lineRule="auto"/>
        <w:ind w:right="15" w:hanging="10"/>
        <w:jc w:val="both"/>
        <w:rPr>
          <w:color w:val="000000" w:themeColor="text1"/>
          <w:spacing w:val="0"/>
          <w:lang w:val="en-GB"/>
        </w:rPr>
      </w:pPr>
      <w:r w:rsidRPr="00EF2F5B">
        <w:rPr>
          <w:rFonts w:eastAsia="Times New Roman"/>
          <w:snapToGrid/>
          <w:color w:val="000000" w:themeColor="text1"/>
          <w:spacing w:val="0"/>
          <w:kern w:val="0"/>
          <w:szCs w:val="22"/>
          <w:lang w:val="en-GB" w:eastAsia="en-GB" w:bidi="ar-SA"/>
          <w14:ligatures w14:val="none"/>
        </w:rPr>
        <w:t xml:space="preserve">The local requirement is equal to or well below the international standard requirement. Therefore, establishing a global standard does not violate the local standard or requirement.  </w:t>
      </w:r>
      <w:r w:rsidR="000C31B3" w:rsidRPr="00EF2F5B">
        <w:rPr>
          <w:color w:val="000000" w:themeColor="text1"/>
          <w:spacing w:val="0"/>
          <w:lang w:val="en-GB"/>
        </w:rPr>
        <w:t xml:space="preserve">Therefore, the following section will discuss the importance of </w:t>
      </w:r>
      <w:r w:rsidR="0052164D" w:rsidRPr="00EF2F5B">
        <w:rPr>
          <w:color w:val="000000" w:themeColor="text1"/>
          <w:spacing w:val="0"/>
          <w:lang w:val="en-GB"/>
        </w:rPr>
        <w:t xml:space="preserve">a unified global standard for the OTL </w:t>
      </w:r>
      <w:r w:rsidR="000C31B3" w:rsidRPr="00EF2F5B">
        <w:rPr>
          <w:color w:val="000000" w:themeColor="text1"/>
          <w:spacing w:val="0"/>
          <w:lang w:val="en-GB"/>
        </w:rPr>
        <w:t>applications</w:t>
      </w:r>
      <w:r w:rsidR="0052164D" w:rsidRPr="00EF2F5B">
        <w:rPr>
          <w:color w:val="000000" w:themeColor="text1"/>
          <w:spacing w:val="0"/>
          <w:lang w:val="en-GB"/>
        </w:rPr>
        <w:t xml:space="preserve">. </w:t>
      </w:r>
    </w:p>
    <w:p w14:paraId="67BFEFD5" w14:textId="77777777" w:rsidR="002F5949" w:rsidRPr="00EF2F5B" w:rsidRDefault="002F5949" w:rsidP="00F0093D">
      <w:pPr>
        <w:spacing w:after="0" w:line="240" w:lineRule="auto"/>
        <w:jc w:val="both"/>
        <w:rPr>
          <w:color w:val="000000" w:themeColor="text1"/>
          <w:spacing w:val="0"/>
        </w:rPr>
      </w:pPr>
    </w:p>
    <w:p w14:paraId="1621C0F6" w14:textId="023DCA79" w:rsidR="00336F99" w:rsidRPr="00EF2F5B" w:rsidRDefault="00E2784B" w:rsidP="008936E7">
      <w:pPr>
        <w:pStyle w:val="ListParagraph"/>
        <w:numPr>
          <w:ilvl w:val="0"/>
          <w:numId w:val="19"/>
        </w:numPr>
        <w:spacing w:after="0" w:line="240" w:lineRule="auto"/>
        <w:ind w:left="284" w:hanging="284"/>
        <w:rPr>
          <w:b/>
          <w:bCs/>
          <w:color w:val="000000" w:themeColor="text1"/>
          <w:spacing w:val="0"/>
        </w:rPr>
      </w:pPr>
      <w:r w:rsidRPr="00EF2F5B">
        <w:rPr>
          <w:b/>
          <w:bCs/>
          <w:color w:val="000000" w:themeColor="text1"/>
          <w:spacing w:val="0"/>
        </w:rPr>
        <w:t>DISCUSSION</w:t>
      </w:r>
      <w:r w:rsidR="00336F99" w:rsidRPr="00EF2F5B">
        <w:rPr>
          <w:b/>
          <w:bCs/>
          <w:color w:val="000000" w:themeColor="text1"/>
          <w:spacing w:val="0"/>
        </w:rPr>
        <w:t xml:space="preserve">: </w:t>
      </w:r>
    </w:p>
    <w:p w14:paraId="4F376E70" w14:textId="77777777" w:rsidR="00AD0487" w:rsidRPr="00EF2F5B" w:rsidRDefault="00AD0487" w:rsidP="00AD0487">
      <w:pPr>
        <w:spacing w:before="100" w:beforeAutospacing="1" w:after="100" w:afterAutospacing="1" w:line="240" w:lineRule="auto"/>
        <w:outlineLvl w:val="2"/>
        <w:rPr>
          <w:rFonts w:eastAsia="Times New Roman"/>
          <w:b/>
          <w:bCs/>
          <w:snapToGrid/>
          <w:color w:val="000000" w:themeColor="text1"/>
          <w:spacing w:val="0"/>
          <w:kern w:val="0"/>
          <w:sz w:val="27"/>
          <w:szCs w:val="27"/>
          <w14:ligatures w14:val="none"/>
        </w:rPr>
      </w:pPr>
      <w:r w:rsidRPr="00EF2F5B">
        <w:rPr>
          <w:rFonts w:eastAsia="Times New Roman"/>
          <w:b/>
          <w:bCs/>
          <w:snapToGrid/>
          <w:color w:val="000000" w:themeColor="text1"/>
          <w:spacing w:val="0"/>
          <w:kern w:val="0"/>
          <w:sz w:val="27"/>
          <w:szCs w:val="27"/>
          <w14:ligatures w14:val="none"/>
        </w:rPr>
        <w:t>5.1 Theoretical Contribution</w:t>
      </w:r>
    </w:p>
    <w:p w14:paraId="1C949E39" w14:textId="77777777" w:rsidR="00AD0487" w:rsidRPr="00EF2F5B" w:rsidRDefault="00AD0487" w:rsidP="00AD0487">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This study introduces:</w:t>
      </w:r>
    </w:p>
    <w:p w14:paraId="0C86BAE4" w14:textId="77777777" w:rsidR="00AD0487" w:rsidRPr="00EF2F5B" w:rsidRDefault="00AD0487" w:rsidP="00AD0487">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A conservative convergence framework for environmental standard harmonisation</w:t>
      </w:r>
    </w:p>
    <w:p w14:paraId="27BC6990" w14:textId="77777777" w:rsidR="00AD0487" w:rsidRPr="00EF2F5B" w:rsidRDefault="00AD0487" w:rsidP="00AD0487">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Distinct from:</w:t>
      </w:r>
    </w:p>
    <w:p w14:paraId="022A7DA7" w14:textId="77777777" w:rsidR="00AD0487" w:rsidRPr="00EF2F5B" w:rsidRDefault="00AD0487" w:rsidP="00AD0487">
      <w:pPr>
        <w:numPr>
          <w:ilvl w:val="0"/>
          <w:numId w:val="30"/>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Averaging → weakens protection </w:t>
      </w:r>
    </w:p>
    <w:p w14:paraId="332315F5" w14:textId="77777777" w:rsidR="00AD0487" w:rsidRPr="00EF2F5B" w:rsidRDefault="00AD0487" w:rsidP="00AD0487">
      <w:pPr>
        <w:numPr>
          <w:ilvl w:val="0"/>
          <w:numId w:val="30"/>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Median → ignores extremes </w:t>
      </w:r>
    </w:p>
    <w:p w14:paraId="640E2AE0" w14:textId="77777777" w:rsidR="00AD0487" w:rsidRPr="00EF2F5B" w:rsidRDefault="00AD0487" w:rsidP="00AD0487">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Minimum threshold ensures:</w:t>
      </w:r>
    </w:p>
    <w:p w14:paraId="0E8FC02D" w14:textId="77777777" w:rsidR="00AD0487" w:rsidRPr="00EF2F5B" w:rsidRDefault="00AD0487" w:rsidP="00AD0487">
      <w:pPr>
        <w:numPr>
          <w:ilvl w:val="0"/>
          <w:numId w:val="31"/>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Risk minimisation </w:t>
      </w:r>
    </w:p>
    <w:p w14:paraId="3BCC27EF" w14:textId="77777777" w:rsidR="00AD0487" w:rsidRPr="00EF2F5B" w:rsidRDefault="00AD0487" w:rsidP="00AD0487">
      <w:pPr>
        <w:numPr>
          <w:ilvl w:val="0"/>
          <w:numId w:val="31"/>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Legal defensibility </w:t>
      </w:r>
    </w:p>
    <w:p w14:paraId="2224CE66" w14:textId="77777777" w:rsidR="00AD0487" w:rsidRPr="00EF2F5B" w:rsidRDefault="00AD0487" w:rsidP="00AD0487">
      <w:pPr>
        <w:numPr>
          <w:ilvl w:val="0"/>
          <w:numId w:val="31"/>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Policy interoperability </w:t>
      </w:r>
    </w:p>
    <w:p w14:paraId="78772798" w14:textId="38D208BE" w:rsidR="00AD0487" w:rsidRPr="00EF2F5B" w:rsidRDefault="00AD0487" w:rsidP="00AD0487">
      <w:pPr>
        <w:spacing w:before="100" w:beforeAutospacing="1" w:after="100" w:afterAutospacing="1" w:line="240" w:lineRule="auto"/>
        <w:outlineLvl w:val="2"/>
        <w:rPr>
          <w:rFonts w:eastAsia="Times New Roman"/>
          <w:b/>
          <w:bCs/>
          <w:snapToGrid/>
          <w:color w:val="000000" w:themeColor="text1"/>
          <w:spacing w:val="0"/>
          <w:kern w:val="0"/>
          <w:sz w:val="27"/>
          <w:szCs w:val="27"/>
          <w14:ligatures w14:val="none"/>
        </w:rPr>
      </w:pPr>
      <w:r w:rsidRPr="00EF2F5B">
        <w:rPr>
          <w:rFonts w:eastAsia="Times New Roman"/>
          <w:b/>
          <w:bCs/>
          <w:snapToGrid/>
          <w:color w:val="000000" w:themeColor="text1"/>
          <w:spacing w:val="0"/>
          <w:kern w:val="0"/>
          <w:sz w:val="27"/>
          <w:szCs w:val="27"/>
          <w14:ligatures w14:val="none"/>
        </w:rPr>
        <w:t xml:space="preserve">5.2 Scientific Limitation </w:t>
      </w:r>
    </w:p>
    <w:p w14:paraId="0E36DF2B" w14:textId="77777777" w:rsidR="00AD0487" w:rsidRPr="00EF2F5B" w:rsidRDefault="00AD0487" w:rsidP="00AD0487">
      <w:p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The study acknowledges:</w:t>
      </w:r>
    </w:p>
    <w:p w14:paraId="6A1C2C4A" w14:textId="77777777" w:rsidR="00AD0487" w:rsidRPr="00EF2F5B" w:rsidRDefault="00AD0487" w:rsidP="00AD0487">
      <w:pPr>
        <w:numPr>
          <w:ilvl w:val="0"/>
          <w:numId w:val="32"/>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Vertical illuminance </w:t>
      </w:r>
      <w:r w:rsidRPr="00EF2F5B">
        <w:rPr>
          <w:rFonts w:eastAsia="Times New Roman"/>
          <w:b/>
          <w:bCs/>
          <w:snapToGrid/>
          <w:color w:val="000000" w:themeColor="text1"/>
          <w:spacing w:val="0"/>
          <w:kern w:val="0"/>
          <w14:ligatures w14:val="none"/>
        </w:rPr>
        <w:t>does not fully represent ocular or biological exposure</w:t>
      </w:r>
      <w:r w:rsidRPr="00EF2F5B">
        <w:rPr>
          <w:rFonts w:eastAsia="Times New Roman"/>
          <w:snapToGrid/>
          <w:color w:val="000000" w:themeColor="text1"/>
          <w:spacing w:val="0"/>
          <w:kern w:val="0"/>
          <w14:ligatures w14:val="none"/>
        </w:rPr>
        <w:t xml:space="preserve"> </w:t>
      </w:r>
    </w:p>
    <w:p w14:paraId="55DC1183" w14:textId="77777777" w:rsidR="00AD0487" w:rsidRPr="00EF2F5B" w:rsidRDefault="00AD0487" w:rsidP="00AD0487">
      <w:pPr>
        <w:numPr>
          <w:ilvl w:val="0"/>
          <w:numId w:val="32"/>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Future standards should integrate: </w:t>
      </w:r>
    </w:p>
    <w:p w14:paraId="7698A760" w14:textId="77777777" w:rsidR="00AD0487" w:rsidRPr="00EF2F5B" w:rsidRDefault="00AD0487" w:rsidP="00AD0487">
      <w:pPr>
        <w:numPr>
          <w:ilvl w:val="1"/>
          <w:numId w:val="32"/>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Eye-level metrics (e.g., corneal illuminance) </w:t>
      </w:r>
    </w:p>
    <w:p w14:paraId="595A1771" w14:textId="7FB30374" w:rsidR="00AD0487" w:rsidRPr="00EF2F5B" w:rsidRDefault="00AD0487" w:rsidP="00AD0487">
      <w:pPr>
        <w:numPr>
          <w:ilvl w:val="1"/>
          <w:numId w:val="32"/>
        </w:numPr>
        <w:spacing w:before="100" w:beforeAutospacing="1" w:after="100" w:afterAutospacing="1" w:line="240" w:lineRule="auto"/>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Melanopic Weighting </w:t>
      </w:r>
    </w:p>
    <w:p w14:paraId="30241289" w14:textId="2B00E86B" w:rsidR="00336F99" w:rsidRPr="00EF2F5B" w:rsidRDefault="00AD0487" w:rsidP="00F0093D">
      <w:pPr>
        <w:spacing w:after="0" w:line="240" w:lineRule="auto"/>
        <w:rPr>
          <w:b/>
          <w:bCs/>
          <w:color w:val="000000" w:themeColor="text1"/>
          <w:spacing w:val="0"/>
        </w:rPr>
      </w:pPr>
      <w:r w:rsidRPr="00EF2F5B">
        <w:rPr>
          <w:b/>
          <w:bCs/>
          <w:color w:val="000000" w:themeColor="text1"/>
          <w:spacing w:val="0"/>
        </w:rPr>
        <w:t xml:space="preserve">5.3 </w:t>
      </w:r>
      <w:r w:rsidR="00336F99" w:rsidRPr="00EF2F5B">
        <w:rPr>
          <w:b/>
          <w:bCs/>
          <w:color w:val="000000" w:themeColor="text1"/>
          <w:spacing w:val="0"/>
        </w:rPr>
        <w:t>Rationale for a unified standard for outdoor OTL</w:t>
      </w:r>
    </w:p>
    <w:p w14:paraId="1B54B48D" w14:textId="77777777" w:rsidR="00FF14BC" w:rsidRPr="00EF2F5B" w:rsidRDefault="00FF14BC" w:rsidP="00F0093D">
      <w:pPr>
        <w:spacing w:after="0" w:line="240" w:lineRule="auto"/>
        <w:rPr>
          <w:color w:val="000000" w:themeColor="text1"/>
          <w:spacing w:val="0"/>
        </w:rPr>
      </w:pPr>
    </w:p>
    <w:p w14:paraId="05ACDA79" w14:textId="237AF9C7" w:rsidR="007B362A" w:rsidRPr="00EF2F5B" w:rsidRDefault="007B362A" w:rsidP="007B362A">
      <w:pPr>
        <w:spacing w:after="0" w:line="240" w:lineRule="auto"/>
        <w:ind w:right="17" w:hanging="11"/>
        <w:jc w:val="both"/>
        <w:rPr>
          <w:snapToGrid/>
          <w:color w:val="000000" w:themeColor="text1"/>
          <w:spacing w:val="0"/>
          <w:kern w:val="0"/>
          <w:lang w:val="en-ZA" w:bidi="ar-SA"/>
          <w14:ligatures w14:val="none"/>
        </w:rPr>
      </w:pPr>
      <w:bookmarkStart w:id="66" w:name="_Hlk196666183"/>
      <w:r w:rsidRPr="00EF2F5B">
        <w:rPr>
          <w:snapToGrid/>
          <w:color w:val="000000" w:themeColor="text1"/>
          <w:spacing w:val="0"/>
          <w:kern w:val="0"/>
          <w:lang w:val="en-ZA" w:bidi="ar-SA"/>
          <w14:ligatures w14:val="none"/>
        </w:rPr>
        <w:t>In this context, OTL is an area that is not to be illuminated.   The leading OL professional organisations (TAC, IES, CIE, ILP, AS/NZS, and IDA) reviewed and recommended limitations at the ROW for traffic corridors or resident property line (RPL) for other public OL applications.</w:t>
      </w:r>
    </w:p>
    <w:p w14:paraId="40CB62DC" w14:textId="5717E54F" w:rsidR="007B362A" w:rsidRPr="00EF2F5B" w:rsidRDefault="007B362A" w:rsidP="007B362A">
      <w:pPr>
        <w:spacing w:after="0" w:line="240" w:lineRule="auto"/>
        <w:ind w:right="17" w:hanging="11"/>
        <w:jc w:val="both"/>
        <w:rPr>
          <w:snapToGrid/>
          <w:color w:val="000000" w:themeColor="text1"/>
          <w:spacing w:val="0"/>
          <w:kern w:val="0"/>
          <w:lang w:val="en-ZA" w:bidi="ar-SA"/>
          <w14:ligatures w14:val="none"/>
        </w:rPr>
      </w:pPr>
      <w:r w:rsidRPr="00EF2F5B">
        <w:rPr>
          <w:snapToGrid/>
          <w:color w:val="000000" w:themeColor="text1"/>
          <w:spacing w:val="0"/>
          <w:kern w:val="0"/>
          <w:lang w:val="en-ZA" w:bidi="ar-SA"/>
          <w14:ligatures w14:val="none"/>
        </w:rPr>
        <w:t xml:space="preserve">Figure </w:t>
      </w:r>
      <w:r w:rsidR="00E13CF7" w:rsidRPr="00EF2F5B">
        <w:rPr>
          <w:snapToGrid/>
          <w:color w:val="000000" w:themeColor="text1"/>
          <w:spacing w:val="0"/>
          <w:kern w:val="0"/>
          <w:lang w:val="en-ZA" w:bidi="ar-SA"/>
          <w14:ligatures w14:val="none"/>
        </w:rPr>
        <w:t>6</w:t>
      </w:r>
      <w:r w:rsidRPr="00EF2F5B">
        <w:rPr>
          <w:snapToGrid/>
          <w:color w:val="000000" w:themeColor="text1"/>
          <w:spacing w:val="0"/>
          <w:kern w:val="0"/>
          <w:lang w:val="en-ZA" w:bidi="ar-SA"/>
          <w14:ligatures w14:val="none"/>
        </w:rPr>
        <w:t xml:space="preserve"> shows OLP, including useful light, obtrusive, and OTL, adopted from the “Recommended practice for lighting roadway and parking facilities” (ANSI/IES RP-8, 2025).</w:t>
      </w:r>
    </w:p>
    <w:p w14:paraId="1AFC9B99" w14:textId="0177157E" w:rsidR="007B362A" w:rsidRPr="00EF2F5B" w:rsidRDefault="007B362A" w:rsidP="007B362A">
      <w:pPr>
        <w:spacing w:before="120" w:after="0" w:line="240" w:lineRule="auto"/>
        <w:jc w:val="center"/>
        <w:rPr>
          <w:rFonts w:ascii="Times New Roman Bold" w:hAnsi="Times New Roman Bold"/>
          <w:snapToGrid/>
          <w:color w:val="000000" w:themeColor="text1"/>
          <w:spacing w:val="0"/>
          <w:kern w:val="0"/>
          <w:sz w:val="20"/>
          <w:szCs w:val="20"/>
          <w:lang w:val="en-CA" w:eastAsia="en-CA" w:bidi="ar-SA"/>
          <w14:ligatures w14:val="none"/>
        </w:rPr>
      </w:pPr>
      <w:bookmarkStart w:id="67" w:name="_Ref123330778"/>
      <w:bookmarkStart w:id="68" w:name="_Toc107167981"/>
      <w:bookmarkStart w:id="69" w:name="_Toc205658457"/>
      <w:r w:rsidRPr="00EF2F5B">
        <w:rPr>
          <w:rFonts w:ascii="Times New Roman Bold" w:hAnsi="Times New Roman Bold"/>
          <w:snapToGrid/>
          <w:color w:val="000000" w:themeColor="text1"/>
          <w:spacing w:val="0"/>
          <w:kern w:val="0"/>
          <w:sz w:val="20"/>
          <w:szCs w:val="20"/>
          <w:lang w:val="en-CA" w:eastAsia="en-CA" w:bidi="ar-SA"/>
          <w14:ligatures w14:val="none"/>
        </w:rPr>
        <w:t xml:space="preserve">Figure </w:t>
      </w:r>
      <w:r w:rsidR="00E13CF7" w:rsidRPr="00EF2F5B">
        <w:rPr>
          <w:rFonts w:ascii="Times New Roman Bold" w:hAnsi="Times New Roman Bold"/>
          <w:snapToGrid/>
          <w:color w:val="000000" w:themeColor="text1"/>
          <w:spacing w:val="0"/>
          <w:kern w:val="0"/>
          <w:sz w:val="20"/>
          <w:szCs w:val="20"/>
          <w:lang w:val="en-CA" w:eastAsia="en-CA" w:bidi="ar-SA"/>
          <w14:ligatures w14:val="none"/>
        </w:rPr>
        <w:t>6</w:t>
      </w:r>
      <w:r w:rsidR="001F27A0" w:rsidRPr="00EF2F5B">
        <w:rPr>
          <w:rFonts w:ascii="Times New Roman Bold" w:hAnsi="Times New Roman Bold"/>
          <w:snapToGrid/>
          <w:color w:val="000000" w:themeColor="text1"/>
          <w:spacing w:val="0"/>
          <w:kern w:val="0"/>
          <w:sz w:val="20"/>
          <w:szCs w:val="20"/>
          <w:lang w:val="en-CA" w:eastAsia="en-CA" w:bidi="ar-SA"/>
          <w14:ligatures w14:val="none"/>
        </w:rPr>
        <w:t>:</w:t>
      </w:r>
      <w:bookmarkEnd w:id="67"/>
      <w:r w:rsidRPr="00EF2F5B">
        <w:rPr>
          <w:rFonts w:ascii="Times New Roman Bold" w:hAnsi="Times New Roman Bold"/>
          <w:snapToGrid/>
          <w:color w:val="000000" w:themeColor="text1"/>
          <w:spacing w:val="0"/>
          <w:kern w:val="0"/>
          <w:sz w:val="20"/>
          <w:szCs w:val="20"/>
          <w:lang w:val="en-CA" w:eastAsia="en-CA" w:bidi="ar-SA"/>
          <w14:ligatures w14:val="none"/>
        </w:rPr>
        <w:t xml:space="preserve"> Useful Light and OTL</w:t>
      </w:r>
      <w:bookmarkEnd w:id="68"/>
      <w:bookmarkEnd w:id="69"/>
    </w:p>
    <w:p w14:paraId="67EA0569" w14:textId="39403A89" w:rsidR="007B362A" w:rsidRPr="00EF2F5B" w:rsidRDefault="007B362A" w:rsidP="007B362A">
      <w:pPr>
        <w:spacing w:after="120" w:line="240" w:lineRule="auto"/>
        <w:jc w:val="center"/>
        <w:rPr>
          <w:rFonts w:eastAsia="Times New Roman"/>
          <w:snapToGrid/>
          <w:color w:val="000000" w:themeColor="text1"/>
          <w:spacing w:val="0"/>
          <w:kern w:val="0"/>
          <w:sz w:val="16"/>
          <w:szCs w:val="16"/>
          <w:lang w:val="en-GB" w:eastAsia="en-GB"/>
          <w14:ligatures w14:val="none"/>
        </w:rPr>
      </w:pPr>
      <w:r w:rsidRPr="00EF2F5B">
        <w:rPr>
          <w:rFonts w:eastAsia="Times New Roman"/>
          <w:snapToGrid/>
          <w:color w:val="000000" w:themeColor="text1"/>
          <w:spacing w:val="0"/>
          <w:kern w:val="0"/>
          <w:sz w:val="16"/>
          <w:szCs w:val="16"/>
          <w:lang w:val="en-GB" w:eastAsia="en-GB"/>
          <w14:ligatures w14:val="none"/>
        </w:rPr>
        <w:t xml:space="preserve">Source: Adopted from ANSI/IES RP-8-25 and </w:t>
      </w:r>
      <w:r w:rsidR="00CF4680" w:rsidRPr="00EF2F5B">
        <w:rPr>
          <w:rFonts w:eastAsia="Times New Roman"/>
          <w:snapToGrid/>
          <w:color w:val="000000" w:themeColor="text1"/>
          <w:spacing w:val="0"/>
          <w:kern w:val="0"/>
          <w:sz w:val="16"/>
          <w:szCs w:val="16"/>
          <w:lang w:val="en-GB" w:eastAsia="en-GB"/>
          <w14:ligatures w14:val="none"/>
        </w:rPr>
        <w:t>designed</w:t>
      </w:r>
      <w:r w:rsidRPr="00EF2F5B">
        <w:rPr>
          <w:rFonts w:eastAsia="Times New Roman"/>
          <w:snapToGrid/>
          <w:color w:val="000000" w:themeColor="text1"/>
          <w:spacing w:val="0"/>
          <w:kern w:val="0"/>
          <w:sz w:val="16"/>
          <w:szCs w:val="16"/>
          <w:lang w:val="en-GB" w:eastAsia="en-GB"/>
          <w14:ligatures w14:val="none"/>
        </w:rPr>
        <w:t xml:space="preserve"> by the author</w:t>
      </w:r>
    </w:p>
    <w:p w14:paraId="17DE7C44" w14:textId="77777777" w:rsidR="007B362A" w:rsidRPr="00EF2F5B" w:rsidRDefault="007B362A" w:rsidP="007B362A">
      <w:pPr>
        <w:spacing w:after="178" w:line="360" w:lineRule="auto"/>
        <w:ind w:right="15" w:hanging="10"/>
        <w:jc w:val="center"/>
        <w:rPr>
          <w:rFonts w:eastAsia="Times New Roman"/>
          <w:snapToGrid/>
          <w:color w:val="000000" w:themeColor="text1"/>
          <w:spacing w:val="0"/>
          <w:kern w:val="0"/>
          <w:szCs w:val="22"/>
          <w:lang w:val="en-GB" w:eastAsia="en-GB" w:bidi="ar-SA"/>
          <w14:ligatures w14:val="none"/>
        </w:rPr>
      </w:pPr>
      <w:r w:rsidRPr="00EF2F5B">
        <w:rPr>
          <w:noProof/>
          <w:snapToGrid/>
          <w:color w:val="000000" w:themeColor="text1"/>
          <w:spacing w:val="0"/>
          <w:kern w:val="0"/>
          <w:lang w:val="en-IN" w:eastAsia="en-IN" w:bidi="ar-SA"/>
          <w14:ligatures w14:val="none"/>
        </w:rPr>
        <w:drawing>
          <wp:inline distT="0" distB="0" distL="0" distR="0" wp14:anchorId="4D51FE7D" wp14:editId="0B5A7CEE">
            <wp:extent cx="5116175" cy="3076575"/>
            <wp:effectExtent l="0" t="0" r="8890" b="0"/>
            <wp:docPr id="1894382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5152081" cy="3098167"/>
                    </a:xfrm>
                    <a:prstGeom prst="rect">
                      <a:avLst/>
                    </a:prstGeom>
                    <a:noFill/>
                    <a:ln>
                      <a:noFill/>
                    </a:ln>
                  </pic:spPr>
                </pic:pic>
              </a:graphicData>
            </a:graphic>
          </wp:inline>
        </w:drawing>
      </w:r>
    </w:p>
    <w:p w14:paraId="0C4A828D" w14:textId="77777777" w:rsidR="007B362A" w:rsidRPr="00EF2F5B" w:rsidRDefault="007B362A" w:rsidP="00F0093D">
      <w:pPr>
        <w:spacing w:after="0" w:line="240" w:lineRule="auto"/>
        <w:jc w:val="both"/>
        <w:rPr>
          <w:color w:val="000000" w:themeColor="text1"/>
          <w:spacing w:val="0"/>
        </w:rPr>
      </w:pPr>
    </w:p>
    <w:bookmarkEnd w:id="66"/>
    <w:p w14:paraId="0EAD7D9E" w14:textId="44AF475A" w:rsidR="0077632D" w:rsidRPr="00EF2F5B" w:rsidRDefault="0077632D" w:rsidP="00F0093D">
      <w:pPr>
        <w:spacing w:after="0" w:line="240" w:lineRule="auto"/>
        <w:jc w:val="both"/>
        <w:rPr>
          <w:color w:val="000000" w:themeColor="text1"/>
          <w:spacing w:val="0"/>
        </w:rPr>
      </w:pPr>
      <w:r w:rsidRPr="00EF2F5B">
        <w:rPr>
          <w:color w:val="000000" w:themeColor="text1"/>
          <w:spacing w:val="0"/>
        </w:rPr>
        <w:t xml:space="preserve">Authorities assigned the ROW or RPL as an OTL limit (ANSI/IES RP-8, 2025; IDA/IES, 2020) for roadway lighting applications.  However, European guidelines advise limiting vertical illuminance on RPL, with a focus on dwellings with windows (ILP GN01, 2021; CIE 150, 2017). By collectively addressing OTL in occupant bedroom windows, OL professionals can significantly improve public well-being. This collective effort is a powerful opportunity to improve the living conditions of many. </w:t>
      </w:r>
    </w:p>
    <w:p w14:paraId="48432632" w14:textId="77777777" w:rsidR="00FF14BC" w:rsidRPr="00EF2F5B" w:rsidRDefault="00FF14BC" w:rsidP="00F0093D">
      <w:pPr>
        <w:spacing w:after="0" w:line="240" w:lineRule="auto"/>
        <w:jc w:val="both"/>
        <w:rPr>
          <w:color w:val="000000" w:themeColor="text1"/>
          <w:spacing w:val="0"/>
        </w:rPr>
      </w:pPr>
    </w:p>
    <w:p w14:paraId="424FDEFF" w14:textId="1ABC0383" w:rsidR="00336F99" w:rsidRPr="00EF2F5B" w:rsidRDefault="00336F99" w:rsidP="00F0093D">
      <w:pPr>
        <w:spacing w:after="0" w:line="240" w:lineRule="auto"/>
        <w:jc w:val="both"/>
        <w:rPr>
          <w:color w:val="000000" w:themeColor="text1"/>
          <w:spacing w:val="0"/>
        </w:rPr>
      </w:pPr>
      <w:bookmarkStart w:id="70" w:name="_Hlk196666251"/>
      <w:r w:rsidRPr="00EF2F5B">
        <w:rPr>
          <w:color w:val="000000" w:themeColor="text1"/>
          <w:spacing w:val="0"/>
        </w:rPr>
        <w:t>Traffic density, or the number of vehicles on a given stretch of road at a specific time, can lead to increased risks of accidents, particularly during nighttime when visibility is reduced. This highlights the significance of implementing suitable OL solutions to improve safety for both drivers and pedestrians.  By adjusting light levels based on real-time traffic conditions, adaptive OL systems not only conserve energy when full illumination is unnecessary but also greatly minimise O</w:t>
      </w:r>
      <w:r w:rsidR="00EA1D8D" w:rsidRPr="00EF2F5B">
        <w:rPr>
          <w:color w:val="000000" w:themeColor="text1"/>
          <w:spacing w:val="0"/>
        </w:rPr>
        <w:t>TL</w:t>
      </w:r>
      <w:r w:rsidRPr="00EF2F5B">
        <w:rPr>
          <w:color w:val="000000" w:themeColor="text1"/>
          <w:spacing w:val="0"/>
        </w:rPr>
        <w:t>. This promising technology holds a bright future for roadway lighting, inspiring optimism about potential improvements in the overall user experience on roads.</w:t>
      </w:r>
    </w:p>
    <w:p w14:paraId="21FCB261" w14:textId="77777777" w:rsidR="00FF14BC" w:rsidRPr="00EF2F5B" w:rsidRDefault="00FF14BC" w:rsidP="00F0093D">
      <w:pPr>
        <w:spacing w:after="0" w:line="240" w:lineRule="auto"/>
        <w:jc w:val="both"/>
        <w:rPr>
          <w:color w:val="000000" w:themeColor="text1"/>
          <w:spacing w:val="0"/>
        </w:rPr>
      </w:pPr>
    </w:p>
    <w:p w14:paraId="0D2AB308" w14:textId="40FB0218" w:rsidR="00336F99" w:rsidRPr="00EF2F5B" w:rsidRDefault="00336F99" w:rsidP="00F0093D">
      <w:pPr>
        <w:spacing w:after="0" w:line="240" w:lineRule="auto"/>
        <w:jc w:val="both"/>
        <w:rPr>
          <w:color w:val="000000" w:themeColor="text1"/>
          <w:spacing w:val="0"/>
        </w:rPr>
      </w:pPr>
      <w:r w:rsidRPr="00EF2F5B">
        <w:rPr>
          <w:color w:val="000000" w:themeColor="text1"/>
          <w:spacing w:val="0"/>
        </w:rPr>
        <w:t>Traffic density is also considered a risk factor when selecting an OL class in North America (IES RP-8, 202</w:t>
      </w:r>
      <w:r w:rsidR="0008305D" w:rsidRPr="00EF2F5B">
        <w:rPr>
          <w:color w:val="000000" w:themeColor="text1"/>
          <w:spacing w:val="0"/>
        </w:rPr>
        <w:t>5</w:t>
      </w:r>
      <w:r w:rsidRPr="00EF2F5B">
        <w:rPr>
          <w:color w:val="000000" w:themeColor="text1"/>
          <w:spacing w:val="0"/>
        </w:rPr>
        <w:t xml:space="preserve">). </w:t>
      </w:r>
      <w:r w:rsidR="001B4872" w:rsidRPr="00EF2F5B">
        <w:rPr>
          <w:color w:val="000000" w:themeColor="text1"/>
          <w:spacing w:val="0"/>
        </w:rPr>
        <w:t xml:space="preserve">The </w:t>
      </w:r>
      <w:r w:rsidRPr="00EF2F5B">
        <w:rPr>
          <w:color w:val="000000" w:themeColor="text1"/>
          <w:spacing w:val="0"/>
        </w:rPr>
        <w:t>traffic density changes during the night, and the OL class also changes (IES RP-8, 202</w:t>
      </w:r>
      <w:r w:rsidR="0008305D" w:rsidRPr="00EF2F5B">
        <w:rPr>
          <w:color w:val="000000" w:themeColor="text1"/>
          <w:spacing w:val="0"/>
        </w:rPr>
        <w:t>5</w:t>
      </w:r>
      <w:r w:rsidRPr="00EF2F5B">
        <w:rPr>
          <w:color w:val="000000" w:themeColor="text1"/>
          <w:spacing w:val="0"/>
        </w:rPr>
        <w:t>), and ILP PLG08 (ILP PLG08, 2016) are the same in this aspect. However, the author of this research employs the 'worst-case scenario', which in this context refers to the most severe or challenging conditions for this project.  This approach ensures a thorough evaluation, and therefore, higher-density traffic classes were used for this evaluation, instilling confidence in the thoroughness of the process.</w:t>
      </w:r>
    </w:p>
    <w:p w14:paraId="3ECF83D5" w14:textId="77777777" w:rsidR="00FF14BC" w:rsidRPr="00EF2F5B" w:rsidRDefault="00FF14BC" w:rsidP="00F0093D">
      <w:pPr>
        <w:spacing w:after="0" w:line="240" w:lineRule="auto"/>
        <w:jc w:val="both"/>
        <w:rPr>
          <w:color w:val="000000" w:themeColor="text1"/>
          <w:spacing w:val="0"/>
        </w:rPr>
      </w:pPr>
    </w:p>
    <w:p w14:paraId="3A22FDF1" w14:textId="28B7FEE9" w:rsidR="00336F99" w:rsidRPr="00EF2F5B" w:rsidRDefault="00336F99" w:rsidP="00F0093D">
      <w:pPr>
        <w:spacing w:after="0" w:line="240" w:lineRule="auto"/>
        <w:jc w:val="both"/>
        <w:rPr>
          <w:color w:val="000000" w:themeColor="text1"/>
          <w:spacing w:val="0"/>
        </w:rPr>
      </w:pPr>
      <w:r w:rsidRPr="00EF2F5B">
        <w:rPr>
          <w:color w:val="000000" w:themeColor="text1"/>
          <w:spacing w:val="0"/>
        </w:rPr>
        <w:t xml:space="preserve">By following guidelines outlined in authoritative documents like ILP PLG08 and RP-8-21, municipalities can make informed decisions about adjusting their OL infrastructure in response to dynamic traffic conditions.  Changes in traffic density during nighttime hours directly influence the selection and adjustment of OL classes, as outlined in the RP-8-21 and ILP PLG08 guidelines. It's crucial that authorities continuously monitor these changes to execute effective OL strategies that improve road safety while being mindful of environmental impacts. This vigilance and commitment, particularly through continuous monitoring, are key to ensuring the ongoing protection of road users. </w:t>
      </w:r>
    </w:p>
    <w:p w14:paraId="61302288" w14:textId="77777777" w:rsidR="00FF14BC" w:rsidRPr="00EF2F5B" w:rsidRDefault="00FF14BC" w:rsidP="00F0093D">
      <w:pPr>
        <w:spacing w:after="0" w:line="240" w:lineRule="auto"/>
        <w:jc w:val="both"/>
        <w:rPr>
          <w:color w:val="000000" w:themeColor="text1"/>
          <w:spacing w:val="0"/>
        </w:rPr>
      </w:pPr>
    </w:p>
    <w:bookmarkEnd w:id="70"/>
    <w:p w14:paraId="6B74DDB1" w14:textId="608E0FA7" w:rsidR="00336F99" w:rsidRPr="00EF2F5B" w:rsidRDefault="00336F99" w:rsidP="00F0093D">
      <w:pPr>
        <w:spacing w:after="0" w:line="240" w:lineRule="auto"/>
        <w:jc w:val="both"/>
        <w:rPr>
          <w:color w:val="000000" w:themeColor="text1"/>
          <w:spacing w:val="0"/>
        </w:rPr>
      </w:pPr>
      <w:r w:rsidRPr="00EF2F5B">
        <w:rPr>
          <w:color w:val="000000" w:themeColor="text1"/>
          <w:spacing w:val="0"/>
        </w:rPr>
        <w:t>The CIE (CIE-150, 2017) and Australians (AS/NZS 42822019, 2019) have adopted two sets of limiting values to resolve some of the potentially conflicting requirements for higher illumination levels for dark hours activity.  The two groups of values are quantified depending on the illumination levels previously in the area. The local authorities established higher light levels before a nominated or curfew hour and lower light levels after midnight. All roadway lighting applications were exempt from curfew restrictions because of the safety aspect of roadway lighting in North America (ANSI/IES RP-8</w:t>
      </w:r>
      <w:r w:rsidR="0008305D" w:rsidRPr="00EF2F5B">
        <w:rPr>
          <w:color w:val="000000" w:themeColor="text1"/>
          <w:spacing w:val="0"/>
        </w:rPr>
        <w:t xml:space="preserve">, </w:t>
      </w:r>
      <w:r w:rsidRPr="00EF2F5B">
        <w:rPr>
          <w:color w:val="000000" w:themeColor="text1"/>
          <w:spacing w:val="0"/>
        </w:rPr>
        <w:t>202</w:t>
      </w:r>
      <w:r w:rsidR="0008305D" w:rsidRPr="00EF2F5B">
        <w:rPr>
          <w:color w:val="000000" w:themeColor="text1"/>
          <w:spacing w:val="0"/>
        </w:rPr>
        <w:t>5</w:t>
      </w:r>
      <w:r w:rsidRPr="00EF2F5B">
        <w:rPr>
          <w:color w:val="000000" w:themeColor="text1"/>
          <w:spacing w:val="0"/>
        </w:rPr>
        <w:t xml:space="preserve">).  </w:t>
      </w:r>
    </w:p>
    <w:p w14:paraId="1C7B9427" w14:textId="77777777" w:rsidR="002F5949" w:rsidRPr="00EF2F5B" w:rsidRDefault="002F5949" w:rsidP="00F0093D">
      <w:pPr>
        <w:spacing w:after="0" w:line="240" w:lineRule="auto"/>
        <w:jc w:val="both"/>
        <w:rPr>
          <w:color w:val="000000" w:themeColor="text1"/>
          <w:spacing w:val="0"/>
        </w:rPr>
      </w:pPr>
    </w:p>
    <w:p w14:paraId="7CC1CB9B" w14:textId="0A8A6431" w:rsidR="00B9289F" w:rsidRPr="00EF2F5B" w:rsidRDefault="000629A5" w:rsidP="000629A5">
      <w:pPr>
        <w:spacing w:after="0" w:line="240" w:lineRule="auto"/>
        <w:jc w:val="both"/>
        <w:rPr>
          <w:color w:val="000000" w:themeColor="text1"/>
          <w:spacing w:val="0"/>
          <w:lang w:val="en-ZA" w:bidi="ar-SA"/>
        </w:rPr>
      </w:pPr>
      <w:r w:rsidRPr="00EF2F5B">
        <w:rPr>
          <w:color w:val="000000" w:themeColor="text1"/>
          <w:spacing w:val="0"/>
          <w:lang w:val="en-ZA" w:bidi="ar-SA"/>
        </w:rPr>
        <w:t xml:space="preserve">The resolution of conflicting criteria among professional organisations marks a critical advancement in this research. Given the variability in OTL limits across jurisdictions and standards, this study adopted a unified ‘worst-case scenario’ approach—applying the lowest permissible illuminance value across all zones as a standard benchmark </w:t>
      </w:r>
      <w:r w:rsidR="00CA7F35" w:rsidRPr="00EF2F5B">
        <w:rPr>
          <w:color w:val="000000" w:themeColor="text1"/>
          <w:spacing w:val="0"/>
          <w:lang w:val="en-ZA" w:bidi="ar-SA"/>
        </w:rPr>
        <w:t xml:space="preserve">so that it can satisfy all the organisation’s requirements. </w:t>
      </w:r>
      <w:r w:rsidRPr="00EF2F5B">
        <w:rPr>
          <w:color w:val="000000" w:themeColor="text1"/>
          <w:spacing w:val="0"/>
          <w:lang w:val="en-ZA" w:bidi="ar-SA"/>
        </w:rPr>
        <w:t>This methodological decision not only harmonised the evaluation process but also ensured compliance with the most stringent existing standards, thereby satisfying the expectations of all major regulatory bodies. The implementation of this unified criterion provided a robust and defensible foundation for subsequent analyses, reinforcing the reliability and consistency of the proposed evaluation framework. Moreover, it streamlined the comparison of design alternatives and facilitated more precise guidance for practitioners. However, while this resolution effectively standardises technical assessment, it remains limited in capturing the nuanced health implications of OTL exposure on residents. The need for further integration of health-based OTL thresholds is urgent, as it is necessary to evaluate OL impacts holistically and ensure the well-being of residents.</w:t>
      </w:r>
      <w:r w:rsidR="0052164D" w:rsidRPr="00EF2F5B">
        <w:rPr>
          <w:color w:val="000000" w:themeColor="text1"/>
          <w:spacing w:val="0"/>
          <w:lang w:val="en-ZA" w:bidi="ar-SA"/>
        </w:rPr>
        <w:t xml:space="preserve">  </w:t>
      </w:r>
    </w:p>
    <w:p w14:paraId="2340CECD" w14:textId="77777777" w:rsidR="003D3A77" w:rsidRPr="00EF2F5B" w:rsidRDefault="003D3A77" w:rsidP="000629A5">
      <w:pPr>
        <w:spacing w:after="0" w:line="240" w:lineRule="auto"/>
        <w:jc w:val="both"/>
        <w:rPr>
          <w:color w:val="000000" w:themeColor="text1"/>
          <w:spacing w:val="0"/>
          <w:lang w:val="en-ZA" w:bidi="ar-SA"/>
        </w:rPr>
      </w:pPr>
    </w:p>
    <w:p w14:paraId="29263B85" w14:textId="68891691" w:rsidR="003D3A77" w:rsidRPr="00EF2F5B" w:rsidRDefault="003D3A77" w:rsidP="003D3A77">
      <w:pPr>
        <w:pStyle w:val="ListParagraph"/>
        <w:numPr>
          <w:ilvl w:val="0"/>
          <w:numId w:val="19"/>
        </w:numPr>
        <w:spacing w:after="0" w:line="240" w:lineRule="auto"/>
        <w:ind w:left="284" w:hanging="284"/>
        <w:jc w:val="both"/>
        <w:rPr>
          <w:b/>
          <w:bCs/>
          <w:color w:val="000000" w:themeColor="text1"/>
          <w:spacing w:val="0"/>
          <w:lang w:val="en-ZA" w:bidi="ar-SA"/>
        </w:rPr>
      </w:pPr>
      <w:r w:rsidRPr="00EF2F5B">
        <w:rPr>
          <w:b/>
          <w:bCs/>
          <w:color w:val="000000" w:themeColor="text1"/>
          <w:spacing w:val="0"/>
          <w:lang w:val="en-ZA" w:bidi="ar-SA"/>
        </w:rPr>
        <w:t xml:space="preserve">ENFORCEMENT MECHANISMS  </w:t>
      </w:r>
    </w:p>
    <w:p w14:paraId="2D6EB1CB" w14:textId="77777777" w:rsidR="003D3A77" w:rsidRPr="00EF2F5B" w:rsidRDefault="003D3A77" w:rsidP="000629A5">
      <w:pPr>
        <w:spacing w:after="0" w:line="240" w:lineRule="auto"/>
        <w:jc w:val="both"/>
        <w:rPr>
          <w:color w:val="000000" w:themeColor="text1"/>
          <w:spacing w:val="0"/>
          <w:lang w:val="en-ZA" w:bidi="ar-SA"/>
        </w:rPr>
      </w:pPr>
    </w:p>
    <w:p w14:paraId="7387D2D2" w14:textId="77777777" w:rsidR="003D3A77" w:rsidRPr="00EF2F5B" w:rsidRDefault="003D3A77" w:rsidP="003D3A77">
      <w:pPr>
        <w:spacing w:after="0" w:line="240" w:lineRule="auto"/>
        <w:jc w:val="both"/>
        <w:rPr>
          <w:color w:val="000000" w:themeColor="text1"/>
          <w:spacing w:val="0"/>
          <w:lang w:val="en-ZA" w:bidi="ar-SA"/>
        </w:rPr>
      </w:pPr>
      <w:r w:rsidRPr="00EF2F5B">
        <w:rPr>
          <w:color w:val="000000" w:themeColor="text1"/>
          <w:spacing w:val="0"/>
          <w:lang w:val="en-ZA" w:bidi="ar-SA"/>
        </w:rPr>
        <w:t>Beyond regulatory and governance considerations, exposure to Artificial Light at Night (ALAN) has emerged as a critical public health concern. Since 2019, health practitioners have increasingly recognised nighttime light exposure as a contributing factor in disease development and delayed physiological recovery (Donker, 2019; Simons et al., 2019; Nagai et al., 2019). Empirical evidence links ALAN exposure to impaired post‑stroke recovery (Boyko et al., 2017; Weil et al., 2020), arterial stiffening (Obayashi et al., 2019), delayed skin wound healing (Walker et al., 2019), and systemic inflammation (Mindel et al., 2019).</w:t>
      </w:r>
    </w:p>
    <w:p w14:paraId="3CAFC14B" w14:textId="77777777" w:rsidR="003D3A77" w:rsidRPr="00EF2F5B" w:rsidRDefault="003D3A77" w:rsidP="003D3A77">
      <w:pPr>
        <w:spacing w:after="0" w:line="240" w:lineRule="auto"/>
        <w:jc w:val="both"/>
        <w:rPr>
          <w:color w:val="000000" w:themeColor="text1"/>
          <w:spacing w:val="0"/>
          <w:lang w:val="en-ZA" w:bidi="ar-SA"/>
        </w:rPr>
      </w:pPr>
    </w:p>
    <w:p w14:paraId="6E719B87" w14:textId="55B3585E" w:rsidR="003D3A77" w:rsidRPr="00EF2F5B" w:rsidRDefault="003D3A77" w:rsidP="000629A5">
      <w:pPr>
        <w:spacing w:after="0" w:line="240" w:lineRule="auto"/>
        <w:jc w:val="both"/>
        <w:rPr>
          <w:color w:val="000000" w:themeColor="text1"/>
          <w:spacing w:val="0"/>
          <w:lang w:val="en-ZA" w:bidi="ar-SA"/>
        </w:rPr>
      </w:pPr>
      <w:r w:rsidRPr="00EF2F5B">
        <w:rPr>
          <w:color w:val="000000" w:themeColor="text1"/>
          <w:spacing w:val="0"/>
          <w:lang w:val="en-ZA" w:bidi="ar-SA"/>
        </w:rPr>
        <w:t>Taken collectively, these findings elevate ALAN from a technical nuisance to a population‑level health risk, reinforcing the urgency of regulatory harmonisation. The absence of consistent, enforceable limits on outdoor light intrusion undermines public health protections and weakens accountability across jurisdictions. In this context, professional bodies such as the Illuminating Engineering Society (IES) and the International Commission on Illumination (CIE) are well-positioned to play a central role in formalising and enforcing a unified framework that translates scientific evidence into coherent, globally applicable guidelines.</w:t>
      </w:r>
    </w:p>
    <w:p w14:paraId="071CD9E2" w14:textId="77777777" w:rsidR="00C2267C" w:rsidRPr="00EF2F5B" w:rsidRDefault="00C2267C" w:rsidP="000629A5">
      <w:pPr>
        <w:spacing w:after="0" w:line="240" w:lineRule="auto"/>
        <w:jc w:val="both"/>
        <w:rPr>
          <w:color w:val="000000" w:themeColor="text1"/>
          <w:spacing w:val="0"/>
          <w:lang w:val="en-ZA" w:bidi="ar-SA"/>
        </w:rPr>
      </w:pPr>
    </w:p>
    <w:p w14:paraId="5E5F77A3" w14:textId="37229806" w:rsidR="00C2267C" w:rsidRPr="00EF2F5B" w:rsidRDefault="003D3A77" w:rsidP="00C2267C">
      <w:pPr>
        <w:rPr>
          <w:b/>
          <w:bCs/>
          <w:color w:val="000000" w:themeColor="text1"/>
          <w:spacing w:val="0"/>
        </w:rPr>
      </w:pPr>
      <w:r w:rsidRPr="00EF2F5B">
        <w:rPr>
          <w:b/>
          <w:bCs/>
          <w:color w:val="000000" w:themeColor="text1"/>
          <w:spacing w:val="0"/>
        </w:rPr>
        <w:t>7</w:t>
      </w:r>
      <w:r w:rsidR="00C2267C" w:rsidRPr="00EF2F5B">
        <w:rPr>
          <w:b/>
          <w:bCs/>
          <w:color w:val="000000" w:themeColor="text1"/>
          <w:spacing w:val="0"/>
        </w:rPr>
        <w:t>. INSTITUTIONAL AND PRACTICE IMPLICATIONS</w:t>
      </w:r>
    </w:p>
    <w:p w14:paraId="0F7D9730" w14:textId="77777777" w:rsidR="00C2267C" w:rsidRPr="00EF2F5B" w:rsidRDefault="00C2267C" w:rsidP="00C2267C">
      <w:pPr>
        <w:rPr>
          <w:color w:val="000000" w:themeColor="text1"/>
          <w:spacing w:val="0"/>
        </w:rPr>
      </w:pPr>
      <w:r w:rsidRPr="00EF2F5B">
        <w:rPr>
          <w:color w:val="000000" w:themeColor="text1"/>
          <w:spacing w:val="0"/>
        </w:rPr>
        <w:t>The unified limits (1, 3, 8, 15 lux):</w:t>
      </w:r>
    </w:p>
    <w:p w14:paraId="601DC049" w14:textId="77777777" w:rsidR="00C2267C" w:rsidRPr="00EF2F5B" w:rsidRDefault="00C2267C" w:rsidP="00C2267C">
      <w:pPr>
        <w:pStyle w:val="ListParagraph"/>
        <w:numPr>
          <w:ilvl w:val="0"/>
          <w:numId w:val="15"/>
        </w:numPr>
        <w:rPr>
          <w:color w:val="000000" w:themeColor="text1"/>
          <w:spacing w:val="0"/>
        </w:rPr>
      </w:pPr>
      <w:r w:rsidRPr="00EF2F5B">
        <w:rPr>
          <w:color w:val="000000" w:themeColor="text1"/>
          <w:spacing w:val="0"/>
        </w:rPr>
        <w:t>Fall within the most restrictive internationally accepted values.</w:t>
      </w:r>
    </w:p>
    <w:p w14:paraId="7066A508" w14:textId="77777777" w:rsidR="00C2267C" w:rsidRPr="00EF2F5B" w:rsidRDefault="00C2267C" w:rsidP="00C2267C">
      <w:pPr>
        <w:pStyle w:val="ListParagraph"/>
        <w:numPr>
          <w:ilvl w:val="0"/>
          <w:numId w:val="15"/>
        </w:numPr>
        <w:rPr>
          <w:color w:val="000000" w:themeColor="text1"/>
          <w:spacing w:val="0"/>
        </w:rPr>
      </w:pPr>
      <w:r w:rsidRPr="00EF2F5B">
        <w:rPr>
          <w:color w:val="000000" w:themeColor="text1"/>
          <w:spacing w:val="0"/>
        </w:rPr>
        <w:t>Require no jurisdiction to weaken existing protections.</w:t>
      </w:r>
    </w:p>
    <w:p w14:paraId="2CD60F0E" w14:textId="77777777" w:rsidR="00C2267C" w:rsidRPr="00EF2F5B" w:rsidRDefault="00C2267C" w:rsidP="00C2267C">
      <w:pPr>
        <w:pStyle w:val="ListParagraph"/>
        <w:numPr>
          <w:ilvl w:val="0"/>
          <w:numId w:val="15"/>
        </w:numPr>
        <w:rPr>
          <w:color w:val="000000" w:themeColor="text1"/>
          <w:spacing w:val="0"/>
        </w:rPr>
      </w:pPr>
      <w:r w:rsidRPr="00EF2F5B">
        <w:rPr>
          <w:color w:val="000000" w:themeColor="text1"/>
          <w:spacing w:val="0"/>
        </w:rPr>
        <w:t>Provide manufacturers with predictable compliance targets.</w:t>
      </w:r>
    </w:p>
    <w:p w14:paraId="2B0C5C56" w14:textId="77777777" w:rsidR="00C2267C" w:rsidRPr="00EF2F5B" w:rsidRDefault="00C2267C" w:rsidP="00C2267C">
      <w:pPr>
        <w:pStyle w:val="ListParagraph"/>
        <w:numPr>
          <w:ilvl w:val="0"/>
          <w:numId w:val="15"/>
        </w:numPr>
        <w:rPr>
          <w:color w:val="000000" w:themeColor="text1"/>
          <w:spacing w:val="0"/>
        </w:rPr>
      </w:pPr>
      <w:r w:rsidRPr="00EF2F5B">
        <w:rPr>
          <w:color w:val="000000" w:themeColor="text1"/>
          <w:spacing w:val="0"/>
        </w:rPr>
        <w:t>Simplify multinational engineering documentation.</w:t>
      </w:r>
    </w:p>
    <w:p w14:paraId="143F1754" w14:textId="77777777" w:rsidR="00C2267C" w:rsidRPr="00EF2F5B" w:rsidRDefault="00C2267C" w:rsidP="00C2267C">
      <w:pPr>
        <w:pStyle w:val="ListParagraph"/>
        <w:numPr>
          <w:ilvl w:val="0"/>
          <w:numId w:val="15"/>
        </w:numPr>
        <w:rPr>
          <w:color w:val="000000" w:themeColor="text1"/>
          <w:spacing w:val="0"/>
        </w:rPr>
      </w:pPr>
      <w:r w:rsidRPr="00EF2F5B">
        <w:rPr>
          <w:color w:val="000000" w:themeColor="text1"/>
          <w:spacing w:val="0"/>
        </w:rPr>
        <w:t>Strengthen legal defensibility of municipal bylaws.</w:t>
      </w:r>
    </w:p>
    <w:p w14:paraId="536E9AF3" w14:textId="77777777" w:rsidR="00C2267C" w:rsidRPr="00EF2F5B" w:rsidRDefault="00C2267C" w:rsidP="00C2267C">
      <w:pPr>
        <w:jc w:val="both"/>
        <w:rPr>
          <w:color w:val="000000" w:themeColor="text1"/>
          <w:spacing w:val="0"/>
        </w:rPr>
      </w:pPr>
      <w:r w:rsidRPr="00EF2F5B">
        <w:rPr>
          <w:color w:val="000000" w:themeColor="text1"/>
          <w:spacing w:val="0"/>
        </w:rPr>
        <w:t>By aligning photometric science with regulatory harmonisation theory, the framework transforms fragmented guidance into a coherent institutional template.</w:t>
      </w:r>
    </w:p>
    <w:p w14:paraId="553B4746" w14:textId="77777777" w:rsidR="00C2267C" w:rsidRPr="00EF2F5B" w:rsidRDefault="00C2267C" w:rsidP="00C2267C">
      <w:pPr>
        <w:jc w:val="both"/>
        <w:rPr>
          <w:color w:val="000000" w:themeColor="text1"/>
          <w:spacing w:val="0"/>
        </w:rPr>
      </w:pPr>
      <w:r w:rsidRPr="00EF2F5B">
        <w:rPr>
          <w:color w:val="000000" w:themeColor="text1"/>
          <w:spacing w:val="0"/>
        </w:rPr>
        <w:t>Importantly, the model avoids introducing biologically weighted or spectral metrics that, while scientifically evolving, lack universal legal codification and would reintroduce interpretive ambiguity.</w:t>
      </w:r>
    </w:p>
    <w:p w14:paraId="5E2A30F4" w14:textId="3729DB43" w:rsidR="00C2267C" w:rsidRPr="00EF2F5B" w:rsidRDefault="003D3A77" w:rsidP="00C2267C">
      <w:pPr>
        <w:rPr>
          <w:b/>
          <w:bCs/>
          <w:color w:val="000000" w:themeColor="text1"/>
          <w:spacing w:val="0"/>
        </w:rPr>
      </w:pPr>
      <w:r w:rsidRPr="00EF2F5B">
        <w:rPr>
          <w:b/>
          <w:bCs/>
          <w:color w:val="000000" w:themeColor="text1"/>
          <w:spacing w:val="0"/>
        </w:rPr>
        <w:t>8</w:t>
      </w:r>
      <w:r w:rsidR="00C2267C" w:rsidRPr="00EF2F5B">
        <w:rPr>
          <w:b/>
          <w:bCs/>
          <w:color w:val="000000" w:themeColor="text1"/>
          <w:spacing w:val="0"/>
        </w:rPr>
        <w:t>. LIMITATIONS AND FUTURE RESEARCH</w:t>
      </w:r>
    </w:p>
    <w:p w14:paraId="13A4E965" w14:textId="77777777" w:rsidR="00C2267C" w:rsidRPr="00EF2F5B" w:rsidRDefault="00C2267C" w:rsidP="00C2267C">
      <w:pPr>
        <w:rPr>
          <w:color w:val="000000" w:themeColor="text1"/>
          <w:spacing w:val="0"/>
        </w:rPr>
      </w:pPr>
      <w:r w:rsidRPr="00EF2F5B">
        <w:rPr>
          <w:color w:val="000000" w:themeColor="text1"/>
          <w:spacing w:val="0"/>
        </w:rPr>
        <w:t>This study focuses on threshold convergence rather than:</w:t>
      </w:r>
    </w:p>
    <w:p w14:paraId="389A789F" w14:textId="77777777" w:rsidR="00C2267C" w:rsidRPr="00EF2F5B" w:rsidRDefault="00C2267C" w:rsidP="00C2267C">
      <w:pPr>
        <w:pStyle w:val="ListParagraph"/>
        <w:numPr>
          <w:ilvl w:val="0"/>
          <w:numId w:val="16"/>
        </w:numPr>
        <w:rPr>
          <w:color w:val="000000" w:themeColor="text1"/>
          <w:spacing w:val="0"/>
        </w:rPr>
      </w:pPr>
      <w:r w:rsidRPr="00EF2F5B">
        <w:rPr>
          <w:color w:val="000000" w:themeColor="text1"/>
          <w:spacing w:val="0"/>
        </w:rPr>
        <w:t>Spectral power distribution controls</w:t>
      </w:r>
    </w:p>
    <w:p w14:paraId="191236B1" w14:textId="77777777" w:rsidR="00C2267C" w:rsidRPr="00EF2F5B" w:rsidRDefault="00C2267C" w:rsidP="00C2267C">
      <w:pPr>
        <w:pStyle w:val="ListParagraph"/>
        <w:numPr>
          <w:ilvl w:val="0"/>
          <w:numId w:val="16"/>
        </w:numPr>
        <w:rPr>
          <w:color w:val="000000" w:themeColor="text1"/>
          <w:spacing w:val="0"/>
        </w:rPr>
      </w:pPr>
      <w:r w:rsidRPr="00EF2F5B">
        <w:rPr>
          <w:color w:val="000000" w:themeColor="text1"/>
          <w:spacing w:val="0"/>
        </w:rPr>
        <w:t>Adaptive lighting integration</w:t>
      </w:r>
    </w:p>
    <w:p w14:paraId="6AC8F05A" w14:textId="77777777" w:rsidR="00C2267C" w:rsidRPr="00EF2F5B" w:rsidRDefault="00C2267C" w:rsidP="00C2267C">
      <w:pPr>
        <w:pStyle w:val="ListParagraph"/>
        <w:numPr>
          <w:ilvl w:val="0"/>
          <w:numId w:val="16"/>
        </w:numPr>
        <w:rPr>
          <w:color w:val="000000" w:themeColor="text1"/>
          <w:spacing w:val="0"/>
        </w:rPr>
      </w:pPr>
      <w:r w:rsidRPr="00EF2F5B">
        <w:rPr>
          <w:color w:val="000000" w:themeColor="text1"/>
          <w:spacing w:val="0"/>
        </w:rPr>
        <w:t>Empirical compliance performance auditing</w:t>
      </w:r>
    </w:p>
    <w:p w14:paraId="39B9948C" w14:textId="77777777" w:rsidR="00C2267C" w:rsidRPr="00EF2F5B" w:rsidRDefault="00C2267C" w:rsidP="00C2267C">
      <w:pPr>
        <w:pStyle w:val="ListParagraph"/>
        <w:numPr>
          <w:ilvl w:val="0"/>
          <w:numId w:val="16"/>
        </w:numPr>
        <w:rPr>
          <w:color w:val="000000" w:themeColor="text1"/>
          <w:spacing w:val="0"/>
        </w:rPr>
      </w:pPr>
      <w:r w:rsidRPr="00EF2F5B">
        <w:rPr>
          <w:color w:val="000000" w:themeColor="text1"/>
          <w:spacing w:val="0"/>
        </w:rPr>
        <w:t>Longitudinal ecological or health outcome monitoring</w:t>
      </w:r>
    </w:p>
    <w:p w14:paraId="1F848F69" w14:textId="2F7FF5A5" w:rsidR="00C2267C" w:rsidRPr="00EF2F5B" w:rsidRDefault="00C2267C" w:rsidP="00C2267C">
      <w:pPr>
        <w:rPr>
          <w:color w:val="000000" w:themeColor="text1"/>
          <w:spacing w:val="0"/>
        </w:rPr>
      </w:pPr>
      <w:r w:rsidRPr="00EF2F5B">
        <w:rPr>
          <w:color w:val="000000" w:themeColor="text1"/>
          <w:spacing w:val="0"/>
        </w:rPr>
        <w:t xml:space="preserve">Future work should include field validation across climatic regions and integration with dynamic lighting control systems.  </w:t>
      </w:r>
    </w:p>
    <w:p w14:paraId="013F2D56" w14:textId="5459D46C" w:rsidR="00B9289F" w:rsidRPr="00EF2F5B" w:rsidRDefault="00C2267C" w:rsidP="000629A5">
      <w:pPr>
        <w:spacing w:after="0" w:line="240" w:lineRule="auto"/>
        <w:jc w:val="both"/>
        <w:rPr>
          <w:color w:val="000000" w:themeColor="text1"/>
          <w:spacing w:val="0"/>
          <w:lang w:val="en-ZA" w:bidi="ar-SA"/>
        </w:rPr>
      </w:pPr>
      <w:r w:rsidRPr="00EF2F5B">
        <w:rPr>
          <w:color w:val="000000" w:themeColor="text1"/>
          <w:spacing w:val="0"/>
          <w:lang w:val="en-ZA" w:bidi="ar-SA"/>
        </w:rPr>
        <w:t>This research concludes the next section based on the above-noted results and discussion.</w:t>
      </w:r>
    </w:p>
    <w:p w14:paraId="136F8852" w14:textId="77777777" w:rsidR="007701ED" w:rsidRPr="00EF2F5B" w:rsidRDefault="007701ED" w:rsidP="000629A5">
      <w:pPr>
        <w:spacing w:after="0" w:line="240" w:lineRule="auto"/>
        <w:jc w:val="both"/>
        <w:rPr>
          <w:color w:val="000000" w:themeColor="text1"/>
          <w:spacing w:val="0"/>
          <w:lang w:val="en-ZA" w:bidi="ar-SA"/>
        </w:rPr>
      </w:pPr>
    </w:p>
    <w:p w14:paraId="1D599589" w14:textId="74C57200" w:rsidR="007701ED" w:rsidRPr="00EF2F5B" w:rsidRDefault="003D3A77" w:rsidP="007701ED">
      <w:pPr>
        <w:jc w:val="both"/>
        <w:rPr>
          <w:b/>
          <w:bCs/>
          <w:color w:val="000000" w:themeColor="text1"/>
          <w:spacing w:val="0"/>
        </w:rPr>
      </w:pPr>
      <w:r w:rsidRPr="00EF2F5B">
        <w:rPr>
          <w:b/>
          <w:bCs/>
          <w:color w:val="000000" w:themeColor="text1"/>
          <w:spacing w:val="0"/>
        </w:rPr>
        <w:t>9</w:t>
      </w:r>
      <w:r w:rsidR="007701ED" w:rsidRPr="00EF2F5B">
        <w:rPr>
          <w:b/>
          <w:bCs/>
          <w:color w:val="000000" w:themeColor="text1"/>
          <w:spacing w:val="0"/>
        </w:rPr>
        <w:t>. FIED MEASUREMENTS AND VALIDATION</w:t>
      </w:r>
    </w:p>
    <w:p w14:paraId="10CA6F81" w14:textId="77777777" w:rsidR="007701ED" w:rsidRPr="00EF2F5B" w:rsidRDefault="007701ED" w:rsidP="007701ED">
      <w:pPr>
        <w:jc w:val="both"/>
        <w:rPr>
          <w:color w:val="000000" w:themeColor="text1"/>
          <w:spacing w:val="0"/>
        </w:rPr>
      </w:pPr>
      <w:r w:rsidRPr="00EF2F5B">
        <w:rPr>
          <w:color w:val="000000" w:themeColor="text1"/>
          <w:spacing w:val="0"/>
        </w:rPr>
        <w:t>Single</w:t>
      </w:r>
      <w:r w:rsidRPr="00EF2F5B">
        <w:rPr>
          <w:color w:val="000000" w:themeColor="text1"/>
          <w:spacing w:val="0"/>
        </w:rPr>
        <w:noBreakHyphen/>
        <w:t>epoch field measurements provide limited accuracy because they cannot fully capture the range of operational, temporal, and environmental variables affecting outdoor lighting performance. Variations in lamp output, temperature, surface reflectance, atmospheric conditions, and measurement geometry introduce unavoidable uncertainties that cannot be eliminated through one</w:t>
      </w:r>
      <w:r w:rsidRPr="00EF2F5B">
        <w:rPr>
          <w:color w:val="000000" w:themeColor="text1"/>
          <w:spacing w:val="0"/>
        </w:rPr>
        <w:noBreakHyphen/>
        <w:t>time measurements alone.</w:t>
      </w:r>
    </w:p>
    <w:p w14:paraId="41246D52" w14:textId="77777777" w:rsidR="007701ED" w:rsidRPr="00EF2F5B" w:rsidRDefault="007701ED" w:rsidP="007701ED">
      <w:pPr>
        <w:jc w:val="both"/>
        <w:rPr>
          <w:color w:val="000000" w:themeColor="text1"/>
          <w:spacing w:val="0"/>
        </w:rPr>
      </w:pPr>
      <w:r w:rsidRPr="00EF2F5B">
        <w:rPr>
          <w:color w:val="000000" w:themeColor="text1"/>
          <w:spacing w:val="0"/>
        </w:rPr>
        <w:t>In this study, manual measurements and computational analyses show deviations within ±10% under controlled conditions, consistent with accepted tolerances in international standards and validation studies (CIE 198, 2011; EN 13201</w:t>
      </w:r>
      <w:r w:rsidRPr="00EF2F5B">
        <w:rPr>
          <w:color w:val="000000" w:themeColor="text1"/>
          <w:spacing w:val="0"/>
        </w:rPr>
        <w:noBreakHyphen/>
        <w:t>4, 2015; IES RP</w:t>
      </w:r>
      <w:r w:rsidRPr="00EF2F5B">
        <w:rPr>
          <w:color w:val="000000" w:themeColor="text1"/>
          <w:spacing w:val="0"/>
        </w:rPr>
        <w:noBreakHyphen/>
        <w:t>8, 2025; Rusu et al., 2021; University of New Brunswick, 2024). This agreement lies within the combined uncertainty limits associated with instrumentation accuracy, photometric data precision, modelling assumptions, and environmental variability.</w:t>
      </w:r>
    </w:p>
    <w:p w14:paraId="2D82CB3E" w14:textId="77777777" w:rsidR="007701ED" w:rsidRPr="00EF2F5B" w:rsidRDefault="007701ED" w:rsidP="007701ED">
      <w:pPr>
        <w:jc w:val="both"/>
        <w:rPr>
          <w:color w:val="000000" w:themeColor="text1"/>
          <w:spacing w:val="0"/>
        </w:rPr>
      </w:pPr>
      <w:r w:rsidRPr="00EF2F5B">
        <w:rPr>
          <w:color w:val="000000" w:themeColor="text1"/>
          <w:spacing w:val="0"/>
        </w:rPr>
        <w:t>Validation against established standards confirms that the adopted simulation tools reliably reproduce real</w:t>
      </w:r>
      <w:r w:rsidRPr="00EF2F5B">
        <w:rPr>
          <w:color w:val="000000" w:themeColor="text1"/>
          <w:spacing w:val="0"/>
        </w:rPr>
        <w:noBreakHyphen/>
        <w:t>world lighting behaviour under initial conditions (LLF = 1.0). In professional outdoor lighting practice, simulation results within ±10% of field measurements are regarded as functionally equivalent to measured performance.</w:t>
      </w:r>
    </w:p>
    <w:p w14:paraId="0DBBC4F2" w14:textId="77777777" w:rsidR="007701ED" w:rsidRPr="00EF2F5B" w:rsidRDefault="007701ED" w:rsidP="007701ED">
      <w:pPr>
        <w:jc w:val="both"/>
        <w:rPr>
          <w:color w:val="000000" w:themeColor="text1"/>
          <w:spacing w:val="0"/>
        </w:rPr>
      </w:pPr>
      <w:r w:rsidRPr="00EF2F5B">
        <w:rPr>
          <w:color w:val="000000" w:themeColor="text1"/>
          <w:spacing w:val="0"/>
        </w:rPr>
        <w:t>Additional field validation is therefore unnecessary for the objectives of this research. The study prioritises the development of a harmonised standard using the Minimum</w:t>
      </w:r>
      <w:r w:rsidRPr="00EF2F5B">
        <w:rPr>
          <w:color w:val="000000" w:themeColor="text1"/>
          <w:spacing w:val="0"/>
        </w:rPr>
        <w:noBreakHyphen/>
        <w:t>Threshold Convergence (MTC) framework rather than site</w:t>
      </w:r>
      <w:r w:rsidRPr="00EF2F5B">
        <w:rPr>
          <w:color w:val="000000" w:themeColor="text1"/>
          <w:spacing w:val="0"/>
        </w:rPr>
        <w:noBreakHyphen/>
        <w:t>specific compliance verification. The demonstrated consistency with internationally recognised standards and independent field</w:t>
      </w:r>
      <w:r w:rsidRPr="00EF2F5B">
        <w:rPr>
          <w:color w:val="000000" w:themeColor="text1"/>
          <w:spacing w:val="0"/>
        </w:rPr>
        <w:noBreakHyphen/>
        <w:t>validated studies provides sufficient confidence in the accuracy, reliability, and applicability of the proposed methodology.</w:t>
      </w:r>
    </w:p>
    <w:p w14:paraId="72826C64" w14:textId="77777777" w:rsidR="00B9289F" w:rsidRPr="00EF2F5B" w:rsidRDefault="00B9289F" w:rsidP="000629A5">
      <w:pPr>
        <w:spacing w:after="0" w:line="240" w:lineRule="auto"/>
        <w:jc w:val="both"/>
        <w:rPr>
          <w:color w:val="000000" w:themeColor="text1"/>
          <w:spacing w:val="0"/>
          <w:lang w:val="en-ZA" w:bidi="ar-SA"/>
        </w:rPr>
      </w:pPr>
    </w:p>
    <w:p w14:paraId="45A437DE" w14:textId="2C75F44B" w:rsidR="000629A5" w:rsidRPr="00EF2F5B" w:rsidRDefault="008936E7" w:rsidP="00F0093D">
      <w:pPr>
        <w:spacing w:after="0" w:line="240" w:lineRule="auto"/>
        <w:jc w:val="both"/>
        <w:rPr>
          <w:b/>
          <w:bCs/>
          <w:color w:val="000000" w:themeColor="text1"/>
          <w:spacing w:val="0"/>
          <w:lang w:val="en-ZA" w:bidi="ar-SA"/>
        </w:rPr>
      </w:pPr>
      <w:r w:rsidRPr="00EF2F5B">
        <w:rPr>
          <w:b/>
          <w:bCs/>
          <w:color w:val="000000" w:themeColor="text1"/>
          <w:spacing w:val="0"/>
          <w:lang w:val="en-ZA" w:bidi="ar-SA"/>
        </w:rPr>
        <w:t xml:space="preserve">8. </w:t>
      </w:r>
      <w:r w:rsidR="000629A5" w:rsidRPr="00EF2F5B">
        <w:rPr>
          <w:b/>
          <w:bCs/>
          <w:color w:val="000000" w:themeColor="text1"/>
          <w:spacing w:val="0"/>
          <w:lang w:val="en-ZA" w:bidi="ar-SA"/>
        </w:rPr>
        <w:t>CONCLUSION</w:t>
      </w:r>
    </w:p>
    <w:p w14:paraId="1B39B4AF" w14:textId="3CD2FB7F" w:rsidR="00B9289F" w:rsidRPr="00EF2F5B" w:rsidRDefault="00B9289F" w:rsidP="004D0ED7">
      <w:pPr>
        <w:spacing w:before="100" w:beforeAutospacing="1" w:after="100" w:afterAutospacing="1"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This research critically evaluated existing international standards governing </w:t>
      </w:r>
      <w:r w:rsidR="004D0ED7" w:rsidRPr="00EF2F5B">
        <w:rPr>
          <w:rFonts w:eastAsia="Times New Roman"/>
          <w:snapToGrid/>
          <w:color w:val="000000" w:themeColor="text1"/>
          <w:spacing w:val="0"/>
          <w:kern w:val="0"/>
          <w14:ligatures w14:val="none"/>
        </w:rPr>
        <w:t>OTL</w:t>
      </w:r>
      <w:r w:rsidRPr="00EF2F5B">
        <w:rPr>
          <w:rFonts w:eastAsia="Times New Roman"/>
          <w:snapToGrid/>
          <w:color w:val="000000" w:themeColor="text1"/>
          <w:spacing w:val="0"/>
          <w:kern w:val="0"/>
          <w14:ligatures w14:val="none"/>
        </w:rPr>
        <w:t xml:space="preserve"> and identified significant inconsistencies in environmental zoning classifications, vertical illuminance thresholds, curfew provisions, and measurement methodologies. Although all major organisations share the objective of reducing obtrusive light, their divergent numerical limits and assessment approaches hinder global </w:t>
      </w:r>
      <w:r w:rsidR="004D0ED7" w:rsidRPr="00EF2F5B">
        <w:rPr>
          <w:rFonts w:eastAsia="Times New Roman"/>
          <w:snapToGrid/>
          <w:color w:val="000000" w:themeColor="text1"/>
          <w:spacing w:val="0"/>
          <w:kern w:val="0"/>
          <w14:ligatures w14:val="none"/>
        </w:rPr>
        <w:t>harmonisation</w:t>
      </w:r>
      <w:r w:rsidRPr="00EF2F5B">
        <w:rPr>
          <w:rFonts w:eastAsia="Times New Roman"/>
          <w:snapToGrid/>
          <w:color w:val="000000" w:themeColor="text1"/>
          <w:spacing w:val="0"/>
          <w:kern w:val="0"/>
          <w14:ligatures w14:val="none"/>
        </w:rPr>
        <w:t xml:space="preserve"> and complicate professional practice.</w:t>
      </w:r>
    </w:p>
    <w:p w14:paraId="0FD5674F" w14:textId="7CCA9FCC" w:rsidR="00B9289F" w:rsidRPr="00EF2F5B" w:rsidRDefault="00B9289F" w:rsidP="004D0ED7">
      <w:pPr>
        <w:spacing w:before="100" w:beforeAutospacing="1" w:after="100" w:afterAutospacing="1"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By adopting a “worst-case scenario” methodology—selecting the lowest permissible vertical illuminance thresholds across established standards—this study developed a unified, conservative framework that satisfies all major regulatory bodies while simplifying implementation. The resulting unified OL zoning system (LZ1–LZ4) provides consistent maximum limits of 1, 3, 8, and 15 lux</w:t>
      </w:r>
      <w:r w:rsidR="004D0ED7" w:rsidRPr="00EF2F5B">
        <w:rPr>
          <w:rFonts w:eastAsia="Times New Roman"/>
          <w:snapToGrid/>
          <w:color w:val="000000" w:themeColor="text1"/>
          <w:spacing w:val="0"/>
          <w:kern w:val="0"/>
          <w14:ligatures w14:val="none"/>
        </w:rPr>
        <w:t>,</w:t>
      </w:r>
      <w:r w:rsidRPr="00EF2F5B">
        <w:rPr>
          <w:rFonts w:eastAsia="Times New Roman"/>
          <w:snapToGrid/>
          <w:color w:val="000000" w:themeColor="text1"/>
          <w:spacing w:val="0"/>
          <w:kern w:val="0"/>
          <w14:ligatures w14:val="none"/>
        </w:rPr>
        <w:t xml:space="preserve"> respectively, ensuring international compatibility without weakening existing protections.</w:t>
      </w:r>
    </w:p>
    <w:p w14:paraId="4D8AEA5C" w14:textId="77777777" w:rsidR="00DD6941" w:rsidRPr="00EF2F5B" w:rsidRDefault="00DD6941" w:rsidP="00DD6941">
      <w:pPr>
        <w:rPr>
          <w:color w:val="000000" w:themeColor="text1"/>
          <w:spacing w:val="0"/>
        </w:rPr>
      </w:pPr>
      <w:r w:rsidRPr="00EF2F5B">
        <w:rPr>
          <w:color w:val="000000" w:themeColor="text1"/>
          <w:spacing w:val="0"/>
        </w:rPr>
        <w:t>The framework:</w:t>
      </w:r>
    </w:p>
    <w:p w14:paraId="654DB478" w14:textId="77777777" w:rsidR="00DD6941" w:rsidRPr="00EF2F5B" w:rsidRDefault="00DD6941" w:rsidP="00DD6941">
      <w:pPr>
        <w:pStyle w:val="ListParagraph"/>
        <w:numPr>
          <w:ilvl w:val="0"/>
          <w:numId w:val="17"/>
        </w:numPr>
        <w:rPr>
          <w:color w:val="000000" w:themeColor="text1"/>
          <w:spacing w:val="0"/>
        </w:rPr>
      </w:pPr>
      <w:r w:rsidRPr="00EF2F5B">
        <w:rPr>
          <w:color w:val="000000" w:themeColor="text1"/>
          <w:spacing w:val="0"/>
        </w:rPr>
        <w:t>Maintains compatibility with all major standards</w:t>
      </w:r>
    </w:p>
    <w:p w14:paraId="711152C2" w14:textId="77777777" w:rsidR="00DD6941" w:rsidRPr="00EF2F5B" w:rsidRDefault="00DD6941" w:rsidP="00DD6941">
      <w:pPr>
        <w:pStyle w:val="ListParagraph"/>
        <w:numPr>
          <w:ilvl w:val="0"/>
          <w:numId w:val="17"/>
        </w:numPr>
        <w:rPr>
          <w:color w:val="000000" w:themeColor="text1"/>
          <w:spacing w:val="0"/>
        </w:rPr>
      </w:pPr>
      <w:r w:rsidRPr="00EF2F5B">
        <w:rPr>
          <w:color w:val="000000" w:themeColor="text1"/>
          <w:spacing w:val="0"/>
        </w:rPr>
        <w:t>Preserves environmental protection</w:t>
      </w:r>
    </w:p>
    <w:p w14:paraId="40A0BD49" w14:textId="77777777" w:rsidR="00DD6941" w:rsidRPr="00EF2F5B" w:rsidRDefault="00DD6941" w:rsidP="00DD6941">
      <w:pPr>
        <w:pStyle w:val="ListParagraph"/>
        <w:numPr>
          <w:ilvl w:val="0"/>
          <w:numId w:val="17"/>
        </w:numPr>
        <w:rPr>
          <w:color w:val="000000" w:themeColor="text1"/>
          <w:spacing w:val="0"/>
        </w:rPr>
      </w:pPr>
      <w:r w:rsidRPr="00EF2F5B">
        <w:rPr>
          <w:color w:val="000000" w:themeColor="text1"/>
          <w:spacing w:val="0"/>
        </w:rPr>
        <w:t>Enhances regulatory clarity</w:t>
      </w:r>
    </w:p>
    <w:p w14:paraId="718A6711" w14:textId="77777777" w:rsidR="00DD6941" w:rsidRPr="00EF2F5B" w:rsidRDefault="00DD6941" w:rsidP="00DD6941">
      <w:pPr>
        <w:pStyle w:val="ListParagraph"/>
        <w:numPr>
          <w:ilvl w:val="0"/>
          <w:numId w:val="17"/>
        </w:numPr>
        <w:rPr>
          <w:color w:val="000000" w:themeColor="text1"/>
          <w:spacing w:val="0"/>
        </w:rPr>
      </w:pPr>
      <w:r w:rsidRPr="00EF2F5B">
        <w:rPr>
          <w:color w:val="000000" w:themeColor="text1"/>
          <w:spacing w:val="0"/>
        </w:rPr>
        <w:t>Reduces institutional fragmentation</w:t>
      </w:r>
    </w:p>
    <w:p w14:paraId="65A0F74D" w14:textId="77777777" w:rsidR="00DD6941" w:rsidRPr="00EF2F5B" w:rsidRDefault="00DD6941" w:rsidP="00DD6941">
      <w:pPr>
        <w:pStyle w:val="ListParagraph"/>
        <w:numPr>
          <w:ilvl w:val="0"/>
          <w:numId w:val="17"/>
        </w:numPr>
        <w:rPr>
          <w:color w:val="000000" w:themeColor="text1"/>
          <w:spacing w:val="0"/>
        </w:rPr>
      </w:pPr>
      <w:r w:rsidRPr="00EF2F5B">
        <w:rPr>
          <w:color w:val="000000" w:themeColor="text1"/>
          <w:spacing w:val="0"/>
        </w:rPr>
        <w:t>Provides an implementation-ready municipal template</w:t>
      </w:r>
    </w:p>
    <w:p w14:paraId="6B3C3630" w14:textId="77777777" w:rsidR="00DD6941" w:rsidRPr="00EF2F5B" w:rsidRDefault="00DD6941" w:rsidP="00DD6941">
      <w:pPr>
        <w:jc w:val="both"/>
        <w:rPr>
          <w:color w:val="000000" w:themeColor="text1"/>
          <w:spacing w:val="0"/>
        </w:rPr>
      </w:pPr>
      <w:r w:rsidRPr="00EF2F5B">
        <w:rPr>
          <w:color w:val="000000" w:themeColor="text1"/>
          <w:spacing w:val="0"/>
        </w:rPr>
        <w:t>The harmonisation of OTL thresholds represents a substantive advancement in sustainable nighttime environmental governance, demonstrating how technical standard convergence can strengthen both environmental protection and institutional efficiency.</w:t>
      </w:r>
    </w:p>
    <w:p w14:paraId="6A8BA29B" w14:textId="4FA1EC2F" w:rsidR="00B9289F" w:rsidRPr="00EF2F5B" w:rsidRDefault="00D368AA" w:rsidP="004D0ED7">
      <w:pPr>
        <w:spacing w:before="100" w:beforeAutospacing="1" w:after="100" w:afterAutospacing="1"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T</w:t>
      </w:r>
      <w:r w:rsidR="00B9289F" w:rsidRPr="00EF2F5B">
        <w:rPr>
          <w:rFonts w:eastAsia="Times New Roman"/>
          <w:snapToGrid/>
          <w:color w:val="000000" w:themeColor="text1"/>
          <w:spacing w:val="0"/>
          <w:kern w:val="0"/>
          <w14:ligatures w14:val="none"/>
        </w:rPr>
        <w:t xml:space="preserve">his study contributes to </w:t>
      </w:r>
      <w:r w:rsidR="00FB5B73" w:rsidRPr="00EF2F5B">
        <w:rPr>
          <w:rFonts w:eastAsia="Times New Roman"/>
          <w:snapToGrid/>
          <w:color w:val="000000" w:themeColor="text1"/>
          <w:spacing w:val="0"/>
          <w:kern w:val="0"/>
          <w14:ligatures w14:val="none"/>
        </w:rPr>
        <w:t>global</w:t>
      </w:r>
      <w:r w:rsidR="00B9289F" w:rsidRPr="00EF2F5B">
        <w:rPr>
          <w:rFonts w:eastAsia="Times New Roman"/>
          <w:snapToGrid/>
          <w:color w:val="000000" w:themeColor="text1"/>
          <w:spacing w:val="0"/>
          <w:kern w:val="0"/>
          <w14:ligatures w14:val="none"/>
        </w:rPr>
        <w:t xml:space="preserve"> discourse by:</w:t>
      </w:r>
    </w:p>
    <w:p w14:paraId="09EA0514" w14:textId="77777777" w:rsidR="00B9289F" w:rsidRPr="00EF2F5B" w:rsidRDefault="00B9289F" w:rsidP="004D0ED7">
      <w:pPr>
        <w:numPr>
          <w:ilvl w:val="0"/>
          <w:numId w:val="6"/>
        </w:numPr>
        <w:spacing w:before="100" w:beforeAutospacing="1" w:after="100" w:afterAutospacing="1"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Providing a harmonised regulatory framework adaptable across jurisdictions.</w:t>
      </w:r>
    </w:p>
    <w:p w14:paraId="0FD72942" w14:textId="77777777" w:rsidR="00B9289F" w:rsidRPr="00EF2F5B" w:rsidRDefault="00B9289F" w:rsidP="004D0ED7">
      <w:pPr>
        <w:numPr>
          <w:ilvl w:val="0"/>
          <w:numId w:val="6"/>
        </w:numPr>
        <w:spacing w:before="100" w:beforeAutospacing="1" w:after="100" w:afterAutospacing="1"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Offering municipalities a defensible, evidence-based OTL evaluation method.</w:t>
      </w:r>
    </w:p>
    <w:p w14:paraId="5227B972" w14:textId="402CDC3F" w:rsidR="00B9289F" w:rsidRPr="00EF2F5B" w:rsidRDefault="00B9289F" w:rsidP="004D0ED7">
      <w:pPr>
        <w:spacing w:before="100" w:beforeAutospacing="1" w:after="100" w:afterAutospacing="1"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Future research should </w:t>
      </w:r>
      <w:r w:rsidR="00D368AA" w:rsidRPr="00EF2F5B">
        <w:rPr>
          <w:rFonts w:eastAsia="Times New Roman"/>
          <w:snapToGrid/>
          <w:color w:val="000000" w:themeColor="text1"/>
          <w:spacing w:val="0"/>
          <w:kern w:val="0"/>
          <w14:ligatures w14:val="none"/>
        </w:rPr>
        <w:t>integrate</w:t>
      </w:r>
      <w:r w:rsidRPr="00EF2F5B">
        <w:rPr>
          <w:rFonts w:eastAsia="Times New Roman"/>
          <w:snapToGrid/>
          <w:color w:val="000000" w:themeColor="text1"/>
          <w:spacing w:val="0"/>
          <w:kern w:val="0"/>
          <w14:ligatures w14:val="none"/>
        </w:rPr>
        <w:t xml:space="preserve"> adaptive lighting technologies</w:t>
      </w:r>
      <w:r w:rsidR="00D368AA" w:rsidRPr="00EF2F5B">
        <w:rPr>
          <w:rFonts w:eastAsia="Times New Roman"/>
          <w:snapToGrid/>
          <w:color w:val="000000" w:themeColor="text1"/>
          <w:spacing w:val="0"/>
          <w:kern w:val="0"/>
          <w14:ligatures w14:val="none"/>
        </w:rPr>
        <w:t xml:space="preserve">. </w:t>
      </w:r>
      <w:r w:rsidRPr="00EF2F5B">
        <w:rPr>
          <w:rFonts w:eastAsia="Times New Roman"/>
          <w:snapToGrid/>
          <w:color w:val="000000" w:themeColor="text1"/>
          <w:spacing w:val="0"/>
          <w:kern w:val="0"/>
          <w14:ligatures w14:val="none"/>
        </w:rPr>
        <w:t>The development of a unified international standard for OTL represents a critical step toward sustainable nighttime lighting—balancing safety, environmental stewardship, and human well-being.</w:t>
      </w:r>
    </w:p>
    <w:p w14:paraId="0EE8EFB9" w14:textId="77777777" w:rsidR="00843436" w:rsidRPr="00EF2F5B" w:rsidRDefault="00843436" w:rsidP="00843436">
      <w:pPr>
        <w:keepNext/>
        <w:keepLines/>
        <w:spacing w:after="0" w:line="240" w:lineRule="auto"/>
        <w:jc w:val="both"/>
        <w:outlineLvl w:val="0"/>
        <w:rPr>
          <w:rFonts w:eastAsia="MS Mincho"/>
          <w:b/>
          <w:bCs/>
          <w:snapToGrid/>
          <w:color w:val="000000" w:themeColor="text1"/>
          <w:spacing w:val="0"/>
          <w:kern w:val="0"/>
          <w:lang w:bidi="ar-SA"/>
          <w14:ligatures w14:val="none"/>
        </w:rPr>
      </w:pPr>
      <w:r w:rsidRPr="00EF2F5B">
        <w:rPr>
          <w:rFonts w:eastAsia="MS Mincho"/>
          <w:b/>
          <w:bCs/>
          <w:snapToGrid/>
          <w:color w:val="000000" w:themeColor="text1"/>
          <w:spacing w:val="0"/>
          <w:kern w:val="0"/>
          <w:lang w:bidi="ar-SA"/>
          <w14:ligatures w14:val="none"/>
        </w:rPr>
        <w:t>DISCLAIMER (ARTIFICIAL INTELLIGENCE)</w:t>
      </w:r>
    </w:p>
    <w:p w14:paraId="19414FDF" w14:textId="77777777" w:rsidR="00843436" w:rsidRPr="00EF2F5B" w:rsidRDefault="00843436" w:rsidP="00843436">
      <w:pPr>
        <w:keepNext/>
        <w:keepLines/>
        <w:spacing w:after="0" w:line="240" w:lineRule="auto"/>
        <w:jc w:val="both"/>
        <w:outlineLvl w:val="0"/>
        <w:rPr>
          <w:rFonts w:eastAsia="Times New Roman"/>
          <w:b/>
          <w:bCs/>
          <w:snapToGrid/>
          <w:color w:val="000000" w:themeColor="text1"/>
          <w:spacing w:val="0"/>
          <w:kern w:val="0"/>
          <w:lang w:eastAsia="en-GB" w:bidi="ar-SA"/>
          <w14:ligatures w14:val="none"/>
        </w:rPr>
      </w:pPr>
    </w:p>
    <w:p w14:paraId="79A1D24F" w14:textId="788DB39B" w:rsidR="00843436" w:rsidRPr="00EF2F5B" w:rsidRDefault="00843436" w:rsidP="00843436">
      <w:pPr>
        <w:spacing w:after="0" w:line="240" w:lineRule="auto"/>
        <w:jc w:val="both"/>
        <w:rPr>
          <w:rFonts w:eastAsia="MS Mincho"/>
          <w:snapToGrid/>
          <w:color w:val="000000" w:themeColor="text1"/>
          <w:spacing w:val="0"/>
          <w:kern w:val="0"/>
          <w:lang w:bidi="ar-SA"/>
          <w14:ligatures w14:val="none"/>
        </w:rPr>
      </w:pPr>
      <w:r w:rsidRPr="00EF2F5B">
        <w:rPr>
          <w:rFonts w:eastAsia="MS Mincho"/>
          <w:snapToGrid/>
          <w:color w:val="000000" w:themeColor="text1"/>
          <w:spacing w:val="0"/>
          <w:kern w:val="0"/>
          <w:lang w:bidi="ar-SA"/>
          <w14:ligatures w14:val="none"/>
        </w:rPr>
        <w:t xml:space="preserve">The author(s) hereby declare that NO generative AI technologies such as Large Language Models (ChatGPT, COPILOT, etc.) and text-to-image generators have been used during the writing or editing of this manuscript. </w:t>
      </w:r>
    </w:p>
    <w:p w14:paraId="500E18A9" w14:textId="77777777" w:rsidR="00843436" w:rsidRPr="00EF2F5B" w:rsidRDefault="00843436" w:rsidP="00843436">
      <w:pPr>
        <w:spacing w:after="0" w:line="240" w:lineRule="auto"/>
        <w:jc w:val="both"/>
        <w:rPr>
          <w:rFonts w:eastAsia="MS Mincho"/>
          <w:snapToGrid/>
          <w:color w:val="000000" w:themeColor="text1"/>
          <w:spacing w:val="0"/>
          <w:kern w:val="0"/>
          <w:lang w:bidi="ar-SA"/>
          <w14:ligatures w14:val="none"/>
        </w:rPr>
      </w:pPr>
    </w:p>
    <w:p w14:paraId="47D4DDE4" w14:textId="77777777" w:rsidR="00843436" w:rsidRPr="00EF2F5B" w:rsidRDefault="00843436" w:rsidP="00843436">
      <w:pPr>
        <w:keepNext/>
        <w:spacing w:after="0" w:line="240" w:lineRule="auto"/>
        <w:jc w:val="both"/>
        <w:rPr>
          <w:rFonts w:eastAsia="Times New Roman"/>
          <w:b/>
          <w:bCs/>
          <w:caps/>
          <w:snapToGrid/>
          <w:color w:val="000000" w:themeColor="text1"/>
          <w:spacing w:val="0"/>
          <w:kern w:val="0"/>
          <w:lang w:bidi="ar-SA"/>
          <w14:ligatures w14:val="none"/>
        </w:rPr>
      </w:pPr>
      <w:r w:rsidRPr="00EF2F5B">
        <w:rPr>
          <w:rFonts w:eastAsia="Times New Roman"/>
          <w:b/>
          <w:bCs/>
          <w:caps/>
          <w:snapToGrid/>
          <w:color w:val="000000" w:themeColor="text1"/>
          <w:spacing w:val="0"/>
          <w:kern w:val="0"/>
          <w:lang w:bidi="ar-SA"/>
          <w14:ligatures w14:val="none"/>
        </w:rPr>
        <w:t>Competing interests</w:t>
      </w:r>
    </w:p>
    <w:p w14:paraId="4C514D24" w14:textId="77777777" w:rsidR="00843436" w:rsidRPr="00EF2F5B" w:rsidRDefault="00843436" w:rsidP="00843436">
      <w:pPr>
        <w:keepNext/>
        <w:spacing w:after="0" w:line="240" w:lineRule="auto"/>
        <w:rPr>
          <w:rFonts w:eastAsia="Times New Roman"/>
          <w:b/>
          <w:caps/>
          <w:snapToGrid/>
          <w:color w:val="000000" w:themeColor="text1"/>
          <w:spacing w:val="0"/>
          <w:kern w:val="0"/>
          <w:lang w:bidi="ar-SA"/>
          <w14:ligatures w14:val="none"/>
        </w:rPr>
      </w:pPr>
    </w:p>
    <w:p w14:paraId="66094BB2" w14:textId="77777777" w:rsidR="00843436" w:rsidRPr="00EF2F5B" w:rsidRDefault="00843436" w:rsidP="00843436">
      <w:pPr>
        <w:keepNext/>
        <w:spacing w:after="0" w:line="240" w:lineRule="auto"/>
        <w:jc w:val="both"/>
        <w:rPr>
          <w:rFonts w:eastAsia="Times New Roman"/>
          <w:snapToGrid/>
          <w:color w:val="000000" w:themeColor="text1"/>
          <w:spacing w:val="0"/>
          <w:kern w:val="0"/>
          <w:lang w:bidi="ar-SA"/>
          <w14:ligatures w14:val="none"/>
        </w:rPr>
      </w:pPr>
      <w:r w:rsidRPr="00EF2F5B">
        <w:rPr>
          <w:rFonts w:eastAsia="Times New Roman"/>
          <w:snapToGrid/>
          <w:color w:val="000000" w:themeColor="text1"/>
          <w:spacing w:val="0"/>
          <w:kern w:val="0"/>
          <w:lang w:bidi="ar-SA"/>
          <w14:ligatures w14:val="none"/>
        </w:rPr>
        <w:t>The author has declared that no competing interests exist.</w:t>
      </w:r>
    </w:p>
    <w:p w14:paraId="78BB96C8" w14:textId="77777777" w:rsidR="00843436" w:rsidRPr="00EF2F5B" w:rsidRDefault="00843436" w:rsidP="00F0093D">
      <w:pPr>
        <w:spacing w:after="0" w:line="240" w:lineRule="auto"/>
        <w:jc w:val="both"/>
        <w:rPr>
          <w:color w:val="000000" w:themeColor="text1"/>
          <w:spacing w:val="0"/>
        </w:rPr>
      </w:pPr>
    </w:p>
    <w:p w14:paraId="716BD2C0" w14:textId="29A7843D" w:rsidR="00843436" w:rsidRPr="00EF2F5B" w:rsidRDefault="002536CE" w:rsidP="00F0093D">
      <w:pPr>
        <w:spacing w:after="0" w:line="240" w:lineRule="auto"/>
        <w:jc w:val="both"/>
        <w:rPr>
          <w:b/>
          <w:bCs/>
          <w:color w:val="000000" w:themeColor="text1"/>
          <w:spacing w:val="0"/>
        </w:rPr>
      </w:pPr>
      <w:r w:rsidRPr="00EF2F5B">
        <w:rPr>
          <w:b/>
          <w:bCs/>
          <w:color w:val="000000" w:themeColor="text1"/>
          <w:spacing w:val="0"/>
        </w:rPr>
        <w:t>REFERENCE</w:t>
      </w:r>
      <w:r w:rsidR="00843436" w:rsidRPr="00EF2F5B">
        <w:rPr>
          <w:b/>
          <w:bCs/>
          <w:color w:val="000000" w:themeColor="text1"/>
          <w:spacing w:val="0"/>
        </w:rPr>
        <w:t>:</w:t>
      </w:r>
    </w:p>
    <w:p w14:paraId="28602DDF" w14:textId="77777777" w:rsidR="00DD6941" w:rsidRPr="00EF2F5B" w:rsidRDefault="00DD6941" w:rsidP="00F0093D">
      <w:pPr>
        <w:spacing w:after="0" w:line="240" w:lineRule="auto"/>
        <w:jc w:val="both"/>
        <w:rPr>
          <w:b/>
          <w:bCs/>
          <w:color w:val="000000" w:themeColor="text1"/>
          <w:spacing w:val="0"/>
        </w:rPr>
      </w:pPr>
    </w:p>
    <w:p w14:paraId="2CF87DB0" w14:textId="77777777" w:rsidR="00051C4D" w:rsidRPr="00EF2F5B" w:rsidRDefault="00051C4D" w:rsidP="00051C4D">
      <w:pPr>
        <w:spacing w:after="0" w:line="240" w:lineRule="auto"/>
        <w:jc w:val="both"/>
        <w:rPr>
          <w:color w:val="000000" w:themeColor="text1"/>
          <w:spacing w:val="0"/>
        </w:rPr>
      </w:pPr>
      <w:r w:rsidRPr="00EF2F5B">
        <w:rPr>
          <w:color w:val="000000" w:themeColor="text1"/>
          <w:spacing w:val="0"/>
        </w:rPr>
        <w:t xml:space="preserve">Abbott, K. W., &amp; Snidal, D. (2001). International standards and international governance. Journal of European Public Policy, 8(3), 345–370. Available at: </w:t>
      </w:r>
      <w:hyperlink r:id="rId14" w:history="1">
        <w:r w:rsidRPr="00EF2F5B">
          <w:rPr>
            <w:rStyle w:val="Hyperlink"/>
            <w:color w:val="000000" w:themeColor="text1"/>
            <w:spacing w:val="0"/>
          </w:rPr>
          <w:t>https://doi.org/10.1080/13501760110056052</w:t>
        </w:r>
      </w:hyperlink>
      <w:r w:rsidRPr="00EF2F5B">
        <w:rPr>
          <w:color w:val="000000" w:themeColor="text1"/>
          <w:spacing w:val="0"/>
        </w:rPr>
        <w:t>.  (Accessed: 28 September 2025).</w:t>
      </w:r>
    </w:p>
    <w:p w14:paraId="2450C06D" w14:textId="77777777" w:rsidR="00553C72" w:rsidRPr="00EF2F5B" w:rsidRDefault="00553C72" w:rsidP="00051C4D">
      <w:pPr>
        <w:spacing w:after="0" w:line="240" w:lineRule="auto"/>
        <w:jc w:val="both"/>
        <w:rPr>
          <w:color w:val="000000" w:themeColor="text1"/>
          <w:spacing w:val="0"/>
        </w:rPr>
      </w:pPr>
    </w:p>
    <w:p w14:paraId="66F6CFFF" w14:textId="6FA3751E" w:rsidR="00553C72" w:rsidRPr="00EF2F5B" w:rsidRDefault="00553C72" w:rsidP="00553C72">
      <w:pPr>
        <w:spacing w:after="0"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Alexandros Sagkriotis (2025). Advancing real-world evidence harmonisation: lessons from the UK, EMA and global policy frameworks. (2026) Journal of Comparative Effectiveness Research. </w:t>
      </w:r>
      <w:hyperlink r:id="rId15" w:history="1">
        <w:r w:rsidRPr="00EF2F5B">
          <w:rPr>
            <w:rStyle w:val="Hyperlink"/>
            <w:rFonts w:eastAsia="Times New Roman"/>
            <w:snapToGrid/>
            <w:color w:val="000000" w:themeColor="text1"/>
            <w:spacing w:val="0"/>
            <w:kern w:val="0"/>
            <w14:ligatures w14:val="none"/>
          </w:rPr>
          <w:t>https://doi.org/10.57264/cer-2025-0183</w:t>
        </w:r>
      </w:hyperlink>
      <w:r w:rsidRPr="00EF2F5B">
        <w:rPr>
          <w:rFonts w:eastAsia="Times New Roman"/>
          <w:snapToGrid/>
          <w:color w:val="000000" w:themeColor="text1"/>
          <w:spacing w:val="0"/>
          <w:kern w:val="0"/>
          <w14:ligatures w14:val="none"/>
        </w:rPr>
        <w:t xml:space="preserve">  </w:t>
      </w:r>
    </w:p>
    <w:p w14:paraId="25965A7B" w14:textId="77777777" w:rsidR="00553C72" w:rsidRPr="00EF2F5B" w:rsidRDefault="00553C72" w:rsidP="00553C72">
      <w:pPr>
        <w:spacing w:after="0" w:line="240" w:lineRule="auto"/>
        <w:jc w:val="both"/>
        <w:rPr>
          <w:rFonts w:eastAsia="Times New Roman"/>
          <w:snapToGrid/>
          <w:color w:val="000000" w:themeColor="text1"/>
          <w:spacing w:val="0"/>
          <w:kern w:val="0"/>
          <w14:ligatures w14:val="none"/>
        </w:rPr>
      </w:pPr>
    </w:p>
    <w:p w14:paraId="61CBFADF" w14:textId="77777777" w:rsidR="00051C4D" w:rsidRPr="00EF2F5B" w:rsidRDefault="00051C4D" w:rsidP="00051C4D">
      <w:pPr>
        <w:spacing w:after="0" w:line="240" w:lineRule="auto"/>
        <w:jc w:val="both"/>
        <w:rPr>
          <w:rFonts w:eastAsia="Calibri"/>
          <w:snapToGrid/>
          <w:color w:val="000000" w:themeColor="text1"/>
          <w:spacing w:val="0"/>
          <w:kern w:val="0"/>
          <w:lang w:val="en-GB"/>
          <w14:ligatures w14:val="none"/>
        </w:rPr>
      </w:pPr>
      <w:bookmarkStart w:id="71" w:name="_Hlk122855906"/>
      <w:r w:rsidRPr="00EF2F5B">
        <w:rPr>
          <w:rFonts w:eastAsia="Calibri"/>
          <w:snapToGrid/>
          <w:color w:val="000000" w:themeColor="text1"/>
          <w:spacing w:val="0"/>
          <w:kern w:val="0"/>
          <w:lang w:val="en-GB"/>
          <w14:ligatures w14:val="none"/>
        </w:rPr>
        <w:t xml:space="preserve">American Medical Association (AMA) (2016) </w:t>
      </w:r>
      <w:bookmarkEnd w:id="71"/>
      <w:r w:rsidRPr="00EF2F5B">
        <w:rPr>
          <w:rFonts w:eastAsia="Calibri"/>
          <w:i/>
          <w:iCs/>
          <w:snapToGrid/>
          <w:color w:val="000000" w:themeColor="text1"/>
          <w:spacing w:val="0"/>
          <w:kern w:val="0"/>
          <w:lang w:val="en-GB"/>
          <w14:ligatures w14:val="none"/>
        </w:rPr>
        <w:t>AMA Adopts Community Guidance to Reduce the Harmful Human and Environmental Effects of High Intensity LED Street Lighting.</w:t>
      </w:r>
      <w:r w:rsidRPr="00EF2F5B">
        <w:rPr>
          <w:rFonts w:eastAsia="Calibri"/>
          <w:snapToGrid/>
          <w:color w:val="000000" w:themeColor="text1"/>
          <w:spacing w:val="0"/>
          <w:kern w:val="0"/>
          <w:lang w:val="en-GB"/>
          <w14:ligatures w14:val="none"/>
        </w:rPr>
        <w:t xml:space="preserve"> Available at: </w:t>
      </w:r>
      <w:hyperlink r:id="rId16" w:history="1">
        <w:r w:rsidRPr="00EF2F5B">
          <w:rPr>
            <w:rFonts w:eastAsia="Calibri"/>
            <w:snapToGrid/>
            <w:color w:val="000000" w:themeColor="text1"/>
            <w:spacing w:val="0"/>
            <w:kern w:val="0"/>
            <w:u w:val="single"/>
            <w:lang w:val="en-GB"/>
            <w14:ligatures w14:val="none"/>
          </w:rPr>
          <w:t>https://www.ama-assn.org/press-center/press-releases/ama-adopts-guidance-reduce-harm-high-intensity-street-lights</w:t>
        </w:r>
      </w:hyperlink>
      <w:r w:rsidRPr="00EF2F5B">
        <w:rPr>
          <w:rFonts w:eastAsia="Calibri"/>
          <w:snapToGrid/>
          <w:color w:val="000000" w:themeColor="text1"/>
          <w:spacing w:val="0"/>
          <w:kern w:val="0"/>
          <w:lang w:val="en-GB"/>
          <w14:ligatures w14:val="none"/>
        </w:rPr>
        <w:t xml:space="preserve">  (Accessed: 28 February 2021).</w:t>
      </w:r>
    </w:p>
    <w:p w14:paraId="2A6CC2EA" w14:textId="77777777" w:rsidR="00592D38" w:rsidRPr="00EF2F5B" w:rsidRDefault="00592D38" w:rsidP="00F0093D">
      <w:pPr>
        <w:spacing w:after="0" w:line="240" w:lineRule="auto"/>
        <w:jc w:val="both"/>
        <w:rPr>
          <w:b/>
          <w:bCs/>
          <w:color w:val="000000" w:themeColor="text1"/>
          <w:spacing w:val="0"/>
        </w:rPr>
      </w:pPr>
    </w:p>
    <w:p w14:paraId="67A3FE11" w14:textId="3BFEF084" w:rsidR="00DD6941" w:rsidRPr="00EF2F5B" w:rsidRDefault="00DD6941" w:rsidP="002C0DCC">
      <w:pPr>
        <w:spacing w:after="0" w:line="240" w:lineRule="auto"/>
        <w:jc w:val="both"/>
        <w:rPr>
          <w:color w:val="000000" w:themeColor="text1"/>
          <w:spacing w:val="0"/>
        </w:rPr>
      </w:pPr>
      <w:r w:rsidRPr="00EF2F5B">
        <w:rPr>
          <w:color w:val="000000" w:themeColor="text1"/>
          <w:spacing w:val="0"/>
        </w:rPr>
        <w:t xml:space="preserve">Blind, K. (2013). The impact of </w:t>
      </w:r>
      <w:r w:rsidR="00592D38" w:rsidRPr="00EF2F5B">
        <w:rPr>
          <w:color w:val="000000" w:themeColor="text1"/>
          <w:spacing w:val="0"/>
        </w:rPr>
        <w:t>standardisation</w:t>
      </w:r>
      <w:r w:rsidRPr="00EF2F5B">
        <w:rPr>
          <w:color w:val="000000" w:themeColor="text1"/>
          <w:spacing w:val="0"/>
        </w:rPr>
        <w:t xml:space="preserve"> and standards on innovation. In J. Edler, P. Cunningham, A. Gök, &amp; P. Shapira (Eds.), Handbook of Innovation Policy Impact. Edward Elgar Publishing.</w:t>
      </w:r>
      <w:r w:rsidR="00225E24" w:rsidRPr="00EF2F5B">
        <w:rPr>
          <w:color w:val="000000" w:themeColor="text1"/>
          <w:spacing w:val="0"/>
        </w:rPr>
        <w:t xml:space="preserve"> Available at:     </w:t>
      </w:r>
      <w:hyperlink r:id="rId17" w:history="1">
        <w:r w:rsidR="00225E24" w:rsidRPr="00EF2F5B">
          <w:rPr>
            <w:rStyle w:val="Hyperlink"/>
            <w:color w:val="000000" w:themeColor="text1"/>
            <w:spacing w:val="0"/>
          </w:rPr>
          <w:t>https://ideas.repec.org/h/elg/eechap/16121_14.html</w:t>
        </w:r>
      </w:hyperlink>
      <w:r w:rsidR="00225E24" w:rsidRPr="00EF2F5B">
        <w:rPr>
          <w:color w:val="000000" w:themeColor="text1"/>
          <w:spacing w:val="0"/>
        </w:rPr>
        <w:t xml:space="preserve"> (Accessed: 28 September 2025). </w:t>
      </w:r>
    </w:p>
    <w:p w14:paraId="6061B170" w14:textId="77777777" w:rsidR="00051C4D" w:rsidRPr="00EF2F5B" w:rsidRDefault="00051C4D" w:rsidP="002C0DCC">
      <w:pPr>
        <w:spacing w:after="0" w:line="240" w:lineRule="auto"/>
        <w:jc w:val="both"/>
        <w:rPr>
          <w:color w:val="000000" w:themeColor="text1"/>
          <w:spacing w:val="0"/>
        </w:rPr>
      </w:pPr>
    </w:p>
    <w:p w14:paraId="71DC41D8" w14:textId="77777777" w:rsidR="00051C4D" w:rsidRPr="00EF2F5B" w:rsidRDefault="00051C4D" w:rsidP="00051C4D">
      <w:pPr>
        <w:spacing w:after="0" w:line="240" w:lineRule="auto"/>
        <w:jc w:val="both"/>
        <w:rPr>
          <w:rFonts w:eastAsia="Calibri"/>
          <w:snapToGrid/>
          <w:color w:val="000000" w:themeColor="text1"/>
          <w:spacing w:val="0"/>
          <w:kern w:val="0"/>
          <w:lang w:val="en-GB"/>
          <w14:ligatures w14:val="none"/>
        </w:rPr>
      </w:pPr>
      <w:r w:rsidRPr="00EF2F5B">
        <w:rPr>
          <w:rFonts w:eastAsia="Calibri"/>
          <w:snapToGrid/>
          <w:color w:val="000000" w:themeColor="text1"/>
          <w:spacing w:val="0"/>
          <w:kern w:val="0"/>
          <w:lang w:val="en-GB"/>
          <w14:ligatures w14:val="none"/>
        </w:rPr>
        <w:t>Boyko Y, Jennum P, Toft P. (2017) Sleep quality and circadian rhythm disruption in the intensive care unit: a review. Nat Sci Sleep. 2017 Nov 10</w:t>
      </w:r>
      <w:proofErr w:type="gramStart"/>
      <w:r w:rsidRPr="00EF2F5B">
        <w:rPr>
          <w:rFonts w:eastAsia="Calibri"/>
          <w:snapToGrid/>
          <w:color w:val="000000" w:themeColor="text1"/>
          <w:spacing w:val="0"/>
          <w:kern w:val="0"/>
          <w:lang w:val="en-GB"/>
          <w14:ligatures w14:val="none"/>
        </w:rPr>
        <w:t>;9:277</w:t>
      </w:r>
      <w:proofErr w:type="gramEnd"/>
      <w:r w:rsidRPr="00EF2F5B">
        <w:rPr>
          <w:rFonts w:eastAsia="Calibri"/>
          <w:snapToGrid/>
          <w:color w:val="000000" w:themeColor="text1"/>
          <w:spacing w:val="0"/>
          <w:kern w:val="0"/>
          <w:lang w:val="en-GB"/>
          <w14:ligatures w14:val="none"/>
        </w:rPr>
        <w:t xml:space="preserve">-284. Available At: </w:t>
      </w:r>
      <w:hyperlink r:id="rId18" w:history="1">
        <w:r w:rsidRPr="00EF2F5B">
          <w:rPr>
            <w:rFonts w:eastAsia="Calibri"/>
            <w:snapToGrid/>
            <w:color w:val="000000" w:themeColor="text1"/>
            <w:spacing w:val="0"/>
            <w:kern w:val="0"/>
            <w:u w:val="single"/>
            <w:lang w:val="en-GB"/>
            <w14:ligatures w14:val="none"/>
          </w:rPr>
          <w:t>https://www.doi.org/10.2147/NSS.S151525</w:t>
        </w:r>
      </w:hyperlink>
      <w:r w:rsidRPr="00EF2F5B">
        <w:rPr>
          <w:rFonts w:eastAsia="Calibri"/>
          <w:snapToGrid/>
          <w:color w:val="000000" w:themeColor="text1"/>
          <w:spacing w:val="0"/>
          <w:kern w:val="0"/>
          <w:lang w:val="en-GB"/>
          <w14:ligatures w14:val="none"/>
        </w:rPr>
        <w:t>. (Accessed: 24 November 2024).</w:t>
      </w:r>
    </w:p>
    <w:p w14:paraId="02885FE8" w14:textId="77777777" w:rsidR="00EA712F" w:rsidRPr="00EF2F5B" w:rsidRDefault="00EA712F" w:rsidP="002C0DCC">
      <w:pPr>
        <w:spacing w:after="0" w:line="240" w:lineRule="auto"/>
        <w:jc w:val="both"/>
        <w:rPr>
          <w:color w:val="000000" w:themeColor="text1"/>
          <w:spacing w:val="0"/>
        </w:rPr>
      </w:pPr>
    </w:p>
    <w:p w14:paraId="1956C27F" w14:textId="77777777" w:rsidR="00DD6941" w:rsidRPr="00EF2F5B" w:rsidRDefault="00DD6941" w:rsidP="002C0DCC">
      <w:pPr>
        <w:spacing w:after="0" w:line="240" w:lineRule="auto"/>
        <w:jc w:val="both"/>
        <w:rPr>
          <w:color w:val="000000" w:themeColor="text1"/>
          <w:spacing w:val="0"/>
        </w:rPr>
      </w:pPr>
      <w:r w:rsidRPr="00EF2F5B">
        <w:rPr>
          <w:color w:val="000000" w:themeColor="text1"/>
          <w:spacing w:val="0"/>
        </w:rPr>
        <w:t>Boyce, P. R. (2014). Human factors in lighting (3rd ed.). CRC Press.</w:t>
      </w:r>
    </w:p>
    <w:p w14:paraId="30704054" w14:textId="3273FF4B" w:rsidR="00DD6941" w:rsidRPr="00EF2F5B" w:rsidRDefault="00DD6941" w:rsidP="002C0DCC">
      <w:pPr>
        <w:spacing w:after="0" w:line="240" w:lineRule="auto"/>
        <w:jc w:val="both"/>
        <w:rPr>
          <w:color w:val="000000" w:themeColor="text1"/>
          <w:spacing w:val="0"/>
        </w:rPr>
      </w:pPr>
      <w:r w:rsidRPr="00EF2F5B">
        <w:rPr>
          <w:color w:val="000000" w:themeColor="text1"/>
          <w:spacing w:val="0"/>
        </w:rPr>
        <w:t xml:space="preserve">Bullough, J. D., Rea, M. S., &amp; Stevens, R. G. (2011). Outdoor lighting and visual discomfort. Lighting Research &amp; Technology, 43(1), 25–38. Available at:  </w:t>
      </w:r>
      <w:hyperlink r:id="rId19" w:history="1">
        <w:r w:rsidRPr="00EF2F5B">
          <w:rPr>
            <w:rStyle w:val="Hyperlink"/>
            <w:color w:val="000000" w:themeColor="text1"/>
            <w:spacing w:val="0"/>
          </w:rPr>
          <w:t>https://doi.org/10.1177/1477153510386076</w:t>
        </w:r>
      </w:hyperlink>
      <w:r w:rsidRPr="00EF2F5B">
        <w:rPr>
          <w:color w:val="000000" w:themeColor="text1"/>
          <w:spacing w:val="0"/>
        </w:rPr>
        <w:t xml:space="preserve">.  (Accessed: 28 September 2025). </w:t>
      </w:r>
    </w:p>
    <w:p w14:paraId="729BAAB2" w14:textId="77777777" w:rsidR="006C5343" w:rsidRPr="00EF2F5B" w:rsidRDefault="006C5343" w:rsidP="002C0DCC">
      <w:pPr>
        <w:spacing w:after="0" w:line="240" w:lineRule="auto"/>
        <w:jc w:val="both"/>
        <w:rPr>
          <w:color w:val="000000" w:themeColor="text1"/>
          <w:spacing w:val="0"/>
        </w:rPr>
      </w:pPr>
    </w:p>
    <w:p w14:paraId="6E89BB22" w14:textId="77777777" w:rsidR="006C5343" w:rsidRPr="00EF2F5B" w:rsidRDefault="006C5343" w:rsidP="006C5343">
      <w:pPr>
        <w:spacing w:before="100" w:beforeAutospacing="1" w:after="100" w:afterAutospacing="1" w:line="256" w:lineRule="auto"/>
        <w:jc w:val="both"/>
        <w:rPr>
          <w:rFonts w:eastAsia="Calibri"/>
          <w:snapToGrid/>
          <w:color w:val="000000" w:themeColor="text1"/>
          <w:spacing w:val="0"/>
          <w:kern w:val="0"/>
          <w14:ligatures w14:val="none"/>
        </w:rPr>
      </w:pPr>
      <w:r w:rsidRPr="00EF2F5B">
        <w:rPr>
          <w:rFonts w:eastAsia="Calibri"/>
          <w:snapToGrid/>
          <w:color w:val="000000" w:themeColor="text1"/>
          <w:spacing w:val="0"/>
          <w:kern w:val="0"/>
          <w14:ligatures w14:val="none"/>
        </w:rPr>
        <w:t xml:space="preserve">CIE (2011) CIE 198:2011 – Determination of Measurement Uncertainties in Photometry. Vienna: Commission </w:t>
      </w:r>
      <w:proofErr w:type="spellStart"/>
      <w:r w:rsidRPr="00EF2F5B">
        <w:rPr>
          <w:rFonts w:eastAsia="Calibri"/>
          <w:snapToGrid/>
          <w:color w:val="000000" w:themeColor="text1"/>
          <w:spacing w:val="0"/>
          <w:kern w:val="0"/>
          <w14:ligatures w14:val="none"/>
        </w:rPr>
        <w:t>Internationale</w:t>
      </w:r>
      <w:proofErr w:type="spellEnd"/>
      <w:r w:rsidRPr="00EF2F5B">
        <w:rPr>
          <w:rFonts w:eastAsia="Calibri"/>
          <w:snapToGrid/>
          <w:color w:val="000000" w:themeColor="text1"/>
          <w:spacing w:val="0"/>
          <w:kern w:val="0"/>
          <w14:ligatures w14:val="none"/>
        </w:rPr>
        <w:t xml:space="preserve"> de </w:t>
      </w:r>
      <w:proofErr w:type="spellStart"/>
      <w:r w:rsidRPr="00EF2F5B">
        <w:rPr>
          <w:rFonts w:eastAsia="Calibri"/>
          <w:snapToGrid/>
          <w:color w:val="000000" w:themeColor="text1"/>
          <w:spacing w:val="0"/>
          <w:kern w:val="0"/>
          <w14:ligatures w14:val="none"/>
        </w:rPr>
        <w:t>l’Éclairage</w:t>
      </w:r>
      <w:proofErr w:type="spellEnd"/>
      <w:r w:rsidRPr="00EF2F5B">
        <w:rPr>
          <w:rFonts w:eastAsia="Calibri"/>
          <w:snapToGrid/>
          <w:color w:val="000000" w:themeColor="text1"/>
          <w:spacing w:val="0"/>
          <w:kern w:val="0"/>
          <w14:ligatures w14:val="none"/>
        </w:rPr>
        <w:t xml:space="preserve">.  Available at: </w:t>
      </w:r>
      <w:hyperlink r:id="rId20" w:history="1">
        <w:r w:rsidRPr="00EF2F5B">
          <w:rPr>
            <w:rFonts w:eastAsia="Calibri"/>
            <w:snapToGrid/>
            <w:color w:val="000000" w:themeColor="text1"/>
            <w:spacing w:val="0"/>
            <w:kern w:val="0"/>
            <w:u w:val="single"/>
            <w14:ligatures w14:val="none"/>
          </w:rPr>
          <w:t>https://cie.co.at/publications/determination-measurement-uncertainties-photometry-supplement-2-spectral-measurements</w:t>
        </w:r>
      </w:hyperlink>
      <w:r w:rsidRPr="00EF2F5B">
        <w:rPr>
          <w:rFonts w:eastAsia="Calibri"/>
          <w:snapToGrid/>
          <w:color w:val="000000" w:themeColor="text1"/>
          <w:spacing w:val="0"/>
          <w:kern w:val="0"/>
          <w14:ligatures w14:val="none"/>
        </w:rPr>
        <w:t xml:space="preserve">  (Accessed: 7 April 2026).</w:t>
      </w:r>
    </w:p>
    <w:p w14:paraId="34DCEA2F" w14:textId="77777777" w:rsidR="006C5343" w:rsidRPr="00EF2F5B" w:rsidRDefault="006C5343" w:rsidP="006C5343">
      <w:pPr>
        <w:spacing w:before="100" w:beforeAutospacing="1" w:after="100" w:afterAutospacing="1" w:line="256" w:lineRule="auto"/>
        <w:jc w:val="both"/>
        <w:rPr>
          <w:rFonts w:eastAsia="Calibri"/>
          <w:snapToGrid/>
          <w:color w:val="000000" w:themeColor="text1"/>
          <w:spacing w:val="0"/>
          <w:kern w:val="0"/>
          <w14:ligatures w14:val="none"/>
        </w:rPr>
      </w:pPr>
      <w:r w:rsidRPr="00EF2F5B">
        <w:rPr>
          <w:rFonts w:eastAsia="Calibri"/>
          <w:snapToGrid/>
          <w:color w:val="000000" w:themeColor="text1"/>
          <w:spacing w:val="0"/>
          <w:kern w:val="0"/>
          <w14:ligatures w14:val="none"/>
        </w:rPr>
        <w:t xml:space="preserve">CIE (2015) EN 13201-4:2015 – Road Lighting: Part 4 – Methods of Measuring Lighting Performance. Vienna: Commission </w:t>
      </w:r>
      <w:proofErr w:type="spellStart"/>
      <w:r w:rsidRPr="00EF2F5B">
        <w:rPr>
          <w:rFonts w:eastAsia="Calibri"/>
          <w:snapToGrid/>
          <w:color w:val="000000" w:themeColor="text1"/>
          <w:spacing w:val="0"/>
          <w:kern w:val="0"/>
          <w14:ligatures w14:val="none"/>
        </w:rPr>
        <w:t>Internationale</w:t>
      </w:r>
      <w:proofErr w:type="spellEnd"/>
      <w:r w:rsidRPr="00EF2F5B">
        <w:rPr>
          <w:rFonts w:eastAsia="Calibri"/>
          <w:snapToGrid/>
          <w:color w:val="000000" w:themeColor="text1"/>
          <w:spacing w:val="0"/>
          <w:kern w:val="0"/>
          <w14:ligatures w14:val="none"/>
        </w:rPr>
        <w:t xml:space="preserve"> de </w:t>
      </w:r>
      <w:proofErr w:type="spellStart"/>
      <w:r w:rsidRPr="00EF2F5B">
        <w:rPr>
          <w:rFonts w:eastAsia="Calibri"/>
          <w:snapToGrid/>
          <w:color w:val="000000" w:themeColor="text1"/>
          <w:spacing w:val="0"/>
          <w:kern w:val="0"/>
          <w14:ligatures w14:val="none"/>
        </w:rPr>
        <w:t>l’Éclairage</w:t>
      </w:r>
      <w:proofErr w:type="spellEnd"/>
      <w:r w:rsidRPr="00EF2F5B">
        <w:rPr>
          <w:rFonts w:eastAsia="Calibri"/>
          <w:snapToGrid/>
          <w:color w:val="000000" w:themeColor="text1"/>
          <w:spacing w:val="0"/>
          <w:kern w:val="0"/>
          <w14:ligatures w14:val="none"/>
        </w:rPr>
        <w:t xml:space="preserve"> / European Committee for Standardization (CEN).  Available at: </w:t>
      </w:r>
      <w:hyperlink r:id="rId21" w:history="1">
        <w:r w:rsidRPr="00EF2F5B">
          <w:rPr>
            <w:rFonts w:eastAsia="Calibri"/>
            <w:snapToGrid/>
            <w:color w:val="000000" w:themeColor="text1"/>
            <w:spacing w:val="0"/>
            <w:kern w:val="0"/>
            <w:u w:val="single"/>
            <w14:ligatures w14:val="none"/>
          </w:rPr>
          <w:t>https://img.antpedia.com/standard/files/pdfs_ora/20211002/EN%2013201-4-2015.pdf</w:t>
        </w:r>
      </w:hyperlink>
      <w:r w:rsidRPr="00EF2F5B">
        <w:rPr>
          <w:rFonts w:eastAsia="Calibri"/>
          <w:snapToGrid/>
          <w:color w:val="000000" w:themeColor="text1"/>
          <w:spacing w:val="0"/>
          <w:kern w:val="0"/>
          <w14:ligatures w14:val="none"/>
        </w:rPr>
        <w:t xml:space="preserve">  (Accessed: 7 April 2026).</w:t>
      </w:r>
    </w:p>
    <w:p w14:paraId="3C4AB483" w14:textId="77777777" w:rsidR="00051C4D" w:rsidRPr="00EF2F5B" w:rsidRDefault="00051C4D" w:rsidP="00051C4D">
      <w:pPr>
        <w:spacing w:after="0" w:line="240" w:lineRule="auto"/>
        <w:jc w:val="both"/>
        <w:rPr>
          <w:rFonts w:eastAsia="Calibri"/>
          <w:snapToGrid/>
          <w:color w:val="000000" w:themeColor="text1"/>
          <w:spacing w:val="0"/>
          <w:kern w:val="0"/>
          <w:lang w:val="en-GB"/>
          <w14:ligatures w14:val="none"/>
        </w:rPr>
      </w:pPr>
      <w:r w:rsidRPr="00EF2F5B">
        <w:rPr>
          <w:rFonts w:eastAsia="Calibri"/>
          <w:snapToGrid/>
          <w:color w:val="000000" w:themeColor="text1"/>
          <w:spacing w:val="0"/>
          <w:kern w:val="0"/>
          <w:lang w:val="en-GB"/>
          <w14:ligatures w14:val="none"/>
        </w:rPr>
        <w:t xml:space="preserve">Donker, D.W. (2019) ‘Light and noise nuisance . . .  deciphered yet underappreciated ‘Rosetta Stone’ of the modern ICU?’ </w:t>
      </w:r>
      <w:r w:rsidRPr="00EF2F5B">
        <w:rPr>
          <w:rFonts w:eastAsia="Calibri"/>
          <w:i/>
          <w:iCs/>
          <w:snapToGrid/>
          <w:color w:val="000000" w:themeColor="text1"/>
          <w:spacing w:val="0"/>
          <w:kern w:val="0"/>
          <w:lang w:val="en-GB"/>
          <w14:ligatures w14:val="none"/>
        </w:rPr>
        <w:t>Netherlands Journal of Critical Care,</w:t>
      </w:r>
      <w:r w:rsidRPr="00EF2F5B">
        <w:rPr>
          <w:rFonts w:eastAsia="Calibri"/>
          <w:snapToGrid/>
          <w:color w:val="000000" w:themeColor="text1"/>
          <w:spacing w:val="0"/>
          <w:kern w:val="0"/>
          <w:lang w:val="en-GB"/>
          <w14:ligatures w14:val="none"/>
        </w:rPr>
        <w:t xml:space="preserve"> 27(4), p. 144. Available at: </w:t>
      </w:r>
      <w:hyperlink r:id="rId22" w:history="1">
        <w:r w:rsidRPr="00EF2F5B">
          <w:rPr>
            <w:rFonts w:eastAsia="Calibri"/>
            <w:snapToGrid/>
            <w:color w:val="000000" w:themeColor="text1"/>
            <w:spacing w:val="0"/>
            <w:kern w:val="0"/>
            <w:u w:val="single"/>
            <w:lang w:val="en-GB"/>
            <w14:ligatures w14:val="none"/>
          </w:rPr>
          <w:t>https://njcc.nl/issues-2-0/3099</w:t>
        </w:r>
      </w:hyperlink>
      <w:r w:rsidRPr="00EF2F5B">
        <w:rPr>
          <w:rFonts w:eastAsia="Calibri"/>
          <w:snapToGrid/>
          <w:color w:val="000000" w:themeColor="text1"/>
          <w:spacing w:val="0"/>
          <w:kern w:val="0"/>
          <w:lang w:val="en-GB"/>
          <w14:ligatures w14:val="none"/>
        </w:rPr>
        <w:t>. (Accessed: 28 February 2022).</w:t>
      </w:r>
    </w:p>
    <w:p w14:paraId="13E8AEE9" w14:textId="77777777" w:rsidR="00EA712F" w:rsidRPr="00EF2F5B" w:rsidRDefault="00EA712F" w:rsidP="002C0DCC">
      <w:pPr>
        <w:spacing w:after="0" w:line="240" w:lineRule="auto"/>
        <w:jc w:val="both"/>
        <w:rPr>
          <w:color w:val="000000" w:themeColor="text1"/>
          <w:spacing w:val="0"/>
        </w:rPr>
      </w:pPr>
    </w:p>
    <w:p w14:paraId="5FFBB482" w14:textId="035D29CC" w:rsidR="00DD6941" w:rsidRPr="00EF2F5B" w:rsidRDefault="00DD6941" w:rsidP="002C0DCC">
      <w:pPr>
        <w:spacing w:after="0" w:line="240" w:lineRule="auto"/>
        <w:jc w:val="both"/>
        <w:rPr>
          <w:color w:val="000000" w:themeColor="text1"/>
          <w:spacing w:val="0"/>
        </w:rPr>
      </w:pPr>
      <w:r w:rsidRPr="00EF2F5B">
        <w:rPr>
          <w:color w:val="000000" w:themeColor="text1"/>
          <w:spacing w:val="0"/>
        </w:rPr>
        <w:t>Falchi, F., Cinzano, P., Duriscoe, D., Kyba, C. C. M., Elvidge, C. D., Baugh, K., Portnov, B. A., Rybnikova, N. A., &amp; Furgoni, R. (2016). The new world atlas of artificial night sky brightness. Science Advances, 2(6), e1600377.</w:t>
      </w:r>
      <w:r w:rsidR="006942A6" w:rsidRPr="00EF2F5B">
        <w:rPr>
          <w:color w:val="000000" w:themeColor="text1"/>
          <w:spacing w:val="0"/>
        </w:rPr>
        <w:t xml:space="preserve"> Available at: </w:t>
      </w:r>
      <w:hyperlink r:id="rId23" w:tgtFrame="_new" w:history="1">
        <w:r w:rsidRPr="00EF2F5B">
          <w:rPr>
            <w:color w:val="000000" w:themeColor="text1"/>
            <w:spacing w:val="0"/>
            <w:u w:val="single"/>
          </w:rPr>
          <w:t>https://doi.org/10.1126/sciadv.1600377</w:t>
        </w:r>
      </w:hyperlink>
      <w:r w:rsidR="006942A6" w:rsidRPr="00EF2F5B">
        <w:rPr>
          <w:color w:val="000000" w:themeColor="text1"/>
          <w:spacing w:val="0"/>
        </w:rPr>
        <w:t xml:space="preserve">.  (Accessed: 28 September 2025). </w:t>
      </w:r>
    </w:p>
    <w:p w14:paraId="5449C195" w14:textId="77777777" w:rsidR="00553C72" w:rsidRPr="00EF2F5B" w:rsidRDefault="00553C72" w:rsidP="002C0DCC">
      <w:pPr>
        <w:spacing w:after="0" w:line="240" w:lineRule="auto"/>
        <w:jc w:val="both"/>
        <w:rPr>
          <w:color w:val="000000" w:themeColor="text1"/>
          <w:spacing w:val="0"/>
        </w:rPr>
      </w:pPr>
    </w:p>
    <w:p w14:paraId="4F9A78AD" w14:textId="126394F0" w:rsidR="00553C72" w:rsidRPr="00EF2F5B" w:rsidRDefault="00553C72" w:rsidP="00553C72">
      <w:pPr>
        <w:spacing w:after="0"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Holzinger K, Knill C, Sommerer T. (2008) Environmental Policy Convergence: The Impact of International Harmonisation, Transnational Communication, and Regulatory Competition. International Organisation. 2008;62(4):553-587. </w:t>
      </w:r>
      <w:hyperlink r:id="rId24" w:history="1">
        <w:r w:rsidRPr="00EF2F5B">
          <w:rPr>
            <w:rStyle w:val="Hyperlink"/>
            <w:rFonts w:eastAsia="Times New Roman"/>
            <w:snapToGrid/>
            <w:color w:val="000000" w:themeColor="text1"/>
            <w:spacing w:val="0"/>
            <w:kern w:val="0"/>
            <w14:ligatures w14:val="none"/>
          </w:rPr>
          <w:t>https://doi.org/10.1017/S002081830808020X</w:t>
        </w:r>
      </w:hyperlink>
      <w:r w:rsidRPr="00EF2F5B">
        <w:rPr>
          <w:rFonts w:eastAsia="Times New Roman"/>
          <w:snapToGrid/>
          <w:color w:val="000000" w:themeColor="text1"/>
          <w:spacing w:val="0"/>
          <w:kern w:val="0"/>
          <w14:ligatures w14:val="none"/>
        </w:rPr>
        <w:t xml:space="preserve"> </w:t>
      </w:r>
    </w:p>
    <w:p w14:paraId="4C42B50A" w14:textId="77777777" w:rsidR="00EA712F" w:rsidRPr="00EF2F5B" w:rsidRDefault="00EA712F" w:rsidP="002C0DCC">
      <w:pPr>
        <w:spacing w:after="0" w:line="240" w:lineRule="auto"/>
        <w:jc w:val="both"/>
        <w:rPr>
          <w:color w:val="000000" w:themeColor="text1"/>
          <w:spacing w:val="0"/>
        </w:rPr>
      </w:pPr>
    </w:p>
    <w:p w14:paraId="5648BCA9" w14:textId="6E08BE1E" w:rsidR="00DD6941" w:rsidRPr="00EF2F5B" w:rsidRDefault="00DD6941" w:rsidP="002C0DCC">
      <w:pPr>
        <w:spacing w:after="0" w:line="240" w:lineRule="auto"/>
        <w:jc w:val="both"/>
        <w:rPr>
          <w:color w:val="000000" w:themeColor="text1"/>
          <w:spacing w:val="0"/>
        </w:rPr>
      </w:pPr>
      <w:r w:rsidRPr="00EF2F5B">
        <w:rPr>
          <w:color w:val="000000" w:themeColor="text1"/>
          <w:spacing w:val="0"/>
        </w:rPr>
        <w:t xml:space="preserve">Holzinger, K., &amp; Knill, C. (2005). Causes and conditions of cross-national policy convergence. Journal of European Public Policy, 12(5), 775–796. </w:t>
      </w:r>
      <w:r w:rsidR="00A32E9E" w:rsidRPr="00EF2F5B">
        <w:rPr>
          <w:color w:val="000000" w:themeColor="text1"/>
          <w:spacing w:val="0"/>
        </w:rPr>
        <w:t xml:space="preserve">Available at: </w:t>
      </w:r>
      <w:hyperlink r:id="rId25" w:history="1">
        <w:r w:rsidR="00A32E9E" w:rsidRPr="00EF2F5B">
          <w:rPr>
            <w:rStyle w:val="Hyperlink"/>
            <w:color w:val="000000" w:themeColor="text1"/>
            <w:spacing w:val="0"/>
          </w:rPr>
          <w:t>https://doi.org/10.1080/13501760500161357</w:t>
        </w:r>
      </w:hyperlink>
      <w:r w:rsidR="00A32E9E" w:rsidRPr="00EF2F5B">
        <w:rPr>
          <w:color w:val="000000" w:themeColor="text1"/>
          <w:spacing w:val="0"/>
        </w:rPr>
        <w:t>.   (Accessed: 28 September 2025).</w:t>
      </w:r>
    </w:p>
    <w:p w14:paraId="79E4A55E" w14:textId="77777777" w:rsidR="00FB5B73" w:rsidRPr="00EF2F5B" w:rsidRDefault="00FB5B73" w:rsidP="002C0DCC">
      <w:pPr>
        <w:spacing w:after="0" w:line="240" w:lineRule="auto"/>
        <w:jc w:val="both"/>
        <w:rPr>
          <w:color w:val="000000" w:themeColor="text1"/>
          <w:spacing w:val="0"/>
        </w:rPr>
      </w:pPr>
    </w:p>
    <w:p w14:paraId="7E92BD55" w14:textId="40B0E9EB" w:rsidR="0095373A" w:rsidRPr="00EF2F5B" w:rsidRDefault="0095373A" w:rsidP="002C0DCC">
      <w:pPr>
        <w:spacing w:after="0" w:line="240" w:lineRule="auto"/>
        <w:jc w:val="both"/>
        <w:rPr>
          <w:snapToGrid/>
          <w:color w:val="000000" w:themeColor="text1"/>
          <w:spacing w:val="0"/>
          <w:kern w:val="0"/>
          <w:lang w:val="en-GB"/>
          <w14:ligatures w14:val="none"/>
        </w:rPr>
      </w:pPr>
      <w:r w:rsidRPr="00EF2F5B">
        <w:rPr>
          <w:snapToGrid/>
          <w:color w:val="000000" w:themeColor="text1"/>
          <w:spacing w:val="0"/>
          <w:kern w:val="0"/>
          <w:lang w:val="en-GB"/>
          <w14:ligatures w14:val="none"/>
        </w:rPr>
        <w:t xml:space="preserve">Illuminating Engineering Society (IES TM-15, 2020) </w:t>
      </w:r>
      <w:r w:rsidRPr="00EF2F5B">
        <w:rPr>
          <w:i/>
          <w:iCs/>
          <w:snapToGrid/>
          <w:color w:val="000000" w:themeColor="text1"/>
          <w:spacing w:val="0"/>
          <w:kern w:val="0"/>
          <w:lang w:val="en-GB"/>
          <w14:ligatures w14:val="none"/>
        </w:rPr>
        <w:t xml:space="preserve">Technical memorandum for luminaire classification system for outdoor luminaires (IES TM-15-20). </w:t>
      </w:r>
      <w:r w:rsidRPr="00EF2F5B">
        <w:rPr>
          <w:snapToGrid/>
          <w:color w:val="000000" w:themeColor="text1"/>
          <w:spacing w:val="0"/>
          <w:kern w:val="0"/>
          <w:lang w:val="en-GB"/>
          <w14:ligatures w14:val="none"/>
        </w:rPr>
        <w:t xml:space="preserve">Available at: </w:t>
      </w:r>
      <w:hyperlink r:id="rId26" w:history="1">
        <w:r w:rsidRPr="00EF2F5B">
          <w:rPr>
            <w:snapToGrid/>
            <w:color w:val="000000" w:themeColor="text1"/>
            <w:spacing w:val="0"/>
            <w:kern w:val="0"/>
            <w:u w:val="single"/>
            <w:lang w:val="en-GB"/>
            <w14:ligatures w14:val="none"/>
          </w:rPr>
          <w:t>https://store.ies.org/product/tm-15-20-technical-memorandum-luminaire-classification-system-for-outdoor-luminaires/</w:t>
        </w:r>
      </w:hyperlink>
      <w:r w:rsidRPr="00EF2F5B">
        <w:rPr>
          <w:snapToGrid/>
          <w:color w:val="000000" w:themeColor="text1"/>
          <w:spacing w:val="0"/>
          <w:kern w:val="0"/>
          <w:lang w:val="en-GB"/>
          <w14:ligatures w14:val="none"/>
        </w:rPr>
        <w:t xml:space="preserve">  (Accessed: 28 September 202</w:t>
      </w:r>
      <w:r w:rsidR="00BD7DA0" w:rsidRPr="00EF2F5B">
        <w:rPr>
          <w:snapToGrid/>
          <w:color w:val="000000" w:themeColor="text1"/>
          <w:spacing w:val="0"/>
          <w:kern w:val="0"/>
          <w:lang w:val="en-GB"/>
          <w14:ligatures w14:val="none"/>
        </w:rPr>
        <w:t>5</w:t>
      </w:r>
      <w:r w:rsidRPr="00EF2F5B">
        <w:rPr>
          <w:snapToGrid/>
          <w:color w:val="000000" w:themeColor="text1"/>
          <w:spacing w:val="0"/>
          <w:kern w:val="0"/>
          <w:lang w:val="en-GB"/>
          <w14:ligatures w14:val="none"/>
        </w:rPr>
        <w:t>).</w:t>
      </w:r>
    </w:p>
    <w:p w14:paraId="3E80639E" w14:textId="77777777" w:rsidR="00EA712F" w:rsidRPr="00EF2F5B" w:rsidRDefault="00EA712F" w:rsidP="002C0DCC">
      <w:pPr>
        <w:spacing w:after="0" w:line="240" w:lineRule="auto"/>
        <w:jc w:val="both"/>
        <w:rPr>
          <w:snapToGrid/>
          <w:color w:val="000000" w:themeColor="text1"/>
          <w:spacing w:val="0"/>
          <w:kern w:val="0"/>
          <w:lang w:val="en-GB"/>
          <w14:ligatures w14:val="none"/>
        </w:rPr>
      </w:pPr>
    </w:p>
    <w:p w14:paraId="68282185" w14:textId="77777777" w:rsidR="00EF2DCD" w:rsidRPr="00EF2F5B" w:rsidRDefault="00EF2DCD" w:rsidP="002C0DCC">
      <w:pPr>
        <w:spacing w:after="0" w:line="240" w:lineRule="auto"/>
        <w:jc w:val="both"/>
        <w:rPr>
          <w:snapToGrid/>
          <w:color w:val="000000" w:themeColor="text1"/>
          <w:spacing w:val="0"/>
          <w:kern w:val="0"/>
          <w:lang w:val="en-ZA"/>
          <w14:ligatures w14:val="none"/>
        </w:rPr>
      </w:pPr>
      <w:r w:rsidRPr="00EF2F5B">
        <w:rPr>
          <w:snapToGrid/>
          <w:color w:val="000000" w:themeColor="text1"/>
          <w:spacing w:val="0"/>
          <w:kern w:val="0"/>
          <w:lang w:val="en-ZA"/>
          <w14:ligatures w14:val="none"/>
        </w:rPr>
        <w:t xml:space="preserve">International Commission on Illumination (CIE-150, 2017) </w:t>
      </w:r>
      <w:r w:rsidRPr="00EF2F5B">
        <w:rPr>
          <w:i/>
          <w:iCs/>
          <w:snapToGrid/>
          <w:color w:val="000000" w:themeColor="text1"/>
          <w:spacing w:val="0"/>
          <w:kern w:val="0"/>
          <w:lang w:val="en-ZA"/>
          <w14:ligatures w14:val="none"/>
        </w:rPr>
        <w:t>Guide on the limitation of the Effects of obtrusive light from outdoor lighting Installations</w:t>
      </w:r>
      <w:r w:rsidRPr="00EF2F5B">
        <w:rPr>
          <w:snapToGrid/>
          <w:color w:val="000000" w:themeColor="text1"/>
          <w:spacing w:val="0"/>
          <w:kern w:val="0"/>
          <w:lang w:val="en-ZA"/>
          <w14:ligatures w14:val="none"/>
        </w:rPr>
        <w:t xml:space="preserve">. </w:t>
      </w:r>
      <w:r w:rsidRPr="00EF2F5B">
        <w:rPr>
          <w:i/>
          <w:iCs/>
          <w:snapToGrid/>
          <w:color w:val="000000" w:themeColor="text1"/>
          <w:spacing w:val="0"/>
          <w:kern w:val="0"/>
          <w:lang w:val="en-ZA"/>
          <w14:ligatures w14:val="none"/>
        </w:rPr>
        <w:t>2</w:t>
      </w:r>
      <w:r w:rsidRPr="00EF2F5B">
        <w:rPr>
          <w:i/>
          <w:iCs/>
          <w:snapToGrid/>
          <w:color w:val="000000" w:themeColor="text1"/>
          <w:spacing w:val="0"/>
          <w:kern w:val="0"/>
          <w:vertAlign w:val="superscript"/>
          <w:lang w:val="en-ZA"/>
          <w14:ligatures w14:val="none"/>
        </w:rPr>
        <w:t>nd</w:t>
      </w:r>
      <w:r w:rsidRPr="00EF2F5B">
        <w:rPr>
          <w:i/>
          <w:iCs/>
          <w:snapToGrid/>
          <w:color w:val="000000" w:themeColor="text1"/>
          <w:spacing w:val="0"/>
          <w:kern w:val="0"/>
          <w:lang w:val="en-ZA"/>
          <w14:ligatures w14:val="none"/>
        </w:rPr>
        <w:t xml:space="preserve"> edn. (CIE-150:2017).</w:t>
      </w:r>
      <w:r w:rsidRPr="00EF2F5B">
        <w:rPr>
          <w:snapToGrid/>
          <w:color w:val="000000" w:themeColor="text1"/>
          <w:spacing w:val="0"/>
          <w:kern w:val="0"/>
          <w:lang w:val="en-ZA"/>
          <w14:ligatures w14:val="none"/>
        </w:rPr>
        <w:t xml:space="preserve">  Available at: </w:t>
      </w:r>
      <w:hyperlink r:id="rId27">
        <w:r w:rsidRPr="00EF2F5B">
          <w:rPr>
            <w:snapToGrid/>
            <w:color w:val="000000" w:themeColor="text1"/>
            <w:spacing w:val="0"/>
            <w:kern w:val="0"/>
            <w:u w:val="single"/>
            <w:lang w:val="en-ZA"/>
            <w14:ligatures w14:val="none"/>
          </w:rPr>
          <w:t>https://cie.co.at/publications/guide-limitation-effects-obtrusive-light-outdoor-lighting-installations-2nd-edition</w:t>
        </w:r>
      </w:hyperlink>
      <w:r w:rsidRPr="00EF2F5B">
        <w:rPr>
          <w:snapToGrid/>
          <w:color w:val="000000" w:themeColor="text1"/>
          <w:spacing w:val="0"/>
          <w:kern w:val="0"/>
          <w:lang w:val="en-ZA"/>
          <w14:ligatures w14:val="none"/>
        </w:rPr>
        <w:t xml:space="preserve"> (Accessed: 28 September 2025).</w:t>
      </w:r>
    </w:p>
    <w:p w14:paraId="1AC5AD4B" w14:textId="77777777" w:rsidR="00EA712F" w:rsidRPr="00EF2F5B" w:rsidRDefault="00EA712F" w:rsidP="002C0DCC">
      <w:pPr>
        <w:spacing w:after="0" w:line="240" w:lineRule="auto"/>
        <w:jc w:val="both"/>
        <w:rPr>
          <w:snapToGrid/>
          <w:color w:val="000000" w:themeColor="text1"/>
          <w:spacing w:val="0"/>
          <w:kern w:val="0"/>
          <w:lang w:val="en-ZA"/>
          <w14:ligatures w14:val="none"/>
        </w:rPr>
      </w:pPr>
    </w:p>
    <w:p w14:paraId="055D8583" w14:textId="19BE658F" w:rsidR="0095373A" w:rsidRPr="00EF2F5B" w:rsidRDefault="0095373A" w:rsidP="002C0DCC">
      <w:pPr>
        <w:spacing w:after="0" w:line="240" w:lineRule="auto"/>
        <w:jc w:val="both"/>
        <w:rPr>
          <w:snapToGrid/>
          <w:color w:val="000000" w:themeColor="text1"/>
          <w:spacing w:val="0"/>
          <w:kern w:val="0"/>
          <w:lang w:val="en-GB"/>
          <w14:ligatures w14:val="none"/>
        </w:rPr>
      </w:pPr>
      <w:r w:rsidRPr="00EF2F5B">
        <w:rPr>
          <w:snapToGrid/>
          <w:color w:val="000000" w:themeColor="text1"/>
          <w:spacing w:val="0"/>
          <w:kern w:val="0"/>
          <w:lang w:val="en-GB"/>
          <w14:ligatures w14:val="none"/>
        </w:rPr>
        <w:t>Illuminating Engineering Society (ANSI/IES RP-8, 202</w:t>
      </w:r>
      <w:r w:rsidR="00BD7DA0" w:rsidRPr="00EF2F5B">
        <w:rPr>
          <w:snapToGrid/>
          <w:color w:val="000000" w:themeColor="text1"/>
          <w:spacing w:val="0"/>
          <w:kern w:val="0"/>
          <w:lang w:val="en-GB"/>
          <w14:ligatures w14:val="none"/>
        </w:rPr>
        <w:t>5</w:t>
      </w:r>
      <w:r w:rsidRPr="00EF2F5B">
        <w:rPr>
          <w:snapToGrid/>
          <w:color w:val="000000" w:themeColor="text1"/>
          <w:spacing w:val="0"/>
          <w:kern w:val="0"/>
          <w:lang w:val="en-GB"/>
          <w14:ligatures w14:val="none"/>
        </w:rPr>
        <w:t xml:space="preserve">) </w:t>
      </w:r>
      <w:r w:rsidRPr="00EF2F5B">
        <w:rPr>
          <w:i/>
          <w:iCs/>
          <w:snapToGrid/>
          <w:color w:val="000000" w:themeColor="text1"/>
          <w:spacing w:val="0"/>
          <w:kern w:val="0"/>
          <w:lang w:val="en-GB"/>
          <w14:ligatures w14:val="none"/>
        </w:rPr>
        <w:t>Outdoor Lighting Task Group: Recommended practice for lighting roadway and parking facilities (ANSI/IES RP-8-21)</w:t>
      </w:r>
      <w:r w:rsidRPr="00EF2F5B">
        <w:rPr>
          <w:snapToGrid/>
          <w:color w:val="000000" w:themeColor="text1"/>
          <w:spacing w:val="0"/>
          <w:kern w:val="0"/>
          <w:lang w:val="en-GB"/>
          <w14:ligatures w14:val="none"/>
        </w:rPr>
        <w:t xml:space="preserve">. Available at: </w:t>
      </w:r>
      <w:hyperlink r:id="rId28" w:history="1">
        <w:r w:rsidR="00BD7DA0" w:rsidRPr="00EF2F5B">
          <w:rPr>
            <w:rStyle w:val="Hyperlink"/>
            <w:snapToGrid/>
            <w:color w:val="000000" w:themeColor="text1"/>
            <w:spacing w:val="0"/>
            <w:kern w:val="0"/>
            <w:lang w:val="en-GB"/>
            <w14:ligatures w14:val="none"/>
          </w:rPr>
          <w:t>https://store.ies.org/product/recommended-practice-lighting-roadway-and-parking-facilities/?v=eb65bcceaa5f</w:t>
        </w:r>
      </w:hyperlink>
      <w:r w:rsidR="00BD7DA0" w:rsidRPr="00EF2F5B">
        <w:rPr>
          <w:snapToGrid/>
          <w:color w:val="000000" w:themeColor="text1"/>
          <w:spacing w:val="0"/>
          <w:kern w:val="0"/>
          <w:lang w:val="en-GB"/>
          <w14:ligatures w14:val="none"/>
        </w:rPr>
        <w:t xml:space="preserve"> </w:t>
      </w:r>
      <w:r w:rsidRPr="00EF2F5B">
        <w:rPr>
          <w:snapToGrid/>
          <w:color w:val="000000" w:themeColor="text1"/>
          <w:spacing w:val="0"/>
          <w:kern w:val="0"/>
          <w:lang w:val="en-GB"/>
          <w14:ligatures w14:val="none"/>
        </w:rPr>
        <w:t>(Accessed: 28 September 202</w:t>
      </w:r>
      <w:r w:rsidR="00BD7DA0" w:rsidRPr="00EF2F5B">
        <w:rPr>
          <w:snapToGrid/>
          <w:color w:val="000000" w:themeColor="text1"/>
          <w:spacing w:val="0"/>
          <w:kern w:val="0"/>
          <w:lang w:val="en-GB"/>
          <w14:ligatures w14:val="none"/>
        </w:rPr>
        <w:t>5</w:t>
      </w:r>
      <w:r w:rsidRPr="00EF2F5B">
        <w:rPr>
          <w:snapToGrid/>
          <w:color w:val="000000" w:themeColor="text1"/>
          <w:spacing w:val="0"/>
          <w:kern w:val="0"/>
          <w:lang w:val="en-GB"/>
          <w14:ligatures w14:val="none"/>
        </w:rPr>
        <w:t>).</w:t>
      </w:r>
    </w:p>
    <w:p w14:paraId="0C3A0F6C" w14:textId="77777777" w:rsidR="00EA712F" w:rsidRPr="00EF2F5B" w:rsidRDefault="00EA712F" w:rsidP="002C0DCC">
      <w:pPr>
        <w:spacing w:after="0" w:line="240" w:lineRule="auto"/>
        <w:jc w:val="both"/>
        <w:rPr>
          <w:snapToGrid/>
          <w:color w:val="000000" w:themeColor="text1"/>
          <w:spacing w:val="0"/>
          <w:kern w:val="0"/>
          <w:lang w:val="en-GB"/>
          <w14:ligatures w14:val="none"/>
        </w:rPr>
      </w:pPr>
    </w:p>
    <w:p w14:paraId="1EF43254" w14:textId="47708CF4" w:rsidR="005C68E9" w:rsidRPr="00EF2F5B" w:rsidRDefault="0005676A" w:rsidP="002C0DCC">
      <w:pPr>
        <w:spacing w:after="0" w:line="240" w:lineRule="auto"/>
        <w:jc w:val="both"/>
        <w:rPr>
          <w:rFonts w:eastAsia="Times New Roman"/>
          <w:snapToGrid/>
          <w:color w:val="000000" w:themeColor="text1"/>
          <w:spacing w:val="0"/>
          <w:kern w:val="0"/>
          <w14:ligatures w14:val="none"/>
        </w:rPr>
      </w:pPr>
      <w:r w:rsidRPr="00EF2F5B">
        <w:rPr>
          <w:rFonts w:eastAsia="Times New Roman"/>
          <w:snapToGrid/>
          <w:color w:val="000000" w:themeColor="text1"/>
          <w:spacing w:val="0"/>
          <w:kern w:val="0"/>
          <w14:ligatures w14:val="none"/>
        </w:rPr>
        <w:t xml:space="preserve">International Dark-Sky Association (IDA) and Illuminating Engineering Society (IES) (IDA/IES, 2020), </w:t>
      </w:r>
      <w:r w:rsidR="005C68E9" w:rsidRPr="00EF2F5B">
        <w:rPr>
          <w:rFonts w:eastAsia="Times New Roman"/>
          <w:i/>
          <w:iCs/>
          <w:snapToGrid/>
          <w:color w:val="000000" w:themeColor="text1"/>
          <w:spacing w:val="0"/>
          <w:kern w:val="0"/>
          <w14:ligatures w14:val="none"/>
        </w:rPr>
        <w:t>Reducing Light Pollution and Its Negative Effects</w:t>
      </w:r>
      <w:r w:rsidR="005C68E9" w:rsidRPr="00EF2F5B">
        <w:rPr>
          <w:rFonts w:eastAsia="Times New Roman"/>
          <w:snapToGrid/>
          <w:color w:val="000000" w:themeColor="text1"/>
          <w:spacing w:val="0"/>
          <w:kern w:val="0"/>
          <w14:ligatures w14:val="none"/>
        </w:rPr>
        <w:t>. Illuminating Engineering Society</w:t>
      </w:r>
      <w:r w:rsidRPr="00EF2F5B">
        <w:rPr>
          <w:rFonts w:eastAsia="Times New Roman"/>
          <w:snapToGrid/>
          <w:color w:val="000000" w:themeColor="text1"/>
          <w:spacing w:val="0"/>
          <w:kern w:val="0"/>
          <w14:ligatures w14:val="none"/>
        </w:rPr>
        <w:t xml:space="preserve">, April 15, 2020. Available at: </w:t>
      </w:r>
      <w:hyperlink r:id="rId29" w:history="1">
        <w:r w:rsidR="005C68E9" w:rsidRPr="00EF2F5B">
          <w:rPr>
            <w:rFonts w:eastAsia="Times New Roman"/>
            <w:snapToGrid/>
            <w:color w:val="000000" w:themeColor="text1"/>
            <w:spacing w:val="0"/>
            <w:kern w:val="0"/>
            <w:u w:val="single"/>
            <w14:ligatures w14:val="none"/>
          </w:rPr>
          <w:t>https://ies.org/reducing-light-pollution-and-its-negative-affects-ies-and-ida-new-collaboration/</w:t>
        </w:r>
      </w:hyperlink>
      <w:r w:rsidR="005C68E9" w:rsidRPr="00EF2F5B">
        <w:rPr>
          <w:rFonts w:eastAsia="Times New Roman"/>
          <w:snapToGrid/>
          <w:color w:val="000000" w:themeColor="text1"/>
          <w:spacing w:val="0"/>
          <w:kern w:val="0"/>
          <w14:ligatures w14:val="none"/>
        </w:rPr>
        <w:t xml:space="preserve"> </w:t>
      </w:r>
      <w:r w:rsidRPr="00EF2F5B">
        <w:rPr>
          <w:rFonts w:eastAsia="Times New Roman"/>
          <w:snapToGrid/>
          <w:color w:val="000000" w:themeColor="text1"/>
          <w:spacing w:val="0"/>
          <w:kern w:val="0"/>
          <w14:ligatures w14:val="none"/>
        </w:rPr>
        <w:t>(Accessed: 28 September 2025).</w:t>
      </w:r>
    </w:p>
    <w:p w14:paraId="6600571B" w14:textId="77777777" w:rsidR="00EA712F" w:rsidRPr="00EF2F5B" w:rsidRDefault="00EA712F" w:rsidP="002C0DCC">
      <w:pPr>
        <w:spacing w:after="0" w:line="240" w:lineRule="auto"/>
        <w:jc w:val="both"/>
        <w:rPr>
          <w:rFonts w:eastAsia="Times New Roman"/>
          <w:snapToGrid/>
          <w:color w:val="000000" w:themeColor="text1"/>
          <w:spacing w:val="0"/>
          <w:kern w:val="0"/>
          <w14:ligatures w14:val="none"/>
        </w:rPr>
      </w:pPr>
    </w:p>
    <w:p w14:paraId="5CC52925" w14:textId="77777777" w:rsidR="00EF2DCD" w:rsidRPr="00EF2F5B" w:rsidRDefault="00EF2DCD" w:rsidP="002C0DCC">
      <w:pPr>
        <w:spacing w:after="0" w:line="240" w:lineRule="auto"/>
        <w:jc w:val="both"/>
        <w:rPr>
          <w:color w:val="000000" w:themeColor="text1"/>
          <w:spacing w:val="0"/>
          <w:kern w:val="0"/>
          <w14:ligatures w14:val="none"/>
        </w:rPr>
      </w:pPr>
      <w:r w:rsidRPr="00EF2F5B">
        <w:rPr>
          <w:color w:val="000000" w:themeColor="text1"/>
          <w:spacing w:val="0"/>
          <w:kern w:val="0"/>
          <w14:ligatures w14:val="none"/>
        </w:rPr>
        <w:t xml:space="preserve">International Dark-Sky Association (IDA, 2021) </w:t>
      </w:r>
      <w:r w:rsidRPr="00EF2F5B">
        <w:rPr>
          <w:i/>
          <w:iCs/>
          <w:color w:val="000000" w:themeColor="text1"/>
          <w:spacing w:val="0"/>
          <w:kern w:val="0"/>
          <w14:ligatures w14:val="none"/>
        </w:rPr>
        <w:t>Lighting zones.</w:t>
      </w:r>
      <w:r w:rsidRPr="00EF2F5B">
        <w:rPr>
          <w:color w:val="000000" w:themeColor="text1"/>
          <w:spacing w:val="0"/>
          <w:kern w:val="0"/>
          <w14:ligatures w14:val="none"/>
        </w:rPr>
        <w:t xml:space="preserve"> Available at: </w:t>
      </w:r>
      <w:hyperlink r:id="rId30" w:history="1">
        <w:r w:rsidRPr="00EF2F5B">
          <w:rPr>
            <w:rStyle w:val="Hyperlink"/>
            <w:color w:val="000000" w:themeColor="text1"/>
            <w:spacing w:val="0"/>
            <w:kern w:val="0"/>
            <w14:ligatures w14:val="none"/>
          </w:rPr>
          <w:t>https://darksky.org/resources/guides-and-how-tos/lighting-zones/</w:t>
        </w:r>
      </w:hyperlink>
      <w:r w:rsidRPr="00EF2F5B">
        <w:rPr>
          <w:color w:val="000000" w:themeColor="text1"/>
          <w:spacing w:val="0"/>
          <w:kern w:val="0"/>
          <w14:ligatures w14:val="none"/>
        </w:rPr>
        <w:t xml:space="preserve"> (Accessed: 28 April 2025).</w:t>
      </w:r>
    </w:p>
    <w:p w14:paraId="3BA82D25" w14:textId="77777777" w:rsidR="004A34F5" w:rsidRPr="00EF2F5B" w:rsidRDefault="004A34F5" w:rsidP="002C0DCC">
      <w:pPr>
        <w:spacing w:after="0" w:line="240" w:lineRule="auto"/>
        <w:jc w:val="both"/>
        <w:rPr>
          <w:color w:val="000000" w:themeColor="text1"/>
          <w:spacing w:val="0"/>
          <w:kern w:val="0"/>
          <w14:ligatures w14:val="none"/>
        </w:rPr>
      </w:pPr>
    </w:p>
    <w:p w14:paraId="30A8BC9F" w14:textId="77777777" w:rsidR="00EF2DCD" w:rsidRPr="00EF2F5B" w:rsidRDefault="00EF2DCD" w:rsidP="002C0DCC">
      <w:pPr>
        <w:spacing w:after="0" w:line="240" w:lineRule="auto"/>
        <w:jc w:val="both"/>
        <w:rPr>
          <w:snapToGrid/>
          <w:color w:val="000000" w:themeColor="text1"/>
          <w:spacing w:val="0"/>
          <w:kern w:val="0"/>
          <w:lang w:val="en-GB"/>
          <w14:ligatures w14:val="none"/>
        </w:rPr>
      </w:pPr>
      <w:r w:rsidRPr="00EF2F5B">
        <w:rPr>
          <w:snapToGrid/>
          <w:color w:val="000000" w:themeColor="text1"/>
          <w:spacing w:val="0"/>
          <w:kern w:val="0"/>
          <w:lang w:val="en-GB"/>
          <w14:ligatures w14:val="none"/>
        </w:rPr>
        <w:t>Institution of Lighting Professionals (ILP GN01, 2021) Guidance</w:t>
      </w:r>
      <w:r w:rsidRPr="00EF2F5B">
        <w:rPr>
          <w:i/>
          <w:iCs/>
          <w:snapToGrid/>
          <w:color w:val="000000" w:themeColor="text1"/>
          <w:spacing w:val="0"/>
          <w:kern w:val="0"/>
          <w:lang w:val="en-GB"/>
          <w14:ligatures w14:val="none"/>
        </w:rPr>
        <w:t xml:space="preserve"> notes for the reduction of obtrusive light (GN01/21).</w:t>
      </w:r>
      <w:r w:rsidRPr="00EF2F5B">
        <w:rPr>
          <w:snapToGrid/>
          <w:color w:val="000000" w:themeColor="text1"/>
          <w:spacing w:val="0"/>
          <w:kern w:val="0"/>
          <w:lang w:val="en-GB"/>
          <w14:ligatures w14:val="none"/>
        </w:rPr>
        <w:t xml:space="preserve"> Available at: </w:t>
      </w:r>
      <w:hyperlink r:id="rId31" w:history="1">
        <w:r w:rsidRPr="00EF2F5B">
          <w:rPr>
            <w:snapToGrid/>
            <w:color w:val="000000" w:themeColor="text1"/>
            <w:spacing w:val="0"/>
            <w:kern w:val="0"/>
            <w:u w:val="single"/>
            <w:lang w:val="en-GB"/>
            <w14:ligatures w14:val="none"/>
          </w:rPr>
          <w:t>https://theilp.org.uk/publication/guidance-note-1-for-the-reduction-of-obtrusive-light-2021/</w:t>
        </w:r>
      </w:hyperlink>
      <w:r w:rsidRPr="00EF2F5B">
        <w:rPr>
          <w:snapToGrid/>
          <w:color w:val="000000" w:themeColor="text1"/>
          <w:spacing w:val="0"/>
          <w:kern w:val="0"/>
          <w:lang w:val="en-GB"/>
          <w14:ligatures w14:val="none"/>
        </w:rPr>
        <w:t>.  (Accessed: 28 September 2025).</w:t>
      </w:r>
    </w:p>
    <w:p w14:paraId="63C896B6" w14:textId="77777777" w:rsidR="00051C4D" w:rsidRPr="00EF2F5B" w:rsidRDefault="00051C4D" w:rsidP="002C0DCC">
      <w:pPr>
        <w:spacing w:after="0" w:line="240" w:lineRule="auto"/>
        <w:jc w:val="both"/>
        <w:rPr>
          <w:snapToGrid/>
          <w:color w:val="000000" w:themeColor="text1"/>
          <w:spacing w:val="0"/>
          <w:kern w:val="0"/>
          <w:lang w:val="en-GB"/>
          <w14:ligatures w14:val="none"/>
        </w:rPr>
      </w:pPr>
    </w:p>
    <w:p w14:paraId="207E4B98" w14:textId="77777777" w:rsidR="00051C4D" w:rsidRPr="00EF2F5B" w:rsidRDefault="00051C4D" w:rsidP="00051C4D">
      <w:pPr>
        <w:spacing w:after="0" w:line="240" w:lineRule="auto"/>
        <w:jc w:val="both"/>
        <w:rPr>
          <w:color w:val="000000" w:themeColor="text1"/>
          <w:spacing w:val="0"/>
        </w:rPr>
      </w:pPr>
      <w:r w:rsidRPr="00EF2F5B">
        <w:rPr>
          <w:color w:val="000000" w:themeColor="text1"/>
          <w:spacing w:val="0"/>
        </w:rPr>
        <w:t xml:space="preserve">Kyba, C. C. M., Kuester, T., Sánchez de Miguel, A., Baugh, K., Jechow, A., Hölker, F., Bennett, A., Elvidge, C. D., Gaston, K. J., &amp; Guanter, L. (2017). Artificially lit surface of the Earth at night is increasing in radiance and extent. Science Advances, 3(11), e1701528. Available at: </w:t>
      </w:r>
      <w:hyperlink r:id="rId32" w:tgtFrame="_new" w:history="1">
        <w:r w:rsidRPr="00EF2F5B">
          <w:rPr>
            <w:color w:val="000000" w:themeColor="text1"/>
            <w:spacing w:val="0"/>
            <w:u w:val="single"/>
          </w:rPr>
          <w:t>https://doi.org/10.1126/sciadv.1701528</w:t>
        </w:r>
      </w:hyperlink>
      <w:r w:rsidRPr="00EF2F5B">
        <w:rPr>
          <w:color w:val="000000" w:themeColor="text1"/>
          <w:spacing w:val="0"/>
        </w:rPr>
        <w:t>.  (Accessed: 28 April 2025).</w:t>
      </w:r>
    </w:p>
    <w:p w14:paraId="554964B3" w14:textId="77777777" w:rsidR="00051C4D" w:rsidRPr="00EF2F5B" w:rsidRDefault="00051C4D" w:rsidP="00051C4D">
      <w:pPr>
        <w:spacing w:after="0" w:line="240" w:lineRule="auto"/>
        <w:jc w:val="both"/>
        <w:rPr>
          <w:color w:val="000000" w:themeColor="text1"/>
          <w:spacing w:val="0"/>
        </w:rPr>
      </w:pPr>
    </w:p>
    <w:p w14:paraId="6FA0762D" w14:textId="3A9C8373" w:rsidR="00051C4D" w:rsidRPr="00EF2F5B" w:rsidRDefault="00051C4D" w:rsidP="00051C4D">
      <w:pPr>
        <w:spacing w:after="0" w:line="240" w:lineRule="auto"/>
        <w:jc w:val="both"/>
        <w:rPr>
          <w:rFonts w:eastAsia="Calibri"/>
          <w:snapToGrid/>
          <w:color w:val="000000" w:themeColor="text1"/>
          <w:spacing w:val="0"/>
          <w:kern w:val="0"/>
          <w:lang w:val="en-GB"/>
          <w14:ligatures w14:val="none"/>
        </w:rPr>
      </w:pPr>
      <w:r w:rsidRPr="00EF2F5B">
        <w:rPr>
          <w:rFonts w:eastAsia="Calibri"/>
          <w:snapToGrid/>
          <w:color w:val="000000" w:themeColor="text1"/>
          <w:spacing w:val="0"/>
          <w:kern w:val="0"/>
          <w:lang w:val="en-GB"/>
          <w14:ligatures w14:val="none"/>
        </w:rPr>
        <w:t xml:space="preserve">Kernbach, M.E. (2021) ‘Light pollution affects West Nile virus exposure risk across Florida’, </w:t>
      </w:r>
      <w:r w:rsidRPr="00EF2F5B">
        <w:rPr>
          <w:rFonts w:eastAsia="Calibri"/>
          <w:i/>
          <w:iCs/>
          <w:snapToGrid/>
          <w:color w:val="000000" w:themeColor="text1"/>
          <w:spacing w:val="0"/>
          <w:kern w:val="0"/>
          <w:lang w:val="en-GB"/>
          <w14:ligatures w14:val="none"/>
        </w:rPr>
        <w:t>Proceedings of the</w:t>
      </w:r>
      <w:bookmarkStart w:id="72" w:name="_bookmark227"/>
      <w:bookmarkEnd w:id="72"/>
      <w:r w:rsidRPr="00EF2F5B">
        <w:rPr>
          <w:rFonts w:eastAsia="Calibri"/>
          <w:i/>
          <w:iCs/>
          <w:snapToGrid/>
          <w:color w:val="000000" w:themeColor="text1"/>
          <w:spacing w:val="0"/>
          <w:kern w:val="0"/>
          <w:lang w:val="en-GB"/>
          <w14:ligatures w14:val="none"/>
        </w:rPr>
        <w:t xml:space="preserve"> Royal Society B: Biological Sciences,</w:t>
      </w:r>
      <w:r w:rsidRPr="00EF2F5B">
        <w:rPr>
          <w:rFonts w:eastAsia="Calibri"/>
          <w:snapToGrid/>
          <w:color w:val="000000" w:themeColor="text1"/>
          <w:spacing w:val="0"/>
          <w:kern w:val="0"/>
          <w:lang w:val="en-GB"/>
          <w14:ligatures w14:val="none"/>
        </w:rPr>
        <w:t xml:space="preserve"> 288(1947). doi:10.1098/rspb.2021.0253.  Available at: </w:t>
      </w:r>
      <w:hyperlink r:id="rId33" w:history="1">
        <w:r w:rsidRPr="00EF2F5B">
          <w:rPr>
            <w:rFonts w:eastAsia="Calibri"/>
            <w:snapToGrid/>
            <w:color w:val="000000" w:themeColor="text1"/>
            <w:spacing w:val="0"/>
            <w:kern w:val="0"/>
            <w:u w:val="single"/>
            <w:lang w:val="en-GB"/>
            <w14:ligatures w14:val="none"/>
          </w:rPr>
          <w:t>https://pubmed.ncbi.nlm.nih.gov/33757351/</w:t>
        </w:r>
      </w:hyperlink>
      <w:r w:rsidRPr="00EF2F5B">
        <w:rPr>
          <w:rFonts w:eastAsia="Calibri"/>
          <w:snapToGrid/>
          <w:color w:val="000000" w:themeColor="text1"/>
          <w:spacing w:val="0"/>
          <w:kern w:val="0"/>
          <w:lang w:val="en-GB"/>
          <w14:ligatures w14:val="none"/>
        </w:rPr>
        <w:t xml:space="preserve">  (Accessed: 28 February 2022).</w:t>
      </w:r>
    </w:p>
    <w:p w14:paraId="79E290A2" w14:textId="77777777" w:rsidR="00051C4D" w:rsidRPr="00EF2F5B" w:rsidRDefault="00051C4D" w:rsidP="00051C4D">
      <w:pPr>
        <w:spacing w:after="0" w:line="240" w:lineRule="auto"/>
        <w:jc w:val="both"/>
        <w:rPr>
          <w:rFonts w:eastAsia="Calibri"/>
          <w:snapToGrid/>
          <w:color w:val="000000" w:themeColor="text1"/>
          <w:spacing w:val="0"/>
          <w:kern w:val="0"/>
          <w:lang w:val="en-GB"/>
          <w14:ligatures w14:val="none"/>
        </w:rPr>
      </w:pPr>
    </w:p>
    <w:p w14:paraId="03D39376" w14:textId="77777777" w:rsidR="00051C4D" w:rsidRPr="00EF2F5B" w:rsidRDefault="00051C4D" w:rsidP="00051C4D">
      <w:pPr>
        <w:spacing w:after="0" w:line="240" w:lineRule="auto"/>
        <w:jc w:val="both"/>
        <w:rPr>
          <w:snapToGrid/>
          <w:color w:val="000000" w:themeColor="text1"/>
          <w:spacing w:val="0"/>
          <w:kern w:val="0"/>
          <w:lang w:val="en-ZA" w:bidi="ar-SA"/>
          <w14:ligatures w14:val="none"/>
        </w:rPr>
      </w:pPr>
      <w:r w:rsidRPr="00EF2F5B">
        <w:rPr>
          <w:snapToGrid/>
          <w:color w:val="000000" w:themeColor="text1"/>
          <w:spacing w:val="0"/>
          <w:kern w:val="0"/>
          <w:lang w:val="en-ZA" w:bidi="ar-SA"/>
          <w14:ligatures w14:val="none"/>
        </w:rPr>
        <w:t xml:space="preserve">Kaushik, K., Nair, S., Ahamad, A., (2022) Studying light pollution as an emerging environmental concern in India. Journal of Urban Management, Volume 11, Issue 3.  Available at:  </w:t>
      </w:r>
      <w:hyperlink r:id="rId34" w:history="1">
        <w:r w:rsidRPr="00EF2F5B">
          <w:rPr>
            <w:snapToGrid/>
            <w:color w:val="000000" w:themeColor="text1"/>
            <w:spacing w:val="0"/>
            <w:kern w:val="0"/>
            <w:u w:val="single"/>
            <w:lang w:val="en-ZA" w:bidi="ar-SA"/>
            <w14:ligatures w14:val="none"/>
          </w:rPr>
          <w:t>https://www.sciencedirect.com/science/article/pii/S2226585622000383</w:t>
        </w:r>
      </w:hyperlink>
      <w:r w:rsidRPr="00EF2F5B">
        <w:rPr>
          <w:snapToGrid/>
          <w:color w:val="000000" w:themeColor="text1"/>
          <w:spacing w:val="0"/>
          <w:kern w:val="0"/>
          <w:lang w:val="en-ZA" w:bidi="ar-SA"/>
          <w14:ligatures w14:val="none"/>
        </w:rPr>
        <w:t xml:space="preserve">.   (Accessed: 28 May 2022).  </w:t>
      </w:r>
    </w:p>
    <w:p w14:paraId="66CCCC0A" w14:textId="77777777" w:rsidR="00051C4D" w:rsidRPr="00EF2F5B" w:rsidRDefault="00051C4D" w:rsidP="00051C4D">
      <w:pPr>
        <w:spacing w:after="0" w:line="240" w:lineRule="auto"/>
        <w:jc w:val="both"/>
        <w:rPr>
          <w:snapToGrid/>
          <w:color w:val="000000" w:themeColor="text1"/>
          <w:spacing w:val="0"/>
          <w:kern w:val="0"/>
          <w:lang w:val="en-ZA" w:bidi="ar-SA"/>
          <w14:ligatures w14:val="none"/>
        </w:rPr>
      </w:pPr>
    </w:p>
    <w:p w14:paraId="4FECC945" w14:textId="77777777" w:rsidR="00051C4D" w:rsidRPr="00EF2F5B" w:rsidRDefault="00051C4D" w:rsidP="00051C4D">
      <w:pPr>
        <w:spacing w:after="0" w:line="240" w:lineRule="auto"/>
        <w:jc w:val="both"/>
        <w:rPr>
          <w:rFonts w:eastAsia="Calibri"/>
          <w:snapToGrid/>
          <w:color w:val="000000" w:themeColor="text1"/>
          <w:spacing w:val="0"/>
          <w:kern w:val="0"/>
          <w:lang w:val="en-GB"/>
          <w14:ligatures w14:val="none"/>
        </w:rPr>
      </w:pPr>
      <w:r w:rsidRPr="00EF2F5B">
        <w:rPr>
          <w:rFonts w:eastAsia="Calibri"/>
          <w:snapToGrid/>
          <w:color w:val="000000" w:themeColor="text1"/>
          <w:spacing w:val="0"/>
          <w:kern w:val="0"/>
          <w:lang w:val="en-GB"/>
          <w14:ligatures w14:val="none"/>
        </w:rPr>
        <w:t>Mindel, J.W.,</w:t>
      </w:r>
      <w:r w:rsidRPr="00EF2F5B">
        <w:rPr>
          <w:snapToGrid/>
          <w:color w:val="000000" w:themeColor="text1"/>
          <w:spacing w:val="0"/>
          <w:kern w:val="0"/>
          <w:lang w:val="en-ZA" w:bidi="ar-SA"/>
          <w14:ligatures w14:val="none"/>
        </w:rPr>
        <w:t xml:space="preserve"> Rojas, S.L., Kline, D.M., Bao, S., Rezai, A., Corrigan, J.D., Nelson, R.J and Magalang, U.J.</w:t>
      </w:r>
      <w:r w:rsidRPr="00EF2F5B">
        <w:rPr>
          <w:rFonts w:eastAsia="Calibri"/>
          <w:snapToGrid/>
          <w:color w:val="000000" w:themeColor="text1"/>
          <w:spacing w:val="0"/>
          <w:kern w:val="0"/>
          <w:lang w:val="en-GB"/>
          <w14:ligatures w14:val="none"/>
        </w:rPr>
        <w:t xml:space="preserve"> (2019) ‘Sleeping with low levels of ALAN increases systemic inflammation in humans’ </w:t>
      </w:r>
      <w:r w:rsidRPr="00EF2F5B">
        <w:rPr>
          <w:rFonts w:eastAsia="Calibri"/>
          <w:i/>
          <w:iCs/>
          <w:snapToGrid/>
          <w:color w:val="000000" w:themeColor="text1"/>
          <w:spacing w:val="0"/>
          <w:kern w:val="0"/>
          <w:lang w:val="en-GB"/>
          <w14:ligatures w14:val="none"/>
        </w:rPr>
        <w:t>Sleep,</w:t>
      </w:r>
      <w:r w:rsidRPr="00EF2F5B">
        <w:rPr>
          <w:rFonts w:eastAsia="Calibri"/>
          <w:snapToGrid/>
          <w:color w:val="000000" w:themeColor="text1"/>
          <w:spacing w:val="0"/>
          <w:kern w:val="0"/>
          <w:lang w:val="en-GB"/>
          <w14:ligatures w14:val="none"/>
        </w:rPr>
        <w:t xml:space="preserve"> 42(Supplement_1): A15–A16. doi:</w:t>
      </w:r>
      <w:bookmarkStart w:id="73" w:name="_bookmark224"/>
      <w:bookmarkEnd w:id="73"/>
      <w:r w:rsidRPr="00EF2F5B">
        <w:rPr>
          <w:rFonts w:eastAsia="Calibri"/>
          <w:snapToGrid/>
          <w:color w:val="000000" w:themeColor="text1"/>
          <w:spacing w:val="0"/>
          <w:kern w:val="0"/>
          <w:lang w:val="en-GB"/>
          <w14:ligatures w14:val="none"/>
        </w:rPr>
        <w:t xml:space="preserve">10.1093/sleep/zsz067.037 Available at: </w:t>
      </w:r>
      <w:hyperlink r:id="rId35" w:history="1">
        <w:r w:rsidRPr="00EF2F5B">
          <w:rPr>
            <w:rFonts w:eastAsia="Calibri"/>
            <w:snapToGrid/>
            <w:color w:val="000000" w:themeColor="text1"/>
            <w:spacing w:val="0"/>
            <w:kern w:val="0"/>
            <w:u w:val="single"/>
            <w:lang w:val="en-GB"/>
            <w14:ligatures w14:val="none"/>
          </w:rPr>
          <w:t>https://www.proquest.com/openview/635105f3448ea881ff27a8a60bc9bb14/1?pq-origsite=gscholar&amp;cbl=2046369</w:t>
        </w:r>
      </w:hyperlink>
      <w:r w:rsidRPr="00EF2F5B">
        <w:rPr>
          <w:rFonts w:eastAsia="Calibri"/>
          <w:snapToGrid/>
          <w:color w:val="000000" w:themeColor="text1"/>
          <w:spacing w:val="0"/>
          <w:kern w:val="0"/>
          <w:lang w:val="en-GB"/>
          <w14:ligatures w14:val="none"/>
        </w:rPr>
        <w:t xml:space="preserve"> (Accessed: 28 February 2022).</w:t>
      </w:r>
    </w:p>
    <w:p w14:paraId="782560D3" w14:textId="77777777" w:rsidR="00051C4D" w:rsidRPr="00EF2F5B" w:rsidRDefault="00051C4D" w:rsidP="00051C4D">
      <w:pPr>
        <w:spacing w:after="0" w:line="240" w:lineRule="auto"/>
        <w:jc w:val="both"/>
        <w:rPr>
          <w:snapToGrid/>
          <w:color w:val="000000" w:themeColor="text1"/>
          <w:spacing w:val="0"/>
          <w:kern w:val="0"/>
          <w:lang w:val="en-ZA" w:bidi="ar-SA"/>
          <w14:ligatures w14:val="none"/>
        </w:rPr>
      </w:pPr>
    </w:p>
    <w:p w14:paraId="5EF30FD5" w14:textId="77777777" w:rsidR="00051C4D" w:rsidRPr="00EF2F5B" w:rsidRDefault="00051C4D" w:rsidP="00051C4D">
      <w:pPr>
        <w:spacing w:after="0" w:line="240" w:lineRule="auto"/>
        <w:jc w:val="both"/>
        <w:rPr>
          <w:rFonts w:eastAsia="Calibri"/>
          <w:snapToGrid/>
          <w:color w:val="000000" w:themeColor="text1"/>
          <w:spacing w:val="0"/>
          <w:kern w:val="0"/>
          <w:lang w:val="en-GB"/>
          <w14:ligatures w14:val="none"/>
        </w:rPr>
      </w:pPr>
      <w:r w:rsidRPr="00EF2F5B">
        <w:rPr>
          <w:rFonts w:eastAsia="Calibri"/>
          <w:snapToGrid/>
          <w:color w:val="000000" w:themeColor="text1"/>
          <w:spacing w:val="0"/>
          <w:kern w:val="0"/>
          <w:lang w:val="en-GB"/>
          <w14:ligatures w14:val="none"/>
        </w:rPr>
        <w:t xml:space="preserve">Nagai, N., </w:t>
      </w:r>
      <w:r w:rsidRPr="00EF2F5B">
        <w:rPr>
          <w:snapToGrid/>
          <w:color w:val="000000" w:themeColor="text1"/>
          <w:spacing w:val="0"/>
          <w:kern w:val="0"/>
          <w:lang w:val="en-ZA" w:bidi="ar-SA"/>
          <w14:ligatures w14:val="none"/>
        </w:rPr>
        <w:t xml:space="preserve">Ayaki, M., Yanagawa, T., Hattori, A., Negishi, K., Mori, T., Nakamura, T.J. and Tsubota, K. </w:t>
      </w:r>
      <w:r w:rsidRPr="00EF2F5B">
        <w:rPr>
          <w:rFonts w:eastAsia="Calibri"/>
          <w:snapToGrid/>
          <w:color w:val="000000" w:themeColor="text1"/>
          <w:spacing w:val="0"/>
          <w:kern w:val="0"/>
          <w:lang w:val="en-GB"/>
          <w14:ligatures w14:val="none"/>
        </w:rPr>
        <w:t xml:space="preserve">(2019) ‘Suppression of blue light at night ameliorates metabolic abnormalities by controlling circadian rhythms’, </w:t>
      </w:r>
      <w:r w:rsidRPr="00EF2F5B">
        <w:rPr>
          <w:rFonts w:eastAsia="Calibri"/>
          <w:i/>
          <w:iCs/>
          <w:snapToGrid/>
          <w:color w:val="000000" w:themeColor="text1"/>
          <w:spacing w:val="0"/>
          <w:kern w:val="0"/>
          <w:lang w:val="en-GB"/>
          <w14:ligatures w14:val="none"/>
        </w:rPr>
        <w:t>Investigative Opthalmology &amp; Visual Science,</w:t>
      </w:r>
      <w:r w:rsidRPr="00EF2F5B">
        <w:rPr>
          <w:rFonts w:eastAsia="Calibri"/>
          <w:snapToGrid/>
          <w:color w:val="000000" w:themeColor="text1"/>
          <w:spacing w:val="0"/>
          <w:kern w:val="0"/>
          <w:lang w:val="en-GB"/>
          <w14:ligatures w14:val="none"/>
        </w:rPr>
        <w:t xml:space="preserve"> 60(12), pp. 3786-3793.</w:t>
      </w:r>
      <w:bookmarkStart w:id="74" w:name="_bookmark238"/>
      <w:bookmarkEnd w:id="74"/>
      <w:r w:rsidRPr="00EF2F5B">
        <w:rPr>
          <w:rFonts w:eastAsia="Calibri"/>
          <w:snapToGrid/>
          <w:color w:val="000000" w:themeColor="text1"/>
          <w:spacing w:val="0"/>
          <w:kern w:val="0"/>
          <w:lang w:val="en-GB"/>
          <w14:ligatures w14:val="none"/>
        </w:rPr>
        <w:t xml:space="preserve">  doi:10.1167/iovs.19-27195 Available at: </w:t>
      </w:r>
      <w:hyperlink r:id="rId36" w:history="1">
        <w:r w:rsidRPr="00EF2F5B">
          <w:rPr>
            <w:rFonts w:eastAsia="Calibri"/>
            <w:snapToGrid/>
            <w:color w:val="000000" w:themeColor="text1"/>
            <w:spacing w:val="0"/>
            <w:kern w:val="0"/>
            <w:u w:val="single"/>
            <w:lang w:val="en-GB"/>
            <w14:ligatures w14:val="none"/>
          </w:rPr>
          <w:t>https://pubmed.ncbi.nlm.nih.gov/31504080/</w:t>
        </w:r>
      </w:hyperlink>
      <w:r w:rsidRPr="00EF2F5B">
        <w:rPr>
          <w:rFonts w:eastAsia="Calibri"/>
          <w:snapToGrid/>
          <w:color w:val="000000" w:themeColor="text1"/>
          <w:spacing w:val="0"/>
          <w:kern w:val="0"/>
          <w:lang w:val="en-GB"/>
          <w14:ligatures w14:val="none"/>
        </w:rPr>
        <w:t xml:space="preserve"> (Accessed: 28 February 2022).</w:t>
      </w:r>
    </w:p>
    <w:p w14:paraId="352D2ACB" w14:textId="77777777" w:rsidR="00EA712F" w:rsidRPr="00EF2F5B" w:rsidRDefault="00EA712F" w:rsidP="002C0DCC">
      <w:pPr>
        <w:spacing w:after="0" w:line="240" w:lineRule="auto"/>
        <w:jc w:val="both"/>
        <w:rPr>
          <w:snapToGrid/>
          <w:color w:val="000000" w:themeColor="text1"/>
          <w:spacing w:val="0"/>
          <w:kern w:val="0"/>
          <w:lang w:val="en-GB"/>
          <w14:ligatures w14:val="none"/>
        </w:rPr>
      </w:pPr>
    </w:p>
    <w:p w14:paraId="1332EF44" w14:textId="77777777" w:rsidR="00051C4D" w:rsidRPr="00EF2F5B" w:rsidRDefault="00051C4D" w:rsidP="00051C4D">
      <w:pPr>
        <w:spacing w:after="0" w:line="240" w:lineRule="auto"/>
        <w:jc w:val="both"/>
        <w:rPr>
          <w:rFonts w:eastAsia="Calibri"/>
          <w:snapToGrid/>
          <w:color w:val="000000" w:themeColor="text1"/>
          <w:spacing w:val="0"/>
          <w:kern w:val="0"/>
          <w:lang w:val="en-GB"/>
          <w14:ligatures w14:val="none"/>
        </w:rPr>
      </w:pPr>
      <w:r w:rsidRPr="00EF2F5B">
        <w:rPr>
          <w:rFonts w:eastAsia="Calibri"/>
          <w:snapToGrid/>
          <w:color w:val="000000" w:themeColor="text1"/>
          <w:spacing w:val="0"/>
          <w:kern w:val="0"/>
          <w:lang w:val="en-GB"/>
          <w14:ligatures w14:val="none"/>
        </w:rPr>
        <w:t>Obayashi, K., Yamagami, Y., Tatsumi, S., Kurumatani, N. and Saeki, K. (2019) ‘Indoor light pollution and progression of carotid atherosclerosis: A longitudinal study of the HEIJO-KYO co-</w:t>
      </w:r>
      <w:bookmarkStart w:id="75" w:name="_bookmark222"/>
      <w:bookmarkEnd w:id="75"/>
      <w:r w:rsidRPr="00EF2F5B">
        <w:rPr>
          <w:rFonts w:eastAsia="Calibri"/>
          <w:snapToGrid/>
          <w:color w:val="000000" w:themeColor="text1"/>
          <w:spacing w:val="0"/>
          <w:kern w:val="0"/>
          <w:lang w:val="en-GB"/>
          <w14:ligatures w14:val="none"/>
        </w:rPr>
        <w:t xml:space="preserve"> hort’, </w:t>
      </w:r>
      <w:r w:rsidRPr="00EF2F5B">
        <w:rPr>
          <w:rFonts w:eastAsia="Calibri"/>
          <w:i/>
          <w:iCs/>
          <w:snapToGrid/>
          <w:color w:val="000000" w:themeColor="text1"/>
          <w:spacing w:val="0"/>
          <w:kern w:val="0"/>
          <w:lang w:val="en-GB"/>
          <w14:ligatures w14:val="none"/>
        </w:rPr>
        <w:t>Environment International,</w:t>
      </w:r>
      <w:r w:rsidRPr="00EF2F5B">
        <w:rPr>
          <w:rFonts w:eastAsia="Calibri"/>
          <w:snapToGrid/>
          <w:color w:val="000000" w:themeColor="text1"/>
          <w:spacing w:val="0"/>
          <w:kern w:val="0"/>
          <w:lang w:val="en-GB"/>
          <w14:ligatures w14:val="none"/>
        </w:rPr>
        <w:t xml:space="preserve"> 133(Part B):105184. </w:t>
      </w:r>
      <w:proofErr w:type="spellStart"/>
      <w:r w:rsidRPr="00EF2F5B">
        <w:rPr>
          <w:rFonts w:eastAsia="Calibri"/>
          <w:snapToGrid/>
          <w:color w:val="000000" w:themeColor="text1"/>
          <w:spacing w:val="0"/>
          <w:kern w:val="0"/>
          <w:lang w:val="en-GB"/>
          <w14:ligatures w14:val="none"/>
        </w:rPr>
        <w:t>doi</w:t>
      </w:r>
      <w:proofErr w:type="spellEnd"/>
      <w:r w:rsidRPr="00EF2F5B">
        <w:rPr>
          <w:rFonts w:eastAsia="Calibri"/>
          <w:snapToGrid/>
          <w:color w:val="000000" w:themeColor="text1"/>
          <w:spacing w:val="0"/>
          <w:kern w:val="0"/>
          <w:lang w:val="en-GB"/>
          <w14:ligatures w14:val="none"/>
        </w:rPr>
        <w:t xml:space="preserve">: 10.1016/j.envint.2019.105184 Available at: </w:t>
      </w:r>
      <w:hyperlink r:id="rId37" w:history="1">
        <w:r w:rsidRPr="00EF2F5B">
          <w:rPr>
            <w:rFonts w:eastAsia="Calibri"/>
            <w:snapToGrid/>
            <w:color w:val="000000" w:themeColor="text1"/>
            <w:spacing w:val="0"/>
            <w:kern w:val="0"/>
            <w:u w:val="single"/>
            <w:lang w:val="en-GB"/>
            <w14:ligatures w14:val="none"/>
          </w:rPr>
          <w:t>https://pubmed.ncbi.nlm.nih.gov/31648154/</w:t>
        </w:r>
      </w:hyperlink>
      <w:r w:rsidRPr="00EF2F5B">
        <w:rPr>
          <w:rFonts w:eastAsia="Calibri"/>
          <w:snapToGrid/>
          <w:color w:val="000000" w:themeColor="text1"/>
          <w:spacing w:val="0"/>
          <w:kern w:val="0"/>
          <w:lang w:val="en-GB"/>
          <w14:ligatures w14:val="none"/>
        </w:rPr>
        <w:t xml:space="preserve"> (Accessed: 28 February 2022).</w:t>
      </w:r>
    </w:p>
    <w:p w14:paraId="3F2F5052" w14:textId="77777777" w:rsidR="00051C4D" w:rsidRPr="00EF2F5B" w:rsidRDefault="00051C4D" w:rsidP="00051C4D">
      <w:pPr>
        <w:spacing w:after="0" w:line="240" w:lineRule="auto"/>
        <w:jc w:val="both"/>
        <w:rPr>
          <w:rFonts w:eastAsia="Calibri"/>
          <w:snapToGrid/>
          <w:color w:val="000000" w:themeColor="text1"/>
          <w:spacing w:val="0"/>
          <w:kern w:val="0"/>
          <w:lang w:val="en-GB"/>
          <w14:ligatures w14:val="none"/>
        </w:rPr>
      </w:pPr>
    </w:p>
    <w:p w14:paraId="6EB87599" w14:textId="77777777" w:rsidR="00051C4D" w:rsidRPr="00EF2F5B" w:rsidRDefault="00051C4D" w:rsidP="00051C4D">
      <w:pPr>
        <w:spacing w:after="0" w:line="240" w:lineRule="auto"/>
        <w:jc w:val="both"/>
        <w:rPr>
          <w:snapToGrid/>
          <w:color w:val="000000" w:themeColor="text1"/>
          <w:spacing w:val="0"/>
          <w:kern w:val="0"/>
          <w:lang w:val="en-GB"/>
          <w14:ligatures w14:val="none"/>
        </w:rPr>
      </w:pPr>
      <w:r w:rsidRPr="00EF2F5B">
        <w:rPr>
          <w:snapToGrid/>
          <w:color w:val="000000" w:themeColor="text1"/>
          <w:spacing w:val="0"/>
          <w:kern w:val="0"/>
          <w:lang w:val="en-GB"/>
          <w14:ligatures w14:val="none"/>
        </w:rPr>
        <w:t xml:space="preserve">Ontario Land Use Planning (2023) Municipal Official Land Use Planning Framework.  Available at: </w:t>
      </w:r>
      <w:hyperlink r:id="rId38" w:history="1">
        <w:r w:rsidRPr="00EF2F5B">
          <w:rPr>
            <w:rStyle w:val="Hyperlink"/>
            <w:snapToGrid/>
            <w:color w:val="000000" w:themeColor="text1"/>
            <w:spacing w:val="0"/>
            <w:kern w:val="0"/>
            <w:lang w:val="en-GB"/>
            <w14:ligatures w14:val="none"/>
          </w:rPr>
          <w:t>https://www.ontario.ca/document/ontario-municipal-councillors-guide/10-land-use-planning</w:t>
        </w:r>
      </w:hyperlink>
      <w:r w:rsidRPr="00EF2F5B">
        <w:rPr>
          <w:snapToGrid/>
          <w:color w:val="000000" w:themeColor="text1"/>
          <w:spacing w:val="0"/>
          <w:kern w:val="0"/>
          <w:lang w:val="en-GB"/>
          <w14:ligatures w14:val="none"/>
        </w:rPr>
        <w:t>.  (Accessed: 28 September 2025).</w:t>
      </w:r>
    </w:p>
    <w:p w14:paraId="021EF7FF" w14:textId="77777777" w:rsidR="00051C4D" w:rsidRPr="00EF2F5B" w:rsidRDefault="00051C4D" w:rsidP="00051C4D">
      <w:pPr>
        <w:spacing w:after="0" w:line="240" w:lineRule="auto"/>
        <w:jc w:val="both"/>
        <w:rPr>
          <w:snapToGrid/>
          <w:color w:val="000000" w:themeColor="text1"/>
          <w:spacing w:val="0"/>
          <w:kern w:val="0"/>
          <w:lang w:val="en-GB"/>
          <w14:ligatures w14:val="none"/>
        </w:rPr>
      </w:pPr>
    </w:p>
    <w:p w14:paraId="7648DBB1" w14:textId="77777777" w:rsidR="00051C4D" w:rsidRPr="00EF2F5B" w:rsidRDefault="00051C4D" w:rsidP="00051C4D">
      <w:pPr>
        <w:spacing w:after="0" w:line="240" w:lineRule="auto"/>
        <w:jc w:val="both"/>
        <w:rPr>
          <w:rFonts w:eastAsia="Calibri"/>
          <w:snapToGrid/>
          <w:color w:val="000000" w:themeColor="text1"/>
          <w:spacing w:val="0"/>
          <w:kern w:val="0"/>
          <w:lang w:val="en-GB"/>
          <w14:ligatures w14:val="none"/>
        </w:rPr>
      </w:pPr>
      <w:r w:rsidRPr="00EF2F5B">
        <w:rPr>
          <w:rFonts w:eastAsia="Calibri"/>
          <w:snapToGrid/>
          <w:color w:val="000000" w:themeColor="text1"/>
          <w:spacing w:val="0"/>
          <w:kern w:val="0"/>
          <w:lang w:val="en-GB"/>
          <w14:ligatures w14:val="none"/>
        </w:rPr>
        <w:t xml:space="preserve">Phillips, A.J.K., Vidafar, P., Burns, A.C., McGlashan, E.M., Anderson, C., Rajaratnam, S.M.W., Lockley, S.W. and Cain, S.W. (2019) ‘High sensitivity and interindividual variability in the response of the human circadian system to evening light’, </w:t>
      </w:r>
      <w:r w:rsidRPr="00EF2F5B">
        <w:rPr>
          <w:rFonts w:eastAsia="Calibri"/>
          <w:i/>
          <w:iCs/>
          <w:snapToGrid/>
          <w:color w:val="000000" w:themeColor="text1"/>
          <w:spacing w:val="0"/>
          <w:kern w:val="0"/>
          <w:lang w:val="en-GB"/>
          <w14:ligatures w14:val="none"/>
        </w:rPr>
        <w:t>Proceedings of the National</w:t>
      </w:r>
      <w:bookmarkStart w:id="76" w:name="_bookmark182"/>
      <w:bookmarkEnd w:id="76"/>
      <w:r w:rsidRPr="00EF2F5B">
        <w:rPr>
          <w:rFonts w:eastAsia="Calibri"/>
          <w:i/>
          <w:iCs/>
          <w:snapToGrid/>
          <w:color w:val="000000" w:themeColor="text1"/>
          <w:spacing w:val="0"/>
          <w:kern w:val="0"/>
          <w:lang w:val="en-GB"/>
          <w14:ligatures w14:val="none"/>
        </w:rPr>
        <w:t xml:space="preserve"> Academy of Sciences,</w:t>
      </w:r>
      <w:r w:rsidRPr="00EF2F5B">
        <w:rPr>
          <w:rFonts w:eastAsia="Calibri"/>
          <w:snapToGrid/>
          <w:color w:val="000000" w:themeColor="text1"/>
          <w:spacing w:val="0"/>
          <w:kern w:val="0"/>
          <w:lang w:val="en-GB"/>
          <w14:ligatures w14:val="none"/>
        </w:rPr>
        <w:t xml:space="preserve"> 116(24), pp.  12019-12024. Doi: 10.1073/pnas.1901824116 Available at: </w:t>
      </w:r>
      <w:hyperlink r:id="rId39" w:history="1">
        <w:r w:rsidRPr="00EF2F5B">
          <w:rPr>
            <w:rFonts w:eastAsia="Calibri"/>
            <w:snapToGrid/>
            <w:color w:val="000000" w:themeColor="text1"/>
            <w:spacing w:val="0"/>
            <w:kern w:val="0"/>
            <w:u w:val="single"/>
            <w:lang w:val="en-GB"/>
            <w14:ligatures w14:val="none"/>
          </w:rPr>
          <w:t>https://www.pnas.org/doi/full/10.1073/pnas.1901824116</w:t>
        </w:r>
      </w:hyperlink>
      <w:r w:rsidRPr="00EF2F5B">
        <w:rPr>
          <w:rFonts w:eastAsia="Calibri"/>
          <w:snapToGrid/>
          <w:color w:val="000000" w:themeColor="text1"/>
          <w:spacing w:val="0"/>
          <w:kern w:val="0"/>
          <w:lang w:val="en-GB"/>
          <w14:ligatures w14:val="none"/>
        </w:rPr>
        <w:t xml:space="preserve">  (Accessed: 28 February 2022).</w:t>
      </w:r>
    </w:p>
    <w:p w14:paraId="330CF580" w14:textId="77777777" w:rsidR="00051C4D" w:rsidRPr="00EF2F5B" w:rsidRDefault="00051C4D" w:rsidP="002C0DCC">
      <w:pPr>
        <w:spacing w:after="0" w:line="240" w:lineRule="auto"/>
        <w:jc w:val="both"/>
        <w:rPr>
          <w:snapToGrid/>
          <w:color w:val="000000" w:themeColor="text1"/>
          <w:spacing w:val="0"/>
          <w:kern w:val="0"/>
          <w:lang w:val="en-ZA" w:bidi="ar-SA"/>
          <w14:ligatures w14:val="none"/>
        </w:rPr>
      </w:pPr>
    </w:p>
    <w:p w14:paraId="4A13955A" w14:textId="443F373A" w:rsidR="006C5343" w:rsidRPr="00EF2F5B" w:rsidRDefault="008770F4" w:rsidP="002C0DCC">
      <w:pPr>
        <w:spacing w:after="0" w:line="240" w:lineRule="auto"/>
        <w:jc w:val="both"/>
        <w:rPr>
          <w:snapToGrid/>
          <w:color w:val="000000" w:themeColor="text1"/>
          <w:spacing w:val="0"/>
          <w:kern w:val="0"/>
          <w:lang w:val="en-ZA" w:bidi="ar-SA"/>
          <w14:ligatures w14:val="none"/>
        </w:rPr>
      </w:pPr>
      <w:r w:rsidRPr="00EF2F5B">
        <w:rPr>
          <w:snapToGrid/>
          <w:color w:val="000000" w:themeColor="text1"/>
          <w:spacing w:val="0"/>
          <w:kern w:val="0"/>
          <w:lang w:val="en-ZA" w:bidi="ar-SA"/>
          <w14:ligatures w14:val="none"/>
        </w:rPr>
        <w:t xml:space="preserve">Pothukuchi, K. (2021). City Light or Star Bright: A Review of Urban Light Pollution, Impacts, and Planning Implications.  Available at:  </w:t>
      </w:r>
      <w:hyperlink r:id="rId40" w:history="1">
        <w:r w:rsidRPr="00EF2F5B">
          <w:rPr>
            <w:snapToGrid/>
            <w:color w:val="000000" w:themeColor="text1"/>
            <w:spacing w:val="0"/>
            <w:kern w:val="0"/>
            <w:u w:val="single"/>
            <w:lang w:val="en-ZA" w:bidi="ar-SA"/>
            <w14:ligatures w14:val="none"/>
          </w:rPr>
          <w:t>https://journals.sagepub.com/doi/abs/10.1177/0885412220986421</w:t>
        </w:r>
      </w:hyperlink>
      <w:r w:rsidRPr="00EF2F5B">
        <w:rPr>
          <w:snapToGrid/>
          <w:color w:val="000000" w:themeColor="text1"/>
          <w:spacing w:val="0"/>
          <w:kern w:val="0"/>
          <w:lang w:val="en-ZA" w:bidi="ar-SA"/>
          <w14:ligatures w14:val="none"/>
        </w:rPr>
        <w:t>.   (Accessed: 06 January 2025).</w:t>
      </w:r>
    </w:p>
    <w:p w14:paraId="51585C48" w14:textId="715F8EEC" w:rsidR="00EA712F" w:rsidRPr="00EF2F5B" w:rsidRDefault="006C5343" w:rsidP="006C5343">
      <w:pPr>
        <w:spacing w:before="100" w:beforeAutospacing="1" w:after="100" w:afterAutospacing="1" w:line="256" w:lineRule="auto"/>
        <w:jc w:val="both"/>
        <w:rPr>
          <w:rFonts w:eastAsia="Calibri"/>
          <w:snapToGrid/>
          <w:color w:val="000000" w:themeColor="text1"/>
          <w:spacing w:val="0"/>
          <w:kern w:val="0"/>
          <w14:ligatures w14:val="none"/>
        </w:rPr>
      </w:pPr>
      <w:r w:rsidRPr="00EF2F5B">
        <w:rPr>
          <w:rFonts w:eastAsia="Calibri"/>
          <w:snapToGrid/>
          <w:color w:val="000000" w:themeColor="text1"/>
          <w:spacing w:val="0"/>
          <w:kern w:val="0"/>
          <w14:ligatures w14:val="none"/>
        </w:rPr>
        <w:t xml:space="preserve">Rusu, E., Iordache, F., and </w:t>
      </w:r>
      <w:proofErr w:type="spellStart"/>
      <w:r w:rsidRPr="00EF2F5B">
        <w:rPr>
          <w:rFonts w:eastAsia="Calibri"/>
          <w:snapToGrid/>
          <w:color w:val="000000" w:themeColor="text1"/>
          <w:spacing w:val="0"/>
          <w:kern w:val="0"/>
          <w14:ligatures w14:val="none"/>
        </w:rPr>
        <w:t>Drosu</w:t>
      </w:r>
      <w:proofErr w:type="spellEnd"/>
      <w:r w:rsidRPr="00EF2F5B">
        <w:rPr>
          <w:rFonts w:eastAsia="Calibri"/>
          <w:snapToGrid/>
          <w:color w:val="000000" w:themeColor="text1"/>
          <w:spacing w:val="0"/>
          <w:kern w:val="0"/>
          <w14:ligatures w14:val="none"/>
        </w:rPr>
        <w:t xml:space="preserve">, A. (2021) ‘Evaluation and Measurement of Roadway Luminance for Street Lighting Assessment Using </w:t>
      </w:r>
      <w:proofErr w:type="spellStart"/>
      <w:r w:rsidRPr="00EF2F5B">
        <w:rPr>
          <w:rFonts w:eastAsia="Calibri"/>
          <w:snapToGrid/>
          <w:color w:val="000000" w:themeColor="text1"/>
          <w:spacing w:val="0"/>
          <w:kern w:val="0"/>
          <w14:ligatures w14:val="none"/>
        </w:rPr>
        <w:t>DIALux</w:t>
      </w:r>
      <w:proofErr w:type="spellEnd"/>
      <w:r w:rsidRPr="00EF2F5B">
        <w:rPr>
          <w:rFonts w:eastAsia="Calibri"/>
          <w:snapToGrid/>
          <w:color w:val="000000" w:themeColor="text1"/>
          <w:spacing w:val="0"/>
          <w:kern w:val="0"/>
          <w14:ligatures w14:val="none"/>
        </w:rPr>
        <w:t xml:space="preserve"> </w:t>
      </w:r>
      <w:proofErr w:type="spellStart"/>
      <w:r w:rsidRPr="00EF2F5B">
        <w:rPr>
          <w:rFonts w:eastAsia="Calibri"/>
          <w:snapToGrid/>
          <w:color w:val="000000" w:themeColor="text1"/>
          <w:spacing w:val="0"/>
          <w:kern w:val="0"/>
          <w14:ligatures w14:val="none"/>
        </w:rPr>
        <w:t>Evo</w:t>
      </w:r>
      <w:proofErr w:type="spellEnd"/>
      <w:r w:rsidRPr="00EF2F5B">
        <w:rPr>
          <w:rFonts w:eastAsia="Calibri"/>
          <w:snapToGrid/>
          <w:color w:val="000000" w:themeColor="text1"/>
          <w:spacing w:val="0"/>
          <w:kern w:val="0"/>
          <w14:ligatures w14:val="none"/>
        </w:rPr>
        <w:t xml:space="preserve"> and In-situ Photometric Data’, Sustainability, 13(15), 8345.  Available at:  </w:t>
      </w:r>
      <w:hyperlink r:id="rId41" w:history="1">
        <w:r w:rsidRPr="00EF2F5B">
          <w:rPr>
            <w:rFonts w:eastAsia="Calibri"/>
            <w:snapToGrid/>
            <w:color w:val="000000" w:themeColor="text1"/>
            <w:spacing w:val="0"/>
            <w:kern w:val="0"/>
            <w:u w:val="single"/>
            <w14:ligatures w14:val="none"/>
          </w:rPr>
          <w:t>https://doi.org/10.3390/su13158345</w:t>
        </w:r>
      </w:hyperlink>
      <w:r w:rsidRPr="00EF2F5B">
        <w:rPr>
          <w:rFonts w:eastAsia="Calibri"/>
          <w:snapToGrid/>
          <w:color w:val="000000" w:themeColor="text1"/>
          <w:spacing w:val="0"/>
          <w:kern w:val="0"/>
          <w14:ligatures w14:val="none"/>
        </w:rPr>
        <w:t xml:space="preserve"> (Accessed: 7 April 2026).</w:t>
      </w:r>
    </w:p>
    <w:p w14:paraId="517C2B50" w14:textId="77777777" w:rsidR="00051C4D" w:rsidRPr="00EF2F5B" w:rsidRDefault="00051C4D" w:rsidP="00051C4D">
      <w:pPr>
        <w:spacing w:after="0" w:line="240" w:lineRule="auto"/>
        <w:jc w:val="both"/>
        <w:rPr>
          <w:rFonts w:eastAsia="Calibri"/>
          <w:snapToGrid/>
          <w:color w:val="000000" w:themeColor="text1"/>
          <w:spacing w:val="0"/>
          <w:kern w:val="0"/>
          <w:lang w:val="en-GB"/>
          <w14:ligatures w14:val="none"/>
        </w:rPr>
      </w:pPr>
      <w:r w:rsidRPr="00EF2F5B">
        <w:rPr>
          <w:rFonts w:eastAsia="Calibri"/>
          <w:snapToGrid/>
          <w:color w:val="000000" w:themeColor="text1"/>
          <w:spacing w:val="0"/>
          <w:kern w:val="0"/>
          <w:lang w:val="en-GB"/>
          <w14:ligatures w14:val="none"/>
        </w:rPr>
        <w:t xml:space="preserve">Simons, K.S., </w:t>
      </w:r>
      <w:r w:rsidRPr="00EF2F5B">
        <w:rPr>
          <w:rFonts w:eastAsia="Times New Roman"/>
          <w:snapToGrid/>
          <w:color w:val="000000" w:themeColor="text1"/>
          <w:spacing w:val="0"/>
          <w:kern w:val="0"/>
          <w:shd w:val="clear" w:color="auto" w:fill="FFFFFF"/>
          <w:lang w:val="en-ZA" w:eastAsia="en-GB" w:bidi="ar-SA"/>
          <w14:ligatures w14:val="none"/>
        </w:rPr>
        <w:t>van den Boogaard, M., de Jager, C.P.C.</w:t>
      </w:r>
      <w:r w:rsidRPr="00EF2F5B">
        <w:rPr>
          <w:rFonts w:ascii="Arial" w:eastAsia="Times New Roman" w:hAnsi="Arial" w:cs="Arial"/>
          <w:snapToGrid/>
          <w:color w:val="000000" w:themeColor="text1"/>
          <w:spacing w:val="0"/>
          <w:kern w:val="0"/>
          <w:sz w:val="27"/>
          <w:szCs w:val="27"/>
          <w:shd w:val="clear" w:color="auto" w:fill="FFFFFF"/>
          <w:lang w:val="en-ZA" w:eastAsia="en-GB" w:bidi="ar-SA"/>
          <w14:ligatures w14:val="none"/>
        </w:rPr>
        <w:t> </w:t>
      </w:r>
      <w:r w:rsidRPr="00EF2F5B">
        <w:rPr>
          <w:rFonts w:eastAsia="Calibri"/>
          <w:snapToGrid/>
          <w:color w:val="000000" w:themeColor="text1"/>
          <w:spacing w:val="0"/>
          <w:kern w:val="0"/>
          <w:lang w:val="en-GB"/>
          <w14:ligatures w14:val="none"/>
        </w:rPr>
        <w:t>(2019) ‘Impact of intensive care unit light and</w:t>
      </w:r>
      <w:bookmarkStart w:id="77" w:name="_bookmark226"/>
      <w:bookmarkEnd w:id="77"/>
      <w:r w:rsidRPr="00EF2F5B">
        <w:rPr>
          <w:rFonts w:eastAsia="Calibri"/>
          <w:snapToGrid/>
          <w:color w:val="000000" w:themeColor="text1"/>
          <w:spacing w:val="0"/>
          <w:kern w:val="0"/>
          <w:lang w:val="en-GB"/>
          <w14:ligatures w14:val="none"/>
        </w:rPr>
        <w:t xml:space="preserve"> noise exposure on critically ill patients’, </w:t>
      </w:r>
      <w:r w:rsidRPr="00EF2F5B">
        <w:rPr>
          <w:rFonts w:eastAsia="Calibri"/>
          <w:i/>
          <w:iCs/>
          <w:snapToGrid/>
          <w:color w:val="000000" w:themeColor="text1"/>
          <w:spacing w:val="0"/>
          <w:kern w:val="0"/>
          <w:lang w:val="en-GB"/>
          <w14:ligatures w14:val="none"/>
        </w:rPr>
        <w:t>Netherlands Journal of Critical Care,</w:t>
      </w:r>
      <w:r w:rsidRPr="00EF2F5B">
        <w:rPr>
          <w:rFonts w:eastAsia="Calibri"/>
          <w:snapToGrid/>
          <w:color w:val="000000" w:themeColor="text1"/>
          <w:spacing w:val="0"/>
          <w:kern w:val="0"/>
          <w:lang w:val="en-GB"/>
          <w14:ligatures w14:val="none"/>
        </w:rPr>
        <w:t xml:space="preserve"> 27(4), pp. 145-149. Available at: </w:t>
      </w:r>
      <w:hyperlink r:id="rId42" w:history="1">
        <w:r w:rsidRPr="00EF2F5B">
          <w:rPr>
            <w:rFonts w:eastAsia="Calibri"/>
            <w:snapToGrid/>
            <w:color w:val="000000" w:themeColor="text1"/>
            <w:spacing w:val="0"/>
            <w:kern w:val="0"/>
            <w:u w:val="single"/>
            <w:lang w:val="en-GB"/>
            <w14:ligatures w14:val="none"/>
          </w:rPr>
          <w:t>https://njcc.nl/sites/njcc.nl/files/pdf/review_27.pdf</w:t>
        </w:r>
      </w:hyperlink>
      <w:r w:rsidRPr="00EF2F5B">
        <w:rPr>
          <w:rFonts w:eastAsia="Calibri"/>
          <w:snapToGrid/>
          <w:color w:val="000000" w:themeColor="text1"/>
          <w:spacing w:val="0"/>
          <w:kern w:val="0"/>
          <w:lang w:val="en-GB"/>
          <w14:ligatures w14:val="none"/>
        </w:rPr>
        <w:t>. (Accessed: 28 February 2022).</w:t>
      </w:r>
    </w:p>
    <w:p w14:paraId="60705BBC" w14:textId="77777777" w:rsidR="00051C4D" w:rsidRPr="00EF2F5B" w:rsidRDefault="00051C4D" w:rsidP="002C0DCC">
      <w:pPr>
        <w:spacing w:after="0" w:line="240" w:lineRule="auto"/>
        <w:jc w:val="both"/>
        <w:rPr>
          <w:snapToGrid/>
          <w:color w:val="000000" w:themeColor="text1"/>
          <w:spacing w:val="0"/>
          <w:kern w:val="0"/>
          <w:lang w:val="en-ZA" w:bidi="ar-SA"/>
          <w14:ligatures w14:val="none"/>
        </w:rPr>
      </w:pPr>
    </w:p>
    <w:p w14:paraId="6E6648AA" w14:textId="77777777" w:rsidR="00EF2DCD" w:rsidRPr="00EF2F5B" w:rsidRDefault="00EF2DCD" w:rsidP="002C0DCC">
      <w:pPr>
        <w:spacing w:after="0" w:line="240" w:lineRule="auto"/>
        <w:jc w:val="both"/>
        <w:rPr>
          <w:color w:val="000000" w:themeColor="text1"/>
          <w:spacing w:val="0"/>
          <w:kern w:val="0"/>
          <w14:ligatures w14:val="none"/>
        </w:rPr>
      </w:pPr>
      <w:r w:rsidRPr="00EF2F5B">
        <w:rPr>
          <w:color w:val="000000" w:themeColor="text1"/>
          <w:spacing w:val="0"/>
          <w:kern w:val="0"/>
          <w14:ligatures w14:val="none"/>
        </w:rPr>
        <w:t xml:space="preserve">Transportation Association of Canada (TAC, 2006) </w:t>
      </w:r>
      <w:r w:rsidRPr="00EF2F5B">
        <w:rPr>
          <w:i/>
          <w:iCs/>
          <w:color w:val="000000" w:themeColor="text1"/>
          <w:spacing w:val="0"/>
          <w:kern w:val="0"/>
          <w14:ligatures w14:val="none"/>
        </w:rPr>
        <w:t>Guide for the Design of Roadway Lighting.</w:t>
      </w:r>
      <w:r w:rsidRPr="00EF2F5B">
        <w:rPr>
          <w:color w:val="000000" w:themeColor="text1"/>
          <w:spacing w:val="0"/>
          <w:kern w:val="0"/>
          <w14:ligatures w14:val="none"/>
        </w:rPr>
        <w:t xml:space="preserve"> Available at: </w:t>
      </w:r>
      <w:hyperlink r:id="rId43" w:history="1">
        <w:r w:rsidRPr="00EF2F5B">
          <w:rPr>
            <w:color w:val="000000" w:themeColor="text1"/>
            <w:spacing w:val="0"/>
            <w:kern w:val="0"/>
            <w:u w:val="single"/>
            <w14:ligatures w14:val="none"/>
          </w:rPr>
          <w:t>https://www.tac-atc.ca/en/publications/pdf</w:t>
        </w:r>
      </w:hyperlink>
      <w:r w:rsidRPr="00EF2F5B">
        <w:rPr>
          <w:color w:val="000000" w:themeColor="text1"/>
          <w:spacing w:val="0"/>
          <w:kern w:val="0"/>
          <w14:ligatures w14:val="none"/>
        </w:rPr>
        <w:t xml:space="preserve">  (Accessed: 28 April 2025).</w:t>
      </w:r>
    </w:p>
    <w:p w14:paraId="168339C2" w14:textId="77777777" w:rsidR="00FB5B73" w:rsidRPr="00EF2F5B" w:rsidRDefault="00FB5B73" w:rsidP="002C0DCC">
      <w:pPr>
        <w:spacing w:after="0" w:line="240" w:lineRule="auto"/>
        <w:jc w:val="both"/>
        <w:rPr>
          <w:color w:val="000000" w:themeColor="text1"/>
          <w:spacing w:val="0"/>
          <w:kern w:val="0"/>
          <w14:ligatures w14:val="none"/>
        </w:rPr>
      </w:pPr>
    </w:p>
    <w:p w14:paraId="51AFA3FE" w14:textId="77777777" w:rsidR="00EF2DCD" w:rsidRPr="00EF2F5B" w:rsidRDefault="00EF2DCD" w:rsidP="002C0DCC">
      <w:pPr>
        <w:suppressAutoHyphens/>
        <w:overflowPunct w:val="0"/>
        <w:autoSpaceDE w:val="0"/>
        <w:autoSpaceDN w:val="0"/>
        <w:adjustRightInd w:val="0"/>
        <w:spacing w:after="0" w:line="240" w:lineRule="auto"/>
        <w:jc w:val="both"/>
        <w:textAlignment w:val="baseline"/>
        <w:rPr>
          <w:color w:val="000000" w:themeColor="text1"/>
          <w:spacing w:val="0"/>
          <w:kern w:val="0"/>
          <w14:ligatures w14:val="none"/>
        </w:rPr>
      </w:pPr>
      <w:r w:rsidRPr="00EF2F5B">
        <w:rPr>
          <w:color w:val="000000" w:themeColor="text1"/>
          <w:spacing w:val="0"/>
          <w:kern w:val="0"/>
          <w14:ligatures w14:val="none"/>
        </w:rPr>
        <w:t xml:space="preserve">The Council of Standards Australia/Standards New Zealand (AS/NZS, 2019) </w:t>
      </w:r>
      <w:r w:rsidRPr="00EF2F5B">
        <w:rPr>
          <w:i/>
          <w:iCs/>
          <w:color w:val="000000" w:themeColor="text1"/>
          <w:spacing w:val="0"/>
          <w:kern w:val="0"/>
          <w14:ligatures w14:val="none"/>
        </w:rPr>
        <w:t>Control of the obtrusive effects of outdoor lighting</w:t>
      </w:r>
      <w:r w:rsidRPr="00EF2F5B">
        <w:rPr>
          <w:color w:val="000000" w:themeColor="text1"/>
          <w:spacing w:val="0"/>
          <w:kern w:val="0"/>
          <w14:ligatures w14:val="none"/>
        </w:rPr>
        <w:t xml:space="preserve"> (AS/NZS 4282:2019). Available at: </w:t>
      </w:r>
      <w:hyperlink r:id="rId44" w:history="1">
        <w:r w:rsidRPr="00EF2F5B">
          <w:rPr>
            <w:color w:val="000000" w:themeColor="text1"/>
            <w:spacing w:val="0"/>
            <w:kern w:val="0"/>
            <w:u w:val="single"/>
            <w14:ligatures w14:val="none"/>
          </w:rPr>
          <w:t>https://www.techstreet.com/standards/as-nzs-4282-2019?product_id=2046810</w:t>
        </w:r>
      </w:hyperlink>
      <w:r w:rsidRPr="00EF2F5B">
        <w:rPr>
          <w:color w:val="000000" w:themeColor="text1"/>
          <w:spacing w:val="0"/>
          <w:kern w:val="0"/>
          <w14:ligatures w14:val="none"/>
        </w:rPr>
        <w:t xml:space="preserve"> (Accessed: 28 April 2025).</w:t>
      </w:r>
    </w:p>
    <w:p w14:paraId="3008FB54" w14:textId="77777777" w:rsidR="00051C4D" w:rsidRPr="00EF2F5B" w:rsidRDefault="00051C4D" w:rsidP="002C0DCC">
      <w:pPr>
        <w:suppressAutoHyphens/>
        <w:overflowPunct w:val="0"/>
        <w:autoSpaceDE w:val="0"/>
        <w:autoSpaceDN w:val="0"/>
        <w:adjustRightInd w:val="0"/>
        <w:spacing w:after="0" w:line="240" w:lineRule="auto"/>
        <w:jc w:val="both"/>
        <w:textAlignment w:val="baseline"/>
        <w:rPr>
          <w:color w:val="000000" w:themeColor="text1"/>
          <w:spacing w:val="0"/>
          <w:kern w:val="0"/>
          <w14:ligatures w14:val="none"/>
        </w:rPr>
      </w:pPr>
    </w:p>
    <w:p w14:paraId="0980AF55" w14:textId="77777777" w:rsidR="00051C4D" w:rsidRPr="00EF2F5B" w:rsidRDefault="00051C4D" w:rsidP="00051C4D">
      <w:pPr>
        <w:spacing w:after="0" w:line="240" w:lineRule="auto"/>
        <w:jc w:val="both"/>
        <w:rPr>
          <w:snapToGrid/>
          <w:color w:val="000000" w:themeColor="text1"/>
          <w:spacing w:val="0"/>
          <w:kern w:val="0"/>
          <w:lang w:val="en-GB"/>
          <w14:ligatures w14:val="none"/>
        </w:rPr>
      </w:pPr>
      <w:r w:rsidRPr="00EF2F5B">
        <w:rPr>
          <w:snapToGrid/>
          <w:color w:val="000000" w:themeColor="text1"/>
          <w:spacing w:val="0"/>
          <w:kern w:val="0"/>
          <w:lang w:val="en-GB"/>
          <w14:ligatures w14:val="none"/>
        </w:rPr>
        <w:t xml:space="preserve">Thurairajah, U., Littlewood, J.R. and Karani, G. (2021a) ‘A proposed method to pre-qualify sustainable energy-saving LED Luminaires for outdoor urban lighting applications’, in Littlewood, J., Howlett, R.J. and Jain, L.C. (eds.) </w:t>
      </w:r>
      <w:r w:rsidRPr="00EF2F5B">
        <w:rPr>
          <w:i/>
          <w:iCs/>
          <w:snapToGrid/>
          <w:color w:val="000000" w:themeColor="text1"/>
          <w:spacing w:val="0"/>
          <w:kern w:val="0"/>
          <w:lang w:val="en-GB"/>
          <w14:ligatures w14:val="none"/>
        </w:rPr>
        <w:t xml:space="preserve">Sustainability in Energy and Buildings 2020, Smart Innovation, Systems and Technolgies, Series, </w:t>
      </w:r>
      <w:r w:rsidRPr="00EF2F5B">
        <w:rPr>
          <w:snapToGrid/>
          <w:color w:val="000000" w:themeColor="text1"/>
          <w:spacing w:val="0"/>
          <w:kern w:val="0"/>
          <w:lang w:val="en-GB"/>
          <w14:ligatures w14:val="none"/>
        </w:rPr>
        <w:t>203. Singapore: Singer, pp. 357-367.</w:t>
      </w:r>
      <w:r w:rsidRPr="00EF2F5B">
        <w:rPr>
          <w:rFonts w:eastAsia="Times New Roman"/>
          <w:snapToGrid/>
          <w:color w:val="000000" w:themeColor="text1"/>
          <w:spacing w:val="0"/>
          <w:kern w:val="0"/>
          <w:shd w:val="clear" w:color="auto" w:fill="FCFCFC"/>
          <w:lang w:val="en-ZA" w:eastAsia="en-GB" w:bidi="ar-SA"/>
          <w14:ligatures w14:val="none"/>
        </w:rPr>
        <w:t> </w:t>
      </w:r>
      <w:r w:rsidRPr="00EF2F5B">
        <w:rPr>
          <w:snapToGrid/>
          <w:color w:val="000000" w:themeColor="text1"/>
          <w:spacing w:val="0"/>
          <w:kern w:val="0"/>
          <w:lang w:val="en-GB"/>
          <w14:ligatures w14:val="none"/>
        </w:rPr>
        <w:t xml:space="preserve">Available at: </w:t>
      </w:r>
      <w:hyperlink r:id="rId45" w:history="1">
        <w:r w:rsidRPr="00EF2F5B">
          <w:rPr>
            <w:snapToGrid/>
            <w:color w:val="000000" w:themeColor="text1"/>
            <w:spacing w:val="0"/>
            <w:kern w:val="0"/>
            <w:u w:val="single"/>
            <w:lang w:val="en-GB"/>
            <w14:ligatures w14:val="none"/>
          </w:rPr>
          <w:t>https://doi.org/10.1007/978-981-15-8783-2_30</w:t>
        </w:r>
      </w:hyperlink>
      <w:r w:rsidRPr="00EF2F5B">
        <w:rPr>
          <w:snapToGrid/>
          <w:color w:val="000000" w:themeColor="text1"/>
          <w:spacing w:val="0"/>
          <w:kern w:val="0"/>
          <w:lang w:val="en-GB"/>
          <w14:ligatures w14:val="none"/>
        </w:rPr>
        <w:t xml:space="preserve"> (Accessed: 28 March 2022).</w:t>
      </w:r>
    </w:p>
    <w:p w14:paraId="28D304DB" w14:textId="77777777" w:rsidR="00051C4D" w:rsidRPr="00EF2F5B" w:rsidRDefault="00051C4D" w:rsidP="00051C4D">
      <w:pPr>
        <w:spacing w:after="0" w:line="240" w:lineRule="auto"/>
        <w:jc w:val="both"/>
        <w:rPr>
          <w:snapToGrid/>
          <w:color w:val="000000" w:themeColor="text1"/>
          <w:spacing w:val="0"/>
          <w:kern w:val="0"/>
          <w:lang w:val="en-GB"/>
          <w14:ligatures w14:val="none"/>
        </w:rPr>
      </w:pPr>
    </w:p>
    <w:p w14:paraId="426E0925" w14:textId="6ABBAD23" w:rsidR="00051C4D" w:rsidRPr="00EF2F5B" w:rsidRDefault="00051C4D" w:rsidP="00051C4D">
      <w:pPr>
        <w:spacing w:after="0" w:line="240" w:lineRule="auto"/>
        <w:jc w:val="both"/>
        <w:rPr>
          <w:snapToGrid/>
          <w:color w:val="000000" w:themeColor="text1"/>
          <w:spacing w:val="0"/>
          <w:kern w:val="0"/>
          <w:lang w:val="en-GB"/>
          <w14:ligatures w14:val="none"/>
        </w:rPr>
      </w:pPr>
      <w:r w:rsidRPr="00EF2F5B">
        <w:rPr>
          <w:snapToGrid/>
          <w:color w:val="000000" w:themeColor="text1"/>
          <w:spacing w:val="0"/>
          <w:kern w:val="0"/>
          <w:lang w:val="en-GB"/>
          <w14:ligatures w14:val="none"/>
        </w:rPr>
        <w:t xml:space="preserve">Thurairajah, U., Littlewood, J.R. and Karani, G. (2021b) ‘A novel approach to controlling outdoor light pollution by adopting smart science and technology to improve residents’ quality of life in the built environment’, in Littlewood, J., Howlett, R.J. and Jain, L.C. (eds.) </w:t>
      </w:r>
      <w:r w:rsidRPr="00EF2F5B">
        <w:rPr>
          <w:i/>
          <w:iCs/>
          <w:snapToGrid/>
          <w:color w:val="000000" w:themeColor="text1"/>
          <w:spacing w:val="0"/>
          <w:kern w:val="0"/>
          <w:lang w:val="en-GB"/>
          <w14:ligatures w14:val="none"/>
        </w:rPr>
        <w:t xml:space="preserve">Sustainability in Energy and Buildings 2020, Smart Innovation, Systems and Technologies Series, </w:t>
      </w:r>
      <w:r w:rsidRPr="00EF2F5B">
        <w:rPr>
          <w:snapToGrid/>
          <w:color w:val="000000" w:themeColor="text1"/>
          <w:spacing w:val="0"/>
          <w:kern w:val="0"/>
          <w:lang w:val="en-GB"/>
          <w14:ligatures w14:val="none"/>
        </w:rPr>
        <w:t>203. Singapore: Springer, pp. 369-380.</w:t>
      </w:r>
      <w:r w:rsidRPr="00EF2F5B">
        <w:rPr>
          <w:i/>
          <w:iCs/>
          <w:snapToGrid/>
          <w:color w:val="000000" w:themeColor="text1"/>
          <w:spacing w:val="0"/>
          <w:kern w:val="0"/>
          <w:lang w:val="en-GB"/>
          <w14:ligatures w14:val="none"/>
        </w:rPr>
        <w:t xml:space="preserve"> </w:t>
      </w:r>
      <w:r w:rsidRPr="00EF2F5B">
        <w:rPr>
          <w:snapToGrid/>
          <w:color w:val="000000" w:themeColor="text1"/>
          <w:spacing w:val="0"/>
          <w:kern w:val="0"/>
          <w:lang w:val="en-GB"/>
          <w14:ligatures w14:val="none"/>
        </w:rPr>
        <w:t xml:space="preserve">Available at: </w:t>
      </w:r>
      <w:hyperlink r:id="rId46" w:history="1">
        <w:r w:rsidRPr="00EF2F5B">
          <w:rPr>
            <w:snapToGrid/>
            <w:color w:val="000000" w:themeColor="text1"/>
            <w:spacing w:val="0"/>
            <w:kern w:val="0"/>
            <w:u w:val="single"/>
            <w:lang w:val="en-GB"/>
            <w14:ligatures w14:val="none"/>
          </w:rPr>
          <w:t>https://doi.org/10.1007/978-981-15-8783-2_31</w:t>
        </w:r>
      </w:hyperlink>
      <w:r w:rsidRPr="00EF2F5B">
        <w:rPr>
          <w:snapToGrid/>
          <w:color w:val="000000" w:themeColor="text1"/>
          <w:spacing w:val="0"/>
          <w:kern w:val="0"/>
          <w:lang w:val="en-GB"/>
          <w14:ligatures w14:val="none"/>
        </w:rPr>
        <w:t xml:space="preserve"> (Accessed: 28 Ma</w:t>
      </w:r>
      <w:r w:rsidR="004F3A55" w:rsidRPr="00EF2F5B">
        <w:rPr>
          <w:snapToGrid/>
          <w:color w:val="000000" w:themeColor="text1"/>
          <w:spacing w:val="0"/>
          <w:kern w:val="0"/>
          <w:lang w:val="en-GB"/>
          <w14:ligatures w14:val="none"/>
        </w:rPr>
        <w:t>rch</w:t>
      </w:r>
      <w:r w:rsidRPr="00EF2F5B">
        <w:rPr>
          <w:snapToGrid/>
          <w:color w:val="000000" w:themeColor="text1"/>
          <w:spacing w:val="0"/>
          <w:kern w:val="0"/>
          <w:lang w:val="en-GB"/>
          <w14:ligatures w14:val="none"/>
        </w:rPr>
        <w:t xml:space="preserve"> 202</w:t>
      </w:r>
      <w:r w:rsidR="004F3A55" w:rsidRPr="00EF2F5B">
        <w:rPr>
          <w:snapToGrid/>
          <w:color w:val="000000" w:themeColor="text1"/>
          <w:spacing w:val="0"/>
          <w:kern w:val="0"/>
          <w:lang w:val="en-GB"/>
          <w14:ligatures w14:val="none"/>
        </w:rPr>
        <w:t>6</w:t>
      </w:r>
      <w:r w:rsidRPr="00EF2F5B">
        <w:rPr>
          <w:snapToGrid/>
          <w:color w:val="000000" w:themeColor="text1"/>
          <w:spacing w:val="0"/>
          <w:kern w:val="0"/>
          <w:lang w:val="en-GB"/>
          <w14:ligatures w14:val="none"/>
        </w:rPr>
        <w:t>).</w:t>
      </w:r>
    </w:p>
    <w:p w14:paraId="7B7B601E" w14:textId="77777777" w:rsidR="004F3A55" w:rsidRPr="00EF2F5B" w:rsidRDefault="004F3A55" w:rsidP="00051C4D">
      <w:pPr>
        <w:spacing w:after="0" w:line="240" w:lineRule="auto"/>
        <w:jc w:val="both"/>
        <w:rPr>
          <w:snapToGrid/>
          <w:color w:val="000000" w:themeColor="text1"/>
          <w:spacing w:val="0"/>
          <w:kern w:val="0"/>
          <w:lang w:val="en-GB"/>
          <w14:ligatures w14:val="none"/>
        </w:rPr>
      </w:pPr>
    </w:p>
    <w:p w14:paraId="466AA6B6" w14:textId="1211A279" w:rsidR="004F3A55" w:rsidRPr="00EF2F5B" w:rsidRDefault="004F3A55" w:rsidP="004F3A55">
      <w:pPr>
        <w:spacing w:after="0" w:line="240" w:lineRule="auto"/>
        <w:jc w:val="both"/>
        <w:rPr>
          <w:snapToGrid/>
          <w:color w:val="000000" w:themeColor="text1"/>
          <w:spacing w:val="0"/>
          <w:kern w:val="0"/>
          <w:lang w:val="en-GB"/>
          <w14:ligatures w14:val="none"/>
        </w:rPr>
      </w:pPr>
      <w:r w:rsidRPr="00EF2F5B">
        <w:rPr>
          <w:snapToGrid/>
          <w:color w:val="000000" w:themeColor="text1"/>
          <w:spacing w:val="0"/>
          <w:kern w:val="0"/>
          <w:lang w:val="en-GB"/>
          <w14:ligatures w14:val="none"/>
        </w:rPr>
        <w:t xml:space="preserve">Thurairajah, U., Littlewood, J.R. and Karani, G. (2022a) ‘A proposed method to pre-qualify a wireless monitoring and control system for outdoor lighting to reduce energy use, light pollution, and carbon emissions’, in Littlewood, J.R., Howlett, R.J., Jain, L.C. (eds.) Sustainability in Energy and Building 2021, Smart Innovation, Systems and Technologies Series, 264. Singapore: Springer, pp. 365-375. Available at: </w:t>
      </w:r>
      <w:hyperlink r:id="rId47" w:history="1">
        <w:r w:rsidRPr="00EF2F5B">
          <w:rPr>
            <w:rStyle w:val="Hyperlink"/>
            <w:snapToGrid/>
            <w:color w:val="000000" w:themeColor="text1"/>
            <w:spacing w:val="0"/>
            <w:kern w:val="0"/>
            <w:lang w:val="en-GB"/>
            <w14:ligatures w14:val="none"/>
          </w:rPr>
          <w:t>https://link.springer.com/chapter/10.1007/978-981-16-6269-0_31</w:t>
        </w:r>
      </w:hyperlink>
      <w:r w:rsidRPr="00EF2F5B">
        <w:rPr>
          <w:snapToGrid/>
          <w:color w:val="000000" w:themeColor="text1"/>
          <w:spacing w:val="0"/>
          <w:kern w:val="0"/>
          <w:lang w:val="en-GB"/>
          <w14:ligatures w14:val="none"/>
        </w:rPr>
        <w:t xml:space="preserve">  (Accessed: 28 March 2026).</w:t>
      </w:r>
    </w:p>
    <w:p w14:paraId="2C116F25" w14:textId="77777777" w:rsidR="004F3A55" w:rsidRPr="00EF2F5B" w:rsidRDefault="004F3A55" w:rsidP="004F3A55">
      <w:pPr>
        <w:spacing w:after="0" w:line="240" w:lineRule="auto"/>
        <w:jc w:val="both"/>
        <w:rPr>
          <w:snapToGrid/>
          <w:color w:val="000000" w:themeColor="text1"/>
          <w:spacing w:val="0"/>
          <w:kern w:val="0"/>
          <w:lang w:val="en-GB"/>
          <w14:ligatures w14:val="none"/>
        </w:rPr>
      </w:pPr>
    </w:p>
    <w:p w14:paraId="048A7E85" w14:textId="4FEBFC32" w:rsidR="004F3A55" w:rsidRPr="00EF2F5B" w:rsidRDefault="004F3A55" w:rsidP="004F3A55">
      <w:pPr>
        <w:spacing w:after="0" w:line="240" w:lineRule="auto"/>
        <w:jc w:val="both"/>
        <w:rPr>
          <w:snapToGrid/>
          <w:color w:val="000000" w:themeColor="text1"/>
          <w:spacing w:val="0"/>
          <w:kern w:val="0"/>
          <w:lang w:val="en-GB"/>
          <w14:ligatures w14:val="none"/>
        </w:rPr>
      </w:pPr>
      <w:r w:rsidRPr="00EF2F5B">
        <w:rPr>
          <w:snapToGrid/>
          <w:color w:val="000000" w:themeColor="text1"/>
          <w:spacing w:val="0"/>
          <w:kern w:val="0"/>
          <w:lang w:val="en-GB"/>
          <w14:ligatures w14:val="none"/>
        </w:rPr>
        <w:t xml:space="preserve">Thurairajah, U. (2022b). A comparative study: The benefits of a novel illuminance calculation method over a luminance calculation method for optimal roadway lighting design applications, Journal of Physics: Conference Series, 2224. Available at: </w:t>
      </w:r>
      <w:hyperlink r:id="rId48" w:history="1">
        <w:r w:rsidRPr="00EF2F5B">
          <w:rPr>
            <w:rStyle w:val="Hyperlink"/>
            <w:snapToGrid/>
            <w:color w:val="000000" w:themeColor="text1"/>
            <w:spacing w:val="0"/>
            <w:kern w:val="0"/>
            <w:lang w:val="en-GB"/>
            <w14:ligatures w14:val="none"/>
          </w:rPr>
          <w:t>https://iopscience.iop.org/article/10.1088/1742-6596/2224/1/012117</w:t>
        </w:r>
      </w:hyperlink>
      <w:r w:rsidRPr="00EF2F5B">
        <w:rPr>
          <w:snapToGrid/>
          <w:color w:val="000000" w:themeColor="text1"/>
          <w:spacing w:val="0"/>
          <w:kern w:val="0"/>
          <w:lang w:val="en-GB"/>
          <w14:ligatures w14:val="none"/>
        </w:rPr>
        <w:t xml:space="preserve"> (Accessed: 28 March 2026).</w:t>
      </w:r>
    </w:p>
    <w:p w14:paraId="7544F561" w14:textId="77777777" w:rsidR="004F3A55" w:rsidRPr="00EF2F5B" w:rsidRDefault="004F3A55" w:rsidP="004F3A55">
      <w:pPr>
        <w:spacing w:after="0" w:line="240" w:lineRule="auto"/>
        <w:jc w:val="both"/>
        <w:rPr>
          <w:snapToGrid/>
          <w:color w:val="000000" w:themeColor="text1"/>
          <w:spacing w:val="0"/>
          <w:kern w:val="0"/>
          <w:lang w:val="en-GB"/>
          <w14:ligatures w14:val="none"/>
        </w:rPr>
      </w:pPr>
    </w:p>
    <w:p w14:paraId="50246518" w14:textId="05BF1461" w:rsidR="004F3A55" w:rsidRPr="00EF2F5B" w:rsidRDefault="004F3A55" w:rsidP="004F3A55">
      <w:pPr>
        <w:spacing w:after="0" w:line="240" w:lineRule="auto"/>
        <w:jc w:val="both"/>
        <w:rPr>
          <w:snapToGrid/>
          <w:color w:val="000000" w:themeColor="text1"/>
          <w:spacing w:val="0"/>
          <w:kern w:val="0"/>
          <w:lang w:val="en-GB"/>
          <w14:ligatures w14:val="none"/>
        </w:rPr>
      </w:pPr>
      <w:r w:rsidRPr="00EF2F5B">
        <w:rPr>
          <w:snapToGrid/>
          <w:color w:val="000000" w:themeColor="text1"/>
          <w:spacing w:val="0"/>
          <w:kern w:val="0"/>
          <w:lang w:val="en-GB"/>
          <w14:ligatures w14:val="none"/>
        </w:rPr>
        <w:t xml:space="preserve">Thurairajah, U. (2023a). A Novel Method to Prove the Visibility Distance of Candlelight and the Milky Way’s Vega Star and Apply this Knowledge to Outdoor Lighting Applications, SCIREA Journal of Physics. Vol. </w:t>
      </w:r>
      <w:proofErr w:type="gramStart"/>
      <w:r w:rsidRPr="00EF2F5B">
        <w:rPr>
          <w:snapToGrid/>
          <w:color w:val="000000" w:themeColor="text1"/>
          <w:spacing w:val="0"/>
          <w:kern w:val="0"/>
          <w:lang w:val="en-GB"/>
          <w14:ligatures w14:val="none"/>
        </w:rPr>
        <w:t>8 ,</w:t>
      </w:r>
      <w:proofErr w:type="gramEnd"/>
      <w:r w:rsidRPr="00EF2F5B">
        <w:rPr>
          <w:snapToGrid/>
          <w:color w:val="000000" w:themeColor="text1"/>
          <w:spacing w:val="0"/>
          <w:kern w:val="0"/>
          <w:lang w:val="en-GB"/>
          <w14:ligatures w14:val="none"/>
        </w:rPr>
        <w:t xml:space="preserve"> No. 1 , 2023 , pp. 1 - 18 .  Available at: </w:t>
      </w:r>
      <w:hyperlink r:id="rId49" w:history="1">
        <w:r w:rsidRPr="00EF2F5B">
          <w:rPr>
            <w:rStyle w:val="Hyperlink"/>
            <w:snapToGrid/>
            <w:color w:val="000000" w:themeColor="text1"/>
            <w:spacing w:val="0"/>
            <w:kern w:val="0"/>
            <w:lang w:val="en-GB"/>
            <w14:ligatures w14:val="none"/>
          </w:rPr>
          <w:t>https://doi.org/10.54647/physics140512</w:t>
        </w:r>
      </w:hyperlink>
      <w:r w:rsidRPr="00EF2F5B">
        <w:rPr>
          <w:snapToGrid/>
          <w:color w:val="000000" w:themeColor="text1"/>
          <w:spacing w:val="0"/>
          <w:kern w:val="0"/>
          <w:lang w:val="en-GB"/>
          <w14:ligatures w14:val="none"/>
        </w:rPr>
        <w:t xml:space="preserve">   (Accessed: 28 March 2026).</w:t>
      </w:r>
    </w:p>
    <w:p w14:paraId="4D5252A6" w14:textId="77777777" w:rsidR="004F3A55" w:rsidRPr="00EF2F5B" w:rsidRDefault="004F3A55" w:rsidP="004F3A55">
      <w:pPr>
        <w:spacing w:after="0" w:line="240" w:lineRule="auto"/>
        <w:jc w:val="both"/>
        <w:rPr>
          <w:snapToGrid/>
          <w:color w:val="000000" w:themeColor="text1"/>
          <w:spacing w:val="0"/>
          <w:kern w:val="0"/>
          <w:lang w:val="en-GB"/>
          <w14:ligatures w14:val="none"/>
        </w:rPr>
      </w:pPr>
    </w:p>
    <w:p w14:paraId="1F472D13" w14:textId="0537915E" w:rsidR="004F3A55" w:rsidRPr="00EF2F5B" w:rsidRDefault="004F3A55" w:rsidP="004F3A55">
      <w:pPr>
        <w:spacing w:after="0" w:line="240" w:lineRule="auto"/>
        <w:jc w:val="both"/>
        <w:rPr>
          <w:snapToGrid/>
          <w:color w:val="000000" w:themeColor="text1"/>
          <w:spacing w:val="0"/>
          <w:kern w:val="0"/>
          <w:lang w:val="en-GB"/>
          <w14:ligatures w14:val="none"/>
        </w:rPr>
      </w:pPr>
      <w:r w:rsidRPr="00EF2F5B">
        <w:rPr>
          <w:snapToGrid/>
          <w:color w:val="000000" w:themeColor="text1"/>
          <w:spacing w:val="0"/>
          <w:kern w:val="0"/>
          <w:lang w:val="en-GB"/>
          <w14:ligatures w14:val="none"/>
        </w:rPr>
        <w:t xml:space="preserve">Thurairajah, U. (2023b). An Elite Roadway Illuminance Calculation (ERIC) Method Provides Optimum Performance and Cost-saving without Compromising Safety. Recent Progress in Science and Technology Vol. 8, 98–119. Available at: </w:t>
      </w:r>
      <w:hyperlink r:id="rId50" w:history="1">
        <w:r w:rsidRPr="00EF2F5B">
          <w:rPr>
            <w:rStyle w:val="Hyperlink"/>
            <w:snapToGrid/>
            <w:color w:val="000000" w:themeColor="text1"/>
            <w:spacing w:val="0"/>
            <w:kern w:val="0"/>
            <w:lang w:val="en-GB"/>
            <w14:ligatures w14:val="none"/>
          </w:rPr>
          <w:t>https://doi.org/10.9734/bpi/rpst/v8/5610A</w:t>
        </w:r>
      </w:hyperlink>
      <w:r w:rsidRPr="00EF2F5B">
        <w:rPr>
          <w:snapToGrid/>
          <w:color w:val="000000" w:themeColor="text1"/>
          <w:spacing w:val="0"/>
          <w:kern w:val="0"/>
          <w:lang w:val="en-GB"/>
          <w14:ligatures w14:val="none"/>
        </w:rPr>
        <w:t xml:space="preserve">  (Accessed: 28 March 2026).</w:t>
      </w:r>
    </w:p>
    <w:p w14:paraId="3B16968C" w14:textId="77777777" w:rsidR="004F3A55" w:rsidRPr="00EF2F5B" w:rsidRDefault="004F3A55" w:rsidP="004F3A55">
      <w:pPr>
        <w:spacing w:after="0" w:line="240" w:lineRule="auto"/>
        <w:jc w:val="both"/>
        <w:rPr>
          <w:snapToGrid/>
          <w:color w:val="000000" w:themeColor="text1"/>
          <w:spacing w:val="0"/>
          <w:kern w:val="0"/>
          <w:lang w:val="en-GB"/>
          <w14:ligatures w14:val="none"/>
        </w:rPr>
      </w:pPr>
    </w:p>
    <w:p w14:paraId="31328F25" w14:textId="618985E1" w:rsidR="004F3A55" w:rsidRPr="00EF2F5B" w:rsidRDefault="004F3A55" w:rsidP="004F3A55">
      <w:pPr>
        <w:spacing w:after="0" w:line="240" w:lineRule="auto"/>
        <w:jc w:val="both"/>
        <w:rPr>
          <w:snapToGrid/>
          <w:color w:val="000000" w:themeColor="text1"/>
          <w:spacing w:val="0"/>
          <w:kern w:val="0"/>
          <w:lang w:val="en-GB"/>
          <w14:ligatures w14:val="none"/>
        </w:rPr>
      </w:pPr>
      <w:r w:rsidRPr="00EF2F5B">
        <w:rPr>
          <w:snapToGrid/>
          <w:color w:val="000000" w:themeColor="text1"/>
          <w:spacing w:val="0"/>
          <w:kern w:val="0"/>
          <w:lang w:val="en-GB"/>
          <w14:ligatures w14:val="none"/>
        </w:rPr>
        <w:t xml:space="preserve">Thurairajah, U. (2023c). Discovery of Threshold Visibility Limit (TVL) Using the Number of Photons Intruding into the Human Eye and Possible Application to Outdoor Lighting. Fundamental Research and Application of Physical Science Vol. 7, 82–102. Available at: </w:t>
      </w:r>
      <w:hyperlink r:id="rId51" w:history="1">
        <w:r w:rsidRPr="00EF2F5B">
          <w:rPr>
            <w:rStyle w:val="Hyperlink"/>
            <w:snapToGrid/>
            <w:color w:val="000000" w:themeColor="text1"/>
            <w:spacing w:val="0"/>
            <w:kern w:val="0"/>
            <w:lang w:val="en-GB"/>
            <w14:ligatures w14:val="none"/>
          </w:rPr>
          <w:t>https://doi.org/10.9734/bpi/fraps/v7/6642A</w:t>
        </w:r>
      </w:hyperlink>
      <w:r w:rsidRPr="00EF2F5B">
        <w:rPr>
          <w:snapToGrid/>
          <w:color w:val="000000" w:themeColor="text1"/>
          <w:spacing w:val="0"/>
          <w:kern w:val="0"/>
          <w:lang w:val="en-GB"/>
          <w14:ligatures w14:val="none"/>
        </w:rPr>
        <w:t xml:space="preserve">  (Accessed: 28 March 2026).</w:t>
      </w:r>
    </w:p>
    <w:p w14:paraId="4E941026" w14:textId="77777777" w:rsidR="004F3A55" w:rsidRPr="00EF2F5B" w:rsidRDefault="004F3A55" w:rsidP="00051C4D">
      <w:pPr>
        <w:spacing w:after="0" w:line="240" w:lineRule="auto"/>
        <w:jc w:val="both"/>
        <w:rPr>
          <w:snapToGrid/>
          <w:color w:val="000000" w:themeColor="text1"/>
          <w:spacing w:val="0"/>
          <w:kern w:val="0"/>
          <w:lang w:val="en-GB"/>
          <w14:ligatures w14:val="none"/>
        </w:rPr>
      </w:pPr>
    </w:p>
    <w:p w14:paraId="23FE14B6" w14:textId="23126825" w:rsidR="006C5343" w:rsidRPr="00EF2F5B" w:rsidRDefault="00051C4D" w:rsidP="00051C4D">
      <w:pPr>
        <w:spacing w:after="0" w:line="240" w:lineRule="auto"/>
        <w:jc w:val="both"/>
        <w:rPr>
          <w:rFonts w:eastAsia="Calibri"/>
          <w:snapToGrid/>
          <w:color w:val="000000" w:themeColor="text1"/>
          <w:spacing w:val="0"/>
          <w:kern w:val="0"/>
          <w:lang w:val="en-GB"/>
          <w14:ligatures w14:val="none"/>
        </w:rPr>
      </w:pPr>
      <w:r w:rsidRPr="00EF2F5B">
        <w:rPr>
          <w:rFonts w:eastAsia="Calibri"/>
          <w:snapToGrid/>
          <w:color w:val="000000" w:themeColor="text1"/>
          <w:spacing w:val="0"/>
          <w:kern w:val="0"/>
          <w:lang w:val="en-GB"/>
          <w14:ligatures w14:val="none"/>
        </w:rPr>
        <w:t xml:space="preserve">Thurairajah, U. (2017) ‘Has the American Medical Association (AMA) exposed the health impact of LED Lights?’. Professional Engineers Ontario (PEO), Ontario, Canada. Available at: </w:t>
      </w:r>
      <w:hyperlink r:id="rId52" w:history="1">
        <w:r w:rsidRPr="00EF2F5B">
          <w:rPr>
            <w:rFonts w:eastAsia="Calibri"/>
            <w:snapToGrid/>
            <w:color w:val="000000" w:themeColor="text1"/>
            <w:spacing w:val="0"/>
            <w:kern w:val="0"/>
            <w:u w:val="single"/>
            <w:lang w:val="en-GB"/>
            <w14:ligatures w14:val="none"/>
          </w:rPr>
          <w:t>https://www.canadianconsultingengineer.com/events/ama-exposed-health-impact-led-lights/</w:t>
        </w:r>
      </w:hyperlink>
      <w:r w:rsidRPr="00EF2F5B">
        <w:rPr>
          <w:rFonts w:eastAsia="Calibri"/>
          <w:snapToGrid/>
          <w:color w:val="000000" w:themeColor="text1"/>
          <w:spacing w:val="0"/>
          <w:kern w:val="0"/>
          <w:lang w:val="en-GB"/>
          <w14:ligatures w14:val="none"/>
        </w:rPr>
        <w:t xml:space="preserve">  (Accessed: 28 February 2021).</w:t>
      </w:r>
    </w:p>
    <w:p w14:paraId="323C2756" w14:textId="5F5CCA3D" w:rsidR="00EA712F" w:rsidRPr="00EF2F5B" w:rsidRDefault="006C5343" w:rsidP="006C5343">
      <w:pPr>
        <w:spacing w:before="100" w:beforeAutospacing="1" w:after="100" w:afterAutospacing="1" w:line="256" w:lineRule="auto"/>
        <w:jc w:val="both"/>
        <w:rPr>
          <w:rFonts w:eastAsia="Calibri"/>
          <w:snapToGrid/>
          <w:color w:val="000000" w:themeColor="text1"/>
          <w:spacing w:val="0"/>
          <w:kern w:val="0"/>
          <w14:ligatures w14:val="none"/>
        </w:rPr>
      </w:pPr>
      <w:r w:rsidRPr="00EF2F5B">
        <w:rPr>
          <w:rFonts w:eastAsia="Calibri"/>
          <w:snapToGrid/>
          <w:color w:val="000000" w:themeColor="text1"/>
          <w:spacing w:val="0"/>
          <w:kern w:val="0"/>
          <w14:ligatures w14:val="none"/>
        </w:rPr>
        <w:t xml:space="preserve">University of New Brunswick (2024) Field Validation of AGi32 Simulation Accuracy for Roadway Lighting Projects in Canada. Fredericton, NB: Department of Civil Engineering (Technical Report).  Available at: </w:t>
      </w:r>
      <w:hyperlink r:id="rId53" w:history="1">
        <w:r w:rsidRPr="00EF2F5B">
          <w:rPr>
            <w:rFonts w:eastAsia="Calibri"/>
            <w:snapToGrid/>
            <w:color w:val="000000" w:themeColor="text1"/>
            <w:spacing w:val="0"/>
            <w:kern w:val="0"/>
            <w:u w:val="single"/>
            <w14:ligatures w14:val="none"/>
          </w:rPr>
          <w:t>https://unbscholar.lib.unb.ca/items/1807a314-b41c-46ea-8f6d-662bced76138</w:t>
        </w:r>
      </w:hyperlink>
      <w:r w:rsidRPr="00EF2F5B">
        <w:rPr>
          <w:rFonts w:eastAsia="Calibri"/>
          <w:snapToGrid/>
          <w:color w:val="000000" w:themeColor="text1"/>
          <w:spacing w:val="0"/>
          <w:kern w:val="0"/>
          <w14:ligatures w14:val="none"/>
        </w:rPr>
        <w:t xml:space="preserve">  (Accessed: 7 April 2026).</w:t>
      </w:r>
    </w:p>
    <w:p w14:paraId="4635C3F4" w14:textId="77777777" w:rsidR="00225E24" w:rsidRPr="00EF2F5B" w:rsidRDefault="00DD6941" w:rsidP="002C0DCC">
      <w:pPr>
        <w:spacing w:after="0" w:line="240" w:lineRule="auto"/>
        <w:rPr>
          <w:color w:val="000000" w:themeColor="text1"/>
          <w:spacing w:val="0"/>
        </w:rPr>
      </w:pPr>
      <w:r w:rsidRPr="00EF2F5B">
        <w:rPr>
          <w:color w:val="000000" w:themeColor="text1"/>
          <w:spacing w:val="0"/>
        </w:rPr>
        <w:t>Vogel, D. (1995). Trading up: Consumer and environmental regulation in a global economy. Harvard University Press.</w:t>
      </w:r>
      <w:r w:rsidR="00225E24" w:rsidRPr="00EF2F5B">
        <w:rPr>
          <w:color w:val="000000" w:themeColor="text1"/>
          <w:spacing w:val="0"/>
        </w:rPr>
        <w:t xml:space="preserve"> Available at:  </w:t>
      </w:r>
      <w:hyperlink r:id="rId54" w:history="1">
        <w:r w:rsidR="00225E24" w:rsidRPr="00EF2F5B">
          <w:rPr>
            <w:rStyle w:val="Hyperlink"/>
            <w:color w:val="000000" w:themeColor="text1"/>
            <w:spacing w:val="0"/>
          </w:rPr>
          <w:t>https://www.amazon.ca/Trading-Up-Consumer-Environmental-Regulation/dp/0674900847</w:t>
        </w:r>
      </w:hyperlink>
      <w:r w:rsidR="00225E24" w:rsidRPr="00EF2F5B">
        <w:rPr>
          <w:color w:val="000000" w:themeColor="text1"/>
          <w:spacing w:val="0"/>
        </w:rPr>
        <w:t xml:space="preserve"> (Accessed: 28 April 2025).</w:t>
      </w:r>
    </w:p>
    <w:p w14:paraId="16ABCF97" w14:textId="77777777" w:rsidR="002C0DCC" w:rsidRPr="00EF2F5B" w:rsidRDefault="002C0DCC" w:rsidP="002C0DCC">
      <w:pPr>
        <w:spacing w:after="0" w:line="240" w:lineRule="auto"/>
        <w:rPr>
          <w:color w:val="000000" w:themeColor="text1"/>
          <w:spacing w:val="0"/>
        </w:rPr>
      </w:pPr>
    </w:p>
    <w:p w14:paraId="698A3FBA" w14:textId="77777777" w:rsidR="00DE728F" w:rsidRPr="00EF2F5B" w:rsidRDefault="00DE728F" w:rsidP="002C0DCC">
      <w:pPr>
        <w:spacing w:after="0" w:line="240" w:lineRule="auto"/>
        <w:jc w:val="both"/>
        <w:rPr>
          <w:rFonts w:eastAsia="Calibri"/>
          <w:snapToGrid/>
          <w:color w:val="000000" w:themeColor="text1"/>
          <w:spacing w:val="0"/>
          <w:kern w:val="0"/>
          <w:lang w:val="en-GB"/>
          <w14:ligatures w14:val="none"/>
        </w:rPr>
      </w:pPr>
      <w:r w:rsidRPr="00EF2F5B">
        <w:rPr>
          <w:snapToGrid/>
          <w:color w:val="000000" w:themeColor="text1"/>
          <w:spacing w:val="0"/>
          <w:kern w:val="0"/>
          <w:lang w:val="en-ZA" w:bidi="ar-SA"/>
          <w14:ligatures w14:val="none"/>
        </w:rPr>
        <w:t xml:space="preserve">Weil, Z.M., Fonken, L.K., Walker, W.H., Bumgarner, J.R., Liu, J.A., Melendez-Fernandez, O.H., Zhang, N., Courtney DeVries, A. and Nelson, R.J. </w:t>
      </w:r>
      <w:r w:rsidRPr="00EF2F5B">
        <w:rPr>
          <w:rFonts w:eastAsia="Calibri"/>
          <w:snapToGrid/>
          <w:color w:val="000000" w:themeColor="text1"/>
          <w:spacing w:val="0"/>
          <w:kern w:val="0"/>
          <w:lang w:val="en-GB"/>
          <w14:ligatures w14:val="none"/>
        </w:rPr>
        <w:t xml:space="preserve">(2020) ‘Dim light at night exacerbates stroke outcome, </w:t>
      </w:r>
      <w:r w:rsidRPr="00EF2F5B">
        <w:rPr>
          <w:rFonts w:eastAsia="Calibri"/>
          <w:i/>
          <w:iCs/>
          <w:snapToGrid/>
          <w:color w:val="000000" w:themeColor="text1"/>
          <w:spacing w:val="0"/>
          <w:kern w:val="0"/>
          <w:lang w:val="en-GB"/>
          <w14:ligatures w14:val="none"/>
        </w:rPr>
        <w:t>European Journal of Neuroscience,</w:t>
      </w:r>
      <w:r w:rsidRPr="00EF2F5B">
        <w:rPr>
          <w:rFonts w:eastAsia="Calibri"/>
          <w:snapToGrid/>
          <w:color w:val="000000" w:themeColor="text1"/>
          <w:spacing w:val="0"/>
          <w:kern w:val="0"/>
          <w:lang w:val="en-GB"/>
          <w14:ligatures w14:val="none"/>
        </w:rPr>
        <w:t xml:space="preserve"> 52(9), pp. 4139–4146. doi:10.1111/</w:t>
      </w:r>
      <w:bookmarkStart w:id="78" w:name="_bookmark221"/>
      <w:bookmarkEnd w:id="78"/>
      <w:r w:rsidRPr="00EF2F5B">
        <w:rPr>
          <w:rFonts w:eastAsia="Calibri"/>
          <w:snapToGrid/>
          <w:color w:val="000000" w:themeColor="text1"/>
          <w:spacing w:val="0"/>
          <w:kern w:val="0"/>
          <w:lang w:val="en-GB"/>
          <w14:ligatures w14:val="none"/>
        </w:rPr>
        <w:t xml:space="preserve">ejn.14915 Available at: </w:t>
      </w:r>
      <w:hyperlink r:id="rId55" w:history="1">
        <w:r w:rsidRPr="00EF2F5B">
          <w:rPr>
            <w:rFonts w:eastAsia="Calibri"/>
            <w:snapToGrid/>
            <w:color w:val="000000" w:themeColor="text1"/>
            <w:spacing w:val="0"/>
            <w:kern w:val="0"/>
            <w:u w:val="single"/>
            <w:lang w:val="en-GB"/>
            <w14:ligatures w14:val="none"/>
          </w:rPr>
          <w:t>https://onlinelibrary.wiley.com/doi/10.1111/ejn.14915</w:t>
        </w:r>
      </w:hyperlink>
      <w:r w:rsidRPr="00EF2F5B">
        <w:rPr>
          <w:rFonts w:eastAsia="Calibri"/>
          <w:snapToGrid/>
          <w:color w:val="000000" w:themeColor="text1"/>
          <w:spacing w:val="0"/>
          <w:kern w:val="0"/>
          <w:lang w:val="en-GB"/>
          <w14:ligatures w14:val="none"/>
        </w:rPr>
        <w:t xml:space="preserve"> (Accessed: 28 February 2022).</w:t>
      </w:r>
    </w:p>
    <w:p w14:paraId="43D9E8E3" w14:textId="77777777" w:rsidR="002C0DCC" w:rsidRPr="00EF2F5B" w:rsidRDefault="002C0DCC" w:rsidP="002C0DCC">
      <w:pPr>
        <w:spacing w:after="0" w:line="240" w:lineRule="auto"/>
        <w:jc w:val="both"/>
        <w:rPr>
          <w:rFonts w:eastAsia="Calibri"/>
          <w:snapToGrid/>
          <w:color w:val="000000" w:themeColor="text1"/>
          <w:spacing w:val="0"/>
          <w:kern w:val="0"/>
          <w:lang w:val="en-GB"/>
          <w14:ligatures w14:val="none"/>
        </w:rPr>
      </w:pPr>
    </w:p>
    <w:p w14:paraId="1F84A9E1" w14:textId="77777777" w:rsidR="00DE728F" w:rsidRPr="00EF2F5B" w:rsidRDefault="00DE728F" w:rsidP="002C0DCC">
      <w:pPr>
        <w:spacing w:after="0" w:line="240" w:lineRule="auto"/>
        <w:jc w:val="both"/>
        <w:rPr>
          <w:snapToGrid/>
          <w:color w:val="000000" w:themeColor="text1"/>
          <w:spacing w:val="0"/>
          <w:kern w:val="0"/>
          <w:lang w:val="en-GB"/>
          <w14:ligatures w14:val="none"/>
        </w:rPr>
      </w:pPr>
      <w:bookmarkStart w:id="79" w:name="_Hlk122854327"/>
      <w:r w:rsidRPr="00EF2F5B">
        <w:rPr>
          <w:snapToGrid/>
          <w:color w:val="000000" w:themeColor="text1"/>
          <w:spacing w:val="0"/>
          <w:kern w:val="0"/>
          <w:lang w:val="en-GB"/>
          <w14:ligatures w14:val="none"/>
        </w:rPr>
        <w:t xml:space="preserve">Walker W. H., </w:t>
      </w:r>
      <w:proofErr w:type="spellStart"/>
      <w:r w:rsidRPr="00EF2F5B">
        <w:rPr>
          <w:snapToGrid/>
          <w:color w:val="000000" w:themeColor="text1"/>
          <w:spacing w:val="0"/>
          <w:kern w:val="0"/>
          <w:lang w:val="en-GB"/>
          <w14:ligatures w14:val="none"/>
        </w:rPr>
        <w:t>Wasupport</w:t>
      </w:r>
      <w:proofErr w:type="spellEnd"/>
      <w:r w:rsidRPr="00EF2F5B">
        <w:rPr>
          <w:snapToGrid/>
          <w:color w:val="000000" w:themeColor="text1"/>
          <w:spacing w:val="0"/>
          <w:kern w:val="0"/>
          <w:lang w:val="en-GB"/>
          <w14:ligatures w14:val="none"/>
        </w:rPr>
        <w:t xml:space="preserve"> </w:t>
      </w:r>
      <w:proofErr w:type="spellStart"/>
      <w:r w:rsidRPr="00EF2F5B">
        <w:rPr>
          <w:snapToGrid/>
          <w:color w:val="000000" w:themeColor="text1"/>
          <w:spacing w:val="0"/>
          <w:kern w:val="0"/>
          <w:lang w:val="en-GB"/>
          <w14:ligatures w14:val="none"/>
        </w:rPr>
        <w:t>cilton</w:t>
      </w:r>
      <w:proofErr w:type="spellEnd"/>
      <w:r w:rsidRPr="00EF2F5B">
        <w:rPr>
          <w:snapToGrid/>
          <w:color w:val="000000" w:themeColor="text1"/>
          <w:spacing w:val="0"/>
          <w:kern w:val="0"/>
          <w:lang w:val="en-GB"/>
          <w14:ligatures w14:val="none"/>
        </w:rPr>
        <w:t xml:space="preserve">, J.C, Courtney DeVries, A. and Nelson, R.J. (2020) </w:t>
      </w:r>
      <w:bookmarkEnd w:id="79"/>
      <w:r w:rsidRPr="00EF2F5B">
        <w:rPr>
          <w:snapToGrid/>
          <w:color w:val="000000" w:themeColor="text1"/>
          <w:spacing w:val="0"/>
          <w:kern w:val="0"/>
          <w:lang w:val="en-GB"/>
          <w14:ligatures w14:val="none"/>
        </w:rPr>
        <w:t xml:space="preserve">Circadian rhythm disruption and mental health.  Available at:  </w:t>
      </w:r>
      <w:hyperlink r:id="rId56" w:history="1">
        <w:r w:rsidRPr="00EF2F5B">
          <w:rPr>
            <w:snapToGrid/>
            <w:color w:val="000000" w:themeColor="text1"/>
            <w:spacing w:val="0"/>
            <w:kern w:val="0"/>
            <w:u w:val="single"/>
            <w:lang w:val="en-GB"/>
            <w14:ligatures w14:val="none"/>
          </w:rPr>
          <w:t>https://www.nature.com/articles/s41398-020-0694-0</w:t>
        </w:r>
      </w:hyperlink>
      <w:r w:rsidRPr="00EF2F5B">
        <w:rPr>
          <w:snapToGrid/>
          <w:color w:val="000000" w:themeColor="text1"/>
          <w:spacing w:val="0"/>
          <w:kern w:val="0"/>
          <w:lang w:val="en-GB"/>
          <w14:ligatures w14:val="none"/>
        </w:rPr>
        <w:t>.   (Accessed: 28 August 2022).</w:t>
      </w:r>
    </w:p>
    <w:p w14:paraId="089A3599" w14:textId="77777777" w:rsidR="002C0DCC" w:rsidRPr="00EF2F5B" w:rsidRDefault="002C0DCC" w:rsidP="002C0DCC">
      <w:pPr>
        <w:spacing w:after="0" w:line="240" w:lineRule="auto"/>
        <w:jc w:val="both"/>
        <w:rPr>
          <w:snapToGrid/>
          <w:color w:val="000000" w:themeColor="text1"/>
          <w:spacing w:val="0"/>
          <w:kern w:val="0"/>
          <w:lang w:val="en-GB"/>
          <w14:ligatures w14:val="none"/>
        </w:rPr>
      </w:pPr>
    </w:p>
    <w:p w14:paraId="3CD97F07" w14:textId="77777777" w:rsidR="00DE728F" w:rsidRPr="00EF2F5B" w:rsidRDefault="00DE728F" w:rsidP="002C0DCC">
      <w:pPr>
        <w:spacing w:after="0" w:line="240" w:lineRule="auto"/>
        <w:jc w:val="both"/>
        <w:rPr>
          <w:snapToGrid/>
          <w:color w:val="000000" w:themeColor="text1"/>
          <w:spacing w:val="0"/>
          <w:kern w:val="0"/>
          <w:lang w:val="en-ZA" w:bidi="ar-SA"/>
          <w14:ligatures w14:val="none"/>
        </w:rPr>
      </w:pPr>
      <w:r w:rsidRPr="00EF2F5B">
        <w:rPr>
          <w:rFonts w:eastAsia="Calibri"/>
          <w:snapToGrid/>
          <w:color w:val="000000" w:themeColor="text1"/>
          <w:spacing w:val="0"/>
          <w:kern w:val="0"/>
          <w:lang w:val="en-GB"/>
          <w14:ligatures w14:val="none"/>
        </w:rPr>
        <w:t xml:space="preserve">Walker, W.H. (2nd), </w:t>
      </w:r>
      <w:r w:rsidRPr="00EF2F5B">
        <w:rPr>
          <w:snapToGrid/>
          <w:color w:val="000000" w:themeColor="text1"/>
          <w:spacing w:val="0"/>
          <w:kern w:val="0"/>
          <w:shd w:val="clear" w:color="auto" w:fill="FFFFFF"/>
          <w:lang w:val="en-ZA" w:bidi="ar-SA"/>
          <w14:ligatures w14:val="none"/>
        </w:rPr>
        <w:t>Bumgarner, J.R., Becker-Krail, D.D., May, L.E., Liu, J.A. and Nelson, R.J.</w:t>
      </w:r>
      <w:r w:rsidRPr="00EF2F5B">
        <w:rPr>
          <w:snapToGrid/>
          <w:color w:val="000000" w:themeColor="text1"/>
          <w:spacing w:val="0"/>
          <w:kern w:val="0"/>
          <w:lang w:val="en-ZA" w:bidi="ar-SA"/>
          <w14:ligatures w14:val="none"/>
        </w:rPr>
        <w:t xml:space="preserve"> </w:t>
      </w:r>
      <w:r w:rsidRPr="00EF2F5B">
        <w:rPr>
          <w:rFonts w:eastAsia="Calibri"/>
          <w:snapToGrid/>
          <w:color w:val="000000" w:themeColor="text1"/>
          <w:spacing w:val="0"/>
          <w:kern w:val="0"/>
          <w:lang w:val="en-GB"/>
          <w14:ligatures w14:val="none"/>
        </w:rPr>
        <w:t xml:space="preserve">(2021) ‘Light at night disrupts biological clocks, calendars, and immune function’, </w:t>
      </w:r>
      <w:r w:rsidRPr="00EF2F5B">
        <w:rPr>
          <w:rFonts w:eastAsia="Calibri"/>
          <w:i/>
          <w:iCs/>
          <w:snapToGrid/>
          <w:color w:val="000000" w:themeColor="text1"/>
          <w:spacing w:val="0"/>
          <w:kern w:val="0"/>
          <w:lang w:val="en-GB"/>
          <w14:ligatures w14:val="none"/>
        </w:rPr>
        <w:t>Seminars in</w:t>
      </w:r>
      <w:bookmarkStart w:id="80" w:name="_bookmark107"/>
      <w:bookmarkEnd w:id="80"/>
      <w:r w:rsidRPr="00EF2F5B">
        <w:rPr>
          <w:rFonts w:eastAsia="Calibri"/>
          <w:i/>
          <w:iCs/>
          <w:snapToGrid/>
          <w:color w:val="000000" w:themeColor="text1"/>
          <w:spacing w:val="0"/>
          <w:kern w:val="0"/>
          <w:lang w:val="en-GB"/>
          <w14:ligatures w14:val="none"/>
        </w:rPr>
        <w:t xml:space="preserve"> Immunopathology,</w:t>
      </w:r>
      <w:r w:rsidRPr="00EF2F5B">
        <w:rPr>
          <w:rFonts w:eastAsia="Calibri"/>
          <w:snapToGrid/>
          <w:color w:val="000000" w:themeColor="text1"/>
          <w:spacing w:val="0"/>
          <w:kern w:val="0"/>
          <w:lang w:val="en-GB"/>
          <w14:ligatures w14:val="none"/>
        </w:rPr>
        <w:t xml:space="preserve"> 44(2), pp. 165-173. Doi: 10.1007/s00281-021-00899-0 Available at: </w:t>
      </w:r>
      <w:hyperlink r:id="rId57" w:history="1">
        <w:r w:rsidRPr="00EF2F5B">
          <w:rPr>
            <w:rFonts w:eastAsia="Calibri"/>
            <w:snapToGrid/>
            <w:color w:val="000000" w:themeColor="text1"/>
            <w:spacing w:val="0"/>
            <w:kern w:val="0"/>
            <w:u w:val="single"/>
            <w:lang w:val="en-GB"/>
            <w14:ligatures w14:val="none"/>
          </w:rPr>
          <w:t>https://pubmed.ncbi.nlm.nih.gov/34731290/</w:t>
        </w:r>
      </w:hyperlink>
      <w:r w:rsidRPr="00EF2F5B">
        <w:rPr>
          <w:rFonts w:eastAsia="Calibri"/>
          <w:snapToGrid/>
          <w:color w:val="000000" w:themeColor="text1"/>
          <w:spacing w:val="0"/>
          <w:kern w:val="0"/>
          <w:lang w:val="en-GB"/>
          <w14:ligatures w14:val="none"/>
        </w:rPr>
        <w:t xml:space="preserve"> (Accessed: 28 February 2022).</w:t>
      </w:r>
    </w:p>
    <w:p w14:paraId="13585725" w14:textId="77777777" w:rsidR="00FD4A2D" w:rsidRPr="00EF2F5B" w:rsidRDefault="00FD4A2D" w:rsidP="00781DD7">
      <w:pPr>
        <w:spacing w:line="240" w:lineRule="auto"/>
        <w:ind w:left="567" w:hanging="567"/>
        <w:jc w:val="both"/>
        <w:rPr>
          <w:snapToGrid/>
          <w:color w:val="000000" w:themeColor="text1"/>
          <w:spacing w:val="0"/>
          <w:kern w:val="0"/>
          <w:lang w:val="en-GB"/>
          <w14:ligatures w14:val="none"/>
        </w:rPr>
      </w:pPr>
    </w:p>
    <w:sectPr w:rsidR="00FD4A2D" w:rsidRPr="00EF2F5B" w:rsidSect="004C7F94">
      <w:footerReference w:type="default" r:id="rId58"/>
      <w:pgSz w:w="10319" w:h="14572" w:code="13"/>
      <w:pgMar w:top="567" w:right="567" w:bottom="567" w:left="567"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08961" w14:textId="77777777" w:rsidR="00986524" w:rsidRDefault="00986524" w:rsidP="00E2784B">
      <w:pPr>
        <w:spacing w:after="0" w:line="240" w:lineRule="auto"/>
      </w:pPr>
      <w:r>
        <w:separator/>
      </w:r>
    </w:p>
  </w:endnote>
  <w:endnote w:type="continuationSeparator" w:id="0">
    <w:p w14:paraId="1B9EF14F" w14:textId="77777777" w:rsidR="00986524" w:rsidRDefault="00986524" w:rsidP="00E27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988277"/>
      <w:docPartObj>
        <w:docPartGallery w:val="Page Numbers (Bottom of Page)"/>
        <w:docPartUnique/>
      </w:docPartObj>
    </w:sdtPr>
    <w:sdtEndPr>
      <w:rPr>
        <w:noProof/>
      </w:rPr>
    </w:sdtEndPr>
    <w:sdtContent>
      <w:p w14:paraId="376ACE06" w14:textId="54CA2A6A" w:rsidR="00E2784B" w:rsidRDefault="00E2784B">
        <w:pPr>
          <w:pStyle w:val="Footer"/>
          <w:jc w:val="center"/>
        </w:pPr>
        <w:r>
          <w:fldChar w:fldCharType="begin"/>
        </w:r>
        <w:r>
          <w:instrText xml:space="preserve"> PAGE   \* MERGEFORMAT </w:instrText>
        </w:r>
        <w:r>
          <w:fldChar w:fldCharType="separate"/>
        </w:r>
        <w:r w:rsidR="00360007">
          <w:rPr>
            <w:noProof/>
          </w:rPr>
          <w:t>14</w:t>
        </w:r>
        <w:r>
          <w:rPr>
            <w:noProof/>
          </w:rPr>
          <w:fldChar w:fldCharType="end"/>
        </w:r>
      </w:p>
    </w:sdtContent>
  </w:sdt>
  <w:p w14:paraId="5787C58A" w14:textId="77777777" w:rsidR="00E2784B" w:rsidRDefault="00E27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DDDFF" w14:textId="77777777" w:rsidR="00986524" w:rsidRDefault="00986524" w:rsidP="00E2784B">
      <w:pPr>
        <w:spacing w:after="0" w:line="240" w:lineRule="auto"/>
      </w:pPr>
      <w:r>
        <w:separator/>
      </w:r>
    </w:p>
  </w:footnote>
  <w:footnote w:type="continuationSeparator" w:id="0">
    <w:p w14:paraId="459385CF" w14:textId="77777777" w:rsidR="00986524" w:rsidRDefault="00986524" w:rsidP="00E278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A2E"/>
    <w:multiLevelType w:val="multilevel"/>
    <w:tmpl w:val="0A32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DB5C3E"/>
    <w:multiLevelType w:val="hybridMultilevel"/>
    <w:tmpl w:val="F8D25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3194F"/>
    <w:multiLevelType w:val="hybridMultilevel"/>
    <w:tmpl w:val="29FE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8041E"/>
    <w:multiLevelType w:val="hybridMultilevel"/>
    <w:tmpl w:val="687E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D4695"/>
    <w:multiLevelType w:val="multilevel"/>
    <w:tmpl w:val="0D6AF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EF20FA"/>
    <w:multiLevelType w:val="multilevel"/>
    <w:tmpl w:val="BF10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62754F"/>
    <w:multiLevelType w:val="multilevel"/>
    <w:tmpl w:val="651E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A275AC"/>
    <w:multiLevelType w:val="multilevel"/>
    <w:tmpl w:val="49AE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3C7096"/>
    <w:multiLevelType w:val="multilevel"/>
    <w:tmpl w:val="E746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36036C"/>
    <w:multiLevelType w:val="hybridMultilevel"/>
    <w:tmpl w:val="EE200B4E"/>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BAD45B1"/>
    <w:multiLevelType w:val="multilevel"/>
    <w:tmpl w:val="D24E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951A34"/>
    <w:multiLevelType w:val="hybridMultilevel"/>
    <w:tmpl w:val="FB243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A90104"/>
    <w:multiLevelType w:val="hybridMultilevel"/>
    <w:tmpl w:val="624C8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4E0DFF"/>
    <w:multiLevelType w:val="multilevel"/>
    <w:tmpl w:val="2B30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A640B1"/>
    <w:multiLevelType w:val="hybridMultilevel"/>
    <w:tmpl w:val="063C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01427"/>
    <w:multiLevelType w:val="hybridMultilevel"/>
    <w:tmpl w:val="A386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9025E"/>
    <w:multiLevelType w:val="hybridMultilevel"/>
    <w:tmpl w:val="DB88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D10BC2"/>
    <w:multiLevelType w:val="hybridMultilevel"/>
    <w:tmpl w:val="6F80FB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2D81F02"/>
    <w:multiLevelType w:val="hybridMultilevel"/>
    <w:tmpl w:val="7B18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8455FF"/>
    <w:multiLevelType w:val="multilevel"/>
    <w:tmpl w:val="B000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542BC0"/>
    <w:multiLevelType w:val="multilevel"/>
    <w:tmpl w:val="3A90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B10108"/>
    <w:multiLevelType w:val="hybridMultilevel"/>
    <w:tmpl w:val="89B2F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7954D6"/>
    <w:multiLevelType w:val="hybridMultilevel"/>
    <w:tmpl w:val="A3E4E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366721"/>
    <w:multiLevelType w:val="multilevel"/>
    <w:tmpl w:val="4CD8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CF0768"/>
    <w:multiLevelType w:val="multilevel"/>
    <w:tmpl w:val="7C90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952A8A"/>
    <w:multiLevelType w:val="hybridMultilevel"/>
    <w:tmpl w:val="AF805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E0555B"/>
    <w:multiLevelType w:val="multilevel"/>
    <w:tmpl w:val="75A6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AD4347"/>
    <w:multiLevelType w:val="multilevel"/>
    <w:tmpl w:val="6C9E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0D6DA9"/>
    <w:multiLevelType w:val="hybridMultilevel"/>
    <w:tmpl w:val="F4AE6740"/>
    <w:lvl w:ilvl="0" w:tplc="CF98A10C">
      <w:numFmt w:val="bullet"/>
      <w:lvlText w:val="•"/>
      <w:lvlJc w:val="left"/>
      <w:pPr>
        <w:ind w:left="880" w:hanging="440"/>
      </w:pPr>
      <w:rPr>
        <w:rFonts w:ascii="Times New Roman" w:eastAsia="Times New Roman" w:hAnsi="Times New Roman" w:cs="Times New Roman" w:hint="default"/>
      </w:rPr>
    </w:lvl>
    <w:lvl w:ilvl="1" w:tplc="04090003">
      <w:start w:val="1"/>
      <w:numFmt w:val="bullet"/>
      <w:lvlText w:val="o"/>
      <w:lvlJc w:val="left"/>
      <w:pPr>
        <w:ind w:left="1520" w:hanging="360"/>
      </w:pPr>
      <w:rPr>
        <w:rFonts w:ascii="Courier New" w:hAnsi="Courier New" w:cs="Courier New" w:hint="default"/>
      </w:rPr>
    </w:lvl>
    <w:lvl w:ilvl="2" w:tplc="04090005">
      <w:start w:val="1"/>
      <w:numFmt w:val="bullet"/>
      <w:lvlText w:val=""/>
      <w:lvlJc w:val="left"/>
      <w:pPr>
        <w:ind w:left="2240" w:hanging="360"/>
      </w:pPr>
      <w:rPr>
        <w:rFonts w:ascii="Wingdings" w:hAnsi="Wingdings" w:hint="default"/>
      </w:rPr>
    </w:lvl>
    <w:lvl w:ilvl="3" w:tplc="04090001">
      <w:start w:val="1"/>
      <w:numFmt w:val="bullet"/>
      <w:lvlText w:val=""/>
      <w:lvlJc w:val="left"/>
      <w:pPr>
        <w:ind w:left="2960" w:hanging="360"/>
      </w:pPr>
      <w:rPr>
        <w:rFonts w:ascii="Symbol" w:hAnsi="Symbol" w:hint="default"/>
      </w:rPr>
    </w:lvl>
    <w:lvl w:ilvl="4" w:tplc="04090003">
      <w:start w:val="1"/>
      <w:numFmt w:val="bullet"/>
      <w:lvlText w:val="o"/>
      <w:lvlJc w:val="left"/>
      <w:pPr>
        <w:ind w:left="3680" w:hanging="360"/>
      </w:pPr>
      <w:rPr>
        <w:rFonts w:ascii="Courier New" w:hAnsi="Courier New" w:cs="Courier New" w:hint="default"/>
      </w:rPr>
    </w:lvl>
    <w:lvl w:ilvl="5" w:tplc="04090005">
      <w:start w:val="1"/>
      <w:numFmt w:val="bullet"/>
      <w:lvlText w:val=""/>
      <w:lvlJc w:val="left"/>
      <w:pPr>
        <w:ind w:left="4400" w:hanging="360"/>
      </w:pPr>
      <w:rPr>
        <w:rFonts w:ascii="Wingdings" w:hAnsi="Wingdings" w:hint="default"/>
      </w:rPr>
    </w:lvl>
    <w:lvl w:ilvl="6" w:tplc="04090001">
      <w:start w:val="1"/>
      <w:numFmt w:val="bullet"/>
      <w:lvlText w:val=""/>
      <w:lvlJc w:val="left"/>
      <w:pPr>
        <w:ind w:left="5120" w:hanging="360"/>
      </w:pPr>
      <w:rPr>
        <w:rFonts w:ascii="Symbol" w:hAnsi="Symbol" w:hint="default"/>
      </w:rPr>
    </w:lvl>
    <w:lvl w:ilvl="7" w:tplc="04090003">
      <w:start w:val="1"/>
      <w:numFmt w:val="bullet"/>
      <w:lvlText w:val="o"/>
      <w:lvlJc w:val="left"/>
      <w:pPr>
        <w:ind w:left="5840" w:hanging="360"/>
      </w:pPr>
      <w:rPr>
        <w:rFonts w:ascii="Courier New" w:hAnsi="Courier New" w:cs="Courier New" w:hint="default"/>
      </w:rPr>
    </w:lvl>
    <w:lvl w:ilvl="8" w:tplc="04090005">
      <w:start w:val="1"/>
      <w:numFmt w:val="bullet"/>
      <w:lvlText w:val=""/>
      <w:lvlJc w:val="left"/>
      <w:pPr>
        <w:ind w:left="6560" w:hanging="360"/>
      </w:pPr>
      <w:rPr>
        <w:rFonts w:ascii="Wingdings" w:hAnsi="Wingdings" w:hint="default"/>
      </w:rPr>
    </w:lvl>
  </w:abstractNum>
  <w:abstractNum w:abstractNumId="29">
    <w:nsid w:val="6CAC4C0F"/>
    <w:multiLevelType w:val="hybridMultilevel"/>
    <w:tmpl w:val="3118E6C6"/>
    <w:lvl w:ilvl="0" w:tplc="DB8E637E">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E9A5694"/>
    <w:multiLevelType w:val="multilevel"/>
    <w:tmpl w:val="350C6A62"/>
    <w:lvl w:ilvl="0">
      <w:start w:val="4"/>
      <w:numFmt w:val="decimal"/>
      <w:lvlText w:val="%1."/>
      <w:lvlJc w:val="left"/>
      <w:pPr>
        <w:ind w:left="108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1">
    <w:nsid w:val="71627E07"/>
    <w:multiLevelType w:val="hybridMultilevel"/>
    <w:tmpl w:val="550E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955763"/>
    <w:multiLevelType w:val="hybridMultilevel"/>
    <w:tmpl w:val="CBE81B94"/>
    <w:lvl w:ilvl="0" w:tplc="D24E9A70">
      <w:start w:val="5"/>
      <w:numFmt w:val="decimal"/>
      <w:lvlText w:val="%1"/>
      <w:lvlJc w:val="left"/>
      <w:pPr>
        <w:ind w:left="720" w:hanging="360"/>
      </w:pPr>
      <w:rPr>
        <w:rFonts w:hint="default"/>
      </w:rPr>
    </w:lvl>
    <w:lvl w:ilvl="1" w:tplc="6C6AA3DC">
      <w:start w:val="1"/>
      <w:numFmt w:val="decimal"/>
      <w:lvlText w:val="%2."/>
      <w:lvlJc w:val="left"/>
      <w:pPr>
        <w:ind w:left="150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0C397A"/>
    <w:multiLevelType w:val="multilevel"/>
    <w:tmpl w:val="5C50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8"/>
  </w:num>
  <w:num w:numId="3">
    <w:abstractNumId w:val="9"/>
  </w:num>
  <w:num w:numId="4">
    <w:abstractNumId w:val="3"/>
  </w:num>
  <w:num w:numId="5">
    <w:abstractNumId w:val="14"/>
  </w:num>
  <w:num w:numId="6">
    <w:abstractNumId w:val="20"/>
  </w:num>
  <w:num w:numId="7">
    <w:abstractNumId w:val="21"/>
  </w:num>
  <w:num w:numId="8">
    <w:abstractNumId w:val="31"/>
  </w:num>
  <w:num w:numId="9">
    <w:abstractNumId w:val="19"/>
  </w:num>
  <w:num w:numId="10">
    <w:abstractNumId w:val="22"/>
  </w:num>
  <w:num w:numId="11">
    <w:abstractNumId w:val="11"/>
  </w:num>
  <w:num w:numId="12">
    <w:abstractNumId w:val="12"/>
  </w:num>
  <w:num w:numId="13">
    <w:abstractNumId w:val="16"/>
  </w:num>
  <w:num w:numId="14">
    <w:abstractNumId w:val="1"/>
  </w:num>
  <w:num w:numId="15">
    <w:abstractNumId w:val="18"/>
  </w:num>
  <w:num w:numId="16">
    <w:abstractNumId w:val="2"/>
  </w:num>
  <w:num w:numId="17">
    <w:abstractNumId w:val="15"/>
  </w:num>
  <w:num w:numId="18">
    <w:abstractNumId w:val="25"/>
  </w:num>
  <w:num w:numId="19">
    <w:abstractNumId w:val="30"/>
  </w:num>
  <w:num w:numId="20">
    <w:abstractNumId w:val="33"/>
  </w:num>
  <w:num w:numId="21">
    <w:abstractNumId w:val="26"/>
  </w:num>
  <w:num w:numId="22">
    <w:abstractNumId w:val="10"/>
  </w:num>
  <w:num w:numId="23">
    <w:abstractNumId w:val="0"/>
  </w:num>
  <w:num w:numId="24">
    <w:abstractNumId w:val="13"/>
  </w:num>
  <w:num w:numId="25">
    <w:abstractNumId w:val="23"/>
  </w:num>
  <w:num w:numId="26">
    <w:abstractNumId w:val="8"/>
  </w:num>
  <w:num w:numId="27">
    <w:abstractNumId w:val="27"/>
  </w:num>
  <w:num w:numId="28">
    <w:abstractNumId w:val="29"/>
  </w:num>
  <w:num w:numId="29">
    <w:abstractNumId w:val="6"/>
  </w:num>
  <w:num w:numId="30">
    <w:abstractNumId w:val="5"/>
  </w:num>
  <w:num w:numId="31">
    <w:abstractNumId w:val="24"/>
  </w:num>
  <w:num w:numId="32">
    <w:abstractNumId w:val="4"/>
  </w:num>
  <w:num w:numId="33">
    <w:abstractNumId w:val="17"/>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3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DD"/>
    <w:rsid w:val="00033360"/>
    <w:rsid w:val="00051C4D"/>
    <w:rsid w:val="0005676A"/>
    <w:rsid w:val="00061D0F"/>
    <w:rsid w:val="000629A5"/>
    <w:rsid w:val="0006526A"/>
    <w:rsid w:val="000660F6"/>
    <w:rsid w:val="000718D9"/>
    <w:rsid w:val="00075339"/>
    <w:rsid w:val="0008305D"/>
    <w:rsid w:val="000A77C1"/>
    <w:rsid w:val="000B6244"/>
    <w:rsid w:val="000C31B3"/>
    <w:rsid w:val="000C4E98"/>
    <w:rsid w:val="000D7E36"/>
    <w:rsid w:val="000E7AA4"/>
    <w:rsid w:val="000F5093"/>
    <w:rsid w:val="00105373"/>
    <w:rsid w:val="00112076"/>
    <w:rsid w:val="001209AB"/>
    <w:rsid w:val="0013477F"/>
    <w:rsid w:val="0014038A"/>
    <w:rsid w:val="00153429"/>
    <w:rsid w:val="00155D01"/>
    <w:rsid w:val="0016079F"/>
    <w:rsid w:val="00173B61"/>
    <w:rsid w:val="0017733F"/>
    <w:rsid w:val="00181FC3"/>
    <w:rsid w:val="0018774D"/>
    <w:rsid w:val="001B39FA"/>
    <w:rsid w:val="001B4872"/>
    <w:rsid w:val="001C09C9"/>
    <w:rsid w:val="001C145C"/>
    <w:rsid w:val="001D0F9F"/>
    <w:rsid w:val="001D4C7A"/>
    <w:rsid w:val="001D5BEC"/>
    <w:rsid w:val="001E14EC"/>
    <w:rsid w:val="001E23F5"/>
    <w:rsid w:val="001E7461"/>
    <w:rsid w:val="001F27A0"/>
    <w:rsid w:val="001F4ADC"/>
    <w:rsid w:val="001F5916"/>
    <w:rsid w:val="00205E18"/>
    <w:rsid w:val="00220755"/>
    <w:rsid w:val="002209B6"/>
    <w:rsid w:val="00225E24"/>
    <w:rsid w:val="00234000"/>
    <w:rsid w:val="00235595"/>
    <w:rsid w:val="002373F2"/>
    <w:rsid w:val="002445CC"/>
    <w:rsid w:val="002533A3"/>
    <w:rsid w:val="002536CE"/>
    <w:rsid w:val="00265962"/>
    <w:rsid w:val="00267BBA"/>
    <w:rsid w:val="00272CB6"/>
    <w:rsid w:val="00273B4B"/>
    <w:rsid w:val="0027554C"/>
    <w:rsid w:val="002A07B5"/>
    <w:rsid w:val="002A5E10"/>
    <w:rsid w:val="002B7DE3"/>
    <w:rsid w:val="002C0DCC"/>
    <w:rsid w:val="002D5B20"/>
    <w:rsid w:val="002E1FD2"/>
    <w:rsid w:val="002E331C"/>
    <w:rsid w:val="002E51F5"/>
    <w:rsid w:val="002F2197"/>
    <w:rsid w:val="002F5949"/>
    <w:rsid w:val="00315907"/>
    <w:rsid w:val="00326ECC"/>
    <w:rsid w:val="00336F99"/>
    <w:rsid w:val="00351757"/>
    <w:rsid w:val="00352BE1"/>
    <w:rsid w:val="00360007"/>
    <w:rsid w:val="00372CBB"/>
    <w:rsid w:val="00392E62"/>
    <w:rsid w:val="003A36D6"/>
    <w:rsid w:val="003A4251"/>
    <w:rsid w:val="003B50BB"/>
    <w:rsid w:val="003B683F"/>
    <w:rsid w:val="003C2E98"/>
    <w:rsid w:val="003C38A5"/>
    <w:rsid w:val="003C39E5"/>
    <w:rsid w:val="003D3A77"/>
    <w:rsid w:val="003E1229"/>
    <w:rsid w:val="003F054C"/>
    <w:rsid w:val="003F3686"/>
    <w:rsid w:val="003F6142"/>
    <w:rsid w:val="004057F5"/>
    <w:rsid w:val="00412BFD"/>
    <w:rsid w:val="00414030"/>
    <w:rsid w:val="00420B1F"/>
    <w:rsid w:val="0043276C"/>
    <w:rsid w:val="00434D7F"/>
    <w:rsid w:val="00437C25"/>
    <w:rsid w:val="004432CB"/>
    <w:rsid w:val="00451050"/>
    <w:rsid w:val="004729D6"/>
    <w:rsid w:val="00492AD3"/>
    <w:rsid w:val="004A34F5"/>
    <w:rsid w:val="004B6CEC"/>
    <w:rsid w:val="004C1793"/>
    <w:rsid w:val="004C28CF"/>
    <w:rsid w:val="004C6FB6"/>
    <w:rsid w:val="004C7F94"/>
    <w:rsid w:val="004D0ED7"/>
    <w:rsid w:val="004D2FFC"/>
    <w:rsid w:val="004D3B9E"/>
    <w:rsid w:val="004F031E"/>
    <w:rsid w:val="004F3A55"/>
    <w:rsid w:val="0052164D"/>
    <w:rsid w:val="00531DE7"/>
    <w:rsid w:val="00553C72"/>
    <w:rsid w:val="00570D5F"/>
    <w:rsid w:val="0058612D"/>
    <w:rsid w:val="00590008"/>
    <w:rsid w:val="00591706"/>
    <w:rsid w:val="00592D38"/>
    <w:rsid w:val="005963E4"/>
    <w:rsid w:val="005A324B"/>
    <w:rsid w:val="005B32A8"/>
    <w:rsid w:val="005B5D09"/>
    <w:rsid w:val="005C68E9"/>
    <w:rsid w:val="005D5CBE"/>
    <w:rsid w:val="005D6E23"/>
    <w:rsid w:val="005D7E5A"/>
    <w:rsid w:val="0060291A"/>
    <w:rsid w:val="0060726F"/>
    <w:rsid w:val="00611383"/>
    <w:rsid w:val="00621761"/>
    <w:rsid w:val="006268A1"/>
    <w:rsid w:val="006305E2"/>
    <w:rsid w:val="006429EB"/>
    <w:rsid w:val="00646F67"/>
    <w:rsid w:val="006503BB"/>
    <w:rsid w:val="00670963"/>
    <w:rsid w:val="00670F1F"/>
    <w:rsid w:val="00671BA9"/>
    <w:rsid w:val="006759B0"/>
    <w:rsid w:val="00682687"/>
    <w:rsid w:val="00682D49"/>
    <w:rsid w:val="0068313A"/>
    <w:rsid w:val="006832A4"/>
    <w:rsid w:val="006942A6"/>
    <w:rsid w:val="006A2CB2"/>
    <w:rsid w:val="006C4B84"/>
    <w:rsid w:val="006C5343"/>
    <w:rsid w:val="006E0E82"/>
    <w:rsid w:val="006F775F"/>
    <w:rsid w:val="007312E8"/>
    <w:rsid w:val="00753F74"/>
    <w:rsid w:val="007544D7"/>
    <w:rsid w:val="00754E44"/>
    <w:rsid w:val="00762A4D"/>
    <w:rsid w:val="007701ED"/>
    <w:rsid w:val="00775AD2"/>
    <w:rsid w:val="0077632D"/>
    <w:rsid w:val="00781DD7"/>
    <w:rsid w:val="007A3116"/>
    <w:rsid w:val="007A682C"/>
    <w:rsid w:val="007B0AB0"/>
    <w:rsid w:val="007B362A"/>
    <w:rsid w:val="007E11D7"/>
    <w:rsid w:val="00815918"/>
    <w:rsid w:val="00826858"/>
    <w:rsid w:val="00827552"/>
    <w:rsid w:val="008333DC"/>
    <w:rsid w:val="00836293"/>
    <w:rsid w:val="00837482"/>
    <w:rsid w:val="00843436"/>
    <w:rsid w:val="008473B2"/>
    <w:rsid w:val="008770F4"/>
    <w:rsid w:val="008936E7"/>
    <w:rsid w:val="00897590"/>
    <w:rsid w:val="008B585E"/>
    <w:rsid w:val="008E511D"/>
    <w:rsid w:val="00907313"/>
    <w:rsid w:val="00911568"/>
    <w:rsid w:val="00914A77"/>
    <w:rsid w:val="00940D43"/>
    <w:rsid w:val="0095373A"/>
    <w:rsid w:val="00963DE1"/>
    <w:rsid w:val="00971AEB"/>
    <w:rsid w:val="00986524"/>
    <w:rsid w:val="009874A8"/>
    <w:rsid w:val="009A3985"/>
    <w:rsid w:val="009B3380"/>
    <w:rsid w:val="009C55E4"/>
    <w:rsid w:val="009C5826"/>
    <w:rsid w:val="009D145E"/>
    <w:rsid w:val="009F5A54"/>
    <w:rsid w:val="00A004D9"/>
    <w:rsid w:val="00A010F7"/>
    <w:rsid w:val="00A01895"/>
    <w:rsid w:val="00A21462"/>
    <w:rsid w:val="00A23117"/>
    <w:rsid w:val="00A32E9E"/>
    <w:rsid w:val="00A41527"/>
    <w:rsid w:val="00A42DC1"/>
    <w:rsid w:val="00A505E4"/>
    <w:rsid w:val="00A61DD9"/>
    <w:rsid w:val="00A62951"/>
    <w:rsid w:val="00A700A8"/>
    <w:rsid w:val="00A71A49"/>
    <w:rsid w:val="00A9047A"/>
    <w:rsid w:val="00A955B3"/>
    <w:rsid w:val="00A95C41"/>
    <w:rsid w:val="00A960AC"/>
    <w:rsid w:val="00AA336D"/>
    <w:rsid w:val="00AA7CDC"/>
    <w:rsid w:val="00AB1B62"/>
    <w:rsid w:val="00AD0487"/>
    <w:rsid w:val="00AF48E4"/>
    <w:rsid w:val="00B03BC5"/>
    <w:rsid w:val="00B03EDD"/>
    <w:rsid w:val="00B06CFC"/>
    <w:rsid w:val="00B21DFA"/>
    <w:rsid w:val="00B375CE"/>
    <w:rsid w:val="00B51DD4"/>
    <w:rsid w:val="00B5310D"/>
    <w:rsid w:val="00B678A3"/>
    <w:rsid w:val="00B720CE"/>
    <w:rsid w:val="00B729D6"/>
    <w:rsid w:val="00B92858"/>
    <w:rsid w:val="00B9289F"/>
    <w:rsid w:val="00BA6788"/>
    <w:rsid w:val="00BD4FDA"/>
    <w:rsid w:val="00BD7DA0"/>
    <w:rsid w:val="00BE7AD1"/>
    <w:rsid w:val="00BF5E16"/>
    <w:rsid w:val="00C04FFE"/>
    <w:rsid w:val="00C111A3"/>
    <w:rsid w:val="00C205BB"/>
    <w:rsid w:val="00C212C8"/>
    <w:rsid w:val="00C215A2"/>
    <w:rsid w:val="00C2267C"/>
    <w:rsid w:val="00C27A18"/>
    <w:rsid w:val="00C30708"/>
    <w:rsid w:val="00C37082"/>
    <w:rsid w:val="00C412B3"/>
    <w:rsid w:val="00C44085"/>
    <w:rsid w:val="00C716C1"/>
    <w:rsid w:val="00C827C4"/>
    <w:rsid w:val="00C85F2C"/>
    <w:rsid w:val="00C864B8"/>
    <w:rsid w:val="00C875B0"/>
    <w:rsid w:val="00C93DD0"/>
    <w:rsid w:val="00CA7F35"/>
    <w:rsid w:val="00CC39B7"/>
    <w:rsid w:val="00CC4032"/>
    <w:rsid w:val="00CD0903"/>
    <w:rsid w:val="00CD23BB"/>
    <w:rsid w:val="00CD3499"/>
    <w:rsid w:val="00CE059F"/>
    <w:rsid w:val="00CE6389"/>
    <w:rsid w:val="00CE6B78"/>
    <w:rsid w:val="00CF4680"/>
    <w:rsid w:val="00D006AC"/>
    <w:rsid w:val="00D0520E"/>
    <w:rsid w:val="00D127D5"/>
    <w:rsid w:val="00D20F4B"/>
    <w:rsid w:val="00D368AA"/>
    <w:rsid w:val="00D431AA"/>
    <w:rsid w:val="00D448B5"/>
    <w:rsid w:val="00D44C7B"/>
    <w:rsid w:val="00D53557"/>
    <w:rsid w:val="00D554E0"/>
    <w:rsid w:val="00D6314A"/>
    <w:rsid w:val="00D715AC"/>
    <w:rsid w:val="00D74EAC"/>
    <w:rsid w:val="00D764B5"/>
    <w:rsid w:val="00D77BBF"/>
    <w:rsid w:val="00D900F8"/>
    <w:rsid w:val="00D91F62"/>
    <w:rsid w:val="00DA1551"/>
    <w:rsid w:val="00DA6259"/>
    <w:rsid w:val="00DA674C"/>
    <w:rsid w:val="00DB7D52"/>
    <w:rsid w:val="00DC07C0"/>
    <w:rsid w:val="00DD25B3"/>
    <w:rsid w:val="00DD6941"/>
    <w:rsid w:val="00DE286E"/>
    <w:rsid w:val="00DE2903"/>
    <w:rsid w:val="00DE728F"/>
    <w:rsid w:val="00DF2F1B"/>
    <w:rsid w:val="00E0019A"/>
    <w:rsid w:val="00E02258"/>
    <w:rsid w:val="00E13CF7"/>
    <w:rsid w:val="00E20DE3"/>
    <w:rsid w:val="00E2784B"/>
    <w:rsid w:val="00E36CD5"/>
    <w:rsid w:val="00E37EBE"/>
    <w:rsid w:val="00E46AC5"/>
    <w:rsid w:val="00E61BC9"/>
    <w:rsid w:val="00E878FB"/>
    <w:rsid w:val="00E92D8E"/>
    <w:rsid w:val="00E93E05"/>
    <w:rsid w:val="00EA1D8D"/>
    <w:rsid w:val="00EA4E50"/>
    <w:rsid w:val="00EA712F"/>
    <w:rsid w:val="00EC5F3A"/>
    <w:rsid w:val="00EE3213"/>
    <w:rsid w:val="00EE36E9"/>
    <w:rsid w:val="00EE67D6"/>
    <w:rsid w:val="00EF1242"/>
    <w:rsid w:val="00EF2DCD"/>
    <w:rsid w:val="00EF2F5B"/>
    <w:rsid w:val="00F0093D"/>
    <w:rsid w:val="00F04628"/>
    <w:rsid w:val="00F24CAE"/>
    <w:rsid w:val="00F3411C"/>
    <w:rsid w:val="00F50EEF"/>
    <w:rsid w:val="00F53DE8"/>
    <w:rsid w:val="00F63737"/>
    <w:rsid w:val="00F76BFF"/>
    <w:rsid w:val="00F818B8"/>
    <w:rsid w:val="00F86F9C"/>
    <w:rsid w:val="00FB54B5"/>
    <w:rsid w:val="00FB5B73"/>
    <w:rsid w:val="00FC403E"/>
    <w:rsid w:val="00FC491A"/>
    <w:rsid w:val="00FC59F8"/>
    <w:rsid w:val="00FD1579"/>
    <w:rsid w:val="00FD4A2D"/>
    <w:rsid w:val="00FE34A2"/>
    <w:rsid w:val="00FE5113"/>
    <w:rsid w:val="00FF14B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spacing w:val="30"/>
        <w:kern w:val="2"/>
        <w:sz w:val="24"/>
        <w:szCs w:val="24"/>
        <w:lang w:val="en-US" w:eastAsia="en-US" w:bidi="ta-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heading"/>
    <w:basedOn w:val="Normal"/>
    <w:next w:val="Normal"/>
    <w:link w:val="Heading1Char"/>
    <w:uiPriority w:val="9"/>
    <w:qFormat/>
    <w:rsid w:val="00B03E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03E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03ED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03ED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B03ED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03E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3E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3E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3E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
    <w:basedOn w:val="DefaultParagraphFont"/>
    <w:link w:val="Heading1"/>
    <w:uiPriority w:val="9"/>
    <w:rsid w:val="00B03E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3E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3ED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3ED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03ED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03E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3E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3E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3E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3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E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E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3EDD"/>
    <w:pPr>
      <w:spacing w:before="160"/>
      <w:jc w:val="center"/>
    </w:pPr>
    <w:rPr>
      <w:i/>
      <w:iCs/>
      <w:color w:val="404040" w:themeColor="text1" w:themeTint="BF"/>
    </w:rPr>
  </w:style>
  <w:style w:type="character" w:customStyle="1" w:styleId="QuoteChar">
    <w:name w:val="Quote Char"/>
    <w:basedOn w:val="DefaultParagraphFont"/>
    <w:link w:val="Quote"/>
    <w:uiPriority w:val="29"/>
    <w:rsid w:val="00B03EDD"/>
    <w:rPr>
      <w:i/>
      <w:iCs/>
      <w:color w:val="404040" w:themeColor="text1" w:themeTint="BF"/>
    </w:rPr>
  </w:style>
  <w:style w:type="paragraph" w:styleId="ListParagraph">
    <w:name w:val="List Paragraph"/>
    <w:basedOn w:val="Normal"/>
    <w:uiPriority w:val="34"/>
    <w:qFormat/>
    <w:rsid w:val="00B03EDD"/>
    <w:pPr>
      <w:ind w:left="720"/>
      <w:contextualSpacing/>
    </w:pPr>
  </w:style>
  <w:style w:type="character" w:styleId="IntenseEmphasis">
    <w:name w:val="Intense Emphasis"/>
    <w:basedOn w:val="DefaultParagraphFont"/>
    <w:uiPriority w:val="21"/>
    <w:qFormat/>
    <w:rsid w:val="00B03EDD"/>
    <w:rPr>
      <w:i/>
      <w:iCs/>
      <w:color w:val="2F5496" w:themeColor="accent1" w:themeShade="BF"/>
    </w:rPr>
  </w:style>
  <w:style w:type="paragraph" w:styleId="IntenseQuote">
    <w:name w:val="Intense Quote"/>
    <w:basedOn w:val="Normal"/>
    <w:next w:val="Normal"/>
    <w:link w:val="IntenseQuoteChar"/>
    <w:uiPriority w:val="30"/>
    <w:qFormat/>
    <w:rsid w:val="00B03E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3EDD"/>
    <w:rPr>
      <w:i/>
      <w:iCs/>
      <w:color w:val="2F5496" w:themeColor="accent1" w:themeShade="BF"/>
    </w:rPr>
  </w:style>
  <w:style w:type="character" w:styleId="IntenseReference">
    <w:name w:val="Intense Reference"/>
    <w:basedOn w:val="DefaultParagraphFont"/>
    <w:uiPriority w:val="32"/>
    <w:qFormat/>
    <w:rsid w:val="00B03EDD"/>
    <w:rPr>
      <w:b/>
      <w:bCs/>
      <w:smallCaps/>
      <w:color w:val="2F5496" w:themeColor="accent1" w:themeShade="BF"/>
      <w:spacing w:val="5"/>
    </w:rPr>
  </w:style>
  <w:style w:type="table" w:customStyle="1" w:styleId="TableGrid11">
    <w:name w:val="Table Grid11"/>
    <w:basedOn w:val="TableNormal"/>
    <w:next w:val="TableGrid"/>
    <w:rsid w:val="00336F99"/>
    <w:pPr>
      <w:spacing w:before="120" w:after="0" w:line="240" w:lineRule="auto"/>
      <w:jc w:val="both"/>
    </w:pPr>
    <w:rPr>
      <w:rFonts w:eastAsia="Times New Roman"/>
      <w:spacing w:val="0"/>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336F99"/>
    <w:pPr>
      <w:spacing w:before="120" w:after="0" w:line="240" w:lineRule="auto"/>
      <w:jc w:val="both"/>
    </w:pPr>
    <w:rPr>
      <w:rFonts w:eastAsia="Times New Roman"/>
      <w:spacing w:val="0"/>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36F99"/>
    <w:pPr>
      <w:spacing w:before="120" w:after="0" w:line="240" w:lineRule="auto"/>
      <w:jc w:val="both"/>
    </w:pPr>
    <w:rPr>
      <w:rFonts w:eastAsia="Times New Roman"/>
      <w:spacing w:val="0"/>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36F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7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84B"/>
  </w:style>
  <w:style w:type="paragraph" w:styleId="Footer">
    <w:name w:val="footer"/>
    <w:basedOn w:val="Normal"/>
    <w:link w:val="FooterChar"/>
    <w:uiPriority w:val="99"/>
    <w:unhideWhenUsed/>
    <w:rsid w:val="00E27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84B"/>
  </w:style>
  <w:style w:type="character" w:styleId="Hyperlink">
    <w:name w:val="Hyperlink"/>
    <w:basedOn w:val="DefaultParagraphFont"/>
    <w:uiPriority w:val="99"/>
    <w:unhideWhenUsed/>
    <w:rsid w:val="00A61DD9"/>
    <w:rPr>
      <w:color w:val="0563C1" w:themeColor="hyperlink"/>
      <w:u w:val="single"/>
    </w:rPr>
  </w:style>
  <w:style w:type="character" w:customStyle="1" w:styleId="UnresolvedMention">
    <w:name w:val="Unresolved Mention"/>
    <w:basedOn w:val="DefaultParagraphFont"/>
    <w:uiPriority w:val="99"/>
    <w:semiHidden/>
    <w:unhideWhenUsed/>
    <w:rsid w:val="00A61DD9"/>
    <w:rPr>
      <w:color w:val="605E5C"/>
      <w:shd w:val="clear" w:color="auto" w:fill="E1DFDD"/>
    </w:rPr>
  </w:style>
  <w:style w:type="paragraph" w:styleId="NormalWeb">
    <w:name w:val="Normal (Web)"/>
    <w:basedOn w:val="Normal"/>
    <w:uiPriority w:val="99"/>
    <w:unhideWhenUsed/>
    <w:rsid w:val="0005676A"/>
    <w:pPr>
      <w:spacing w:before="100" w:beforeAutospacing="1" w:after="100" w:afterAutospacing="1" w:line="240" w:lineRule="auto"/>
    </w:pPr>
    <w:rPr>
      <w:rFonts w:eastAsia="Times New Roman"/>
      <w:snapToGrid/>
      <w:spacing w:val="0"/>
      <w:kern w:val="0"/>
      <w:lang w:val="en-ZA" w:eastAsia="en-GB" w:bidi="ar-SA"/>
      <w14:ligatures w14:val="none"/>
    </w:rPr>
  </w:style>
  <w:style w:type="table" w:customStyle="1" w:styleId="TableGrid4">
    <w:name w:val="Table Grid4"/>
    <w:basedOn w:val="TableNormal"/>
    <w:next w:val="TableGrid"/>
    <w:rsid w:val="0060726F"/>
    <w:pPr>
      <w:spacing w:after="0" w:line="240" w:lineRule="auto"/>
      <w:jc w:val="both"/>
    </w:pPr>
    <w:rPr>
      <w:rFonts w:ascii="Arial" w:eastAsia="Times New Roman" w:hAnsi="Arial" w:cs="Arial"/>
      <w:snapToGrid/>
      <w:color w:val="000000" w:themeColor="text1"/>
      <w:kern w:val="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spacing w:val="30"/>
        <w:kern w:val="2"/>
        <w:sz w:val="24"/>
        <w:szCs w:val="24"/>
        <w:lang w:val="en-US" w:eastAsia="en-US" w:bidi="ta-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apter heading"/>
    <w:basedOn w:val="Normal"/>
    <w:next w:val="Normal"/>
    <w:link w:val="Heading1Char"/>
    <w:uiPriority w:val="9"/>
    <w:qFormat/>
    <w:rsid w:val="00B03E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03E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03ED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03ED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B03ED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03E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3ED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3ED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3ED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
    <w:basedOn w:val="DefaultParagraphFont"/>
    <w:link w:val="Heading1"/>
    <w:uiPriority w:val="9"/>
    <w:rsid w:val="00B03E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3E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3ED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3ED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03ED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03E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3E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3E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3E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3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E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E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3EDD"/>
    <w:pPr>
      <w:spacing w:before="160"/>
      <w:jc w:val="center"/>
    </w:pPr>
    <w:rPr>
      <w:i/>
      <w:iCs/>
      <w:color w:val="404040" w:themeColor="text1" w:themeTint="BF"/>
    </w:rPr>
  </w:style>
  <w:style w:type="character" w:customStyle="1" w:styleId="QuoteChar">
    <w:name w:val="Quote Char"/>
    <w:basedOn w:val="DefaultParagraphFont"/>
    <w:link w:val="Quote"/>
    <w:uiPriority w:val="29"/>
    <w:rsid w:val="00B03EDD"/>
    <w:rPr>
      <w:i/>
      <w:iCs/>
      <w:color w:val="404040" w:themeColor="text1" w:themeTint="BF"/>
    </w:rPr>
  </w:style>
  <w:style w:type="paragraph" w:styleId="ListParagraph">
    <w:name w:val="List Paragraph"/>
    <w:basedOn w:val="Normal"/>
    <w:uiPriority w:val="34"/>
    <w:qFormat/>
    <w:rsid w:val="00B03EDD"/>
    <w:pPr>
      <w:ind w:left="720"/>
      <w:contextualSpacing/>
    </w:pPr>
  </w:style>
  <w:style w:type="character" w:styleId="IntenseEmphasis">
    <w:name w:val="Intense Emphasis"/>
    <w:basedOn w:val="DefaultParagraphFont"/>
    <w:uiPriority w:val="21"/>
    <w:qFormat/>
    <w:rsid w:val="00B03EDD"/>
    <w:rPr>
      <w:i/>
      <w:iCs/>
      <w:color w:val="2F5496" w:themeColor="accent1" w:themeShade="BF"/>
    </w:rPr>
  </w:style>
  <w:style w:type="paragraph" w:styleId="IntenseQuote">
    <w:name w:val="Intense Quote"/>
    <w:basedOn w:val="Normal"/>
    <w:next w:val="Normal"/>
    <w:link w:val="IntenseQuoteChar"/>
    <w:uiPriority w:val="30"/>
    <w:qFormat/>
    <w:rsid w:val="00B03E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3EDD"/>
    <w:rPr>
      <w:i/>
      <w:iCs/>
      <w:color w:val="2F5496" w:themeColor="accent1" w:themeShade="BF"/>
    </w:rPr>
  </w:style>
  <w:style w:type="character" w:styleId="IntenseReference">
    <w:name w:val="Intense Reference"/>
    <w:basedOn w:val="DefaultParagraphFont"/>
    <w:uiPriority w:val="32"/>
    <w:qFormat/>
    <w:rsid w:val="00B03EDD"/>
    <w:rPr>
      <w:b/>
      <w:bCs/>
      <w:smallCaps/>
      <w:color w:val="2F5496" w:themeColor="accent1" w:themeShade="BF"/>
      <w:spacing w:val="5"/>
    </w:rPr>
  </w:style>
  <w:style w:type="table" w:customStyle="1" w:styleId="TableGrid11">
    <w:name w:val="Table Grid11"/>
    <w:basedOn w:val="TableNormal"/>
    <w:next w:val="TableGrid"/>
    <w:rsid w:val="00336F99"/>
    <w:pPr>
      <w:spacing w:before="120" w:after="0" w:line="240" w:lineRule="auto"/>
      <w:jc w:val="both"/>
    </w:pPr>
    <w:rPr>
      <w:rFonts w:eastAsia="Times New Roman"/>
      <w:spacing w:val="0"/>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336F99"/>
    <w:pPr>
      <w:spacing w:before="120" w:after="0" w:line="240" w:lineRule="auto"/>
      <w:jc w:val="both"/>
    </w:pPr>
    <w:rPr>
      <w:rFonts w:eastAsia="Times New Roman"/>
      <w:spacing w:val="0"/>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336F99"/>
    <w:pPr>
      <w:spacing w:before="120" w:after="0" w:line="240" w:lineRule="auto"/>
      <w:jc w:val="both"/>
    </w:pPr>
    <w:rPr>
      <w:rFonts w:eastAsia="Times New Roman"/>
      <w:spacing w:val="0"/>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36F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7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84B"/>
  </w:style>
  <w:style w:type="paragraph" w:styleId="Footer">
    <w:name w:val="footer"/>
    <w:basedOn w:val="Normal"/>
    <w:link w:val="FooterChar"/>
    <w:uiPriority w:val="99"/>
    <w:unhideWhenUsed/>
    <w:rsid w:val="00E27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84B"/>
  </w:style>
  <w:style w:type="character" w:styleId="Hyperlink">
    <w:name w:val="Hyperlink"/>
    <w:basedOn w:val="DefaultParagraphFont"/>
    <w:uiPriority w:val="99"/>
    <w:unhideWhenUsed/>
    <w:rsid w:val="00A61DD9"/>
    <w:rPr>
      <w:color w:val="0563C1" w:themeColor="hyperlink"/>
      <w:u w:val="single"/>
    </w:rPr>
  </w:style>
  <w:style w:type="character" w:customStyle="1" w:styleId="UnresolvedMention">
    <w:name w:val="Unresolved Mention"/>
    <w:basedOn w:val="DefaultParagraphFont"/>
    <w:uiPriority w:val="99"/>
    <w:semiHidden/>
    <w:unhideWhenUsed/>
    <w:rsid w:val="00A61DD9"/>
    <w:rPr>
      <w:color w:val="605E5C"/>
      <w:shd w:val="clear" w:color="auto" w:fill="E1DFDD"/>
    </w:rPr>
  </w:style>
  <w:style w:type="paragraph" w:styleId="NormalWeb">
    <w:name w:val="Normal (Web)"/>
    <w:basedOn w:val="Normal"/>
    <w:uiPriority w:val="99"/>
    <w:unhideWhenUsed/>
    <w:rsid w:val="0005676A"/>
    <w:pPr>
      <w:spacing w:before="100" w:beforeAutospacing="1" w:after="100" w:afterAutospacing="1" w:line="240" w:lineRule="auto"/>
    </w:pPr>
    <w:rPr>
      <w:rFonts w:eastAsia="Times New Roman"/>
      <w:snapToGrid/>
      <w:spacing w:val="0"/>
      <w:kern w:val="0"/>
      <w:lang w:val="en-ZA" w:eastAsia="en-GB" w:bidi="ar-SA"/>
      <w14:ligatures w14:val="none"/>
    </w:rPr>
  </w:style>
  <w:style w:type="table" w:customStyle="1" w:styleId="TableGrid4">
    <w:name w:val="Table Grid4"/>
    <w:basedOn w:val="TableNormal"/>
    <w:next w:val="TableGrid"/>
    <w:rsid w:val="0060726F"/>
    <w:pPr>
      <w:spacing w:after="0" w:line="240" w:lineRule="auto"/>
      <w:jc w:val="both"/>
    </w:pPr>
    <w:rPr>
      <w:rFonts w:ascii="Arial" w:eastAsia="Times New Roman" w:hAnsi="Arial" w:cs="Arial"/>
      <w:snapToGrid/>
      <w:color w:val="000000" w:themeColor="text1"/>
      <w:kern w:val="0"/>
      <w:lang w:val="en-GB" w:eastAsia="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doi.org/10.2147/NSS.S151525" TargetMode="External"/><Relationship Id="rId26" Type="http://schemas.openxmlformats.org/officeDocument/2006/relationships/hyperlink" Target="https://store.ies.org/product/tm-15-20-technical-memorandum-luminaire-classification-system-for-outdoor-luminaires/" TargetMode="External"/><Relationship Id="rId39" Type="http://schemas.openxmlformats.org/officeDocument/2006/relationships/hyperlink" Target="https://www.pnas.org/doi/full/10.1073/pnas.1901824116" TargetMode="External"/><Relationship Id="rId21" Type="http://schemas.openxmlformats.org/officeDocument/2006/relationships/hyperlink" Target="https://img.antpedia.com/standard/files/pdfs_ora/20211002/EN%2013201-4-2015.pdf" TargetMode="External"/><Relationship Id="rId34" Type="http://schemas.openxmlformats.org/officeDocument/2006/relationships/hyperlink" Target="https://www.sciencedirect.com/science/article/pii/S2226585622000383" TargetMode="External"/><Relationship Id="rId42" Type="http://schemas.openxmlformats.org/officeDocument/2006/relationships/hyperlink" Target="https://njcc.nl/sites/njcc.nl/files/pdf/review_27.pdf" TargetMode="External"/><Relationship Id="rId47" Type="http://schemas.openxmlformats.org/officeDocument/2006/relationships/hyperlink" Target="https://link.springer.com/chapter/10.1007/978-981-16-6269-0_31" TargetMode="External"/><Relationship Id="rId50" Type="http://schemas.openxmlformats.org/officeDocument/2006/relationships/hyperlink" Target="https://doi.org/10.9734/bpi/rpst/v8/5610A" TargetMode="External"/><Relationship Id="rId55" Type="http://schemas.openxmlformats.org/officeDocument/2006/relationships/hyperlink" Target="https://onlinelibrary.wiley.com/doi/10.1111/ejn.14915"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ama-assn.org/press-center/press-releases/ama-adopts-guidance-reduce-harm-high-intensity-street-lights" TargetMode="External"/><Relationship Id="rId29" Type="http://schemas.openxmlformats.org/officeDocument/2006/relationships/hyperlink" Target="https://ies.org/reducing-light-pollution-and-its-negative-affects-ies-and-ida-new-collaboration/" TargetMode="External"/><Relationship Id="rId11" Type="http://schemas.openxmlformats.org/officeDocument/2006/relationships/image" Target="media/image4.jpeg"/><Relationship Id="rId24" Type="http://schemas.openxmlformats.org/officeDocument/2006/relationships/hyperlink" Target="https://doi.org/10.1017/S002081830808020X" TargetMode="External"/><Relationship Id="rId32" Type="http://schemas.openxmlformats.org/officeDocument/2006/relationships/hyperlink" Target="https://doi.org/10.1126/sciadv.1701528" TargetMode="External"/><Relationship Id="rId37" Type="http://schemas.openxmlformats.org/officeDocument/2006/relationships/hyperlink" Target="https://pubmed.ncbi.nlm.nih.gov/31648154/" TargetMode="External"/><Relationship Id="rId40" Type="http://schemas.openxmlformats.org/officeDocument/2006/relationships/hyperlink" Target="https://journals.sagepub.com/doi/abs/10.1177/0885412220986421" TargetMode="External"/><Relationship Id="rId45" Type="http://schemas.openxmlformats.org/officeDocument/2006/relationships/hyperlink" Target="https://doi.org/10.1007/978-981-15-8783-2_30" TargetMode="External"/><Relationship Id="rId53" Type="http://schemas.openxmlformats.org/officeDocument/2006/relationships/hyperlink" Target="https://unbscholar.lib.unb.ca/items/1807a314-b41c-46ea-8f6d-662bced76138"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doi.org/10.1177/147715351038607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0/13501760110056052" TargetMode="External"/><Relationship Id="rId22" Type="http://schemas.openxmlformats.org/officeDocument/2006/relationships/hyperlink" Target="https://njcc.nl/issues-2-0/3099" TargetMode="External"/><Relationship Id="rId27" Type="http://schemas.openxmlformats.org/officeDocument/2006/relationships/hyperlink" Target="https://cie.co.at/publications/guide-limitation-effects-obtrusive-light-outdoor-lighting-installations-2nd-edition" TargetMode="External"/><Relationship Id="rId30" Type="http://schemas.openxmlformats.org/officeDocument/2006/relationships/hyperlink" Target="https://darksky.org/resources/guides-and-how-tos/lighting-zones/" TargetMode="External"/><Relationship Id="rId35" Type="http://schemas.openxmlformats.org/officeDocument/2006/relationships/hyperlink" Target="https://www.proquest.com/openview/635105f3448ea881ff27a8a60bc9bb14/1?pq-origsite=gscholar&amp;cbl=2046369" TargetMode="External"/><Relationship Id="rId43" Type="http://schemas.openxmlformats.org/officeDocument/2006/relationships/hyperlink" Target="https://www.tac-atc.ca/en/publications/pdf" TargetMode="External"/><Relationship Id="rId48" Type="http://schemas.openxmlformats.org/officeDocument/2006/relationships/hyperlink" Target="https://iopscience.iop.org/article/10.1088/1742-6596/2224/1/012117" TargetMode="External"/><Relationship Id="rId56" Type="http://schemas.openxmlformats.org/officeDocument/2006/relationships/hyperlink" Target="https://www.nature.com/articles/s41398-020-0694-0" TargetMode="External"/><Relationship Id="rId8" Type="http://schemas.openxmlformats.org/officeDocument/2006/relationships/image" Target="media/image1.png"/><Relationship Id="rId51" Type="http://schemas.openxmlformats.org/officeDocument/2006/relationships/hyperlink" Target="https://doi.org/10.9734/bpi/fraps/v7/6642A" TargetMode="Externa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hyperlink" Target="https://ideas.repec.org/h/elg/eechap/16121_14.html" TargetMode="External"/><Relationship Id="rId25" Type="http://schemas.openxmlformats.org/officeDocument/2006/relationships/hyperlink" Target="https://doi.org/10.1080/13501760500161357" TargetMode="External"/><Relationship Id="rId33" Type="http://schemas.openxmlformats.org/officeDocument/2006/relationships/hyperlink" Target="https://pubmed.ncbi.nlm.nih.gov/33757351/" TargetMode="External"/><Relationship Id="rId38" Type="http://schemas.openxmlformats.org/officeDocument/2006/relationships/hyperlink" Target="https://www.ontario.ca/document/ontario-municipal-councillors-guide/10-land-use-planning" TargetMode="External"/><Relationship Id="rId46" Type="http://schemas.openxmlformats.org/officeDocument/2006/relationships/hyperlink" Target="https://doi.org/10.1007/978-981-15-8783-2_31" TargetMode="External"/><Relationship Id="rId59" Type="http://schemas.openxmlformats.org/officeDocument/2006/relationships/fontTable" Target="fontTable.xml"/><Relationship Id="rId20" Type="http://schemas.openxmlformats.org/officeDocument/2006/relationships/hyperlink" Target="https://cie.co.at/publications/determination-measurement-uncertainties-photometry-supplement-2-spectral-measurements" TargetMode="External"/><Relationship Id="rId41" Type="http://schemas.openxmlformats.org/officeDocument/2006/relationships/hyperlink" Target="https://doi.org/10.3390/su13158345" TargetMode="External"/><Relationship Id="rId54" Type="http://schemas.openxmlformats.org/officeDocument/2006/relationships/hyperlink" Target="https://www.amazon.ca/Trading-Up-Consumer-Environmental-Regulation/dp/0674900847"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doi.org/10.57264/cer-2025-0183" TargetMode="External"/><Relationship Id="rId23" Type="http://schemas.openxmlformats.org/officeDocument/2006/relationships/hyperlink" Target="https://doi.org/10.1126/sciadv.1600377" TargetMode="External"/><Relationship Id="rId28" Type="http://schemas.openxmlformats.org/officeDocument/2006/relationships/hyperlink" Target="https://store.ies.org/product/recommended-practice-lighting-roadway-and-parking-facilities/?v=eb65bcceaa5f" TargetMode="External"/><Relationship Id="rId36" Type="http://schemas.openxmlformats.org/officeDocument/2006/relationships/hyperlink" Target="https://pubmed.ncbi.nlm.nih.gov/31504080/" TargetMode="External"/><Relationship Id="rId49" Type="http://schemas.openxmlformats.org/officeDocument/2006/relationships/hyperlink" Target="https://doi.org/10.54647/physics140512" TargetMode="External"/><Relationship Id="rId57" Type="http://schemas.openxmlformats.org/officeDocument/2006/relationships/hyperlink" Target="https://pubmed.ncbi.nlm.nih.gov/34731290/" TargetMode="External"/><Relationship Id="rId10" Type="http://schemas.openxmlformats.org/officeDocument/2006/relationships/image" Target="media/image3.png"/><Relationship Id="rId31" Type="http://schemas.openxmlformats.org/officeDocument/2006/relationships/hyperlink" Target="https://theilp.org.uk/publication/guidance-note-1-for-the-reduction-of-obtrusive-light-2021/" TargetMode="External"/><Relationship Id="rId44" Type="http://schemas.openxmlformats.org/officeDocument/2006/relationships/hyperlink" Target="https://www.techstreet.com/standards/as-nzs-4282-2019?product_id=2046810" TargetMode="External"/><Relationship Id="rId52" Type="http://schemas.openxmlformats.org/officeDocument/2006/relationships/hyperlink" Target="https://www.canadianconsultingengineer.com/events/ama-exposed-health-impact-led-light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15</Pages>
  <Words>10458</Words>
  <Characters>59612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uthayan thurairajah</dc:creator>
  <cp:keywords/>
  <dc:description/>
  <cp:lastModifiedBy>qwert</cp:lastModifiedBy>
  <cp:revision>13</cp:revision>
  <dcterms:created xsi:type="dcterms:W3CDTF">2026-05-19T12:18:00Z</dcterms:created>
  <dcterms:modified xsi:type="dcterms:W3CDTF">2026-05-20T07:45:00Z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65e16cd1-4d83-4001-87cd-f108971b96fe</vt:lpwstr>
  </property>
</Properties>
</file>