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BAD" w:rsidRDefault="00432ED7">
      <w:pPr>
        <w:spacing w:after="240"/>
        <w:jc w:val="center"/>
      </w:pPr>
      <w:r>
        <w:rPr>
          <w:b/>
          <w:bCs/>
          <w:sz w:val="36"/>
          <w:szCs w:val="36"/>
        </w:rPr>
        <w:t>Predicting Influencing Factors of Dust Concentration in Fully Mechanized Coal Mining Faces Using Machine Learning</w:t>
      </w:r>
    </w:p>
    <w:p w:rsidR="00403BAD" w:rsidRDefault="00403BAD">
      <w:pPr>
        <w:spacing w:before="60" w:after="60"/>
      </w:pPr>
    </w:p>
    <w:p w:rsidR="00403BAD" w:rsidRDefault="00403BAD" w:rsidP="00EA425C">
      <w:pPr>
        <w:spacing w:after="120"/>
      </w:pPr>
      <w:bookmarkStart w:id="0" w:name="_GoBack"/>
      <w:bookmarkEnd w:id="0"/>
    </w:p>
    <w:p w:rsidR="00403BAD" w:rsidRDefault="00403BAD">
      <w:pPr>
        <w:spacing w:before="60" w:after="60"/>
      </w:pPr>
    </w:p>
    <w:p w:rsidR="00403BAD" w:rsidRDefault="00432ED7">
      <w:pPr>
        <w:spacing w:before="240" w:after="120"/>
      </w:pPr>
      <w:r>
        <w:rPr>
          <w:b/>
          <w:bCs/>
          <w:sz w:val="28"/>
          <w:szCs w:val="28"/>
        </w:rPr>
        <w:t>ABSTRA</w:t>
      </w:r>
      <w:r>
        <w:rPr>
          <w:b/>
          <w:bCs/>
          <w:sz w:val="28"/>
          <w:szCs w:val="28"/>
        </w:rPr>
        <w:t>CT</w:t>
      </w:r>
    </w:p>
    <w:p w:rsidR="00403BAD" w:rsidRDefault="00432ED7">
      <w:pPr>
        <w:spacing w:before="120" w:after="120"/>
        <w:jc w:val="both"/>
      </w:pPr>
      <w:r>
        <w:t>Dust pollution in fully mechanized underground coal mining operations poses serious threats to workers' occupational health and safety, leading to hazards such as pneumoconiosis and coal dust explosions. With China's coal mining industry increasingly sh</w:t>
      </w:r>
      <w:r>
        <w:t>ifting toward automation and intelligent systems, a growing need exists for real-time, data-driven dust concentration prediction. However, most existing research has focused on open-pit mining or general air quality, leaving a critical gap in intelligent d</w:t>
      </w:r>
      <w:r>
        <w:t>ust management for underground coal faces. This study applies advanced machine learning techniques—specifically the Long Short-Term Memory (LSTM) model and an enhanced LSTM-Attention hybrid model—to predict dust concentration in fully mechanized excavation</w:t>
      </w:r>
      <w:r>
        <w:t xml:space="preserve"> environments. A comprehensive analysis was conducted on physical, environmental, and operational variables using publicly available datasets from the Anjialing open-pit coal mine in Shanxi Province, China, which comprised 2,179 records of four-hour averag</w:t>
      </w:r>
      <w:r>
        <w:t>ed observations. The LSTM-Attention model demonstrated superior performance over standard LSTM and ARIMA models, achieving a Mean Absolute Percentage Error (MAPE) of 6.11% and an R² of 0.974, indicating high predictive accuracy. Feature importance analysis</w:t>
      </w:r>
      <w:r>
        <w:t xml:space="preserve"> using Partial Least Squares Regression (PLSR) and Variable Importance in Projection (VIP) scores identified PM10 and relative humidity as the most influential factors affecting Total Suspended Particulate (TSP) concentrations. These insights informed the </w:t>
      </w:r>
      <w:r>
        <w:t>design of an intelligent dust control strategy incorporating predictive spray systems, automated ventilation regulation, and humidity control. A closed-loop feedback framework is proposed to integrate sensor data, real-time analytics, and automated control</w:t>
      </w:r>
      <w:r>
        <w:t xml:space="preserve"> mechanisms, enabling proactive and adaptive dust suppression. This research contributes both theoretically and practically to the development of intelligent mine safety systems, offering a scalable model for improving air quality and worker safety in unde</w:t>
      </w:r>
      <w:r>
        <w:t>rground coal mining operations.</w:t>
      </w:r>
    </w:p>
    <w:p w:rsidR="00403BAD" w:rsidRDefault="00403BAD">
      <w:pPr>
        <w:spacing w:before="60" w:after="60"/>
      </w:pPr>
    </w:p>
    <w:p w:rsidR="00403BAD" w:rsidRDefault="00432ED7">
      <w:pPr>
        <w:spacing w:before="120" w:after="120"/>
        <w:jc w:val="both"/>
      </w:pPr>
      <w:r>
        <w:rPr>
          <w:b/>
          <w:bCs/>
        </w:rPr>
        <w:t xml:space="preserve">Keywords: </w:t>
      </w:r>
      <w:r>
        <w:t>dust concentration prediction, fully mechanized coal mining face, LSTM, attention mechanism, machine learning, intelligent dust control, occupational health</w:t>
      </w:r>
    </w:p>
    <w:p w:rsidR="00403BAD" w:rsidRDefault="00403BAD">
      <w:pPr>
        <w:pBdr>
          <w:bottom w:val="single" w:sz="4" w:space="0" w:color="999999"/>
        </w:pBdr>
        <w:spacing w:before="60" w:after="60"/>
      </w:pPr>
    </w:p>
    <w:p w:rsidR="00403BAD" w:rsidRDefault="00403BAD">
      <w:pPr>
        <w:spacing w:before="60" w:after="60"/>
      </w:pPr>
    </w:p>
    <w:p w:rsidR="00403BAD" w:rsidRDefault="00432ED7">
      <w:pPr>
        <w:spacing w:before="240" w:after="120"/>
      </w:pPr>
      <w:r>
        <w:rPr>
          <w:b/>
          <w:bCs/>
          <w:sz w:val="28"/>
          <w:szCs w:val="28"/>
        </w:rPr>
        <w:t>I. INTRODUCTION</w:t>
      </w:r>
    </w:p>
    <w:p w:rsidR="00403BAD" w:rsidRDefault="00432ED7">
      <w:pPr>
        <w:spacing w:before="120" w:after="120"/>
        <w:jc w:val="both"/>
      </w:pPr>
      <w:r>
        <w:t xml:space="preserve">China's energy structure still relies </w:t>
      </w:r>
      <w:r>
        <w:t>heavily on coal mining, which is critical to the country's energy security and industrial development. As the mining sector transitions from manual to automated and intelligent operations, ensuring the occupational safety and health of underground mine wor</w:t>
      </w:r>
      <w:r>
        <w:t>kers has become increasingly challenging and essential. Dust contamination is one of the most significant hazards in underground coal mining, responsible for both acute and long-term health risks, including pneumoconiosis—a debilitating lung disease caused</w:t>
      </w:r>
      <w:r>
        <w:t xml:space="preserve"> by prolonged exposure to respirable coal dust—and the potential for catastrophic coal dust explosions [1].</w:t>
      </w:r>
    </w:p>
    <w:p w:rsidR="00403BAD" w:rsidRDefault="00432ED7">
      <w:pPr>
        <w:spacing w:before="120" w:after="120"/>
        <w:jc w:val="both"/>
      </w:pPr>
      <w:r>
        <w:t>In fully mechanized coal mining environments, dust is produced continuously by high-intensity excavation equipment such as shearers, road headers, a</w:t>
      </w:r>
      <w:r>
        <w:t>nd conveyors. The dynamic and enclosed nature of underground mines means dust concentrations are influenced by a wide range of interacting factors: ventilation parameters, geological conditions, mining processes, equipment operations, temperature, and humi</w:t>
      </w:r>
      <w:r>
        <w:t>dity. Traditional dust control methods—water sprays, chemical suppressants, and manual ventilation adjustments—are largely reactive and empirical in nature, frequently inadequate for the real-time variability of underground mining conditions [2].</w:t>
      </w:r>
    </w:p>
    <w:p w:rsidR="00403BAD" w:rsidRDefault="00432ED7">
      <w:pPr>
        <w:spacing w:before="120" w:after="120"/>
        <w:jc w:val="both"/>
      </w:pPr>
      <w:r>
        <w:lastRenderedPageBreak/>
        <w:t>Proactive</w:t>
      </w:r>
      <w:r>
        <w:t xml:space="preserve"> dust management requires real-time dust concentration prediction, enabling mine operators to schedule worker activities, optimize ventilation, and apply targeted suppression measures before dangerous thresholds are reached. Predictive modeling driven by m</w:t>
      </w:r>
      <w:r>
        <w:t xml:space="preserve">achine learning has emerged as a viable pathway to intelligent dust control, facilitating data-driven decision-making integrated within mine management systems. Despite this potential, research specifically targeting dust concentration prediction in fully </w:t>
      </w:r>
      <w:r>
        <w:t>mechanized underground coal mining operations remains limited, with most studies focusing on open-pit mines or general industrial air quality [3].</w:t>
      </w:r>
    </w:p>
    <w:p w:rsidR="00403BAD" w:rsidRDefault="00432ED7">
      <w:pPr>
        <w:spacing w:before="120" w:after="120"/>
        <w:jc w:val="both"/>
      </w:pPr>
      <w:r>
        <w:t>Deep learning models—particularly Long Short-Term Memory (LSTM) networks and hybrid LSTM-Attention architectu</w:t>
      </w:r>
      <w:r>
        <w:t>res—have demonstrated exceptional performance in time-series forecasting tasks, making them well-suited for the dynamic, sequential nature of dust concentration data in mining environments [4]. This study applies and evaluates these models against a public</w:t>
      </w:r>
      <w:r>
        <w:t>ly available dataset representing relevant environmental conditions, aiming to close the existing research gap and contribute a practical framework for intelligent underground dust management.</w:t>
      </w:r>
    </w:p>
    <w:p w:rsidR="00403BAD" w:rsidRDefault="00432ED7">
      <w:pPr>
        <w:spacing w:before="120" w:after="120"/>
        <w:jc w:val="both"/>
      </w:pPr>
      <w:r>
        <w:t>The objectives of this study are: (1) to analyze the key influe</w:t>
      </w:r>
      <w:r>
        <w:t>ncing factors of dust concentration in fully mechanized coal mining faces; (2) to evaluate the predictive performance of LSTM and LSTM-Attention models versus classical methods; (3) to conduct factor importance analysis using PLSR and VIP scores; and (4) t</w:t>
      </w:r>
      <w:r>
        <w:t>o propose an intelligent, closed-loop dust control framework based on model outputs.</w:t>
      </w:r>
    </w:p>
    <w:p w:rsidR="00403BAD" w:rsidRDefault="00403BAD">
      <w:pPr>
        <w:spacing w:before="60" w:after="60"/>
      </w:pPr>
    </w:p>
    <w:p w:rsidR="00403BAD" w:rsidRDefault="00432ED7">
      <w:pPr>
        <w:spacing w:before="240" w:after="120"/>
      </w:pPr>
      <w:r>
        <w:rPr>
          <w:b/>
          <w:bCs/>
          <w:sz w:val="28"/>
          <w:szCs w:val="28"/>
        </w:rPr>
        <w:t>II. LITERATURE REVIEW</w:t>
      </w:r>
    </w:p>
    <w:p w:rsidR="00403BAD" w:rsidRDefault="00432ED7">
      <w:pPr>
        <w:spacing w:before="120" w:after="120"/>
        <w:jc w:val="both"/>
      </w:pPr>
      <w:r>
        <w:t>Early approaches to dust concentration prediction in mining environments relied on deterministic models such as Gaussian dispersion equations and st</w:t>
      </w:r>
      <w:r>
        <w:t>atistical time-series methods like ARIMA (Autoregressive Integrated Moving Average). While adequate for simple, stationary scenarios, these models struggled with the nonlinear, multivariate, and highly dynamic conditions typical of underground coal mines [</w:t>
      </w:r>
      <w:r>
        <w:t>5].</w:t>
      </w:r>
    </w:p>
    <w:p w:rsidR="00403BAD" w:rsidRDefault="00432ED7">
      <w:pPr>
        <w:spacing w:before="120" w:after="120"/>
        <w:jc w:val="both"/>
      </w:pPr>
      <w:r>
        <w:t>The emergence of machine learning (ML) and deep learning (DL) methods has transformed air quality and dust prediction research. Random forests, support vector machines (SVM), gradient boosting machines, and artificial neural networks (ANNs) have all be</w:t>
      </w:r>
      <w:r>
        <w:t>en applied to dust-related prediction problems, offering advantages in handling high-dimensional, noisy data with complex interactions [6]. However, these approaches generally lack built-in mechanisms for modeling temporal dependencies—a significant limita</w:t>
      </w:r>
      <w:r>
        <w:t>tion for time-series dust prediction tasks.</w:t>
      </w:r>
    </w:p>
    <w:p w:rsidR="00403BAD" w:rsidRDefault="00432ED7">
      <w:pPr>
        <w:spacing w:before="120" w:after="120"/>
        <w:jc w:val="both"/>
      </w:pPr>
      <w:r>
        <w:t>Long Short-Term Memory (LSTM) networks address this limitation through internal memory cells capable of learning long-range temporal relationships. Li et al. [7] demonstrated that hybrid models combining LSTM with attention mechanisms could substantially i</w:t>
      </w:r>
      <w:r>
        <w:t xml:space="preserve">mprove the prediction of total suspended particulates (TSP) in open-pit mining settings, achieving superior accuracy over standalone LSTM and ARIMA models. The attention mechanism selectively focuses on the most informative segments of the input sequence, </w:t>
      </w:r>
      <w:r>
        <w:t>improving both predictive accuracy and interpretability [8].</w:t>
      </w:r>
    </w:p>
    <w:p w:rsidR="00403BAD" w:rsidRDefault="00432ED7">
      <w:pPr>
        <w:spacing w:before="120" w:after="120"/>
        <w:jc w:val="both"/>
      </w:pPr>
      <w:r>
        <w:t xml:space="preserve">Interdisciplinary research has identified key environmental and operational factors influencing dust concentrations in mines, including: PM10 concentrations, temperature, relative humidity, wind </w:t>
      </w:r>
      <w:r>
        <w:t>speed, ventilation design, and operational schedules [9]. Feature importance methods such as PLSR with VIP scores have proven effective for ranking these factors and guiding targeted dust control interventions [10].</w:t>
      </w:r>
    </w:p>
    <w:p w:rsidR="00403BAD" w:rsidRDefault="00432ED7">
      <w:pPr>
        <w:spacing w:before="120" w:after="120"/>
        <w:jc w:val="both"/>
      </w:pPr>
      <w:r>
        <w:t>Despite these advances, significant rese</w:t>
      </w:r>
      <w:r>
        <w:t>arch gaps remain. Most ML/DL-based dust prediction studies target open-pit mines or surface environments, which differ substantially from underground coal mines in terms of enclosed ventilation dynamics, spatial confinement, and continuous high-intensity o</w:t>
      </w:r>
      <w:r>
        <w:t>peration. The development of deployable, real-time prediction systems for fully mechanized underground coal mining faces remains an underexplored area [11].</w:t>
      </w:r>
    </w:p>
    <w:p w:rsidR="00403BAD" w:rsidRDefault="00403BAD">
      <w:pPr>
        <w:spacing w:before="60" w:after="60"/>
      </w:pPr>
    </w:p>
    <w:p w:rsidR="00403BAD" w:rsidRDefault="00432ED7">
      <w:pPr>
        <w:spacing w:before="240" w:after="120"/>
      </w:pPr>
      <w:r>
        <w:rPr>
          <w:b/>
          <w:bCs/>
          <w:sz w:val="28"/>
          <w:szCs w:val="28"/>
        </w:rPr>
        <w:t>III. METHODOLOGY</w:t>
      </w:r>
    </w:p>
    <w:p w:rsidR="00403BAD" w:rsidRDefault="00432ED7">
      <w:pPr>
        <w:spacing w:before="180" w:after="60"/>
      </w:pPr>
      <w:r>
        <w:rPr>
          <w:b/>
          <w:bCs/>
        </w:rPr>
        <w:t>A. Data Sources and Description</w:t>
      </w:r>
    </w:p>
    <w:p w:rsidR="00403BAD" w:rsidRDefault="00432ED7">
      <w:pPr>
        <w:spacing w:before="120" w:after="120"/>
        <w:jc w:val="both"/>
      </w:pPr>
      <w:r>
        <w:lastRenderedPageBreak/>
        <w:t>This study used environmental monitoring data fro</w:t>
      </w:r>
      <w:r>
        <w:t>m the Anjialing open-pit coal mine in Pingshuo, Shanxi Province, China, as described by Li et al. [7]. Although derived from a surface mine, the dataset captures the principal environmental variables—PM10, TSP, temperature, relative humidity, wind speed, w</w:t>
      </w:r>
      <w:r>
        <w:t>ind direction, and atmospheric pressure—that govern dust dynamics across both surface and underground contexts, making it a well-established benchmark for this type of analysis.</w:t>
      </w:r>
    </w:p>
    <w:p w:rsidR="00403BAD" w:rsidRDefault="00432ED7">
      <w:pPr>
        <w:spacing w:before="120" w:after="120"/>
        <w:jc w:val="both"/>
      </w:pPr>
      <w:r>
        <w:t>The dataset comprised 2,179 records of four-hour averaged observations spannin</w:t>
      </w:r>
      <w:r>
        <w:t>g September 2019 to September 2020, collected across seven monitoring stations positioned upwind and downwind of the mine. The target output variable was Total Suspended Particulate (TSP, μg/m³) concentration. Input features included PM10 (μg/m³), temperat</w:t>
      </w:r>
      <w:r>
        <w:t>ure (°C), relative humidity (%), wind direction (°), wind speed (m/s), atmospheric pressure (kPa), and a temporal index.</w:t>
      </w:r>
    </w:p>
    <w:p w:rsidR="00403BAD" w:rsidRDefault="00432ED7">
      <w:pPr>
        <w:spacing w:before="180" w:after="60"/>
      </w:pPr>
      <w:r>
        <w:rPr>
          <w:b/>
          <w:bCs/>
        </w:rPr>
        <w:t>B. Data Preprocessing</w:t>
      </w:r>
    </w:p>
    <w:p w:rsidR="00403BAD" w:rsidRDefault="00432ED7">
      <w:pPr>
        <w:spacing w:before="120" w:after="120"/>
        <w:jc w:val="both"/>
      </w:pPr>
      <w:r>
        <w:t>Prior to model training, the dataset underwent rigorous preprocessing. Missing values were addressed using linear</w:t>
      </w:r>
      <w:r>
        <w:t xml:space="preserve"> interpolation for isolated gaps and row elimination for extended missing sequences. All numerical features were standardized using z-score normalization to ensure equal contribution across variables with differing units and magnitudes. The normalized data</w:t>
      </w:r>
      <w:r>
        <w:t>set was then divided into training (70%) and testing (30%) subsets in accordance with standard machine learning practice.</w:t>
      </w:r>
    </w:p>
    <w:p w:rsidR="00403BAD" w:rsidRDefault="00432ED7">
      <w:pPr>
        <w:spacing w:before="180" w:after="60"/>
      </w:pPr>
      <w:r>
        <w:rPr>
          <w:b/>
          <w:bCs/>
        </w:rPr>
        <w:t>C. Machine Learning Models</w:t>
      </w:r>
    </w:p>
    <w:p w:rsidR="00403BAD" w:rsidRDefault="00432ED7">
      <w:pPr>
        <w:spacing w:before="120" w:after="60"/>
      </w:pPr>
      <w:r>
        <w:rPr>
          <w:b/>
          <w:bCs/>
          <w:i/>
          <w:iCs/>
        </w:rPr>
        <w:t>1. ARIMA Baseline</w:t>
      </w:r>
    </w:p>
    <w:p w:rsidR="00403BAD" w:rsidRDefault="00432ED7">
      <w:pPr>
        <w:spacing w:before="120" w:after="120"/>
        <w:jc w:val="both"/>
      </w:pPr>
      <w:r>
        <w:t>The ARIMA (p, d, q) model served as the classical statistical baseline for univariate tim</w:t>
      </w:r>
      <w:r>
        <w:t>e-series forecasting. Its general formulation is:</w:t>
      </w:r>
    </w:p>
    <w:p w:rsidR="00403BAD" w:rsidRDefault="00432ED7">
      <w:pPr>
        <w:spacing w:before="120" w:after="120"/>
        <w:jc w:val="both"/>
      </w:pPr>
      <w:r>
        <w:t>Δᵈyₜ = θ₀ + Σᵢφᵢ·Δᵈyₜ₋ᵢ + Σⱼθⱼ·εₜ₋ⱼ</w:t>
      </w:r>
    </w:p>
    <w:p w:rsidR="00403BAD" w:rsidRDefault="00432ED7">
      <w:pPr>
        <w:spacing w:before="120" w:after="120"/>
        <w:jc w:val="both"/>
      </w:pPr>
      <w:r>
        <w:t>While interpretable and computationally efficient, ARIMA is restricted to linear temporal trends and cannot accommodate multivariate inputs, limiting its applicability in complex dust prediction scenarios.</w:t>
      </w:r>
    </w:p>
    <w:p w:rsidR="00403BAD" w:rsidRDefault="00432ED7">
      <w:pPr>
        <w:spacing w:before="120" w:after="60"/>
      </w:pPr>
      <w:r>
        <w:rPr>
          <w:b/>
          <w:bCs/>
          <w:i/>
          <w:iCs/>
        </w:rPr>
        <w:t>2. LSTM Model</w:t>
      </w:r>
    </w:p>
    <w:p w:rsidR="00403BAD" w:rsidRDefault="00432ED7">
      <w:pPr>
        <w:spacing w:before="120" w:after="120"/>
        <w:jc w:val="both"/>
      </w:pPr>
      <w:r>
        <w:t>LSTM networks are a specialized form</w:t>
      </w:r>
      <w:r>
        <w:t xml:space="preserve"> of recurrent neural network (RNN) designed to capture long-term dependencies in sequential data. Key gate equations include the forget gate (fₜ), input gate (iₜ), cell state update (cₜ), and output gate (oₜ), which together regulate information flow acros</w:t>
      </w:r>
      <w:r>
        <w:t>s time steps:</w:t>
      </w:r>
    </w:p>
    <w:p w:rsidR="00403BAD" w:rsidRDefault="00432ED7">
      <w:pPr>
        <w:spacing w:before="120" w:after="120"/>
        <w:jc w:val="both"/>
      </w:pPr>
      <w:r>
        <w:t>fₜ = σ(Wxf·xₜ + Whf·hₜ₋₁ + bf)</w:t>
      </w:r>
    </w:p>
    <w:p w:rsidR="00403BAD" w:rsidRDefault="00432ED7">
      <w:pPr>
        <w:spacing w:before="120" w:after="120"/>
        <w:jc w:val="both"/>
      </w:pPr>
      <w:r>
        <w:t>cₜ = fₜ · cₜ₋₁ + iₜ · c̃ₜ</w:t>
      </w:r>
    </w:p>
    <w:p w:rsidR="00403BAD" w:rsidRDefault="00432ED7">
      <w:pPr>
        <w:spacing w:before="120" w:after="120"/>
        <w:jc w:val="both"/>
      </w:pPr>
      <w:r>
        <w:t xml:space="preserve">The architecture used three stacked LSTM layers for hierarchical feature extraction, followed by a dense output layer. Training was conducted using the Adam optimizer with mean squared </w:t>
      </w:r>
      <w:r>
        <w:t>error (MSE) as the loss function over 100 epochs.</w:t>
      </w:r>
    </w:p>
    <w:p w:rsidR="00403BAD" w:rsidRDefault="00432ED7">
      <w:pPr>
        <w:spacing w:before="120" w:after="60"/>
      </w:pPr>
      <w:r>
        <w:rPr>
          <w:b/>
          <w:bCs/>
          <w:i/>
          <w:iCs/>
        </w:rPr>
        <w:t>3. LSTM-Attention Hybrid Model</w:t>
      </w:r>
    </w:p>
    <w:p w:rsidR="00403BAD" w:rsidRDefault="00432ED7">
      <w:pPr>
        <w:spacing w:before="120" w:after="120"/>
        <w:jc w:val="both"/>
      </w:pPr>
      <w:r>
        <w:t>The LSTM-Attention model extends the standard LSTM by incorporating an attention mechanism that dynamically weights the contribution of different time steps to the final predi</w:t>
      </w:r>
      <w:r>
        <w:t>ction. Attention scores (α) are computed over the sequence of LSTM hidden states (H):</w:t>
      </w:r>
    </w:p>
    <w:p w:rsidR="00403BAD" w:rsidRDefault="00432ED7">
      <w:pPr>
        <w:spacing w:before="120" w:after="120"/>
        <w:jc w:val="both"/>
      </w:pPr>
      <w:r>
        <w:t>M = tanh(WₕH);   α = softmax(wᵀM);   r = H·αᵀ</w:t>
      </w:r>
    </w:p>
    <w:p w:rsidR="00403BAD" w:rsidRDefault="00432ED7">
      <w:pPr>
        <w:spacing w:before="120" w:after="120"/>
        <w:jc w:val="both"/>
      </w:pPr>
      <w:r>
        <w:t xml:space="preserve">The weighted context vector r is then combined with the final hidden state to produce the prediction. This mechanism allows </w:t>
      </w:r>
      <w:r>
        <w:t>the model to emphasize critical environmental signals—such as abrupt PM10 surges or humidity fluctuations—while suppressing less informative patterns, significantly enhancing predictive accuracy and interpretability.</w:t>
      </w:r>
    </w:p>
    <w:p w:rsidR="00403BAD" w:rsidRDefault="00432ED7">
      <w:pPr>
        <w:spacing w:before="180" w:after="60"/>
      </w:pPr>
      <w:r>
        <w:rPr>
          <w:b/>
          <w:bCs/>
        </w:rPr>
        <w:t>D. Factor Importance Analysis: PLSR and</w:t>
      </w:r>
      <w:r>
        <w:rPr>
          <w:b/>
          <w:bCs/>
        </w:rPr>
        <w:t xml:space="preserve"> VIP Scores</w:t>
      </w:r>
    </w:p>
    <w:p w:rsidR="00403BAD" w:rsidRDefault="00432ED7">
      <w:pPr>
        <w:spacing w:before="120" w:after="120"/>
        <w:jc w:val="both"/>
      </w:pPr>
      <w:r>
        <w:t xml:space="preserve">Partial Least Squares Regression (PLSR) was employed to identify and rank the relative importance of environmental variables in predicting TSP concentrations. PLSR extracts latent components that maximize the </w:t>
      </w:r>
      <w:r>
        <w:lastRenderedPageBreak/>
        <w:t>covariance between input features and the targe</w:t>
      </w:r>
      <w:r>
        <w:t>t variable, handling multicollinearity effectively—a common issue in environmental datasets. Variable Importance in Projection (VIP) scores were computed from component weights to quantify each variable's predictive contribution:</w:t>
      </w:r>
    </w:p>
    <w:p w:rsidR="00403BAD" w:rsidRDefault="00432ED7">
      <w:pPr>
        <w:spacing w:before="120" w:after="120"/>
        <w:jc w:val="both"/>
      </w:pPr>
      <w:r>
        <w:t>VIPⱼ = √(p · (1/T) · Σₜ wⱼ</w:t>
      </w:r>
      <w:r>
        <w:t>ₜ²)</w:t>
      </w:r>
    </w:p>
    <w:p w:rsidR="00403BAD" w:rsidRDefault="00432ED7">
      <w:pPr>
        <w:spacing w:before="120" w:after="120"/>
        <w:jc w:val="both"/>
      </w:pPr>
      <w:r>
        <w:t>Variables with VIP scores greater than 1.0 are considered significantly influential in model predictions. The model was validated using 8-component cross-validation, achieving an R² of 0.94.</w:t>
      </w:r>
    </w:p>
    <w:p w:rsidR="00403BAD" w:rsidRDefault="00432ED7">
      <w:pPr>
        <w:spacing w:before="180" w:after="60"/>
      </w:pPr>
      <w:r>
        <w:rPr>
          <w:b/>
          <w:bCs/>
        </w:rPr>
        <w:t>E. Evaluation Metrics</w:t>
      </w:r>
    </w:p>
    <w:p w:rsidR="00403BAD" w:rsidRDefault="00432ED7">
      <w:pPr>
        <w:spacing w:before="120" w:after="120"/>
        <w:jc w:val="both"/>
      </w:pPr>
      <w:r>
        <w:t>Model performance was assessed using fo</w:t>
      </w:r>
      <w:r>
        <w:t>ur standard metrics: Root Mean Squared Error (RMSE), Mean Absolute Error (MAE), Mean Absolute Percentage Error (MAPE), and Coefficient of Determination (R²). These metrics provide complementary perspectives on prediction accuracy, error magnitude, and good</w:t>
      </w:r>
      <w:r>
        <w:t>ness of fit.</w:t>
      </w:r>
    </w:p>
    <w:p w:rsidR="00403BAD" w:rsidRDefault="00403BAD">
      <w:pPr>
        <w:spacing w:before="60" w:after="60"/>
      </w:pPr>
    </w:p>
    <w:p w:rsidR="00403BAD" w:rsidRDefault="00432ED7">
      <w:pPr>
        <w:spacing w:before="240" w:after="120"/>
      </w:pPr>
      <w:r>
        <w:rPr>
          <w:b/>
          <w:bCs/>
          <w:sz w:val="28"/>
          <w:szCs w:val="28"/>
        </w:rPr>
        <w:t>IV. RESULTS AND DISCUSSION</w:t>
      </w:r>
    </w:p>
    <w:p w:rsidR="00403BAD" w:rsidRDefault="00432ED7">
      <w:pPr>
        <w:spacing w:before="180" w:after="60"/>
      </w:pPr>
      <w:r>
        <w:rPr>
          <w:b/>
          <w:bCs/>
        </w:rPr>
        <w:t>A. Model Performance Comparison</w:t>
      </w:r>
    </w:p>
    <w:p w:rsidR="00403BAD" w:rsidRDefault="00432ED7">
      <w:pPr>
        <w:spacing w:before="120" w:after="120"/>
        <w:jc w:val="both"/>
      </w:pPr>
      <w:r>
        <w:t>Table 1 presents the comparative performance of the three models evaluated in this study.</w:t>
      </w:r>
    </w:p>
    <w:p w:rsidR="00403BAD" w:rsidRDefault="00403BAD">
      <w:pPr>
        <w:spacing w:before="60" w:after="60"/>
      </w:pPr>
    </w:p>
    <w:p w:rsidR="00403BAD" w:rsidRDefault="00432ED7">
      <w:pPr>
        <w:spacing w:before="60" w:after="120"/>
        <w:jc w:val="center"/>
      </w:pPr>
      <w:r>
        <w:rPr>
          <w:b/>
          <w:bCs/>
          <w:sz w:val="22"/>
          <w:szCs w:val="22"/>
        </w:rPr>
        <w:t>Table 1: Comparative Model Performance on TSP Prediction</w:t>
      </w:r>
    </w:p>
    <w:tbl>
      <w:tblPr>
        <w:tblW w:w="10696" w:type="dxa"/>
        <w:tblInd w:w="110" w:type="dxa"/>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CellMar>
          <w:left w:w="10" w:type="dxa"/>
          <w:right w:w="10" w:type="dxa"/>
        </w:tblCellMar>
        <w:tblLook w:val="04A0" w:firstRow="1" w:lastRow="0" w:firstColumn="1" w:lastColumn="0" w:noHBand="0" w:noVBand="1"/>
      </w:tblPr>
      <w:tblGrid>
        <w:gridCol w:w="2672"/>
        <w:gridCol w:w="2006"/>
        <w:gridCol w:w="2006"/>
        <w:gridCol w:w="2006"/>
        <w:gridCol w:w="2006"/>
      </w:tblGrid>
      <w:tr w:rsidR="00403BAD">
        <w:tblPrEx>
          <w:tblCellMar>
            <w:top w:w="0" w:type="dxa"/>
            <w:bottom w:w="0" w:type="dxa"/>
          </w:tblCellMar>
        </w:tblPrEx>
        <w:trPr>
          <w:tblHeader/>
        </w:trPr>
        <w:tc>
          <w:tcPr>
            <w:tcW w:w="2672" w:type="dxa"/>
            <w:tcBorders>
              <w:top w:val="single" w:sz="4" w:space="0" w:color="AAAAAA"/>
              <w:left w:val="single" w:sz="4" w:space="0" w:color="AAAAAA"/>
              <w:bottom w:val="single" w:sz="4" w:space="0" w:color="AAAAAA"/>
              <w:right w:val="single" w:sz="4" w:space="0" w:color="AAAAAA"/>
            </w:tcBorders>
            <w:shd w:val="clear" w:color="auto" w:fill="D9E1F2"/>
            <w:tcMar>
              <w:top w:w="80" w:type="dxa"/>
              <w:left w:w="120" w:type="dxa"/>
              <w:bottom w:w="80" w:type="dxa"/>
              <w:right w:w="120" w:type="dxa"/>
            </w:tcMar>
          </w:tcPr>
          <w:p w:rsidR="00403BAD" w:rsidRDefault="00432ED7">
            <w:pPr>
              <w:jc w:val="center"/>
            </w:pPr>
            <w:r>
              <w:rPr>
                <w:b/>
                <w:bCs/>
                <w:sz w:val="22"/>
                <w:szCs w:val="22"/>
              </w:rPr>
              <w:t>Model</w:t>
            </w:r>
          </w:p>
        </w:tc>
        <w:tc>
          <w:tcPr>
            <w:tcW w:w="2006" w:type="dxa"/>
            <w:tcBorders>
              <w:top w:val="single" w:sz="4" w:space="0" w:color="AAAAAA"/>
              <w:left w:val="single" w:sz="4" w:space="0" w:color="AAAAAA"/>
              <w:bottom w:val="single" w:sz="4" w:space="0" w:color="AAAAAA"/>
              <w:right w:val="single" w:sz="4" w:space="0" w:color="AAAAAA"/>
            </w:tcBorders>
            <w:shd w:val="clear" w:color="auto" w:fill="D9E1F2"/>
            <w:tcMar>
              <w:top w:w="80" w:type="dxa"/>
              <w:left w:w="120" w:type="dxa"/>
              <w:bottom w:w="80" w:type="dxa"/>
              <w:right w:w="120" w:type="dxa"/>
            </w:tcMar>
          </w:tcPr>
          <w:p w:rsidR="00403BAD" w:rsidRDefault="00432ED7">
            <w:pPr>
              <w:jc w:val="center"/>
            </w:pPr>
            <w:r>
              <w:rPr>
                <w:b/>
                <w:bCs/>
                <w:sz w:val="22"/>
                <w:szCs w:val="22"/>
              </w:rPr>
              <w:t>RMSE (μg/m³)</w:t>
            </w:r>
          </w:p>
        </w:tc>
        <w:tc>
          <w:tcPr>
            <w:tcW w:w="2006" w:type="dxa"/>
            <w:tcBorders>
              <w:top w:val="single" w:sz="4" w:space="0" w:color="AAAAAA"/>
              <w:left w:val="single" w:sz="4" w:space="0" w:color="AAAAAA"/>
              <w:bottom w:val="single" w:sz="4" w:space="0" w:color="AAAAAA"/>
              <w:right w:val="single" w:sz="4" w:space="0" w:color="AAAAAA"/>
            </w:tcBorders>
            <w:shd w:val="clear" w:color="auto" w:fill="D9E1F2"/>
            <w:tcMar>
              <w:top w:w="80" w:type="dxa"/>
              <w:left w:w="120" w:type="dxa"/>
              <w:bottom w:w="80" w:type="dxa"/>
              <w:right w:w="120" w:type="dxa"/>
            </w:tcMar>
          </w:tcPr>
          <w:p w:rsidR="00403BAD" w:rsidRDefault="00432ED7">
            <w:pPr>
              <w:jc w:val="center"/>
            </w:pPr>
            <w:r>
              <w:rPr>
                <w:b/>
                <w:bCs/>
                <w:sz w:val="22"/>
                <w:szCs w:val="22"/>
              </w:rPr>
              <w:t>MAE (μg/m³)</w:t>
            </w:r>
          </w:p>
        </w:tc>
        <w:tc>
          <w:tcPr>
            <w:tcW w:w="2006" w:type="dxa"/>
            <w:tcBorders>
              <w:top w:val="single" w:sz="4" w:space="0" w:color="AAAAAA"/>
              <w:left w:val="single" w:sz="4" w:space="0" w:color="AAAAAA"/>
              <w:bottom w:val="single" w:sz="4" w:space="0" w:color="AAAAAA"/>
              <w:right w:val="single" w:sz="4" w:space="0" w:color="AAAAAA"/>
            </w:tcBorders>
            <w:shd w:val="clear" w:color="auto" w:fill="D9E1F2"/>
            <w:tcMar>
              <w:top w:w="80" w:type="dxa"/>
              <w:left w:w="120" w:type="dxa"/>
              <w:bottom w:w="80" w:type="dxa"/>
              <w:right w:w="120" w:type="dxa"/>
            </w:tcMar>
          </w:tcPr>
          <w:p w:rsidR="00403BAD" w:rsidRDefault="00432ED7">
            <w:pPr>
              <w:jc w:val="center"/>
            </w:pPr>
            <w:r>
              <w:rPr>
                <w:b/>
                <w:bCs/>
                <w:sz w:val="22"/>
                <w:szCs w:val="22"/>
              </w:rPr>
              <w:t>MAPE</w:t>
            </w:r>
            <w:r>
              <w:rPr>
                <w:b/>
                <w:bCs/>
                <w:sz w:val="22"/>
                <w:szCs w:val="22"/>
              </w:rPr>
              <w:t xml:space="preserve"> (%)</w:t>
            </w:r>
          </w:p>
        </w:tc>
        <w:tc>
          <w:tcPr>
            <w:tcW w:w="2006" w:type="dxa"/>
            <w:tcBorders>
              <w:top w:val="single" w:sz="4" w:space="0" w:color="AAAAAA"/>
              <w:left w:val="single" w:sz="4" w:space="0" w:color="AAAAAA"/>
              <w:bottom w:val="single" w:sz="4" w:space="0" w:color="AAAAAA"/>
              <w:right w:val="single" w:sz="4" w:space="0" w:color="AAAAAA"/>
            </w:tcBorders>
            <w:shd w:val="clear" w:color="auto" w:fill="D9E1F2"/>
            <w:tcMar>
              <w:top w:w="80" w:type="dxa"/>
              <w:left w:w="120" w:type="dxa"/>
              <w:bottom w:w="80" w:type="dxa"/>
              <w:right w:w="120" w:type="dxa"/>
            </w:tcMar>
          </w:tcPr>
          <w:p w:rsidR="00403BAD" w:rsidRDefault="00432ED7">
            <w:pPr>
              <w:jc w:val="center"/>
            </w:pPr>
            <w:r>
              <w:rPr>
                <w:b/>
                <w:bCs/>
                <w:sz w:val="22"/>
                <w:szCs w:val="22"/>
              </w:rPr>
              <w:t>R²</w:t>
            </w:r>
          </w:p>
        </w:tc>
      </w:tr>
      <w:tr w:rsidR="00403BAD">
        <w:tblPrEx>
          <w:tblCellMar>
            <w:top w:w="0" w:type="dxa"/>
            <w:bottom w:w="0" w:type="dxa"/>
          </w:tblCellMar>
        </w:tblPrEx>
        <w:tc>
          <w:tcPr>
            <w:tcW w:w="2672"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rsidR="00403BAD" w:rsidRDefault="00432ED7">
            <w:r>
              <w:rPr>
                <w:sz w:val="22"/>
                <w:szCs w:val="22"/>
              </w:rPr>
              <w:t>ARIMA</w:t>
            </w:r>
          </w:p>
        </w:tc>
        <w:tc>
          <w:tcPr>
            <w:tcW w:w="2006"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rsidR="00403BAD" w:rsidRDefault="00432ED7">
            <w:r>
              <w:rPr>
                <w:sz w:val="22"/>
                <w:szCs w:val="22"/>
              </w:rPr>
              <w:t>24.80</w:t>
            </w:r>
          </w:p>
        </w:tc>
        <w:tc>
          <w:tcPr>
            <w:tcW w:w="2006"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rsidR="00403BAD" w:rsidRDefault="00432ED7">
            <w:r>
              <w:rPr>
                <w:sz w:val="22"/>
                <w:szCs w:val="22"/>
              </w:rPr>
              <w:t>18.91</w:t>
            </w:r>
          </w:p>
        </w:tc>
        <w:tc>
          <w:tcPr>
            <w:tcW w:w="2006"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rsidR="00403BAD" w:rsidRDefault="00432ED7">
            <w:r>
              <w:rPr>
                <w:sz w:val="22"/>
                <w:szCs w:val="22"/>
              </w:rPr>
              <w:t>10.60</w:t>
            </w:r>
          </w:p>
        </w:tc>
        <w:tc>
          <w:tcPr>
            <w:tcW w:w="2006"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rsidR="00403BAD" w:rsidRDefault="00432ED7">
            <w:r>
              <w:rPr>
                <w:sz w:val="22"/>
                <w:szCs w:val="22"/>
              </w:rPr>
              <w:t>0.922</w:t>
            </w:r>
          </w:p>
        </w:tc>
      </w:tr>
      <w:tr w:rsidR="00403BAD">
        <w:tblPrEx>
          <w:tblCellMar>
            <w:top w:w="0" w:type="dxa"/>
            <w:bottom w:w="0" w:type="dxa"/>
          </w:tblCellMar>
        </w:tblPrEx>
        <w:tc>
          <w:tcPr>
            <w:tcW w:w="2672"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rsidR="00403BAD" w:rsidRDefault="00432ED7">
            <w:r>
              <w:rPr>
                <w:sz w:val="22"/>
                <w:szCs w:val="22"/>
              </w:rPr>
              <w:t>LSTM</w:t>
            </w:r>
          </w:p>
        </w:tc>
        <w:tc>
          <w:tcPr>
            <w:tcW w:w="2006"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rsidR="00403BAD" w:rsidRDefault="00432ED7">
            <w:r>
              <w:rPr>
                <w:sz w:val="22"/>
                <w:szCs w:val="22"/>
              </w:rPr>
              <w:t>20.30</w:t>
            </w:r>
          </w:p>
        </w:tc>
        <w:tc>
          <w:tcPr>
            <w:tcW w:w="2006"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rsidR="00403BAD" w:rsidRDefault="00432ED7">
            <w:r>
              <w:rPr>
                <w:sz w:val="22"/>
                <w:szCs w:val="22"/>
              </w:rPr>
              <w:t>16.74</w:t>
            </w:r>
          </w:p>
        </w:tc>
        <w:tc>
          <w:tcPr>
            <w:tcW w:w="2006"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rsidR="00403BAD" w:rsidRDefault="00432ED7">
            <w:r>
              <w:rPr>
                <w:sz w:val="22"/>
                <w:szCs w:val="22"/>
              </w:rPr>
              <w:t>7.00</w:t>
            </w:r>
          </w:p>
        </w:tc>
        <w:tc>
          <w:tcPr>
            <w:tcW w:w="2006"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rsidR="00403BAD" w:rsidRDefault="00432ED7">
            <w:r>
              <w:rPr>
                <w:sz w:val="22"/>
                <w:szCs w:val="22"/>
              </w:rPr>
              <w:t>0.946</w:t>
            </w:r>
          </w:p>
        </w:tc>
      </w:tr>
      <w:tr w:rsidR="00403BAD">
        <w:tblPrEx>
          <w:tblCellMar>
            <w:top w:w="0" w:type="dxa"/>
            <w:bottom w:w="0" w:type="dxa"/>
          </w:tblCellMar>
        </w:tblPrEx>
        <w:tc>
          <w:tcPr>
            <w:tcW w:w="2672"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rsidR="00403BAD" w:rsidRDefault="00432ED7">
            <w:r>
              <w:rPr>
                <w:sz w:val="22"/>
                <w:szCs w:val="22"/>
              </w:rPr>
              <w:t>LSTM-Attention</w:t>
            </w:r>
          </w:p>
        </w:tc>
        <w:tc>
          <w:tcPr>
            <w:tcW w:w="2006"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rsidR="00403BAD" w:rsidRDefault="00432ED7">
            <w:r>
              <w:rPr>
                <w:sz w:val="22"/>
                <w:szCs w:val="22"/>
              </w:rPr>
              <w:t>16.30</w:t>
            </w:r>
          </w:p>
        </w:tc>
        <w:tc>
          <w:tcPr>
            <w:tcW w:w="2006"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rsidR="00403BAD" w:rsidRDefault="00432ED7">
            <w:r>
              <w:rPr>
                <w:sz w:val="22"/>
                <w:szCs w:val="22"/>
              </w:rPr>
              <w:t>13.03</w:t>
            </w:r>
          </w:p>
        </w:tc>
        <w:tc>
          <w:tcPr>
            <w:tcW w:w="2006"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rsidR="00403BAD" w:rsidRDefault="00432ED7">
            <w:r>
              <w:rPr>
                <w:sz w:val="22"/>
                <w:szCs w:val="22"/>
              </w:rPr>
              <w:t>6.11</w:t>
            </w:r>
          </w:p>
        </w:tc>
        <w:tc>
          <w:tcPr>
            <w:tcW w:w="2006"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rsidR="00403BAD" w:rsidRDefault="00432ED7">
            <w:r>
              <w:rPr>
                <w:sz w:val="22"/>
                <w:szCs w:val="22"/>
              </w:rPr>
              <w:t>0.974</w:t>
            </w:r>
          </w:p>
        </w:tc>
      </w:tr>
    </w:tbl>
    <w:p w:rsidR="00403BAD" w:rsidRDefault="00403BAD">
      <w:pPr>
        <w:spacing w:before="60" w:after="60"/>
      </w:pPr>
    </w:p>
    <w:p w:rsidR="00403BAD" w:rsidRDefault="00432ED7">
      <w:pPr>
        <w:spacing w:before="120" w:after="120"/>
        <w:jc w:val="both"/>
      </w:pPr>
      <w:r>
        <w:t>The LSTM-Attention model achieved the best performance across all metrics, with an RMSE of 16.30 μg/m³, MAE of 13.03 μg/m³, MAPE of 6.11%, and R² of 0.974. This represents a substantial improvement over the classical ARIMA baseline and a meaningful advance</w:t>
      </w:r>
      <w:r>
        <w:t xml:space="preserve"> over the standard LSTM model. The superior performance of the LSTM-Attention model confirms that both temporal dependency modeling and feature-selective attention are essential components for accurate dust concentration prediction in complex mining enviro</w:t>
      </w:r>
      <w:r>
        <w:t>nments [7].</w:t>
      </w:r>
    </w:p>
    <w:p w:rsidR="00403BAD" w:rsidRDefault="00432ED7">
      <w:pPr>
        <w:spacing w:before="120" w:after="120"/>
        <w:jc w:val="both"/>
      </w:pPr>
      <w:r>
        <w:t xml:space="preserve">Sensitivity analysis, conducted by varying PM10 input values across their operational range (70–300 μg/m³), demonstrated that the LSTM-Attention model exhibited greater robustness than its counterparts, with an average prediction change rate of only 0.18, </w:t>
      </w:r>
      <w:r>
        <w:t>compared to 0.26 for LSTM and 0.29 for ARIMA. This stability is critical for deployment in real-world mining environments where sensor readings may fluctuate significantly.</w:t>
      </w:r>
    </w:p>
    <w:p w:rsidR="00403BAD" w:rsidRDefault="00432ED7">
      <w:pPr>
        <w:spacing w:before="180" w:after="60"/>
      </w:pPr>
      <w:r>
        <w:rPr>
          <w:b/>
          <w:bCs/>
        </w:rPr>
        <w:t>B. Temporal Pattern Analysis</w:t>
      </w:r>
    </w:p>
    <w:p w:rsidR="00403BAD" w:rsidRDefault="00432ED7">
      <w:pPr>
        <w:spacing w:before="120" w:after="120"/>
        <w:jc w:val="both"/>
      </w:pPr>
      <w:r>
        <w:t>Examination of daily dust concentration patterns acros</w:t>
      </w:r>
      <w:r>
        <w:t>s the dataset revealed consistent cyclical trends aligned with operational schedules. Peak TSP concentrations were observed between 08:00 and 09:00, coinciding with shift changes and intensive mining activity. A midday reduction was noted between 15:00 and</w:t>
      </w:r>
      <w:r>
        <w:t xml:space="preserve"> 16:00, attributed to improved thermal dispersion and reduced production intensity. A secondary nighttime increase in dust levels was linked to reduced ventilation during off-shift periods and air inversion conditions. These temporal patterns are directly </w:t>
      </w:r>
      <w:r>
        <w:t>analogous to operational cycles observed in underground mining environments, reinforcing the transferability of the model framework.</w:t>
      </w:r>
    </w:p>
    <w:p w:rsidR="00403BAD" w:rsidRDefault="00432ED7">
      <w:pPr>
        <w:spacing w:before="180" w:after="60"/>
      </w:pPr>
      <w:r>
        <w:rPr>
          <w:b/>
          <w:bCs/>
        </w:rPr>
        <w:t>C. Factor Importance Analysis</w:t>
      </w:r>
    </w:p>
    <w:p w:rsidR="00403BAD" w:rsidRDefault="00432ED7">
      <w:pPr>
        <w:spacing w:before="120" w:after="120"/>
        <w:jc w:val="both"/>
      </w:pPr>
      <w:r>
        <w:lastRenderedPageBreak/>
        <w:t>PLSR-derived VIP scores revealed a clear hierarchy of environmental influences on TSP concent</w:t>
      </w:r>
      <w:r>
        <w:t>rations. Table 2 summarizes the VIP scores for each input variable.</w:t>
      </w:r>
    </w:p>
    <w:p w:rsidR="00403BAD" w:rsidRDefault="00403BAD">
      <w:pPr>
        <w:spacing w:before="60" w:after="60"/>
      </w:pPr>
    </w:p>
    <w:p w:rsidR="00403BAD" w:rsidRDefault="00432ED7">
      <w:pPr>
        <w:spacing w:before="60" w:after="120"/>
        <w:jc w:val="center"/>
      </w:pPr>
      <w:r>
        <w:rPr>
          <w:b/>
          <w:bCs/>
          <w:sz w:val="22"/>
          <w:szCs w:val="22"/>
        </w:rPr>
        <w:t>Table 2: VIP Scores from PLSR Factor Importance Analysis</w:t>
      </w:r>
    </w:p>
    <w:tbl>
      <w:tblPr>
        <w:tblW w:w="8696" w:type="dxa"/>
        <w:tblInd w:w="110" w:type="dxa"/>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CellMar>
          <w:left w:w="10" w:type="dxa"/>
          <w:right w:w="10" w:type="dxa"/>
        </w:tblCellMar>
        <w:tblLook w:val="04A0" w:firstRow="1" w:lastRow="0" w:firstColumn="1" w:lastColumn="0" w:noHBand="0" w:noVBand="1"/>
      </w:tblPr>
      <w:tblGrid>
        <w:gridCol w:w="3565"/>
        <w:gridCol w:w="2132"/>
        <w:gridCol w:w="2999"/>
      </w:tblGrid>
      <w:tr w:rsidR="00403BAD">
        <w:tblPrEx>
          <w:tblCellMar>
            <w:top w:w="0" w:type="dxa"/>
            <w:bottom w:w="0" w:type="dxa"/>
          </w:tblCellMar>
        </w:tblPrEx>
        <w:trPr>
          <w:tblHeader/>
        </w:trPr>
        <w:tc>
          <w:tcPr>
            <w:tcW w:w="3565" w:type="dxa"/>
            <w:tcBorders>
              <w:top w:val="single" w:sz="4" w:space="0" w:color="AAAAAA"/>
              <w:left w:val="single" w:sz="4" w:space="0" w:color="AAAAAA"/>
              <w:bottom w:val="single" w:sz="4" w:space="0" w:color="AAAAAA"/>
              <w:right w:val="single" w:sz="4" w:space="0" w:color="AAAAAA"/>
            </w:tcBorders>
            <w:shd w:val="clear" w:color="auto" w:fill="D9E1F2"/>
            <w:tcMar>
              <w:top w:w="80" w:type="dxa"/>
              <w:left w:w="120" w:type="dxa"/>
              <w:bottom w:w="80" w:type="dxa"/>
              <w:right w:w="120" w:type="dxa"/>
            </w:tcMar>
          </w:tcPr>
          <w:p w:rsidR="00403BAD" w:rsidRDefault="00432ED7">
            <w:pPr>
              <w:jc w:val="center"/>
            </w:pPr>
            <w:r>
              <w:rPr>
                <w:b/>
                <w:bCs/>
                <w:sz w:val="22"/>
                <w:szCs w:val="22"/>
              </w:rPr>
              <w:t>Environmental Factor</w:t>
            </w:r>
          </w:p>
        </w:tc>
        <w:tc>
          <w:tcPr>
            <w:tcW w:w="2132" w:type="dxa"/>
            <w:tcBorders>
              <w:top w:val="single" w:sz="4" w:space="0" w:color="AAAAAA"/>
              <w:left w:val="single" w:sz="4" w:space="0" w:color="AAAAAA"/>
              <w:bottom w:val="single" w:sz="4" w:space="0" w:color="AAAAAA"/>
              <w:right w:val="single" w:sz="4" w:space="0" w:color="AAAAAA"/>
            </w:tcBorders>
            <w:shd w:val="clear" w:color="auto" w:fill="D9E1F2"/>
            <w:tcMar>
              <w:top w:w="80" w:type="dxa"/>
              <w:left w:w="120" w:type="dxa"/>
              <w:bottom w:w="80" w:type="dxa"/>
              <w:right w:w="120" w:type="dxa"/>
            </w:tcMar>
          </w:tcPr>
          <w:p w:rsidR="00403BAD" w:rsidRDefault="00432ED7">
            <w:pPr>
              <w:jc w:val="center"/>
            </w:pPr>
            <w:r>
              <w:rPr>
                <w:b/>
                <w:bCs/>
                <w:sz w:val="22"/>
                <w:szCs w:val="22"/>
              </w:rPr>
              <w:t>VIP Score</w:t>
            </w:r>
          </w:p>
        </w:tc>
        <w:tc>
          <w:tcPr>
            <w:tcW w:w="2999" w:type="dxa"/>
            <w:tcBorders>
              <w:top w:val="single" w:sz="4" w:space="0" w:color="AAAAAA"/>
              <w:left w:val="single" w:sz="4" w:space="0" w:color="AAAAAA"/>
              <w:bottom w:val="single" w:sz="4" w:space="0" w:color="AAAAAA"/>
              <w:right w:val="single" w:sz="4" w:space="0" w:color="AAAAAA"/>
            </w:tcBorders>
            <w:shd w:val="clear" w:color="auto" w:fill="D9E1F2"/>
            <w:tcMar>
              <w:top w:w="80" w:type="dxa"/>
              <w:left w:w="120" w:type="dxa"/>
              <w:bottom w:w="80" w:type="dxa"/>
              <w:right w:w="120" w:type="dxa"/>
            </w:tcMar>
          </w:tcPr>
          <w:p w:rsidR="00403BAD" w:rsidRDefault="00432ED7">
            <w:pPr>
              <w:jc w:val="center"/>
            </w:pPr>
            <w:r>
              <w:rPr>
                <w:b/>
                <w:bCs/>
                <w:sz w:val="22"/>
                <w:szCs w:val="22"/>
              </w:rPr>
              <w:t>Significance</w:t>
            </w:r>
          </w:p>
        </w:tc>
      </w:tr>
      <w:tr w:rsidR="00403BAD">
        <w:tblPrEx>
          <w:tblCellMar>
            <w:top w:w="0" w:type="dxa"/>
            <w:bottom w:w="0" w:type="dxa"/>
          </w:tblCellMar>
        </w:tblPrEx>
        <w:tc>
          <w:tcPr>
            <w:tcW w:w="3565"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rsidR="00403BAD" w:rsidRDefault="00432ED7">
            <w:r>
              <w:rPr>
                <w:sz w:val="22"/>
                <w:szCs w:val="22"/>
              </w:rPr>
              <w:t>PM10 Concentration</w:t>
            </w:r>
          </w:p>
        </w:tc>
        <w:tc>
          <w:tcPr>
            <w:tcW w:w="2132"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rsidR="00403BAD" w:rsidRDefault="00432ED7">
            <w:r>
              <w:rPr>
                <w:sz w:val="22"/>
                <w:szCs w:val="22"/>
              </w:rPr>
              <w:t>2.35</w:t>
            </w:r>
          </w:p>
        </w:tc>
        <w:tc>
          <w:tcPr>
            <w:tcW w:w="2999"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rsidR="00403BAD" w:rsidRDefault="00432ED7">
            <w:r>
              <w:rPr>
                <w:sz w:val="22"/>
                <w:szCs w:val="22"/>
              </w:rPr>
              <w:t>High (&gt;1.0)</w:t>
            </w:r>
          </w:p>
        </w:tc>
      </w:tr>
      <w:tr w:rsidR="00403BAD">
        <w:tblPrEx>
          <w:tblCellMar>
            <w:top w:w="0" w:type="dxa"/>
            <w:bottom w:w="0" w:type="dxa"/>
          </w:tblCellMar>
        </w:tblPrEx>
        <w:tc>
          <w:tcPr>
            <w:tcW w:w="3565"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rsidR="00403BAD" w:rsidRDefault="00432ED7">
            <w:r>
              <w:rPr>
                <w:sz w:val="22"/>
                <w:szCs w:val="22"/>
              </w:rPr>
              <w:t>Wind Speed</w:t>
            </w:r>
          </w:p>
        </w:tc>
        <w:tc>
          <w:tcPr>
            <w:tcW w:w="2132"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rsidR="00403BAD" w:rsidRDefault="00432ED7">
            <w:r>
              <w:rPr>
                <w:sz w:val="22"/>
                <w:szCs w:val="22"/>
              </w:rPr>
              <w:t>1.85</w:t>
            </w:r>
          </w:p>
        </w:tc>
        <w:tc>
          <w:tcPr>
            <w:tcW w:w="2999"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rsidR="00403BAD" w:rsidRDefault="00432ED7">
            <w:r>
              <w:rPr>
                <w:sz w:val="22"/>
                <w:szCs w:val="22"/>
              </w:rPr>
              <w:t>High (&gt;1.0)</w:t>
            </w:r>
          </w:p>
        </w:tc>
      </w:tr>
      <w:tr w:rsidR="00403BAD">
        <w:tblPrEx>
          <w:tblCellMar>
            <w:top w:w="0" w:type="dxa"/>
            <w:bottom w:w="0" w:type="dxa"/>
          </w:tblCellMar>
        </w:tblPrEx>
        <w:tc>
          <w:tcPr>
            <w:tcW w:w="3565"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rsidR="00403BAD" w:rsidRDefault="00432ED7">
            <w:r>
              <w:rPr>
                <w:sz w:val="22"/>
                <w:szCs w:val="22"/>
              </w:rPr>
              <w:t>Temperature</w:t>
            </w:r>
          </w:p>
        </w:tc>
        <w:tc>
          <w:tcPr>
            <w:tcW w:w="2132"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rsidR="00403BAD" w:rsidRDefault="00432ED7">
            <w:r>
              <w:rPr>
                <w:sz w:val="22"/>
                <w:szCs w:val="22"/>
              </w:rPr>
              <w:t>1.60</w:t>
            </w:r>
          </w:p>
        </w:tc>
        <w:tc>
          <w:tcPr>
            <w:tcW w:w="2999"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rsidR="00403BAD" w:rsidRDefault="00432ED7">
            <w:r>
              <w:rPr>
                <w:sz w:val="22"/>
                <w:szCs w:val="22"/>
              </w:rPr>
              <w:t>High (&gt;1.0)</w:t>
            </w:r>
          </w:p>
        </w:tc>
      </w:tr>
      <w:tr w:rsidR="00403BAD">
        <w:tblPrEx>
          <w:tblCellMar>
            <w:top w:w="0" w:type="dxa"/>
            <w:bottom w:w="0" w:type="dxa"/>
          </w:tblCellMar>
        </w:tblPrEx>
        <w:tc>
          <w:tcPr>
            <w:tcW w:w="3565"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rsidR="00403BAD" w:rsidRDefault="00432ED7">
            <w:r>
              <w:rPr>
                <w:sz w:val="22"/>
                <w:szCs w:val="22"/>
              </w:rPr>
              <w:t>Relative Humidity (RH)</w:t>
            </w:r>
          </w:p>
        </w:tc>
        <w:tc>
          <w:tcPr>
            <w:tcW w:w="2132"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rsidR="00403BAD" w:rsidRDefault="00432ED7">
            <w:r>
              <w:rPr>
                <w:sz w:val="22"/>
                <w:szCs w:val="22"/>
              </w:rPr>
              <w:t>0.82</w:t>
            </w:r>
          </w:p>
        </w:tc>
        <w:tc>
          <w:tcPr>
            <w:tcW w:w="2999"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rsidR="00403BAD" w:rsidRDefault="00432ED7">
            <w:r>
              <w:rPr>
                <w:sz w:val="22"/>
                <w:szCs w:val="22"/>
              </w:rPr>
              <w:t>Moderate (&lt;1.0)</w:t>
            </w:r>
          </w:p>
        </w:tc>
      </w:tr>
      <w:tr w:rsidR="00403BAD">
        <w:tblPrEx>
          <w:tblCellMar>
            <w:top w:w="0" w:type="dxa"/>
            <w:bottom w:w="0" w:type="dxa"/>
          </w:tblCellMar>
        </w:tblPrEx>
        <w:tc>
          <w:tcPr>
            <w:tcW w:w="3565"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rsidR="00403BAD" w:rsidRDefault="00432ED7">
            <w:r>
              <w:rPr>
                <w:sz w:val="22"/>
                <w:szCs w:val="22"/>
              </w:rPr>
              <w:t>Atmospheric Pressure</w:t>
            </w:r>
          </w:p>
        </w:tc>
        <w:tc>
          <w:tcPr>
            <w:tcW w:w="2132"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rsidR="00403BAD" w:rsidRDefault="00432ED7">
            <w:r>
              <w:rPr>
                <w:sz w:val="22"/>
                <w:szCs w:val="22"/>
              </w:rPr>
              <w:t>0.71</w:t>
            </w:r>
          </w:p>
        </w:tc>
        <w:tc>
          <w:tcPr>
            <w:tcW w:w="2999"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rsidR="00403BAD" w:rsidRDefault="00432ED7">
            <w:r>
              <w:rPr>
                <w:sz w:val="22"/>
                <w:szCs w:val="22"/>
              </w:rPr>
              <w:t>Low (&lt;1.0)</w:t>
            </w:r>
          </w:p>
        </w:tc>
      </w:tr>
    </w:tbl>
    <w:p w:rsidR="00403BAD" w:rsidRDefault="00403BAD">
      <w:pPr>
        <w:spacing w:before="60" w:after="60"/>
      </w:pPr>
    </w:p>
    <w:p w:rsidR="00403BAD" w:rsidRDefault="00432ED7">
      <w:pPr>
        <w:spacing w:before="120" w:after="120"/>
        <w:jc w:val="both"/>
      </w:pPr>
      <w:r>
        <w:t>PM10 concentration emerged as the dominant predictor of TSP levels (VIP = 2.35), consistent with the known role of coarse particulate matter as both a precursor and co-indicator of total dust loading. Wind speed (VIP = 1.85) and temperature (VIP = 1.60) al</w:t>
      </w:r>
      <w:r>
        <w:t>so exerted significant influence, reflecting the roles of dispersion dynamics and thermal stratification in dust behavior. A 10% increase in PM10 input values produced an average 12% increase in predicted TSP concentrations, underscoring the model's sensit</w:t>
      </w:r>
      <w:r>
        <w:t>ivity to particulate matter fluctuations.</w:t>
      </w:r>
    </w:p>
    <w:p w:rsidR="00403BAD" w:rsidRDefault="00432ED7">
      <w:pPr>
        <w:spacing w:before="120" w:after="120"/>
        <w:jc w:val="both"/>
      </w:pPr>
      <w:r>
        <w:t>LSTM-Attention model weights further confirmed the dominance of PM10 (attention weight 0.355) and relative humidity (0.248) among the input features, providing a complementary perspective to the PLSR results and re</w:t>
      </w:r>
      <w:r>
        <w:t>inforcing the importance of these variables in dust control planning.</w:t>
      </w:r>
    </w:p>
    <w:p w:rsidR="00403BAD" w:rsidRDefault="00432ED7">
      <w:pPr>
        <w:spacing w:before="180" w:after="60"/>
      </w:pPr>
      <w:r>
        <w:rPr>
          <w:b/>
          <w:bCs/>
        </w:rPr>
        <w:t>D. Intelligent Dust Control Framework</w:t>
      </w:r>
    </w:p>
    <w:p w:rsidR="00403BAD" w:rsidRDefault="00432ED7">
      <w:pPr>
        <w:spacing w:before="120" w:after="120"/>
        <w:jc w:val="both"/>
      </w:pPr>
      <w:r>
        <w:t>Based on the factor importance analysis, a closed-loop intelligent dust control framework was designed. The system integrates five sequential stages</w:t>
      </w:r>
      <w:r>
        <w:t xml:space="preserve">: (1) real-time sensor data collection capturing PM10, RH, temperature, and airflow; (2) dust concentration prediction using the trained LSTM-Attention model, forecasting TSP four hours ahead; (3) a decision engine that triggers automated control measures </w:t>
      </w:r>
      <w:r>
        <w:t>when predicted TSP exceeds a threshold (e.g., 200 μg/m³); (4) actuation of dust suppression sprays, humidification fans, and ventilation rate adjustments; and (5) a feedback loop that retrains the model with incoming data for continuous adaptation.</w:t>
      </w:r>
    </w:p>
    <w:p w:rsidR="00403BAD" w:rsidRDefault="00432ED7">
      <w:pPr>
        <w:spacing w:before="120" w:after="120"/>
        <w:jc w:val="both"/>
      </w:pPr>
      <w:r>
        <w:t>The decision logic is formalized as:</w:t>
      </w:r>
    </w:p>
    <w:p w:rsidR="00403BAD" w:rsidRDefault="00432ED7">
      <w:pPr>
        <w:spacing w:before="120" w:after="120"/>
        <w:jc w:val="both"/>
      </w:pPr>
      <w:r>
        <w:t>f(x) = { Trigger Dust Suppression, if TSP̂ₜ₊₄ₕ &gt; τ; Do Nothing, otherwise }</w:t>
      </w:r>
    </w:p>
    <w:p w:rsidR="00403BAD" w:rsidRDefault="00432ED7">
      <w:pPr>
        <w:spacing w:before="120" w:after="120"/>
        <w:jc w:val="both"/>
      </w:pPr>
      <w:r>
        <w:t>Targeted control strategies aligned with dominant influencing factors are summarized in Table 3.</w:t>
      </w:r>
    </w:p>
    <w:p w:rsidR="00403BAD" w:rsidRDefault="00403BAD">
      <w:pPr>
        <w:spacing w:before="60" w:after="60"/>
      </w:pPr>
    </w:p>
    <w:p w:rsidR="00403BAD" w:rsidRDefault="00432ED7">
      <w:pPr>
        <w:spacing w:before="60" w:after="120"/>
        <w:jc w:val="center"/>
      </w:pPr>
      <w:r>
        <w:rPr>
          <w:b/>
          <w:bCs/>
          <w:sz w:val="22"/>
          <w:szCs w:val="22"/>
        </w:rPr>
        <w:t>Table 3: Dominant Factors and Proposed Dust C</w:t>
      </w:r>
      <w:r>
        <w:rPr>
          <w:b/>
          <w:bCs/>
          <w:sz w:val="22"/>
          <w:szCs w:val="22"/>
        </w:rPr>
        <w:t>ontrol Strategies</w:t>
      </w:r>
    </w:p>
    <w:tbl>
      <w:tblPr>
        <w:tblW w:w="10696" w:type="dxa"/>
        <w:tblInd w:w="110" w:type="dxa"/>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CellMar>
          <w:left w:w="10" w:type="dxa"/>
          <w:right w:w="10" w:type="dxa"/>
        </w:tblCellMar>
        <w:tblLook w:val="04A0" w:firstRow="1" w:lastRow="0" w:firstColumn="1" w:lastColumn="0" w:noHBand="0" w:noVBand="1"/>
      </w:tblPr>
      <w:tblGrid>
        <w:gridCol w:w="3204"/>
        <w:gridCol w:w="7492"/>
      </w:tblGrid>
      <w:tr w:rsidR="00403BAD">
        <w:tblPrEx>
          <w:tblCellMar>
            <w:top w:w="0" w:type="dxa"/>
            <w:bottom w:w="0" w:type="dxa"/>
          </w:tblCellMar>
        </w:tblPrEx>
        <w:trPr>
          <w:tblHeader/>
        </w:trPr>
        <w:tc>
          <w:tcPr>
            <w:tcW w:w="3204" w:type="dxa"/>
            <w:tcBorders>
              <w:top w:val="single" w:sz="4" w:space="0" w:color="AAAAAA"/>
              <w:left w:val="single" w:sz="4" w:space="0" w:color="AAAAAA"/>
              <w:bottom w:val="single" w:sz="4" w:space="0" w:color="AAAAAA"/>
              <w:right w:val="single" w:sz="4" w:space="0" w:color="AAAAAA"/>
            </w:tcBorders>
            <w:shd w:val="clear" w:color="auto" w:fill="D9E1F2"/>
            <w:tcMar>
              <w:top w:w="80" w:type="dxa"/>
              <w:left w:w="120" w:type="dxa"/>
              <w:bottom w:w="80" w:type="dxa"/>
              <w:right w:w="120" w:type="dxa"/>
            </w:tcMar>
          </w:tcPr>
          <w:p w:rsidR="00403BAD" w:rsidRDefault="00432ED7">
            <w:pPr>
              <w:jc w:val="center"/>
            </w:pPr>
            <w:r>
              <w:rPr>
                <w:b/>
                <w:bCs/>
                <w:sz w:val="22"/>
                <w:szCs w:val="22"/>
              </w:rPr>
              <w:t>Influencing Factor</w:t>
            </w:r>
          </w:p>
        </w:tc>
        <w:tc>
          <w:tcPr>
            <w:tcW w:w="7492" w:type="dxa"/>
            <w:tcBorders>
              <w:top w:val="single" w:sz="4" w:space="0" w:color="AAAAAA"/>
              <w:left w:val="single" w:sz="4" w:space="0" w:color="AAAAAA"/>
              <w:bottom w:val="single" w:sz="4" w:space="0" w:color="AAAAAA"/>
              <w:right w:val="single" w:sz="4" w:space="0" w:color="AAAAAA"/>
            </w:tcBorders>
            <w:shd w:val="clear" w:color="auto" w:fill="D9E1F2"/>
            <w:tcMar>
              <w:top w:w="80" w:type="dxa"/>
              <w:left w:w="120" w:type="dxa"/>
              <w:bottom w:w="80" w:type="dxa"/>
              <w:right w:w="120" w:type="dxa"/>
            </w:tcMar>
          </w:tcPr>
          <w:p w:rsidR="00403BAD" w:rsidRDefault="00432ED7">
            <w:pPr>
              <w:jc w:val="center"/>
            </w:pPr>
            <w:r>
              <w:rPr>
                <w:b/>
                <w:bCs/>
                <w:sz w:val="22"/>
                <w:szCs w:val="22"/>
              </w:rPr>
              <w:t>Proposed Optimization Strategy</w:t>
            </w:r>
          </w:p>
        </w:tc>
      </w:tr>
      <w:tr w:rsidR="00403BAD">
        <w:tblPrEx>
          <w:tblCellMar>
            <w:top w:w="0" w:type="dxa"/>
            <w:bottom w:w="0" w:type="dxa"/>
          </w:tblCellMar>
        </w:tblPrEx>
        <w:tc>
          <w:tcPr>
            <w:tcW w:w="3204"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rsidR="00403BAD" w:rsidRDefault="00432ED7">
            <w:r>
              <w:rPr>
                <w:sz w:val="22"/>
                <w:szCs w:val="22"/>
              </w:rPr>
              <w:t>PM10</w:t>
            </w:r>
          </w:p>
        </w:tc>
        <w:tc>
          <w:tcPr>
            <w:tcW w:w="7492"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rsidR="00403BAD" w:rsidRDefault="00432ED7">
            <w:r>
              <w:rPr>
                <w:sz w:val="22"/>
                <w:szCs w:val="22"/>
              </w:rPr>
              <w:t>Coal seam pre-wetting; dual-nozzle shearer spray systems</w:t>
            </w:r>
          </w:p>
        </w:tc>
      </w:tr>
      <w:tr w:rsidR="00403BAD">
        <w:tblPrEx>
          <w:tblCellMar>
            <w:top w:w="0" w:type="dxa"/>
            <w:bottom w:w="0" w:type="dxa"/>
          </w:tblCellMar>
        </w:tblPrEx>
        <w:tc>
          <w:tcPr>
            <w:tcW w:w="3204"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rsidR="00403BAD" w:rsidRDefault="00432ED7">
            <w:r>
              <w:rPr>
                <w:sz w:val="22"/>
                <w:szCs w:val="22"/>
              </w:rPr>
              <w:t>Relative Humidity</w:t>
            </w:r>
          </w:p>
        </w:tc>
        <w:tc>
          <w:tcPr>
            <w:tcW w:w="7492"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rsidR="00403BAD" w:rsidRDefault="00432ED7">
            <w:r>
              <w:rPr>
                <w:sz w:val="22"/>
                <w:szCs w:val="22"/>
              </w:rPr>
              <w:t>Mobile mist generators targeting 70–80% local RH</w:t>
            </w:r>
          </w:p>
        </w:tc>
      </w:tr>
      <w:tr w:rsidR="00403BAD">
        <w:tblPrEx>
          <w:tblCellMar>
            <w:top w:w="0" w:type="dxa"/>
            <w:bottom w:w="0" w:type="dxa"/>
          </w:tblCellMar>
        </w:tblPrEx>
        <w:tc>
          <w:tcPr>
            <w:tcW w:w="3204"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rsidR="00403BAD" w:rsidRDefault="00432ED7">
            <w:r>
              <w:rPr>
                <w:sz w:val="22"/>
                <w:szCs w:val="22"/>
              </w:rPr>
              <w:t>Temperature</w:t>
            </w:r>
          </w:p>
        </w:tc>
        <w:tc>
          <w:tcPr>
            <w:tcW w:w="7492"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rsidR="00403BAD" w:rsidRDefault="00432ED7">
            <w:r>
              <w:rPr>
                <w:sz w:val="22"/>
                <w:szCs w:val="22"/>
              </w:rPr>
              <w:t>Schedule high-intensity operations during cooler shifts; adiabatic cooling shafts</w:t>
            </w:r>
          </w:p>
        </w:tc>
      </w:tr>
      <w:tr w:rsidR="00403BAD">
        <w:tblPrEx>
          <w:tblCellMar>
            <w:top w:w="0" w:type="dxa"/>
            <w:bottom w:w="0" w:type="dxa"/>
          </w:tblCellMar>
        </w:tblPrEx>
        <w:tc>
          <w:tcPr>
            <w:tcW w:w="3204"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rsidR="00403BAD" w:rsidRDefault="00432ED7">
            <w:r>
              <w:rPr>
                <w:sz w:val="22"/>
                <w:szCs w:val="22"/>
              </w:rPr>
              <w:t>Airflow Speed</w:t>
            </w:r>
          </w:p>
        </w:tc>
        <w:tc>
          <w:tcPr>
            <w:tcW w:w="7492"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rsidR="00403BAD" w:rsidRDefault="00432ED7">
            <w:r>
              <w:rPr>
                <w:sz w:val="22"/>
                <w:szCs w:val="22"/>
              </w:rPr>
              <w:t>Adaptive ventilation duct adjustments; intake air speed ≥ 3.5 m/s during cutting</w:t>
            </w:r>
          </w:p>
        </w:tc>
      </w:tr>
      <w:tr w:rsidR="00403BAD">
        <w:tblPrEx>
          <w:tblCellMar>
            <w:top w:w="0" w:type="dxa"/>
            <w:bottom w:w="0" w:type="dxa"/>
          </w:tblCellMar>
        </w:tblPrEx>
        <w:tc>
          <w:tcPr>
            <w:tcW w:w="3204"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rsidR="00403BAD" w:rsidRDefault="00432ED7">
            <w:r>
              <w:rPr>
                <w:sz w:val="22"/>
                <w:szCs w:val="22"/>
              </w:rPr>
              <w:t>Atmospheric Pressure</w:t>
            </w:r>
          </w:p>
        </w:tc>
        <w:tc>
          <w:tcPr>
            <w:tcW w:w="7492"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rsidR="00403BAD" w:rsidRDefault="00432ED7">
            <w:r>
              <w:rPr>
                <w:sz w:val="22"/>
                <w:szCs w:val="22"/>
              </w:rPr>
              <w:t>Dynamic pressure balancing through smart ventilation con</w:t>
            </w:r>
            <w:r>
              <w:rPr>
                <w:sz w:val="22"/>
                <w:szCs w:val="22"/>
              </w:rPr>
              <w:t>trol units</w:t>
            </w:r>
          </w:p>
        </w:tc>
      </w:tr>
    </w:tbl>
    <w:p w:rsidR="00403BAD" w:rsidRDefault="00403BAD">
      <w:pPr>
        <w:spacing w:before="60" w:after="60"/>
      </w:pPr>
    </w:p>
    <w:p w:rsidR="00403BAD" w:rsidRDefault="00432ED7">
      <w:pPr>
        <w:spacing w:before="120" w:after="120"/>
        <w:jc w:val="both"/>
      </w:pPr>
      <w:r>
        <w:t>Field evidence from analogous implementations suggests that integrating AI-based predictive control with automated actuation systems can reduce peak dust incidents by up to 23% compared to conventional manual-</w:t>
      </w:r>
      <w:r>
        <w:lastRenderedPageBreak/>
        <w:t>only control approaches, while sim</w:t>
      </w:r>
      <w:r>
        <w:t>ultaneously improving energy efficiency through dynamic ventilation management [12].</w:t>
      </w:r>
    </w:p>
    <w:p w:rsidR="00403BAD" w:rsidRDefault="00403BAD">
      <w:pPr>
        <w:spacing w:before="60" w:after="60"/>
      </w:pPr>
    </w:p>
    <w:p w:rsidR="00403BAD" w:rsidRDefault="00432ED7">
      <w:pPr>
        <w:spacing w:before="240" w:after="120"/>
      </w:pPr>
      <w:r>
        <w:rPr>
          <w:b/>
          <w:bCs/>
          <w:sz w:val="28"/>
          <w:szCs w:val="28"/>
        </w:rPr>
        <w:t>V. CONCLUSION</w:t>
      </w:r>
    </w:p>
    <w:p w:rsidR="00403BAD" w:rsidRDefault="00432ED7">
      <w:pPr>
        <w:spacing w:before="120" w:after="120"/>
        <w:jc w:val="both"/>
      </w:pPr>
      <w:r>
        <w:t>This study developed and validated a machine learning-based framework for predicting dust concentration in fully mechanized coal mining environments, demonstrating the superior performance of the LSTM-Attention hybrid model over classical statistical and s</w:t>
      </w:r>
      <w:r>
        <w:t>tandard deep learning approaches. Key findings are summarized as follows:</w:t>
      </w:r>
    </w:p>
    <w:p w:rsidR="00403BAD" w:rsidRDefault="00432ED7">
      <w:pPr>
        <w:spacing w:before="120" w:after="120"/>
        <w:jc w:val="both"/>
      </w:pPr>
      <w:r>
        <w:t>1. The LSTM-Attention model achieved a MAPE of 6.11% and R² of 0.974, significantly outperforming both ARIMA (R² = 0.922) and standard LSTM (R² = 0.946), confirming the importance of</w:t>
      </w:r>
      <w:r>
        <w:t xml:space="preserve"> integrating temporal memory with selective attention for dust prediction in dynamic mining environments.</w:t>
      </w:r>
    </w:p>
    <w:p w:rsidR="00403BAD" w:rsidRDefault="00432ED7">
      <w:pPr>
        <w:spacing w:before="120" w:after="120"/>
        <w:jc w:val="both"/>
      </w:pPr>
      <w:r>
        <w:t>2. Factor importance analysis using PLSR-VIP scores identified PM10 concentration, wind speed, and temperature as the most influential predictors of T</w:t>
      </w:r>
      <w:r>
        <w:t>SP levels, with PM10 demonstrating the highest impact (VIP = 2.35). Relative humidity and atmospheric pressure play secondary but meaningful roles.</w:t>
      </w:r>
    </w:p>
    <w:p w:rsidR="00403BAD" w:rsidRDefault="00432ED7">
      <w:pPr>
        <w:spacing w:before="120" w:after="120"/>
        <w:jc w:val="both"/>
      </w:pPr>
      <w:r>
        <w:t>3. An intelligent closed-loop dust control framework was designed based on model outputs, combining real-tim</w:t>
      </w:r>
      <w:r>
        <w:t>e sensing, predictive modeling, automated decision logic, and adaptive suppression actuation. This framework enables proactive dust management, shifting mine safety from reactive monitoring to anticipatory prevention.</w:t>
      </w:r>
    </w:p>
    <w:p w:rsidR="00403BAD" w:rsidRDefault="00432ED7">
      <w:pPr>
        <w:spacing w:before="120" w:after="120"/>
        <w:jc w:val="both"/>
      </w:pPr>
      <w:r>
        <w:t>4. The proposed system provides a scal</w:t>
      </w:r>
      <w:r>
        <w:t>able foundation for integration into broader smart mine platforms, including IoT sensor networks, SCADA control systems, and digital twin environments.</w:t>
      </w:r>
    </w:p>
    <w:p w:rsidR="00403BAD" w:rsidRDefault="00432ED7">
      <w:pPr>
        <w:spacing w:before="120" w:after="120"/>
        <w:jc w:val="both"/>
      </w:pPr>
      <w:r>
        <w:t>Future work should focus on retraining and validating the framework using actual underground mine sensor</w:t>
      </w:r>
      <w:r>
        <w:t xml:space="preserve"> data, investigating lightweight model architectures for edge deployment under the computational constraints of underground environments, and exploring hybrid physics-informed neural network approaches to further improve generalizability across diverse min</w:t>
      </w:r>
      <w:r>
        <w:t>e layouts and geological conditions.</w:t>
      </w:r>
    </w:p>
    <w:p w:rsidR="00403BAD" w:rsidRDefault="00403BAD">
      <w:pPr>
        <w:spacing w:before="60" w:after="60"/>
      </w:pPr>
    </w:p>
    <w:p w:rsidR="00403BAD" w:rsidRDefault="00432ED7">
      <w:pPr>
        <w:spacing w:before="240" w:after="120"/>
      </w:pPr>
      <w:r>
        <w:rPr>
          <w:b/>
          <w:bCs/>
          <w:sz w:val="28"/>
          <w:szCs w:val="28"/>
        </w:rPr>
        <w:t>ACKNOWLEDGMENT</w:t>
      </w:r>
    </w:p>
    <w:p w:rsidR="00403BAD" w:rsidRDefault="00432ED7">
      <w:pPr>
        <w:spacing w:before="120" w:after="120"/>
        <w:jc w:val="both"/>
      </w:pPr>
      <w:r>
        <w:t>The authors express sincere gratitude to supervisor Dr. Zhishen Wang (School of Civil Engineering &amp; Geomatics, Southwest Petroleum University) for invaluable guidance and support throughout this research</w:t>
      </w:r>
      <w:r>
        <w:t>. The authors also acknowledge the faculty of the School of Management and Economics, Chongqing University of Posts and Telecommunications, and the School of Environmental and Civil Engineering, Chengdu University of Technology, for the academic support pr</w:t>
      </w:r>
      <w:r>
        <w:t>ovided during their graduate studies.</w:t>
      </w:r>
    </w:p>
    <w:p w:rsidR="00403BAD" w:rsidRDefault="00403BAD">
      <w:pPr>
        <w:spacing w:before="60" w:after="60"/>
      </w:pPr>
    </w:p>
    <w:p w:rsidR="00403BAD" w:rsidRDefault="00432ED7">
      <w:pPr>
        <w:spacing w:before="240" w:after="120"/>
      </w:pPr>
      <w:r>
        <w:rPr>
          <w:b/>
          <w:bCs/>
          <w:sz w:val="28"/>
          <w:szCs w:val="28"/>
        </w:rPr>
        <w:t>CONFLICT OF INTEREST</w:t>
      </w:r>
    </w:p>
    <w:p w:rsidR="00403BAD" w:rsidRDefault="00432ED7">
      <w:pPr>
        <w:spacing w:before="120" w:after="120"/>
        <w:jc w:val="both"/>
      </w:pPr>
      <w:r>
        <w:t>The authors declare no conflict of interest.related to this research.</w:t>
      </w:r>
    </w:p>
    <w:p w:rsidR="00403BAD" w:rsidRDefault="00403BAD">
      <w:pPr>
        <w:spacing w:before="60" w:after="60"/>
      </w:pPr>
    </w:p>
    <w:p w:rsidR="00403BAD" w:rsidRDefault="00432ED7">
      <w:pPr>
        <w:spacing w:before="240" w:after="120"/>
      </w:pPr>
      <w:r>
        <w:rPr>
          <w:b/>
          <w:bCs/>
          <w:sz w:val="28"/>
          <w:szCs w:val="28"/>
        </w:rPr>
        <w:t>DATA AVAILABILITY</w:t>
      </w:r>
    </w:p>
    <w:p w:rsidR="00403BAD" w:rsidRDefault="00432ED7">
      <w:pPr>
        <w:spacing w:before="120" w:after="120"/>
        <w:jc w:val="both"/>
      </w:pPr>
      <w:r>
        <w:t>The dataset used in this study is publicly available from Li et al. (2021) as described in the referenced p</w:t>
      </w:r>
      <w:r>
        <w:t>ublication. Model hyperparameters and evaluation metric formulas used in this study are available from the corresponding author (daimk7736@gmail.com) upon reasonable request.</w:t>
      </w:r>
    </w:p>
    <w:p w:rsidR="00403BAD" w:rsidRDefault="00403BAD">
      <w:pPr>
        <w:spacing w:before="60" w:after="60"/>
      </w:pPr>
    </w:p>
    <w:p w:rsidR="00403BAD" w:rsidRDefault="00432ED7">
      <w:pPr>
        <w:spacing w:before="240" w:after="120"/>
      </w:pPr>
      <w:r>
        <w:rPr>
          <w:b/>
          <w:bCs/>
          <w:sz w:val="28"/>
          <w:szCs w:val="28"/>
        </w:rPr>
        <w:t>REFERENCES</w:t>
      </w:r>
    </w:p>
    <w:p w:rsidR="00403BAD" w:rsidRDefault="00432ED7">
      <w:pPr>
        <w:spacing w:before="60" w:after="60"/>
        <w:ind w:left="360" w:hanging="360"/>
        <w:jc w:val="both"/>
      </w:pPr>
      <w:r>
        <w:rPr>
          <w:sz w:val="22"/>
          <w:szCs w:val="22"/>
        </w:rPr>
        <w:lastRenderedPageBreak/>
        <w:t>[1] Cao, Y., Xiao, Y., Wang, Z. P., et al. (2024). Recent progress an</w:t>
      </w:r>
      <w:r>
        <w:rPr>
          <w:sz w:val="22"/>
          <w:szCs w:val="22"/>
        </w:rPr>
        <w:t>d perspectives on coal dust sources, transport, hazards, and controls in underground mines. Process Safety and Environmental Protection. https://doi.org/10.1016/j.psep.2024.04.095</w:t>
      </w:r>
    </w:p>
    <w:p w:rsidR="00403BAD" w:rsidRDefault="00432ED7">
      <w:pPr>
        <w:spacing w:before="60" w:after="60"/>
        <w:ind w:left="360" w:hanging="360"/>
        <w:jc w:val="both"/>
      </w:pPr>
      <w:r>
        <w:rPr>
          <w:sz w:val="22"/>
          <w:szCs w:val="22"/>
        </w:rPr>
        <w:t>[2] Jing, D. J., Zhu, J., Ren, S., et al. (2023). Study on dust migration la</w:t>
      </w:r>
      <w:r>
        <w:rPr>
          <w:sz w:val="22"/>
          <w:szCs w:val="22"/>
        </w:rPr>
        <w:t>w and spray dust suppression technology in fully mechanized mining face. Engineering, 4(1), 121–135. https://doi.org/10.3390/eng4010007</w:t>
      </w:r>
    </w:p>
    <w:p w:rsidR="00403BAD" w:rsidRDefault="00432ED7">
      <w:pPr>
        <w:spacing w:before="60" w:after="60"/>
        <w:ind w:left="360" w:hanging="360"/>
        <w:jc w:val="both"/>
      </w:pPr>
      <w:r>
        <w:rPr>
          <w:sz w:val="22"/>
          <w:szCs w:val="22"/>
        </w:rPr>
        <w:t>[3] Yang, Y., Wang, J., Ma, L., et al. (2023). Coal mine dust concentration prediction model based on improved LSTM neur</w:t>
      </w:r>
      <w:r>
        <w:rPr>
          <w:sz w:val="22"/>
          <w:szCs w:val="22"/>
        </w:rPr>
        <w:t>al network and attention mechanism. Journal of Cleaner Production, 383, 135276. https://doi.org/10.1016/j.jclepro.2023.135276</w:t>
      </w:r>
    </w:p>
    <w:p w:rsidR="00403BAD" w:rsidRDefault="00432ED7">
      <w:pPr>
        <w:spacing w:before="60" w:after="60"/>
        <w:ind w:left="360" w:hanging="360"/>
        <w:jc w:val="both"/>
      </w:pPr>
      <w:r>
        <w:rPr>
          <w:sz w:val="22"/>
          <w:szCs w:val="22"/>
        </w:rPr>
        <w:t>[4] Song, C., Yang, Y., Xu, X., et al. (2024). The dust concentration prediction method in fully mechanized coal mining face based</w:t>
      </w:r>
      <w:r>
        <w:rPr>
          <w:sz w:val="22"/>
          <w:szCs w:val="22"/>
        </w:rPr>
        <w:t xml:space="preserve"> on improved PSO-LSTM. Computers and Electrical Engineering, 105, 108534. https://doi.org/10.1016/j.compeleceng.2022.108534</w:t>
      </w:r>
    </w:p>
    <w:p w:rsidR="00403BAD" w:rsidRDefault="00432ED7">
      <w:pPr>
        <w:spacing w:before="60" w:after="60"/>
        <w:ind w:left="360" w:hanging="360"/>
        <w:jc w:val="both"/>
      </w:pPr>
      <w:r>
        <w:rPr>
          <w:sz w:val="22"/>
          <w:szCs w:val="22"/>
        </w:rPr>
        <w:t>[5] Gong, X., Congcong, J., Kang, S., et al. (2019). Distribution law and prediction model of dust concentration under airflow adjus</w:t>
      </w:r>
      <w:r>
        <w:rPr>
          <w:sz w:val="22"/>
          <w:szCs w:val="22"/>
        </w:rPr>
        <w:t>tment in fully mechanized heading face. Mathematical Problems in Engineering. https://doi.org/10.1155/2019/6210704</w:t>
      </w:r>
    </w:p>
    <w:p w:rsidR="00403BAD" w:rsidRDefault="00432ED7">
      <w:pPr>
        <w:spacing w:before="60" w:after="60"/>
        <w:ind w:left="360" w:hanging="360"/>
        <w:jc w:val="both"/>
      </w:pPr>
      <w:r>
        <w:rPr>
          <w:sz w:val="22"/>
          <w:szCs w:val="22"/>
        </w:rPr>
        <w:t xml:space="preserve">[6] Luan, B., Zhou, W., Jiskani, I. M., et al. (2023). An improved machine learning approach for optimizing dust concentration estimation in </w:t>
      </w:r>
      <w:r>
        <w:rPr>
          <w:sz w:val="22"/>
          <w:szCs w:val="22"/>
        </w:rPr>
        <w:t>open-pit mines. International Journal of Environmental Research and Public Health, 20(2), 1353. https://doi.org/10.3390/ijerph20021353</w:t>
      </w:r>
    </w:p>
    <w:p w:rsidR="00403BAD" w:rsidRDefault="00432ED7">
      <w:pPr>
        <w:spacing w:before="60" w:after="60"/>
        <w:ind w:left="360" w:hanging="360"/>
        <w:jc w:val="both"/>
      </w:pPr>
      <w:r>
        <w:rPr>
          <w:sz w:val="22"/>
          <w:szCs w:val="22"/>
        </w:rPr>
        <w:t>[7] Li, L., Zhang, R., Zhang, R., et al. (2021). Monitoring and prediction of dust concentration in an open-pit mine using a deep-learning algorithm. Iranian Journal of Environmental Health Science &amp; Engineering, 19(1), 401–414. https://doi.org/10.1007/S40</w:t>
      </w:r>
      <w:r>
        <w:rPr>
          <w:sz w:val="22"/>
          <w:szCs w:val="22"/>
        </w:rPr>
        <w:t>201-021-00613-0</w:t>
      </w:r>
    </w:p>
    <w:p w:rsidR="00403BAD" w:rsidRDefault="00432ED7">
      <w:pPr>
        <w:spacing w:before="60" w:after="60"/>
        <w:ind w:left="360" w:hanging="360"/>
        <w:jc w:val="both"/>
      </w:pPr>
      <w:r>
        <w:rPr>
          <w:sz w:val="22"/>
          <w:szCs w:val="22"/>
        </w:rPr>
        <w:t>[8] Zhang, J., Shen, Y., Wu, H., et al. (2024). Prediction and analysis of dust concentration in fully mechanized coal mining face based on hybrid model of LSTM and attention mechanism. Journal of Cleaner Production, 395, 136295. https://doi.org/10.1016/j.</w:t>
      </w:r>
      <w:r>
        <w:rPr>
          <w:sz w:val="22"/>
          <w:szCs w:val="22"/>
        </w:rPr>
        <w:t>jclepro.2023.136295</w:t>
      </w:r>
    </w:p>
    <w:p w:rsidR="00403BAD" w:rsidRDefault="00432ED7">
      <w:pPr>
        <w:spacing w:before="60" w:after="60"/>
        <w:ind w:left="360" w:hanging="360"/>
        <w:jc w:val="both"/>
      </w:pPr>
      <w:r>
        <w:rPr>
          <w:sz w:val="22"/>
          <w:szCs w:val="22"/>
        </w:rPr>
        <w:t>[9] Yang, J., Li, X., Wei, X., et al. (2023). Effect of ventilation parameters on dust concentration distribution in the heading face of fully mechanized mining. Processes, 11(4), 1140. https://doi.org/10.3390/pr11041140</w:t>
      </w:r>
    </w:p>
    <w:p w:rsidR="00403BAD" w:rsidRDefault="00432ED7">
      <w:pPr>
        <w:spacing w:before="60" w:after="60"/>
        <w:ind w:left="360" w:hanging="360"/>
        <w:jc w:val="both"/>
      </w:pPr>
      <w:r>
        <w:rPr>
          <w:sz w:val="22"/>
          <w:szCs w:val="22"/>
        </w:rPr>
        <w:t xml:space="preserve">[10] Shen, H., </w:t>
      </w:r>
      <w:r>
        <w:rPr>
          <w:sz w:val="22"/>
          <w:szCs w:val="22"/>
        </w:rPr>
        <w:t>Chen, X., Feng, L., et al. (2023). Experimental investigation and modeling of airborne dust concentration in a fully mechanized coal mining face. Journal of Hazardous Materials, 437, 129363. https://doi.org/10.1016/j.jhazmat.2022.129363</w:t>
      </w:r>
    </w:p>
    <w:p w:rsidR="00403BAD" w:rsidRDefault="00432ED7">
      <w:pPr>
        <w:spacing w:before="60" w:after="60"/>
        <w:ind w:left="360" w:hanging="360"/>
        <w:jc w:val="both"/>
      </w:pPr>
      <w:r>
        <w:rPr>
          <w:sz w:val="22"/>
          <w:szCs w:val="22"/>
        </w:rPr>
        <w:t>[11] Wei, C., Tang,</w:t>
      </w:r>
      <w:r>
        <w:rPr>
          <w:sz w:val="22"/>
          <w:szCs w:val="22"/>
        </w:rPr>
        <w:t xml:space="preserve"> Z., Liang, B., et al. (2023). Application of artificial intelligence for dust suppression in coal mines: a review. Energies, 16(16), 6454. https://doi.org/10.3390/en16166454</w:t>
      </w:r>
    </w:p>
    <w:p w:rsidR="00403BAD" w:rsidRDefault="00432ED7">
      <w:pPr>
        <w:spacing w:before="60" w:after="60"/>
        <w:ind w:left="360" w:hanging="360"/>
        <w:jc w:val="both"/>
      </w:pPr>
      <w:r>
        <w:rPr>
          <w:sz w:val="22"/>
          <w:szCs w:val="22"/>
        </w:rPr>
        <w:t>[12] Wang, J., Gao, Y., Chen, S., et al. (2024). An integrated intelligent monito</w:t>
      </w:r>
      <w:r>
        <w:rPr>
          <w:sz w:val="22"/>
          <w:szCs w:val="22"/>
        </w:rPr>
        <w:t>ring and prediction method for coal mine dust based on multimodal data fusion. IEEE Sensors Journal, 24(6), 7294–7306. https://doi.org/10.1109/jsen.2024.3296687</w:t>
      </w:r>
    </w:p>
    <w:p w:rsidR="00403BAD" w:rsidRDefault="00432ED7">
      <w:pPr>
        <w:spacing w:before="60" w:after="60"/>
        <w:ind w:left="360" w:hanging="360"/>
        <w:jc w:val="both"/>
      </w:pPr>
      <w:r>
        <w:rPr>
          <w:sz w:val="22"/>
          <w:szCs w:val="22"/>
        </w:rPr>
        <w:t>[13] Zhu, M., Ren, S., Wang, J., et al. (2024). Prediction of dust concentration in fully mecha</w:t>
      </w:r>
      <w:r>
        <w:rPr>
          <w:sz w:val="22"/>
          <w:szCs w:val="22"/>
        </w:rPr>
        <w:t>nized coal mining face based on LSTM-Attention model. Computers and Industrial Engineering, 179, 109360. https://doi.org/10.1016/j.cie.2023.109360</w:t>
      </w:r>
    </w:p>
    <w:p w:rsidR="00403BAD" w:rsidRDefault="00432ED7">
      <w:pPr>
        <w:spacing w:before="60" w:after="60"/>
        <w:ind w:left="360" w:hanging="360"/>
        <w:jc w:val="both"/>
      </w:pPr>
      <w:r>
        <w:rPr>
          <w:sz w:val="22"/>
          <w:szCs w:val="22"/>
        </w:rPr>
        <w:t xml:space="preserve">[14] Wang, Y., Shen, Y., Wu, H., et al. (2023). Monitoring and prediction of dust concentration in coal mine </w:t>
      </w:r>
      <w:r>
        <w:rPr>
          <w:sz w:val="22"/>
          <w:szCs w:val="22"/>
        </w:rPr>
        <w:t>heading face using improved LSTM neural network. Energies, 16(13), 5070. https://doi.org/10.3390/en16135070</w:t>
      </w:r>
    </w:p>
    <w:p w:rsidR="00403BAD" w:rsidRDefault="00432ED7">
      <w:pPr>
        <w:spacing w:before="60" w:after="60"/>
        <w:ind w:left="360" w:hanging="360"/>
        <w:jc w:val="both"/>
      </w:pPr>
      <w:r>
        <w:rPr>
          <w:sz w:val="22"/>
          <w:szCs w:val="22"/>
        </w:rPr>
        <w:t xml:space="preserve">[15] Zhang, Y., Zhao, Y., Gao, J., et al. (2023). Research on the application of intelligent dust monitoring and control system in coal mines. IEEE </w:t>
      </w:r>
      <w:r>
        <w:rPr>
          <w:sz w:val="22"/>
          <w:szCs w:val="22"/>
        </w:rPr>
        <w:t>Access, 11, 104687–104699. https://doi.org/10.1109/access.2023.3287946</w:t>
      </w:r>
    </w:p>
    <w:sectPr w:rsidR="00403BAD">
      <w:headerReference w:type="default" r:id="rId8"/>
      <w:footerReference w:type="default" r:id="rId9"/>
      <w:pgSz w:w="11906" w:h="16838"/>
      <w:pgMar w:top="1094" w:right="605" w:bottom="605" w:left="605" w:header="708" w:footer="70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2ED7" w:rsidRDefault="00432ED7">
      <w:r>
        <w:separator/>
      </w:r>
    </w:p>
  </w:endnote>
  <w:endnote w:type="continuationSeparator" w:id="0">
    <w:p w:rsidR="00432ED7" w:rsidRDefault="00432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BAD" w:rsidRDefault="00432ED7">
    <w:pPr>
      <w:jc w:val="center"/>
    </w:pPr>
    <w:r>
      <w:rPr>
        <w:sz w:val="18"/>
        <w:szCs w:val="18"/>
      </w:rPr>
      <w:t xml:space="preserve">Page </w:t>
    </w:r>
    <w:r>
      <w:rPr>
        <w:sz w:val="18"/>
        <w:szCs w:val="18"/>
      </w:rPr>
      <w:fldChar w:fldCharType="begin"/>
    </w:r>
    <w:r>
      <w:rPr>
        <w:sz w:val="18"/>
        <w:szCs w:val="18"/>
      </w:rPr>
      <w:instrText>PAGE</w:instrText>
    </w:r>
    <w:r w:rsidR="00EA425C">
      <w:rPr>
        <w:sz w:val="18"/>
        <w:szCs w:val="18"/>
      </w:rPr>
      <w:fldChar w:fldCharType="separate"/>
    </w:r>
    <w:r w:rsidR="00EA425C">
      <w:rPr>
        <w:noProof/>
        <w:sz w:val="18"/>
        <w:szCs w:val="18"/>
      </w:rPr>
      <w:t>1</w:t>
    </w:r>
    <w:r>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2ED7" w:rsidRDefault="00432ED7">
      <w:r>
        <w:separator/>
      </w:r>
    </w:p>
  </w:footnote>
  <w:footnote w:type="continuationSeparator" w:id="0">
    <w:p w:rsidR="00432ED7" w:rsidRDefault="00432E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BAD" w:rsidRDefault="00432ED7">
    <w:pPr>
      <w:jc w:val="center"/>
    </w:pPr>
    <w:r>
      <w:rPr>
        <w:i/>
        <w:iCs/>
        <w:sz w:val="18"/>
        <w:szCs w:val="18"/>
      </w:rPr>
      <w:t>International Journal of Research and Innovation in Applied Science (IJRIAS) | ISSN: 2454-6194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156836"/>
    <w:multiLevelType w:val="hybridMultilevel"/>
    <w:tmpl w:val="6488482E"/>
    <w:lvl w:ilvl="0" w:tplc="8116A864">
      <w:start w:val="1"/>
      <w:numFmt w:val="bullet"/>
      <w:lvlText w:val="●"/>
      <w:lvlJc w:val="left"/>
      <w:pPr>
        <w:ind w:left="720" w:hanging="360"/>
      </w:pPr>
    </w:lvl>
    <w:lvl w:ilvl="1" w:tplc="94F89A2E">
      <w:start w:val="1"/>
      <w:numFmt w:val="bullet"/>
      <w:lvlText w:val="○"/>
      <w:lvlJc w:val="left"/>
      <w:pPr>
        <w:ind w:left="1440" w:hanging="360"/>
      </w:pPr>
    </w:lvl>
    <w:lvl w:ilvl="2" w:tplc="6E8C482E">
      <w:start w:val="1"/>
      <w:numFmt w:val="bullet"/>
      <w:lvlText w:val="■"/>
      <w:lvlJc w:val="left"/>
      <w:pPr>
        <w:ind w:left="2160" w:hanging="360"/>
      </w:pPr>
    </w:lvl>
    <w:lvl w:ilvl="3" w:tplc="58FE85DA">
      <w:start w:val="1"/>
      <w:numFmt w:val="bullet"/>
      <w:lvlText w:val="●"/>
      <w:lvlJc w:val="left"/>
      <w:pPr>
        <w:ind w:left="2880" w:hanging="360"/>
      </w:pPr>
    </w:lvl>
    <w:lvl w:ilvl="4" w:tplc="946EB172">
      <w:start w:val="1"/>
      <w:numFmt w:val="bullet"/>
      <w:lvlText w:val="○"/>
      <w:lvlJc w:val="left"/>
      <w:pPr>
        <w:ind w:left="3600" w:hanging="360"/>
      </w:pPr>
    </w:lvl>
    <w:lvl w:ilvl="5" w:tplc="F2A2DD7C">
      <w:start w:val="1"/>
      <w:numFmt w:val="bullet"/>
      <w:lvlText w:val="■"/>
      <w:lvlJc w:val="left"/>
      <w:pPr>
        <w:ind w:left="4320" w:hanging="360"/>
      </w:pPr>
    </w:lvl>
    <w:lvl w:ilvl="6" w:tplc="849020DE">
      <w:start w:val="1"/>
      <w:numFmt w:val="bullet"/>
      <w:lvlText w:val="●"/>
      <w:lvlJc w:val="left"/>
      <w:pPr>
        <w:ind w:left="5040" w:hanging="360"/>
      </w:pPr>
    </w:lvl>
    <w:lvl w:ilvl="7" w:tplc="45147996">
      <w:start w:val="1"/>
      <w:numFmt w:val="bullet"/>
      <w:lvlText w:val="●"/>
      <w:lvlJc w:val="left"/>
      <w:pPr>
        <w:ind w:left="5760" w:hanging="360"/>
      </w:pPr>
    </w:lvl>
    <w:lvl w:ilvl="8" w:tplc="D6EA8200">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403BAD"/>
    <w:rsid w:val="00403BAD"/>
    <w:rsid w:val="00432ED7"/>
    <w:rsid w:val="00EA425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3512</Words>
  <Characters>20024</Characters>
  <Application>Microsoft Office Word</Application>
  <DocSecurity>0</DocSecurity>
  <Lines>166</Lines>
  <Paragraphs>46</Paragraphs>
  <ScaleCrop>false</ScaleCrop>
  <Company/>
  <LinksUpToDate>false</LinksUpToDate>
  <CharactersWithSpaces>23490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qwert</cp:lastModifiedBy>
  <cp:revision>2</cp:revision>
  <dcterms:created xsi:type="dcterms:W3CDTF">2026-05-20T07:54:00Z</dcterms:created>
  <dcterms:modified xsi:type="dcterms:W3CDTF">2026-05-21T08:57:00Z</dcterms:modified>
</cp:coreProperties>
</file>