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0BE" w:rsidRPr="003D44B2" w:rsidRDefault="001650BE" w:rsidP="001650BE">
      <w:pPr>
        <w:pStyle w:val="P68B1DB1-Normal1"/>
        <w:spacing w:line="360" w:lineRule="auto"/>
        <w:jc w:val="center"/>
        <w:rPr>
          <w:sz w:val="28"/>
          <w:lang w:val="en-US"/>
        </w:rPr>
      </w:pPr>
      <w:r w:rsidRPr="003D44B2">
        <w:rPr>
          <w:sz w:val="28"/>
          <w:lang w:val="en-US"/>
        </w:rPr>
        <w:t>Health Insurance in Algeria: Current Challenges and Future Directions Towards Universal Health Coverage</w:t>
      </w:r>
    </w:p>
    <w:p w:rsidR="001650BE" w:rsidRPr="006A766E" w:rsidRDefault="001650BE" w:rsidP="001650BE">
      <w:pPr>
        <w:pStyle w:val="P68B1DB1-Normal3"/>
        <w:spacing w:line="360" w:lineRule="auto"/>
        <w:rPr>
          <w:lang w:val="en-US"/>
        </w:rPr>
      </w:pPr>
      <w:bookmarkStart w:id="0" w:name="_GoBack"/>
      <w:bookmarkEnd w:id="0"/>
      <w:r w:rsidRPr="006A766E">
        <w:rPr>
          <w:lang w:val="en-US"/>
        </w:rPr>
        <w:t>Abstract</w:t>
      </w:r>
    </w:p>
    <w:p w:rsidR="00E17632" w:rsidRDefault="001650BE" w:rsidP="00E17632">
      <w:pPr>
        <w:pStyle w:val="P68B1DB1-Normal4"/>
        <w:spacing w:line="360" w:lineRule="auto"/>
        <w:jc w:val="both"/>
        <w:rPr>
          <w:lang w:val="en-US"/>
        </w:rPr>
      </w:pPr>
      <w:r w:rsidRPr="006A766E">
        <w:rPr>
          <w:lang w:val="en-US"/>
        </w:rPr>
        <w:t xml:space="preserve">Algeria faces major challenges in modernizing its health insurance system to achieve </w:t>
      </w:r>
      <w:r w:rsidR="000B0C61" w:rsidRPr="006A766E">
        <w:rPr>
          <w:lang w:val="en-US"/>
        </w:rPr>
        <w:t>Universal Health Coverage</w:t>
      </w:r>
      <w:r w:rsidRPr="006A766E">
        <w:rPr>
          <w:lang w:val="en-US"/>
        </w:rPr>
        <w:t xml:space="preserve"> (UHC). This research examines the prospects for the evolution of the Algerian health insurance system by analyzing the current structural, financial and organizational challenges, while proposing strategic orientations towards UHC. </w:t>
      </w:r>
      <w:r w:rsidRPr="003D44B2">
        <w:rPr>
          <w:lang w:val="en-US"/>
        </w:rPr>
        <w:t xml:space="preserve">This study reveals that despite recent progress, gaps persist in the coverage of vulnerable populations, coordination between agencies (CNAS, CASNOS) and financial sustainability </w:t>
      </w:r>
      <w:r w:rsidRPr="006A766E">
        <w:rPr>
          <w:lang w:val="en-US"/>
        </w:rPr>
        <w:t>The results show that a successful transition to UHC requires integrated structural reform, innovative financing, and accelerated digitization</w:t>
      </w:r>
      <w:r>
        <w:rPr>
          <w:lang w:val="en-US"/>
        </w:rPr>
        <w:t xml:space="preserve">. </w:t>
      </w:r>
      <w:r w:rsidR="00E17632" w:rsidRPr="00E17632">
        <w:rPr>
          <w:lang w:val="en-US"/>
        </w:rPr>
        <w:t>The research is a contribution to the academic knowledge on health systems in North Africa</w:t>
      </w:r>
      <w:r w:rsidR="00E17632">
        <w:rPr>
          <w:lang w:val="en-US"/>
        </w:rPr>
        <w:t xml:space="preserve"> specially Algeria</w:t>
      </w:r>
      <w:r w:rsidR="00E17632" w:rsidRPr="00E17632">
        <w:rPr>
          <w:lang w:val="en-US"/>
        </w:rPr>
        <w:t xml:space="preserve"> and provides a conceptual framework, which can be used in developing nations.</w:t>
      </w:r>
    </w:p>
    <w:p w:rsidR="00E17632" w:rsidRPr="00E17632" w:rsidRDefault="00E17632" w:rsidP="00E17632">
      <w:pPr>
        <w:pStyle w:val="P68B1DB1-Normal4"/>
        <w:spacing w:line="360" w:lineRule="auto"/>
        <w:jc w:val="both"/>
        <w:rPr>
          <w:lang w:val="en-US"/>
        </w:rPr>
      </w:pPr>
      <w:r w:rsidRPr="00E17632">
        <w:rPr>
          <w:lang w:val="en-US"/>
        </w:rPr>
        <w:t xml:space="preserve"> </w:t>
      </w:r>
      <w:r w:rsidRPr="00E17632">
        <w:rPr>
          <w:b/>
          <w:bCs/>
          <w:lang w:val="en-US"/>
        </w:rPr>
        <w:t>Keywords</w:t>
      </w:r>
      <w:r w:rsidRPr="00E17632">
        <w:rPr>
          <w:lang w:val="en-US"/>
        </w:rPr>
        <w:t>: health insurance, universal health coverage, Algeria, health policy, CNAS, CASNOS, health system reform.</w:t>
      </w:r>
    </w:p>
    <w:p w:rsidR="001650BE" w:rsidRPr="003D44B2" w:rsidRDefault="001650BE" w:rsidP="00640CF5">
      <w:pPr>
        <w:pStyle w:val="P68B1DB1-Normal4"/>
        <w:spacing w:line="360" w:lineRule="auto"/>
        <w:jc w:val="both"/>
        <w:rPr>
          <w:bCs/>
          <w:lang w:val="en-US"/>
        </w:rPr>
      </w:pPr>
      <w:r w:rsidRPr="006A766E">
        <w:rPr>
          <w:lang w:val="en-US"/>
        </w:rPr>
        <w:br/>
      </w:r>
      <w:r w:rsidRPr="003D44B2">
        <w:rPr>
          <w:b/>
          <w:bCs/>
          <w:lang w:val="en-US"/>
        </w:rPr>
        <w:t>1. Introduction</w:t>
      </w:r>
    </w:p>
    <w:p w:rsidR="00640CF5" w:rsidRPr="00640CF5" w:rsidRDefault="00640CF5" w:rsidP="00675ABE">
      <w:pPr>
        <w:pStyle w:val="P68B1DB1-Normal4"/>
        <w:spacing w:line="360" w:lineRule="auto"/>
        <w:jc w:val="both"/>
        <w:rPr>
          <w:lang w:val="en-US"/>
        </w:rPr>
      </w:pPr>
      <w:r w:rsidRPr="00640CF5">
        <w:rPr>
          <w:lang w:val="en-US"/>
        </w:rPr>
        <w:t xml:space="preserve">The fair access to health care is one of the primary human and societal development issues, which are central to the system of United Nations Sustainable Development Goals (SDGs). The concept of universal health coverage (UHC) proposed by the World Health Organization means the delivery of the necessary health care to everyone without putting them under the burden of financial limitations, and is the ultimate goal of the modern health policy development (WHO, 2019). In this international context, Algeria, a country that is categorized by the </w:t>
      </w:r>
      <w:r w:rsidR="00675ABE" w:rsidRPr="00640CF5">
        <w:rPr>
          <w:lang w:val="en-US"/>
        </w:rPr>
        <w:t>World Bank</w:t>
      </w:r>
      <w:r w:rsidRPr="00640CF5">
        <w:rPr>
          <w:lang w:val="en-US"/>
        </w:rPr>
        <w:t xml:space="preserve"> as an upper-middle-income country, occupies a particular niche in North Africa, with a changing health insurance framework.  </w:t>
      </w:r>
    </w:p>
    <w:p w:rsidR="00640CF5" w:rsidRPr="00640CF5" w:rsidRDefault="00640CF5" w:rsidP="00640CF5">
      <w:pPr>
        <w:pStyle w:val="P68B1DB1-Normal4"/>
        <w:spacing w:line="360" w:lineRule="auto"/>
        <w:rPr>
          <w:lang w:val="en-US"/>
        </w:rPr>
      </w:pPr>
    </w:p>
    <w:p w:rsidR="001650BE" w:rsidRPr="006A766E" w:rsidRDefault="00640CF5" w:rsidP="00640CF5">
      <w:pPr>
        <w:pStyle w:val="P68B1DB1-Normal4"/>
        <w:spacing w:line="360" w:lineRule="auto"/>
        <w:jc w:val="both"/>
        <w:rPr>
          <w:lang w:val="en-US"/>
        </w:rPr>
      </w:pPr>
      <w:r w:rsidRPr="00640CF5">
        <w:rPr>
          <w:lang w:val="en-US"/>
        </w:rPr>
        <w:t>The Algerian health insurance system is a remnant of the post-independence reforms and is at present structured around two main organizations, the National Social Insurance Fund of Salaried Workers (CNAS) and the National Social Security Fund of Non-Salaried Workers (CASNOS).</w:t>
      </w:r>
      <w:r w:rsidR="001650BE" w:rsidRPr="006A766E">
        <w:rPr>
          <w:lang w:val="en-US"/>
        </w:rPr>
        <w:t xml:space="preserve"> This dual architecture, which theoretically covers more than 87.4% of the population according to, however masks significant disparities in access to care and the quality of coverage</w:t>
      </w:r>
      <w:r w:rsidR="001650BE">
        <w:rPr>
          <w:lang w:val="en-US"/>
        </w:rPr>
        <w:t xml:space="preserve"> </w:t>
      </w:r>
      <w:sdt>
        <w:sdtPr>
          <w:rPr>
            <w:lang w:val="en-US"/>
          </w:rPr>
          <w:id w:val="-1142263140"/>
          <w:citation/>
        </w:sdtPr>
        <w:sdtEndPr/>
        <w:sdtContent>
          <w:r w:rsidR="001650BE">
            <w:rPr>
              <w:lang w:val="en-US"/>
            </w:rPr>
            <w:fldChar w:fldCharType="begin"/>
          </w:r>
          <w:r w:rsidR="001650BE" w:rsidRPr="003D44B2">
            <w:rPr>
              <w:lang w:val="en-US"/>
            </w:rPr>
            <w:instrText xml:space="preserve"> CITATION Mme20 \l 1036 </w:instrText>
          </w:r>
          <w:r w:rsidR="001650BE">
            <w:rPr>
              <w:lang w:val="en-US"/>
            </w:rPr>
            <w:fldChar w:fldCharType="separate"/>
          </w:r>
          <w:r w:rsidR="001650BE" w:rsidRPr="00697916">
            <w:rPr>
              <w:noProof/>
              <w:lang w:val="en-US"/>
            </w:rPr>
            <w:t xml:space="preserve">(MENDIL,D, </w:t>
          </w:r>
          <w:r w:rsidR="001650BE" w:rsidRPr="00697916">
            <w:rPr>
              <w:noProof/>
              <w:lang w:val="en-US"/>
            </w:rPr>
            <w:lastRenderedPageBreak/>
            <w:t>2020)</w:t>
          </w:r>
          <w:r w:rsidR="001650BE">
            <w:rPr>
              <w:lang w:val="en-US"/>
            </w:rPr>
            <w:fldChar w:fldCharType="end"/>
          </w:r>
        </w:sdtContent>
      </w:sdt>
      <w:r w:rsidR="001650BE" w:rsidRPr="006A766E">
        <w:rPr>
          <w:lang w:val="en-US"/>
        </w:rPr>
        <w:t xml:space="preserve">. The challenges are multiple: institutional fragmentation, geographical inequalities, financial sustainability in a context of demographic and epidemiological transition, and insufficient coordination between the different actors of the system. </w:t>
      </w:r>
    </w:p>
    <w:p w:rsidR="001650BE" w:rsidRPr="006A766E" w:rsidRDefault="001650BE" w:rsidP="001E3B52">
      <w:pPr>
        <w:pStyle w:val="P68B1DB1-Normal4"/>
        <w:spacing w:line="360" w:lineRule="auto"/>
        <w:jc w:val="both"/>
        <w:rPr>
          <w:lang w:val="en-US"/>
        </w:rPr>
      </w:pPr>
      <w:r w:rsidRPr="006A766E">
        <w:rPr>
          <w:lang w:val="en-US"/>
        </w:rPr>
        <w:t>The issue of this research is part of the specific context of the transformations that Algeria has been experiencing since 2019, marked by renewed citizen aspirations and a declared political will to modernize public institutions. The Plan 2020-2024 places health</w:t>
      </w:r>
      <w:r w:rsidR="001E3B52">
        <w:rPr>
          <w:lang w:val="en-US"/>
        </w:rPr>
        <w:t xml:space="preserve"> by </w:t>
      </w:r>
      <w:r w:rsidR="001E3B52" w:rsidRPr="006A766E">
        <w:rPr>
          <w:lang w:val="en-US"/>
        </w:rPr>
        <w:t xml:space="preserve">National Economic Development </w:t>
      </w:r>
      <w:sdt>
        <w:sdtPr>
          <w:rPr>
            <w:szCs w:val="24"/>
          </w:rPr>
          <w:id w:val="-1428887280"/>
          <w:citation/>
        </w:sdtPr>
        <w:sdtEndPr/>
        <w:sdtContent>
          <w:r>
            <w:fldChar w:fldCharType="begin"/>
          </w:r>
          <w:r w:rsidRPr="006A766E">
            <w:rPr>
              <w:lang w:val="en-US"/>
            </w:rPr>
            <w:instrText xml:space="preserve">CITATION Ser21 \l 1036 </w:instrText>
          </w:r>
          <w:r>
            <w:fldChar w:fldCharType="separate"/>
          </w:r>
          <w:r w:rsidRPr="003D44B2">
            <w:rPr>
              <w:noProof/>
              <w:lang w:val="en-US"/>
            </w:rPr>
            <w:t xml:space="preserve"> (Ministres, 2021)</w:t>
          </w:r>
          <w:r>
            <w:fldChar w:fldCharType="end"/>
          </w:r>
        </w:sdtContent>
      </w:sdt>
      <w:r w:rsidRPr="006A766E">
        <w:rPr>
          <w:lang w:val="en-US"/>
        </w:rPr>
        <w:t xml:space="preserve"> among national priorities, with an explicit goal of improving health coverage. At the same time, budget constraints related to the volatility of energy revenues and the lessons of the COVID-19 pandemic have revealed the structural vulnerabilities of the Algerian health system</w:t>
      </w:r>
      <w:sdt>
        <w:sdtPr>
          <w:rPr>
            <w:szCs w:val="24"/>
          </w:rPr>
          <w:id w:val="-556001579"/>
          <w:citation/>
        </w:sdtPr>
        <w:sdtEndPr/>
        <w:sdtContent>
          <w:r>
            <w:fldChar w:fldCharType="begin"/>
          </w:r>
          <w:r w:rsidRPr="006A766E">
            <w:rPr>
              <w:lang w:val="en-US"/>
            </w:rPr>
            <w:instrText xml:space="preserve">CITATION Ser21 \l 1036 </w:instrText>
          </w:r>
          <w:r>
            <w:fldChar w:fldCharType="separate"/>
          </w:r>
          <w:r w:rsidRPr="003D44B2">
            <w:rPr>
              <w:noProof/>
              <w:lang w:val="en-US"/>
            </w:rPr>
            <w:t xml:space="preserve"> (Ministres, 2021)</w:t>
          </w:r>
          <w:r>
            <w:fldChar w:fldCharType="end"/>
          </w:r>
        </w:sdtContent>
      </w:sdt>
      <w:r w:rsidRPr="006A766E">
        <w:rPr>
          <w:lang w:val="en-US"/>
        </w:rPr>
        <w:t>.</w:t>
      </w:r>
    </w:p>
    <w:p w:rsidR="00064BBE" w:rsidRDefault="00620E64" w:rsidP="00064BBE">
      <w:pPr>
        <w:pStyle w:val="P68B1DB1-Normal4"/>
        <w:spacing w:line="360" w:lineRule="auto"/>
        <w:jc w:val="both"/>
        <w:rPr>
          <w:lang w:val="en-US"/>
        </w:rPr>
      </w:pPr>
      <w:r w:rsidRPr="00620E64">
        <w:rPr>
          <w:lang w:val="en-US"/>
        </w:rPr>
        <w:t xml:space="preserve">This </w:t>
      </w:r>
      <w:r>
        <w:rPr>
          <w:lang w:val="en-US"/>
        </w:rPr>
        <w:t>paper search</w:t>
      </w:r>
      <w:r w:rsidRPr="00620E64">
        <w:rPr>
          <w:lang w:val="en-US"/>
        </w:rPr>
        <w:t xml:space="preserve"> seeks to address an understudied area within the academic discussion of North African health insurance models.</w:t>
      </w:r>
      <w:r w:rsidRPr="006A766E">
        <w:rPr>
          <w:lang w:val="en-US"/>
        </w:rPr>
        <w:t xml:space="preserve"> Although</w:t>
      </w:r>
      <w:r w:rsidR="001650BE" w:rsidRPr="006A766E">
        <w:rPr>
          <w:lang w:val="en-US"/>
        </w:rPr>
        <w:t xml:space="preserve"> several studies have analyzed Maghrebian health systems</w:t>
      </w:r>
      <w:sdt>
        <w:sdtPr>
          <w:rPr>
            <w:szCs w:val="24"/>
          </w:rPr>
          <w:id w:val="171767249"/>
          <w:citation/>
        </w:sdtPr>
        <w:sdtEndPr/>
        <w:sdtContent>
          <w:r w:rsidR="001650BE">
            <w:fldChar w:fldCharType="begin"/>
          </w:r>
          <w:r w:rsidR="001650BE" w:rsidRPr="006A766E">
            <w:rPr>
              <w:lang w:val="en-US"/>
            </w:rPr>
            <w:instrText xml:space="preserve"> CITATION Espace_réservé4 \l 1036 </w:instrText>
          </w:r>
          <w:r w:rsidR="001650BE">
            <w:fldChar w:fldCharType="separate"/>
          </w:r>
          <w:r w:rsidR="001650BE">
            <w:rPr>
              <w:noProof/>
              <w:lang w:val="en-US"/>
            </w:rPr>
            <w:t xml:space="preserve"> </w:t>
          </w:r>
          <w:r w:rsidR="001650BE" w:rsidRPr="00697916">
            <w:rPr>
              <w:noProof/>
              <w:lang w:val="en-US"/>
            </w:rPr>
            <w:t>(Brahamia,B, 2010a)</w:t>
          </w:r>
          <w:r w:rsidR="001650BE">
            <w:fldChar w:fldCharType="end"/>
          </w:r>
        </w:sdtContent>
      </w:sdt>
      <w:r w:rsidR="001650BE" w:rsidRPr="006A766E">
        <w:rPr>
          <w:lang w:val="en-US"/>
        </w:rPr>
        <w:t xml:space="preserve">, few studies have specifically examined the prospects of evolution towards UHC in Algeria through a prospective approach integrating the political, economic and social dimensions. </w:t>
      </w:r>
      <w:r w:rsidR="00064BBE" w:rsidRPr="00064BBE">
        <w:rPr>
          <w:lang w:val="en-US"/>
        </w:rPr>
        <w:t xml:space="preserve">The novelty of the research lies in the fact that the study has a mixed-methodology, combining quantitative research on the indicators of system performance with qualitative research, including the study of the main stakeholders, and, thus, it allows one to comprehend the complex issues. </w:t>
      </w:r>
    </w:p>
    <w:p w:rsidR="00064BBE" w:rsidRPr="00064BBE" w:rsidRDefault="00064BBE" w:rsidP="00064BBE">
      <w:pPr>
        <w:pStyle w:val="P68B1DB1-Normal4"/>
        <w:spacing w:line="360" w:lineRule="auto"/>
        <w:jc w:val="both"/>
        <w:rPr>
          <w:lang w:val="en-US"/>
        </w:rPr>
      </w:pPr>
      <w:r w:rsidRPr="00064BBE">
        <w:rPr>
          <w:lang w:val="en-US"/>
        </w:rPr>
        <w:t>The goals of this research are initially to develop a proper and up to date diagnostic analysis of the Algerian health insurance system, the strengths, weaknesses, and structural problems.</w:t>
      </w:r>
    </w:p>
    <w:p w:rsidR="001650BE" w:rsidRPr="006A766E" w:rsidRDefault="001650BE" w:rsidP="00064BBE">
      <w:pPr>
        <w:pStyle w:val="P68B1DB1-Normal4"/>
        <w:spacing w:line="360" w:lineRule="auto"/>
        <w:jc w:val="both"/>
        <w:rPr>
          <w:lang w:val="en-US"/>
        </w:rPr>
      </w:pPr>
      <w:r w:rsidRPr="006A766E">
        <w:rPr>
          <w:lang w:val="en-US"/>
        </w:rPr>
        <w:t xml:space="preserve">Second, analyze the prospects for moving towards universal health coverage based on an international comparison with two countries that have successfully transitioned Morocco and Tunisia. Third, formulate operational strategic recommendations to guide public decision-makers in designing and implementing UHC-oriented reforms. </w:t>
      </w:r>
    </w:p>
    <w:p w:rsidR="001650BE" w:rsidRDefault="001650BE" w:rsidP="001650BE">
      <w:pPr>
        <w:pStyle w:val="P68B1DB1-Normal4"/>
        <w:spacing w:line="360" w:lineRule="auto"/>
        <w:jc w:val="both"/>
        <w:rPr>
          <w:lang w:val="en-US"/>
        </w:rPr>
      </w:pPr>
      <w:r w:rsidRPr="006A766E">
        <w:rPr>
          <w:lang w:val="en-US"/>
        </w:rPr>
        <w:t xml:space="preserve">This contribution aimed at the international academic community working on health policies in developing countries, international organizations supporting health system reforms, as well as Algerian and regional public decision-makers. Beyond the Algerian case, the lessons of this research can inform debates on the reform trajectories of health insurance systems in middle-income countries in Africa and the Middle East. </w:t>
      </w:r>
    </w:p>
    <w:p w:rsidR="001E3B52" w:rsidRDefault="001E3B52" w:rsidP="001650BE">
      <w:pPr>
        <w:pStyle w:val="P68B1DB1-Normal4"/>
        <w:spacing w:line="360" w:lineRule="auto"/>
        <w:jc w:val="both"/>
        <w:rPr>
          <w:lang w:val="en-US"/>
        </w:rPr>
      </w:pPr>
    </w:p>
    <w:p w:rsidR="001650BE" w:rsidRPr="006A766E" w:rsidRDefault="001650BE" w:rsidP="001650BE">
      <w:pPr>
        <w:pStyle w:val="P68B1DB1-Normal3"/>
        <w:spacing w:line="360" w:lineRule="auto"/>
        <w:jc w:val="both"/>
        <w:rPr>
          <w:lang w:val="en-US"/>
        </w:rPr>
      </w:pPr>
      <w:r w:rsidRPr="006A766E">
        <w:rPr>
          <w:lang w:val="en-US"/>
        </w:rPr>
        <w:t>2.1. Conceptual framework for universal health coverage</w:t>
      </w:r>
    </w:p>
    <w:p w:rsidR="001650BE" w:rsidRPr="006A766E" w:rsidRDefault="001650BE" w:rsidP="001650BE">
      <w:pPr>
        <w:pStyle w:val="P68B1DB1-Normal4"/>
        <w:spacing w:line="360" w:lineRule="auto"/>
        <w:jc w:val="both"/>
        <w:rPr>
          <w:lang w:val="en-US"/>
        </w:rPr>
      </w:pPr>
      <w:r w:rsidRPr="006A766E">
        <w:rPr>
          <w:lang w:val="en-US"/>
        </w:rPr>
        <w:lastRenderedPageBreak/>
        <w:t>Universal health coverage is a central paradigm of contemporary health policies, conceptualized by who around three interrelated dimensions: the extent of the population covered, the range of services included, and the level of financial protection offered</w:t>
      </w:r>
      <w:sdt>
        <w:sdtPr>
          <w:rPr>
            <w:szCs w:val="24"/>
          </w:rPr>
          <w:id w:val="-1573880638"/>
          <w:citation/>
        </w:sdtPr>
        <w:sdtEndPr/>
        <w:sdtContent>
          <w:r>
            <w:fldChar w:fldCharType="begin"/>
          </w:r>
          <w:r w:rsidRPr="006A766E">
            <w:rPr>
              <w:lang w:val="en-US"/>
            </w:rPr>
            <w:instrText xml:space="preserve"> CITATION Kut13 \l 1036 </w:instrText>
          </w:r>
          <w:r>
            <w:fldChar w:fldCharType="separate"/>
          </w:r>
          <w:r>
            <w:rPr>
              <w:noProof/>
              <w:lang w:val="en-US"/>
            </w:rPr>
            <w:t xml:space="preserve"> </w:t>
          </w:r>
          <w:r w:rsidRPr="00697916">
            <w:rPr>
              <w:noProof/>
              <w:lang w:val="en-US"/>
            </w:rPr>
            <w:t>(Kutzin, 2013)</w:t>
          </w:r>
          <w:r>
            <w:fldChar w:fldCharType="end"/>
          </w:r>
        </w:sdtContent>
      </w:sdt>
      <w:r w:rsidRPr="006A766E">
        <w:rPr>
          <w:lang w:val="en-US"/>
        </w:rPr>
        <w:t xml:space="preserve">.This three-dimensional approach, formalized in the "UHC cube", makes it possible to assess the progress of health systems towards universality while identifying populations and services left behind. </w:t>
      </w:r>
    </w:p>
    <w:p w:rsidR="001650BE" w:rsidRPr="006A766E" w:rsidRDefault="001650BE" w:rsidP="00CB7C20">
      <w:pPr>
        <w:pStyle w:val="P68B1DB1-Normal4"/>
        <w:spacing w:line="360" w:lineRule="auto"/>
        <w:jc w:val="both"/>
        <w:rPr>
          <w:lang w:val="en-US"/>
        </w:rPr>
      </w:pPr>
      <w:r w:rsidRPr="006A766E">
        <w:rPr>
          <w:lang w:val="en-US"/>
        </w:rPr>
        <w:t xml:space="preserve">CSU's work  </w:t>
      </w:r>
      <w:sdt>
        <w:sdtPr>
          <w:rPr>
            <w:szCs w:val="24"/>
          </w:rPr>
          <w:id w:val="-1542049942"/>
          <w:citation/>
        </w:sdtPr>
        <w:sdtEndPr/>
        <w:sdtContent>
          <w:r>
            <w:fldChar w:fldCharType="begin"/>
          </w:r>
          <w:r w:rsidRPr="006A766E">
            <w:rPr>
              <w:lang w:val="en-US"/>
            </w:rPr>
            <w:instrText xml:space="preserve"> CITATION Rei16 \l 1036 </w:instrText>
          </w:r>
          <w:r>
            <w:fldChar w:fldCharType="separate"/>
          </w:r>
          <w:r w:rsidRPr="00697916">
            <w:rPr>
              <w:noProof/>
              <w:lang w:val="en-US"/>
            </w:rPr>
            <w:t>(Reich, M. R, et al., 2016)</w:t>
          </w:r>
          <w:r>
            <w:fldChar w:fldCharType="end"/>
          </w:r>
        </w:sdtContent>
      </w:sdt>
      <w:r w:rsidRPr="006A766E">
        <w:rPr>
          <w:lang w:val="en-US"/>
        </w:rPr>
        <w:t xml:space="preserve"> on political economies highlights the importance of political and institutional factors in reform trajectories. </w:t>
      </w:r>
      <w:r w:rsidR="00CB7C20" w:rsidRPr="00CB7C20">
        <w:rPr>
          <w:lang w:val="en-US"/>
        </w:rPr>
        <w:t>Their comparative analysis on twenty four</w:t>
      </w:r>
      <w:r w:rsidR="00CB7C20">
        <w:rPr>
          <w:lang w:val="en-US"/>
        </w:rPr>
        <w:t xml:space="preserve"> (24)</w:t>
      </w:r>
      <w:r w:rsidR="00CB7C20" w:rsidRPr="00CB7C20">
        <w:rPr>
          <w:lang w:val="en-US"/>
        </w:rPr>
        <w:t xml:space="preserve"> countries illustrates that effective transitions to universal health coverage depends on three pillars that include strong political leadership, alliance of actors to support the change, and institutions that are prepared to manoeuvre through the complexity of the reforms. This analytical model is especially relevant to explain the workings present in Algeria.</w:t>
      </w:r>
    </w:p>
    <w:p w:rsidR="001650BE" w:rsidRPr="006A766E" w:rsidRDefault="001650BE" w:rsidP="001650BE">
      <w:pPr>
        <w:pStyle w:val="P68B1DB1-Normal4"/>
        <w:spacing w:line="360" w:lineRule="auto"/>
        <w:jc w:val="both"/>
        <w:rPr>
          <w:lang w:val="en-US"/>
        </w:rPr>
      </w:pPr>
      <w:r w:rsidRPr="006A766E">
        <w:rPr>
          <w:lang w:val="en-US"/>
        </w:rPr>
        <w:t>Propose a typology of UHC models based on funding and service organization mechanisms. They distinguish four archetypes: the Beveridgian model (tax financing, public provision)</w:t>
      </w:r>
      <w:sdt>
        <w:sdtPr>
          <w:rPr>
            <w:lang w:val="en-US"/>
          </w:rPr>
          <w:id w:val="-1318255448"/>
          <w:citation/>
        </w:sdtPr>
        <w:sdtEndPr/>
        <w:sdtContent>
          <w:r>
            <w:rPr>
              <w:lang w:val="en-US"/>
            </w:rPr>
            <w:fldChar w:fldCharType="begin"/>
          </w:r>
          <w:r w:rsidRPr="003D44B2">
            <w:rPr>
              <w:lang w:val="en-US"/>
            </w:rPr>
            <w:instrText xml:space="preserve"> CITATION Sav12 \l 1036 </w:instrText>
          </w:r>
          <w:r>
            <w:rPr>
              <w:lang w:val="en-US"/>
            </w:rPr>
            <w:fldChar w:fldCharType="separate"/>
          </w:r>
          <w:r>
            <w:rPr>
              <w:noProof/>
              <w:lang w:val="en-US"/>
            </w:rPr>
            <w:t xml:space="preserve"> </w:t>
          </w:r>
          <w:r w:rsidRPr="00697916">
            <w:rPr>
              <w:noProof/>
              <w:lang w:val="en-US"/>
            </w:rPr>
            <w:t>(Savedoff, W. D, de Ferranti, D, Smith, A. L, &amp; Fan,V, 2012)</w:t>
          </w:r>
          <w:r>
            <w:rPr>
              <w:lang w:val="en-US"/>
            </w:rPr>
            <w:fldChar w:fldCharType="end"/>
          </w:r>
        </w:sdtContent>
      </w:sdt>
      <w:r w:rsidRPr="006A766E">
        <w:rPr>
          <w:lang w:val="en-US"/>
        </w:rPr>
        <w:t xml:space="preserve">, the Bismarckian model (social insurance, mixed provision), the hybrid model (mixed financing, public regulation), and the regulated market model (dominant private financing, strong public regulation). This classification makes it possible to situate the Algerian system in an international comparative perspective. </w:t>
      </w:r>
    </w:p>
    <w:p w:rsidR="001650BE" w:rsidRPr="006A766E" w:rsidRDefault="001650BE" w:rsidP="001650BE">
      <w:pPr>
        <w:pStyle w:val="P68B1DB1-Normal3"/>
        <w:spacing w:line="360" w:lineRule="auto"/>
        <w:jc w:val="both"/>
        <w:rPr>
          <w:lang w:val="en-US"/>
        </w:rPr>
      </w:pPr>
      <w:r w:rsidRPr="006A766E">
        <w:rPr>
          <w:lang w:val="en-US"/>
        </w:rPr>
        <w:t>2.2. International experiences in transitioning to UHC</w:t>
      </w:r>
    </w:p>
    <w:p w:rsidR="001650BE" w:rsidRPr="006A766E" w:rsidRDefault="001650BE" w:rsidP="001650BE">
      <w:pPr>
        <w:pStyle w:val="P68B1DB1-Normal4"/>
        <w:spacing w:line="360" w:lineRule="auto"/>
        <w:jc w:val="both"/>
        <w:rPr>
          <w:lang w:val="en-US"/>
        </w:rPr>
      </w:pPr>
      <w:r w:rsidRPr="006A766E">
        <w:rPr>
          <w:lang w:val="en-US"/>
        </w:rPr>
        <w:t>The analysis of international experiences reveals the diversity of national trajectories towards UHC. The case of Morocco, studied by</w:t>
      </w:r>
      <w:sdt>
        <w:sdtPr>
          <w:rPr>
            <w:szCs w:val="24"/>
          </w:rPr>
          <w:id w:val="487530154"/>
          <w:citation/>
        </w:sdtPr>
        <w:sdtEndPr/>
        <w:sdtContent>
          <w:r>
            <w:fldChar w:fldCharType="begin"/>
          </w:r>
          <w:r w:rsidRPr="006A766E">
            <w:rPr>
              <w:lang w:val="en-US"/>
            </w:rPr>
            <w:instrText xml:space="preserve"> CITATION Hei20 \l 1036 </w:instrText>
          </w:r>
          <w:r>
            <w:fldChar w:fldCharType="separate"/>
          </w:r>
          <w:r>
            <w:rPr>
              <w:noProof/>
              <w:lang w:val="en-US"/>
            </w:rPr>
            <w:t xml:space="preserve"> </w:t>
          </w:r>
          <w:r w:rsidRPr="00697916">
            <w:rPr>
              <w:noProof/>
              <w:lang w:val="en-US"/>
            </w:rPr>
            <w:t>(Heikel, 2020)</w:t>
          </w:r>
          <w:r>
            <w:fldChar w:fldCharType="end"/>
          </w:r>
        </w:sdtContent>
      </w:sdt>
      <w:r w:rsidRPr="006A766E">
        <w:rPr>
          <w:lang w:val="en-US"/>
        </w:rPr>
        <w:t>,</w:t>
      </w:r>
      <w:r>
        <w:rPr>
          <w:lang w:val="en-US"/>
        </w:rPr>
        <w:t xml:space="preserve"> </w:t>
      </w:r>
      <w:r w:rsidRPr="006A766E">
        <w:rPr>
          <w:lang w:val="en-US"/>
        </w:rPr>
        <w:t>illustrates a gradual transition through the extension of Compulsory Health Insurance (AMO) and the creation of the Medical Assistance Scheme (RAMED). Their assessment shows significant progress in formal coverage (from 34% in 2005 to 68% in 2022)</w:t>
      </w:r>
      <w:sdt>
        <w:sdtPr>
          <w:rPr>
            <w:szCs w:val="24"/>
          </w:rPr>
          <w:id w:val="-1118674210"/>
          <w:citation/>
        </w:sdtPr>
        <w:sdtEndPr/>
        <w:sdtContent>
          <w:r>
            <w:fldChar w:fldCharType="begin"/>
          </w:r>
          <w:r>
            <w:rPr>
              <w:lang w:val="en-US"/>
            </w:rPr>
            <w:instrText xml:space="preserve">CITATION BEL24 \l 1036 </w:instrText>
          </w:r>
          <w:r>
            <w:fldChar w:fldCharType="separate"/>
          </w:r>
          <w:r w:rsidRPr="003D44B2">
            <w:rPr>
              <w:noProof/>
              <w:lang w:val="en-US"/>
            </w:rPr>
            <w:t xml:space="preserve"> (Belyagou,Y &amp; Benabdallah,H, 2024)</w:t>
          </w:r>
          <w:r>
            <w:fldChar w:fldCharType="end"/>
          </w:r>
        </w:sdtContent>
      </w:sdt>
      <w:r w:rsidRPr="006A766E">
        <w:rPr>
          <w:lang w:val="en-US"/>
        </w:rPr>
        <w:t xml:space="preserve">, but reveals persistent challenges in effective access to care, particularly in rural areas. </w:t>
      </w:r>
    </w:p>
    <w:p w:rsidR="001650BE" w:rsidRDefault="001650BE" w:rsidP="001650BE">
      <w:pPr>
        <w:pStyle w:val="P68B1DB1-Normal4"/>
        <w:spacing w:line="360" w:lineRule="auto"/>
        <w:jc w:val="both"/>
        <w:rPr>
          <w:lang w:val="en-US"/>
        </w:rPr>
      </w:pPr>
      <w:r w:rsidRPr="006A766E">
        <w:rPr>
          <w:lang w:val="en-US"/>
        </w:rPr>
        <w:t xml:space="preserve">Tunisia presents a different model, analyzed by </w:t>
      </w:r>
      <w:sdt>
        <w:sdtPr>
          <w:rPr>
            <w:szCs w:val="24"/>
          </w:rPr>
          <w:id w:val="1809431548"/>
          <w:citation/>
        </w:sdtPr>
        <w:sdtEndPr/>
        <w:sdtContent>
          <w:r>
            <w:fldChar w:fldCharType="begin"/>
          </w:r>
          <w:r w:rsidRPr="006A766E">
            <w:rPr>
              <w:lang w:val="en-US"/>
            </w:rPr>
            <w:instrText xml:space="preserve"> CITATION Mec22 \l 1036 </w:instrText>
          </w:r>
          <w:r>
            <w:fldChar w:fldCharType="separate"/>
          </w:r>
          <w:r w:rsidRPr="00697916">
            <w:rPr>
              <w:noProof/>
              <w:lang w:val="en-US"/>
            </w:rPr>
            <w:t>(Mechergui,N, et al., 2022)</w:t>
          </w:r>
          <w:r>
            <w:fldChar w:fldCharType="end"/>
          </w:r>
        </w:sdtContent>
      </w:sdt>
      <w:r w:rsidRPr="006A766E">
        <w:rPr>
          <w:lang w:val="en-US"/>
        </w:rPr>
        <w:t xml:space="preserve"> with a dual system linking the National Health Insurance Fund (CNAM) for employees and free medical assistance for the poor. The authors highlight the remarkable performance of the Tunisian system in terms of health indicators, but point to the challenges of financial sustainability exacerbated by the demographic transition. </w:t>
      </w:r>
    </w:p>
    <w:p w:rsidR="001E3B52" w:rsidRDefault="001E3B52" w:rsidP="001650BE">
      <w:pPr>
        <w:pStyle w:val="P68B1DB1-Normal4"/>
        <w:spacing w:line="360" w:lineRule="auto"/>
        <w:jc w:val="both"/>
        <w:rPr>
          <w:lang w:val="en-US"/>
        </w:rPr>
      </w:pPr>
    </w:p>
    <w:p w:rsidR="001E3B52" w:rsidRDefault="001E3B52" w:rsidP="001650BE">
      <w:pPr>
        <w:pStyle w:val="P68B1DB1-Normal4"/>
        <w:spacing w:line="360" w:lineRule="auto"/>
        <w:jc w:val="both"/>
        <w:rPr>
          <w:lang w:val="en-US"/>
        </w:rPr>
      </w:pPr>
    </w:p>
    <w:p w:rsidR="001650BE" w:rsidRPr="006A766E" w:rsidRDefault="001650BE" w:rsidP="001650BE">
      <w:pPr>
        <w:pStyle w:val="P68B1DB1-Normal3"/>
        <w:spacing w:line="360" w:lineRule="auto"/>
        <w:jc w:val="both"/>
        <w:rPr>
          <w:lang w:val="en-US"/>
        </w:rPr>
      </w:pPr>
      <w:r w:rsidRPr="006A766E">
        <w:rPr>
          <w:lang w:val="en-US"/>
        </w:rPr>
        <w:lastRenderedPageBreak/>
        <w:t>2.3. Algerian health insurance system: state of knowledge</w:t>
      </w:r>
    </w:p>
    <w:p w:rsidR="001650BE" w:rsidRPr="006A766E" w:rsidRDefault="001650BE" w:rsidP="001650BE">
      <w:pPr>
        <w:pStyle w:val="P68B1DB1-Normal4"/>
        <w:spacing w:line="360" w:lineRule="auto"/>
        <w:jc w:val="both"/>
        <w:rPr>
          <w:lang w:val="en-US"/>
        </w:rPr>
      </w:pPr>
      <w:r w:rsidRPr="006A766E">
        <w:rPr>
          <w:lang w:val="en-US"/>
        </w:rPr>
        <w:t>Research on the Algerian health system remains relatively limited in the international literature, despite some significant contributions Offers a historical analysis of the evolution of the system since independence</w:t>
      </w:r>
      <w:r>
        <w:rPr>
          <w:lang w:val="en-US"/>
        </w:rPr>
        <w:t xml:space="preserve"> </w:t>
      </w:r>
      <w:sdt>
        <w:sdtPr>
          <w:rPr>
            <w:lang w:val="en-US"/>
          </w:rPr>
          <w:id w:val="-800764217"/>
          <w:citation/>
        </w:sdtPr>
        <w:sdtEndPr/>
        <w:sdtContent>
          <w:r>
            <w:rPr>
              <w:lang w:val="en-US"/>
            </w:rPr>
            <w:fldChar w:fldCharType="begin"/>
          </w:r>
          <w:r w:rsidRPr="003D44B2">
            <w:rPr>
              <w:lang w:val="en-US"/>
            </w:rPr>
            <w:instrText xml:space="preserve"> CITATION Lam14 \l 1036 </w:instrText>
          </w:r>
          <w:r>
            <w:rPr>
              <w:lang w:val="en-US"/>
            </w:rPr>
            <w:fldChar w:fldCharType="separate"/>
          </w:r>
          <w:r w:rsidRPr="00697916">
            <w:rPr>
              <w:noProof/>
              <w:lang w:val="en-US"/>
            </w:rPr>
            <w:t>(Lamri, 2014)</w:t>
          </w:r>
          <w:r>
            <w:rPr>
              <w:lang w:val="en-US"/>
            </w:rPr>
            <w:fldChar w:fldCharType="end"/>
          </w:r>
        </w:sdtContent>
      </w:sdt>
      <w:r w:rsidRPr="006A766E">
        <w:rPr>
          <w:lang w:val="en-US"/>
        </w:rPr>
        <w:t xml:space="preserve">, identifying three phases: the socialist period (1962-1989) characterized by an integrated Beveridgian system, the transition period (1990-2005) marked by the separation between funding and benefit, and the contemporary period (since 2005) of orientation towards social insurance. </w:t>
      </w:r>
    </w:p>
    <w:p w:rsidR="001650BE" w:rsidRPr="006A766E" w:rsidRDefault="001650BE" w:rsidP="00334C91">
      <w:pPr>
        <w:pStyle w:val="P68B1DB1-Normal4"/>
        <w:spacing w:line="360" w:lineRule="auto"/>
        <w:jc w:val="both"/>
        <w:rPr>
          <w:lang w:val="en-US"/>
        </w:rPr>
      </w:pPr>
      <w:r w:rsidRPr="006A766E">
        <w:rPr>
          <w:lang w:val="en-US"/>
        </w:rPr>
        <w:t>Proposes a regional comparative approach, examining the health insurance systems of the Maghreb. Their positional analysis places Algeria in an intermediate situation, with performances superior to the Libyan system but inferior to the Moroccan and Tunisian models in terms of efficiency and equity</w:t>
      </w:r>
      <w:r w:rsidR="00334C91">
        <w:rPr>
          <w:noProof/>
          <w:lang w:val="en-US"/>
        </w:rPr>
        <w:t xml:space="preserve"> </w:t>
      </w:r>
      <w:r w:rsidR="00334C91" w:rsidRPr="00697916">
        <w:rPr>
          <w:noProof/>
          <w:lang w:val="en-US"/>
        </w:rPr>
        <w:t>(Ziani,L, 2020)</w:t>
      </w:r>
      <w:r w:rsidRPr="006A766E">
        <w:rPr>
          <w:lang w:val="en-US"/>
        </w:rPr>
        <w:t xml:space="preserve">. </w:t>
      </w:r>
    </w:p>
    <w:p w:rsidR="001650BE" w:rsidRPr="006A766E" w:rsidRDefault="001650BE" w:rsidP="00C30688">
      <w:pPr>
        <w:pStyle w:val="P68B1DB1-Normal4"/>
        <w:spacing w:line="360" w:lineRule="auto"/>
        <w:jc w:val="both"/>
        <w:rPr>
          <w:lang w:val="en-US"/>
        </w:rPr>
      </w:pPr>
      <w:r w:rsidRPr="006A766E">
        <w:rPr>
          <w:lang w:val="en-US"/>
        </w:rPr>
        <w:t>Clearly describe that the Algerian state takes primary responsibility for public health, with a focus on prevention, equity and access to care for disadvantaged populations</w:t>
      </w:r>
      <w:r>
        <w:rPr>
          <w:lang w:val="en-US"/>
        </w:rPr>
        <w:t xml:space="preserve"> </w:t>
      </w:r>
      <w:sdt>
        <w:sdtPr>
          <w:rPr>
            <w:lang w:val="en-US"/>
          </w:rPr>
          <w:id w:val="-967736165"/>
          <w:citation/>
        </w:sdtPr>
        <w:sdtEndPr/>
        <w:sdtContent>
          <w:r>
            <w:rPr>
              <w:lang w:val="en-US"/>
            </w:rPr>
            <w:fldChar w:fldCharType="begin"/>
          </w:r>
          <w:r w:rsidRPr="003D44B2">
            <w:rPr>
              <w:lang w:val="en-US"/>
            </w:rPr>
            <w:instrText xml:space="preserve"> CITATION Oua25 \l 1036 </w:instrText>
          </w:r>
          <w:r>
            <w:rPr>
              <w:lang w:val="en-US"/>
            </w:rPr>
            <w:fldChar w:fldCharType="separate"/>
          </w:r>
          <w:r w:rsidRPr="00697916">
            <w:rPr>
              <w:noProof/>
              <w:lang w:val="en-US"/>
            </w:rPr>
            <w:t>(Ouadah &amp; Madani, 2025)</w:t>
          </w:r>
          <w:r>
            <w:rPr>
              <w:lang w:val="en-US"/>
            </w:rPr>
            <w:fldChar w:fldCharType="end"/>
          </w:r>
        </w:sdtContent>
      </w:sdt>
      <w:r w:rsidRPr="006A766E">
        <w:rPr>
          <w:lang w:val="en-US"/>
        </w:rPr>
        <w:t xml:space="preserve">. </w:t>
      </w:r>
      <w:r w:rsidR="00C30688" w:rsidRPr="00C30688">
        <w:rPr>
          <w:lang w:val="en-US"/>
        </w:rPr>
        <w:t>Besides, this discussion reveals the importance of investing in the soci</w:t>
      </w:r>
      <w:r w:rsidR="00C30688">
        <w:rPr>
          <w:lang w:val="en-US"/>
        </w:rPr>
        <w:t>al sphere to support such goals</w:t>
      </w:r>
      <w:r w:rsidRPr="006A766E">
        <w:rPr>
          <w:lang w:val="en-US"/>
        </w:rPr>
        <w:t>. This detailed presentation of the role of the State constitutes the factual basis that supports this sentence, directly explaining the position and commitment of the State in the field of health in Algeria.</w:t>
      </w:r>
    </w:p>
    <w:p w:rsidR="001650BE" w:rsidRPr="006A766E" w:rsidRDefault="001650BE" w:rsidP="0084313A">
      <w:pPr>
        <w:pStyle w:val="P68B1DB1-Normal4"/>
        <w:spacing w:line="360" w:lineRule="auto"/>
        <w:jc w:val="both"/>
        <w:rPr>
          <w:lang w:val="en-US"/>
        </w:rPr>
      </w:pPr>
      <w:r w:rsidRPr="006A766E">
        <w:rPr>
          <w:lang w:val="en-US"/>
        </w:rPr>
        <w:t>Provides detailed information on reforms implemented in the Algerian health system, particularly with the introduction of Health Law 18/11. In particular, it contains periodic assessments of the health map, which sets the standards for health coverage and the resources to be mobilized. These elements are essential to understand the current health coverage situation in North Africa region</w:t>
      </w:r>
      <w:r w:rsidR="0084313A">
        <w:rPr>
          <w:lang w:val="en-US"/>
        </w:rPr>
        <w:t xml:space="preserve"> </w:t>
      </w:r>
      <w:r w:rsidR="0084313A" w:rsidRPr="006A766E">
        <w:rPr>
          <w:lang w:val="en-US"/>
        </w:rPr>
        <w:t>and the</w:t>
      </w:r>
      <w:r w:rsidR="0084313A">
        <w:rPr>
          <w:lang w:val="en-US"/>
        </w:rPr>
        <w:t xml:space="preserve"> specially</w:t>
      </w:r>
      <w:r w:rsidR="0084313A" w:rsidRPr="006A766E">
        <w:rPr>
          <w:lang w:val="en-US"/>
        </w:rPr>
        <w:t xml:space="preserve"> Algeria</w:t>
      </w:r>
      <w:r w:rsidRPr="006A766E">
        <w:rPr>
          <w:lang w:val="en-US"/>
        </w:rPr>
        <w:t>. Thus, this document provides a solid legislative and organizational framework that supports the analysis of impact studies and reports on health coverage in this geographical area, justifying its choice as a reference for this sentence</w:t>
      </w:r>
      <w:sdt>
        <w:sdtPr>
          <w:rPr>
            <w:lang w:val="en-US"/>
          </w:rPr>
          <w:id w:val="-579827366"/>
          <w:citation/>
        </w:sdtPr>
        <w:sdtEndPr/>
        <w:sdtContent>
          <w:r>
            <w:rPr>
              <w:lang w:val="en-US"/>
            </w:rPr>
            <w:fldChar w:fldCharType="begin"/>
          </w:r>
          <w:r w:rsidRPr="003D44B2">
            <w:rPr>
              <w:lang w:val="en-US"/>
            </w:rPr>
            <w:instrText xml:space="preserve"> CITATION Err24 \l 1036 </w:instrText>
          </w:r>
          <w:r>
            <w:rPr>
              <w:lang w:val="en-US"/>
            </w:rPr>
            <w:fldChar w:fldCharType="separate"/>
          </w:r>
          <w:r>
            <w:rPr>
              <w:noProof/>
              <w:lang w:val="en-US"/>
            </w:rPr>
            <w:t xml:space="preserve"> </w:t>
          </w:r>
          <w:r w:rsidRPr="00697916">
            <w:rPr>
              <w:noProof/>
              <w:lang w:val="en-US"/>
            </w:rPr>
            <w:t>(Errabih, 2024)</w:t>
          </w:r>
          <w:r>
            <w:rPr>
              <w:lang w:val="en-US"/>
            </w:rPr>
            <w:fldChar w:fldCharType="end"/>
          </w:r>
        </w:sdtContent>
      </w:sdt>
      <w:r w:rsidRPr="006A766E">
        <w:rPr>
          <w:lang w:val="en-US"/>
        </w:rPr>
        <w:t>.</w:t>
      </w:r>
    </w:p>
    <w:p w:rsidR="001650BE" w:rsidRPr="006A766E" w:rsidRDefault="000C3C31" w:rsidP="001650BE">
      <w:pPr>
        <w:pStyle w:val="P68B1DB1-Normal4"/>
        <w:spacing w:line="360" w:lineRule="auto"/>
        <w:jc w:val="both"/>
        <w:rPr>
          <w:lang w:val="en-US"/>
        </w:rPr>
      </w:pPr>
      <w:r w:rsidRPr="000C3C31">
        <w:rPr>
          <w:lang w:val="en-US"/>
        </w:rPr>
        <w:t>The paper discusses universal health coverage directly and looks at the issue of finances in accordance with the accessibility of care, and people should not be ex</w:t>
      </w:r>
      <w:r w:rsidR="00B87B6A">
        <w:rPr>
          <w:lang w:val="en-US"/>
        </w:rPr>
        <w:t>posed to an extreme health risk</w:t>
      </w:r>
      <w:r w:rsidR="001650BE" w:rsidRPr="006A766E">
        <w:rPr>
          <w:lang w:val="en-US"/>
        </w:rPr>
        <w:t xml:space="preserve">. It highlights the need for political commitment, financial sustainability and the pooling of funds, fundamental elements to understand how financing mechanisms, in particular those related to the reimbursement of medicines, can impact the financial share borne by social security and patients. Thus, this document provides a relevant conceptual framework that explains the changes in the financing of pharmaceutical reimbursements and the redirection of the financial burden to </w:t>
      </w:r>
      <w:r w:rsidR="001650BE" w:rsidRPr="006A766E">
        <w:rPr>
          <w:lang w:val="en-US"/>
        </w:rPr>
        <w:lastRenderedPageBreak/>
        <w:t>policyholders, directly supporting the idea expressed in this sentence</w:t>
      </w:r>
      <w:r w:rsidR="001650BE">
        <w:rPr>
          <w:lang w:val="en-US"/>
        </w:rPr>
        <w:t xml:space="preserve"> </w:t>
      </w:r>
      <w:sdt>
        <w:sdtPr>
          <w:rPr>
            <w:lang w:val="en-US"/>
          </w:rPr>
          <w:id w:val="1277138504"/>
          <w:citation/>
        </w:sdtPr>
        <w:sdtEndPr/>
        <w:sdtContent>
          <w:r w:rsidR="001650BE">
            <w:rPr>
              <w:lang w:val="en-US"/>
            </w:rPr>
            <w:fldChar w:fldCharType="begin"/>
          </w:r>
          <w:r w:rsidR="001650BE" w:rsidRPr="003D44B2">
            <w:rPr>
              <w:lang w:val="en-US"/>
            </w:rPr>
            <w:instrText xml:space="preserve"> CITATION Azr23 \l 1036 </w:instrText>
          </w:r>
          <w:r w:rsidR="001650BE">
            <w:rPr>
              <w:lang w:val="en-US"/>
            </w:rPr>
            <w:fldChar w:fldCharType="separate"/>
          </w:r>
          <w:r w:rsidR="001650BE" w:rsidRPr="00697916">
            <w:rPr>
              <w:noProof/>
              <w:lang w:val="en-US"/>
            </w:rPr>
            <w:t>(Azri,K &amp; Brahamia,B, 2023)</w:t>
          </w:r>
          <w:r w:rsidR="001650BE">
            <w:rPr>
              <w:lang w:val="en-US"/>
            </w:rPr>
            <w:fldChar w:fldCharType="end"/>
          </w:r>
        </w:sdtContent>
      </w:sdt>
      <w:r w:rsidR="001650BE" w:rsidRPr="006A766E">
        <w:rPr>
          <w:lang w:val="en-US"/>
        </w:rPr>
        <w:t>.</w:t>
      </w:r>
    </w:p>
    <w:p w:rsidR="001650BE" w:rsidRPr="006A766E" w:rsidRDefault="001650BE" w:rsidP="001650BE">
      <w:pPr>
        <w:pStyle w:val="P68B1DB1-Normal3"/>
        <w:spacing w:line="360" w:lineRule="auto"/>
        <w:jc w:val="both"/>
        <w:rPr>
          <w:lang w:val="en-US"/>
        </w:rPr>
      </w:pPr>
      <w:r w:rsidRPr="006A766E">
        <w:rPr>
          <w:lang w:val="en-US"/>
        </w:rPr>
        <w:t>2.4. Gaps identified and contribution of this research</w:t>
      </w:r>
    </w:p>
    <w:p w:rsidR="001650BE" w:rsidRPr="006A766E" w:rsidRDefault="001650BE" w:rsidP="001650BE">
      <w:pPr>
        <w:pStyle w:val="P68B1DB1-Normal4"/>
        <w:spacing w:line="360" w:lineRule="auto"/>
        <w:jc w:val="both"/>
        <w:rPr>
          <w:lang w:val="en-US"/>
        </w:rPr>
      </w:pPr>
      <w:r w:rsidRPr="006A766E">
        <w:rPr>
          <w:lang w:val="en-US"/>
        </w:rPr>
        <w:t xml:space="preserve">This literature review reveals several gaps in the understanding of the Algerian health insurance system. First, the lack of prospective studies integrating the political, economic and social dimensions of the transition to UHC. Secondly, the lack of in-depth comparative analyses with successful international experiences. Third, the lack of primary data collected from key actors in the system. </w:t>
      </w:r>
    </w:p>
    <w:p w:rsidR="001650BE" w:rsidRPr="006A766E" w:rsidRDefault="001650BE" w:rsidP="008379D1">
      <w:pPr>
        <w:pStyle w:val="P68B1DB1-Normal4"/>
        <w:spacing w:line="360" w:lineRule="auto"/>
        <w:jc w:val="both"/>
        <w:rPr>
          <w:lang w:val="en-US"/>
        </w:rPr>
      </w:pPr>
      <w:r w:rsidRPr="006A766E">
        <w:rPr>
          <w:lang w:val="en-US"/>
        </w:rPr>
        <w:t xml:space="preserve">This research aims to fill these gaps by proposing a prospective analysis based on an innovative mixed methodology, combining the expertise of field actors and international comparative analysis. </w:t>
      </w:r>
      <w:r w:rsidR="008379D1" w:rsidRPr="008379D1">
        <w:rPr>
          <w:lang w:val="en-US"/>
        </w:rPr>
        <w:t>Therefore, it contributes to the understanding of the dynamics of health insurance system reforms in middle-income nations.</w:t>
      </w:r>
    </w:p>
    <w:p w:rsidR="001650BE" w:rsidRPr="006A766E" w:rsidRDefault="001650BE" w:rsidP="001650BE">
      <w:pPr>
        <w:pStyle w:val="P68B1DB1-Normal3"/>
        <w:spacing w:line="360" w:lineRule="auto"/>
        <w:jc w:val="both"/>
        <w:rPr>
          <w:lang w:val="en-US"/>
        </w:rPr>
      </w:pPr>
      <w:r w:rsidRPr="006A766E">
        <w:rPr>
          <w:lang w:val="en-US"/>
        </w:rPr>
        <w:t xml:space="preserve">3. Methodology </w:t>
      </w:r>
    </w:p>
    <w:p w:rsidR="001650BE" w:rsidRPr="006A766E" w:rsidRDefault="001650BE" w:rsidP="001650BE">
      <w:pPr>
        <w:pStyle w:val="P68B1DB1-Normal3"/>
        <w:spacing w:line="360" w:lineRule="auto"/>
        <w:jc w:val="both"/>
        <w:rPr>
          <w:lang w:val="en-US"/>
        </w:rPr>
      </w:pPr>
      <w:r w:rsidRPr="006A766E">
        <w:rPr>
          <w:lang w:val="en-US"/>
        </w:rPr>
        <w:t>3.1 Methodological Approach</w:t>
      </w:r>
    </w:p>
    <w:p w:rsidR="005E4EBA" w:rsidRDefault="001650BE" w:rsidP="005E4EBA">
      <w:pPr>
        <w:pStyle w:val="P68B1DB1-Normal4"/>
        <w:spacing w:line="360" w:lineRule="auto"/>
        <w:jc w:val="both"/>
        <w:rPr>
          <w:lang w:val="en-US"/>
        </w:rPr>
      </w:pPr>
      <w:r w:rsidRPr="006A766E">
        <w:rPr>
          <w:lang w:val="en-US"/>
        </w:rPr>
        <w:t xml:space="preserve">This research adoptsa </w:t>
      </w:r>
      <w:r>
        <w:rPr>
          <w:lang w:val="en-US"/>
        </w:rPr>
        <w:t>mixte (</w:t>
      </w:r>
      <w:r w:rsidRPr="006A766E">
        <w:rPr>
          <w:lang w:val="en-US"/>
        </w:rPr>
        <w:t>mixed-methods</w:t>
      </w:r>
      <w:r>
        <w:rPr>
          <w:lang w:val="en-US"/>
        </w:rPr>
        <w:t>)</w:t>
      </w:r>
      <w:r w:rsidRPr="006A766E">
        <w:rPr>
          <w:lang w:val="en-US"/>
        </w:rPr>
        <w:t xml:space="preserve"> methodological approach inspired by the pragmatic paradigm of</w:t>
      </w:r>
      <w:r>
        <w:rPr>
          <w:noProof/>
          <w:lang w:val="en-US"/>
        </w:rPr>
        <w:t xml:space="preserve"> </w:t>
      </w:r>
      <w:r w:rsidRPr="003D44B2">
        <w:rPr>
          <w:noProof/>
          <w:lang w:val="en-US"/>
        </w:rPr>
        <w:t xml:space="preserve">Creswell </w:t>
      </w:r>
      <w:r>
        <w:rPr>
          <w:noProof/>
          <w:lang w:val="en-US"/>
        </w:rPr>
        <w:t>and</w:t>
      </w:r>
      <w:r w:rsidRPr="003D44B2">
        <w:rPr>
          <w:noProof/>
          <w:lang w:val="en-US"/>
        </w:rPr>
        <w:t xml:space="preserve"> Plano Clark (2017),</w:t>
      </w:r>
      <w:r w:rsidRPr="006A766E">
        <w:rPr>
          <w:lang w:val="en-US"/>
        </w:rPr>
        <w:t xml:space="preserve">This strategy combines the strengths of quantitative and qualitative approaches to understand the complexity of health insurance systems in both their technical and socio-political dimensions. </w:t>
      </w:r>
      <w:r w:rsidR="005E4EBA" w:rsidRPr="005E4EBA">
        <w:rPr>
          <w:lang w:val="en-US"/>
        </w:rPr>
        <w:t>The chosen sequential exploratory design follows two separate steps; first, an exploratory qualitative phase, followed by a phase of quantitative validation and elaboration.</w:t>
      </w:r>
    </w:p>
    <w:p w:rsidR="001650BE" w:rsidRDefault="001650BE" w:rsidP="005E4EBA">
      <w:pPr>
        <w:pStyle w:val="P68B1DB1-Normal4"/>
        <w:spacing w:line="360" w:lineRule="auto"/>
        <w:jc w:val="both"/>
        <w:rPr>
          <w:lang w:val="en-US"/>
        </w:rPr>
      </w:pPr>
      <w:r w:rsidRPr="006A766E">
        <w:rPr>
          <w:lang w:val="en-US"/>
        </w:rPr>
        <w:t>The theoretical framework is based on the neo-institutionalist approach developed by</w:t>
      </w:r>
      <w:r>
        <w:rPr>
          <w:noProof/>
          <w:lang w:val="en-US"/>
        </w:rPr>
        <w:t xml:space="preserve"> Hall and </w:t>
      </w:r>
      <w:r w:rsidRPr="00C037A9">
        <w:rPr>
          <w:noProof/>
          <w:lang w:val="en-US"/>
        </w:rPr>
        <w:t xml:space="preserve">Taylor </w:t>
      </w:r>
      <w:r>
        <w:rPr>
          <w:noProof/>
          <w:lang w:val="en-US"/>
        </w:rPr>
        <w:t>(</w:t>
      </w:r>
      <w:r w:rsidRPr="00C037A9">
        <w:rPr>
          <w:noProof/>
          <w:lang w:val="en-US"/>
        </w:rPr>
        <w:t>1997)</w:t>
      </w:r>
      <w:r w:rsidRPr="006A766E">
        <w:rPr>
          <w:lang w:val="en-US"/>
        </w:rPr>
        <w:t xml:space="preserve">,which makes it possible to analyze public policy reforms through the interaction between formal institutions, actors and their strategies, and the ideas that underpin public action. </w:t>
      </w:r>
      <w:r w:rsidR="005E4EBA" w:rsidRPr="005E4EBA">
        <w:rPr>
          <w:lang w:val="en-US"/>
        </w:rPr>
        <w:t>This analytical framework is especially appropriate to shed light on the mechanisms of change that take place within health insurance systems.</w:t>
      </w:r>
    </w:p>
    <w:p w:rsidR="003803FD" w:rsidRDefault="003803FD" w:rsidP="005E4EBA">
      <w:pPr>
        <w:pStyle w:val="P68B1DB1-Normal4"/>
        <w:spacing w:line="360" w:lineRule="auto"/>
        <w:jc w:val="both"/>
        <w:rPr>
          <w:lang w:val="en-US"/>
        </w:rPr>
      </w:pPr>
    </w:p>
    <w:p w:rsidR="003803FD" w:rsidRPr="006A766E" w:rsidRDefault="003803FD" w:rsidP="005E4EBA">
      <w:pPr>
        <w:pStyle w:val="P68B1DB1-Normal4"/>
        <w:spacing w:line="360" w:lineRule="auto"/>
        <w:jc w:val="both"/>
        <w:rPr>
          <w:lang w:val="en-US"/>
        </w:rPr>
      </w:pPr>
    </w:p>
    <w:p w:rsidR="001650BE" w:rsidRPr="006A766E" w:rsidRDefault="001650BE" w:rsidP="001650BE">
      <w:pPr>
        <w:pStyle w:val="P68B1DB1-Normal3"/>
        <w:spacing w:line="360" w:lineRule="auto"/>
        <w:jc w:val="both"/>
        <w:rPr>
          <w:lang w:val="en-US"/>
        </w:rPr>
      </w:pPr>
      <w:r w:rsidRPr="006A766E">
        <w:rPr>
          <w:lang w:val="en-US"/>
        </w:rPr>
        <w:t xml:space="preserve">3.2. Data collection </w:t>
      </w:r>
    </w:p>
    <w:p w:rsidR="001650BE" w:rsidRPr="006A766E" w:rsidRDefault="001650BE" w:rsidP="001650BE">
      <w:pPr>
        <w:pStyle w:val="P68B1DB1-Normal3"/>
        <w:spacing w:line="360" w:lineRule="auto"/>
        <w:jc w:val="both"/>
        <w:rPr>
          <w:lang w:val="en-US"/>
        </w:rPr>
      </w:pPr>
      <w:r>
        <w:rPr>
          <w:lang w:val="en-US"/>
        </w:rPr>
        <w:t>3.2.1</w:t>
      </w:r>
      <w:r w:rsidRPr="006A766E">
        <w:rPr>
          <w:lang w:val="en-US"/>
        </w:rPr>
        <w:t>Quantitative data analysis</w:t>
      </w:r>
    </w:p>
    <w:p w:rsidR="001650BE" w:rsidRPr="00A3705F" w:rsidRDefault="001650BE" w:rsidP="001650BE">
      <w:pPr>
        <w:pStyle w:val="P68B1DB1-Normal4"/>
        <w:spacing w:line="360" w:lineRule="auto"/>
        <w:jc w:val="both"/>
        <w:rPr>
          <w:lang w:val="en-US"/>
        </w:rPr>
      </w:pPr>
      <w:r w:rsidRPr="00A3705F">
        <w:rPr>
          <w:lang w:val="en-US"/>
        </w:rPr>
        <w:lastRenderedPageBreak/>
        <w:t>The quantitative component is based on the analysis of secondary databases from official sources, including the financial statements of the CNAS and CASNOS for the period 2001–2017, statistics from the Ministry of Health, data from the National Office of Statistics (ONS), as well as international indicators from the World Bank and the World Health Organization (WHO).</w:t>
      </w:r>
    </w:p>
    <w:p w:rsidR="001650BE" w:rsidRPr="00A3705F" w:rsidRDefault="001650BE" w:rsidP="001650BE">
      <w:pPr>
        <w:pStyle w:val="P68B1DB1-Normal4"/>
        <w:spacing w:line="360" w:lineRule="auto"/>
        <w:jc w:val="both"/>
        <w:rPr>
          <w:lang w:val="en-US"/>
        </w:rPr>
      </w:pPr>
      <w:r w:rsidRPr="00A3705F">
        <w:rPr>
          <w:lang w:val="en-US"/>
        </w:rPr>
        <w:t>This quantitative approach adopts a longitudinal and descriptive methodology aimed at analyzing the evolution of the main financial and social aggregates related to social security and pension schemes. The collected data are processed using statistical and economic indicators, such as the coverage rate, the contributor/beneficiary ratio, and the financial balance of the funds.</w:t>
      </w:r>
    </w:p>
    <w:p w:rsidR="001650BE" w:rsidRPr="00D379DC" w:rsidRDefault="001650BE" w:rsidP="001650BE">
      <w:pPr>
        <w:pStyle w:val="P68B1DB1-Normal4"/>
        <w:rPr>
          <w:b/>
          <w:lang w:val="en-US"/>
        </w:rPr>
      </w:pPr>
      <w:r w:rsidRPr="00D379DC">
        <w:rPr>
          <w:b/>
          <w:lang w:val="en-US"/>
        </w:rPr>
        <w:t>3.2.</w:t>
      </w:r>
      <w:r>
        <w:rPr>
          <w:b/>
          <w:lang w:val="en-US"/>
        </w:rPr>
        <w:t xml:space="preserve">2 </w:t>
      </w:r>
      <w:r w:rsidRPr="00D379DC">
        <w:rPr>
          <w:b/>
          <w:lang w:val="en-US"/>
        </w:rPr>
        <w:t>Q</w:t>
      </w:r>
      <w:r>
        <w:rPr>
          <w:b/>
          <w:lang w:val="en-US"/>
        </w:rPr>
        <w:t>uali</w:t>
      </w:r>
      <w:r w:rsidRPr="00D379DC">
        <w:rPr>
          <w:b/>
          <w:lang w:val="en-US"/>
        </w:rPr>
        <w:t>tative data analysis</w:t>
      </w:r>
    </w:p>
    <w:p w:rsidR="001650BE" w:rsidRPr="006A766E" w:rsidRDefault="001650BE" w:rsidP="007A3632">
      <w:pPr>
        <w:pStyle w:val="P68B1DB1-Normal4"/>
        <w:spacing w:line="360" w:lineRule="auto"/>
        <w:jc w:val="both"/>
        <w:rPr>
          <w:lang w:val="en-US"/>
        </w:rPr>
      </w:pPr>
      <w:r w:rsidRPr="00B56530">
        <w:rPr>
          <w:lang w:val="en-US"/>
        </w:rPr>
        <w:t xml:space="preserve">The qualitative component is based on an in-depth examination of institutional reports, legislative and regulatory texts, and official publications from relevant national bodies, such as the Ministry of Labor, Employment, and Social Security, the Ministry of Health, and the national social security funds (CNAS and CASNOS). </w:t>
      </w:r>
      <w:r w:rsidR="007A3632" w:rsidRPr="007A3632">
        <w:rPr>
          <w:lang w:val="en-US"/>
        </w:rPr>
        <w:t>It also includes the analysis of the documents and reports published by the international organizations, including the World Health Organization (WHO) and the Interna</w:t>
      </w:r>
      <w:r w:rsidR="007A3632">
        <w:rPr>
          <w:lang w:val="en-US"/>
        </w:rPr>
        <w:t>tional Labor Organization (ILO)</w:t>
      </w:r>
      <w:r w:rsidRPr="00B56530">
        <w:rPr>
          <w:lang w:val="en-US"/>
        </w:rPr>
        <w:t>. In addition, it involves the study of academic books and articles, as well as interviews published in national journals, and official public documents such as reports from the Court of Accounts and reports from the Presidency on the economic and social situation, prepared by the Prime Minister's office. This qualitative approach allows for the interpretation of the contextual, institutional, and governance dimensions that influence the performance and sustainability of social protection and pension systems in Algeria</w:t>
      </w:r>
    </w:p>
    <w:p w:rsidR="001650BE" w:rsidRPr="006A766E" w:rsidRDefault="001650BE" w:rsidP="001650BE">
      <w:pPr>
        <w:pStyle w:val="P68B1DB1-Normal3"/>
        <w:spacing w:line="360" w:lineRule="auto"/>
        <w:jc w:val="both"/>
        <w:rPr>
          <w:lang w:val="en-US"/>
        </w:rPr>
      </w:pPr>
      <w:r w:rsidRPr="006A766E">
        <w:rPr>
          <w:lang w:val="en-US"/>
        </w:rPr>
        <w:t>3.4. International Benchmarking</w:t>
      </w:r>
    </w:p>
    <w:p w:rsidR="00F473CD" w:rsidRDefault="00F473CD" w:rsidP="001650BE">
      <w:pPr>
        <w:pStyle w:val="P68B1DB1-Normal3"/>
        <w:spacing w:line="360" w:lineRule="auto"/>
        <w:jc w:val="both"/>
        <w:rPr>
          <w:b w:val="0"/>
          <w:lang w:val="en-US"/>
        </w:rPr>
      </w:pPr>
      <w:r w:rsidRPr="00F473CD">
        <w:rPr>
          <w:b w:val="0"/>
          <w:lang w:val="en-US"/>
        </w:rPr>
        <w:t>The comparative analysis was established using the “most similar systems” method elaborated by Lijphart in 1971. The following study boxes were selected: Morocco and Tunisia for proximity in geography and culture. For each country, a standardized scorecard was created in terms of the following: institutional architecture, funding mechanisms, delivery modalities, performance indicators, and transferable lessons learned. 3.5 Methodological limitations This research suffers from several limitations.</w:t>
      </w:r>
    </w:p>
    <w:p w:rsidR="00F473CD" w:rsidRDefault="00F473CD" w:rsidP="001650BE">
      <w:pPr>
        <w:pStyle w:val="P68B1DB1-Normal3"/>
        <w:spacing w:line="360" w:lineRule="auto"/>
        <w:jc w:val="both"/>
        <w:rPr>
          <w:b w:val="0"/>
          <w:lang w:val="en-US"/>
        </w:rPr>
      </w:pPr>
    </w:p>
    <w:p w:rsidR="00F473CD" w:rsidRDefault="00F473CD" w:rsidP="001650BE">
      <w:pPr>
        <w:pStyle w:val="P68B1DB1-Normal3"/>
        <w:spacing w:line="360" w:lineRule="auto"/>
        <w:jc w:val="both"/>
        <w:rPr>
          <w:b w:val="0"/>
          <w:lang w:val="en-US"/>
        </w:rPr>
      </w:pPr>
    </w:p>
    <w:p w:rsidR="001650BE" w:rsidRPr="006A766E" w:rsidRDefault="001650BE" w:rsidP="001650BE">
      <w:pPr>
        <w:pStyle w:val="P68B1DB1-Normal3"/>
        <w:spacing w:line="360" w:lineRule="auto"/>
        <w:jc w:val="both"/>
        <w:rPr>
          <w:lang w:val="en-US"/>
        </w:rPr>
      </w:pPr>
      <w:r w:rsidRPr="006A766E">
        <w:rPr>
          <w:lang w:val="en-US"/>
        </w:rPr>
        <w:t>3.5 Methodological limitations</w:t>
      </w:r>
    </w:p>
    <w:p w:rsidR="00EC535C" w:rsidRDefault="00EC535C" w:rsidP="001650BE">
      <w:pPr>
        <w:pStyle w:val="P68B1DB1-Normal3"/>
        <w:spacing w:line="360" w:lineRule="auto"/>
        <w:jc w:val="both"/>
        <w:rPr>
          <w:b w:val="0"/>
          <w:lang w:val="en-US"/>
        </w:rPr>
      </w:pPr>
      <w:r w:rsidRPr="00EC535C">
        <w:rPr>
          <w:b w:val="0"/>
          <w:lang w:val="en-US"/>
        </w:rPr>
        <w:lastRenderedPageBreak/>
        <w:t>This research suffers from several limitations. The first comprises the lack of disaggregated data on some units of the system data on actual coverage of rural populations, among others. The second is the collection period, which is highly influenced by the COVID-19 pandemic related restrictions, which made some actors and areas of interest hard to access. The final limitation is, as often is when adopting a political-economic perspective which is the caveat inherent to international lessons transfer due to the highly specific context of Algeria.</w:t>
      </w:r>
    </w:p>
    <w:p w:rsidR="001650BE" w:rsidRPr="006A766E" w:rsidRDefault="001650BE" w:rsidP="001650BE">
      <w:pPr>
        <w:pStyle w:val="P68B1DB1-Normal3"/>
        <w:spacing w:line="360" w:lineRule="auto"/>
        <w:jc w:val="both"/>
        <w:rPr>
          <w:lang w:val="en-US"/>
        </w:rPr>
      </w:pPr>
      <w:r w:rsidRPr="006A766E">
        <w:rPr>
          <w:lang w:val="en-US"/>
        </w:rPr>
        <w:t>4. Results</w:t>
      </w:r>
    </w:p>
    <w:p w:rsidR="001650BE" w:rsidRPr="006A766E" w:rsidRDefault="001650BE" w:rsidP="001650BE">
      <w:pPr>
        <w:pStyle w:val="P68B1DB1-Normal3"/>
        <w:spacing w:line="360" w:lineRule="auto"/>
        <w:jc w:val="both"/>
        <w:rPr>
          <w:lang w:val="en-US"/>
        </w:rPr>
      </w:pPr>
      <w:r w:rsidRPr="006A766E">
        <w:rPr>
          <w:lang w:val="en-US"/>
        </w:rPr>
        <w:t>4.1. Diagnosis of the Algerian health insurance system</w:t>
      </w:r>
    </w:p>
    <w:p w:rsidR="001650BE" w:rsidRDefault="001650BE" w:rsidP="001650BE">
      <w:pPr>
        <w:pStyle w:val="P68B1DB1-Normal3"/>
        <w:spacing w:line="360" w:lineRule="auto"/>
        <w:jc w:val="both"/>
        <w:rPr>
          <w:lang w:val="en-US"/>
        </w:rPr>
      </w:pPr>
      <w:r w:rsidRPr="006A766E">
        <w:rPr>
          <w:lang w:val="en-US"/>
        </w:rPr>
        <w:t>4.1.1. Institutional architecture and coverage</w:t>
      </w:r>
    </w:p>
    <w:p w:rsidR="001650BE" w:rsidRPr="003D44B2" w:rsidRDefault="001650BE" w:rsidP="001650BE">
      <w:pPr>
        <w:pStyle w:val="P68B1DB1-Normal3"/>
        <w:spacing w:line="360" w:lineRule="auto"/>
        <w:jc w:val="both"/>
        <w:rPr>
          <w:b w:val="0"/>
          <w:bCs/>
          <w:lang w:val="en-US"/>
        </w:rPr>
      </w:pPr>
      <w:r w:rsidRPr="003D44B2">
        <w:rPr>
          <w:b w:val="0"/>
          <w:bCs/>
          <w:lang w:val="en"/>
        </w:rPr>
        <w:t>The history of the healthcare system in Algeria begins with the colonial period, but after independence in 1962, the country had to rebuild its system, marked by a massive exodus of qualified personnel and insufficient infrastructure. The system evolved through reforms aimed at unifying social security starting in the 1970s and saw the creation of new infrastructure and the introduction of free healthcare in 1974. More recently, the system has seen an improvement in health indicators, although it faces persistent challenges related to the private sector, a shortage of doctors, and structural weaknesses in responding to health crises</w:t>
      </w:r>
      <w:r w:rsidRPr="003D44B2">
        <w:rPr>
          <w:b w:val="0"/>
          <w:bCs/>
          <w:noProof/>
          <w:lang w:val="en"/>
        </w:rPr>
        <w:t xml:space="preserve"> (Lamri,L, 2001)</w:t>
      </w:r>
      <w:r w:rsidRPr="003D44B2">
        <w:rPr>
          <w:b w:val="0"/>
          <w:bCs/>
          <w:lang w:val="en"/>
        </w:rPr>
        <w:t>.</w:t>
      </w:r>
    </w:p>
    <w:p w:rsidR="001650BE" w:rsidRPr="006A766E" w:rsidRDefault="001650BE" w:rsidP="001650BE">
      <w:pPr>
        <w:pStyle w:val="P68B1DB1-Normal4"/>
        <w:spacing w:line="360" w:lineRule="auto"/>
        <w:jc w:val="both"/>
        <w:rPr>
          <w:lang w:val="en-US"/>
        </w:rPr>
      </w:pPr>
      <w:r w:rsidRPr="006A766E">
        <w:rPr>
          <w:lang w:val="en-US"/>
        </w:rPr>
        <w:t xml:space="preserve">The Algerian health insurance system has a dual architecture inherited from the reforms of the 1980s-1990s. The CNAS, created in 1985, covers salaried workers in the public and private sectors as well as their beneficiaries, representing approximately 18.2 million beneficiaries in 2022 according to official data. CASNOS, established in 1992, supports self-employed workers (professionals, farmers, artisans) and their families, approximately 4.8 million people. </w:t>
      </w:r>
    </w:p>
    <w:p w:rsidR="001650BE" w:rsidRDefault="001650BE" w:rsidP="001650BE">
      <w:pPr>
        <w:pStyle w:val="P68B1DB1-Normal4"/>
        <w:spacing w:line="360" w:lineRule="auto"/>
        <w:jc w:val="both"/>
        <w:rPr>
          <w:lang w:val="en-US"/>
        </w:rPr>
      </w:pPr>
      <w:r w:rsidRPr="006A766E">
        <w:rPr>
          <w:lang w:val="en-US"/>
        </w:rPr>
        <w:t xml:space="preserve">Table </w:t>
      </w:r>
      <w:r w:rsidRPr="006A766E">
        <w:rPr>
          <w:b/>
          <w:lang w:val="en-US"/>
        </w:rPr>
        <w:t>1</w:t>
      </w:r>
      <w:r w:rsidRPr="006A766E">
        <w:rPr>
          <w:lang w:val="en-US"/>
        </w:rPr>
        <w:t xml:space="preserve"> shows the evolution of the population coverage rate in Algeria between 2001 and 2017. Looking at these data, it appears that Algeria has more than 14 million social security beneficiaries. Taking into account the beneficiaries, nearly 37 million people would be covered, or about 90% of the total population in 2017.</w:t>
      </w:r>
    </w:p>
    <w:p w:rsidR="00B721E3" w:rsidRDefault="00B721E3" w:rsidP="001650BE">
      <w:pPr>
        <w:pStyle w:val="P68B1DB1-Normal4"/>
        <w:spacing w:line="360" w:lineRule="auto"/>
        <w:jc w:val="both"/>
        <w:rPr>
          <w:lang w:val="en-US"/>
        </w:rPr>
      </w:pPr>
    </w:p>
    <w:p w:rsidR="00B721E3" w:rsidRDefault="00B721E3" w:rsidP="001650BE">
      <w:pPr>
        <w:pStyle w:val="P68B1DB1-Normal4"/>
        <w:spacing w:line="360" w:lineRule="auto"/>
        <w:jc w:val="both"/>
        <w:rPr>
          <w:lang w:val="en-US"/>
        </w:rPr>
      </w:pPr>
    </w:p>
    <w:p w:rsidR="00B721E3" w:rsidRDefault="00B721E3" w:rsidP="001650BE">
      <w:pPr>
        <w:pStyle w:val="P68B1DB1-Normal4"/>
        <w:spacing w:line="360" w:lineRule="auto"/>
        <w:jc w:val="both"/>
        <w:rPr>
          <w:lang w:val="en-US"/>
        </w:rPr>
      </w:pPr>
    </w:p>
    <w:p w:rsidR="00B721E3" w:rsidRDefault="00B721E3" w:rsidP="001650BE">
      <w:pPr>
        <w:pStyle w:val="P68B1DB1-Normal4"/>
        <w:spacing w:line="360" w:lineRule="auto"/>
        <w:jc w:val="both"/>
        <w:rPr>
          <w:lang w:val="en-US"/>
        </w:rPr>
      </w:pPr>
    </w:p>
    <w:p w:rsidR="001650BE" w:rsidRDefault="001650BE" w:rsidP="001650BE">
      <w:pPr>
        <w:pStyle w:val="P68B1DB1-Normal5"/>
        <w:widowControl w:val="0"/>
        <w:autoSpaceDE w:val="0"/>
        <w:autoSpaceDN w:val="0"/>
        <w:spacing w:after="0"/>
        <w:jc w:val="center"/>
        <w:rPr>
          <w:lang w:val="en-US"/>
        </w:rPr>
      </w:pPr>
      <w:r w:rsidRPr="006A766E">
        <w:rPr>
          <w:lang w:val="en-US"/>
        </w:rPr>
        <w:lastRenderedPageBreak/>
        <w:t>Table 1</w:t>
      </w:r>
      <w:r>
        <w:rPr>
          <w:lang w:val="en-US"/>
        </w:rPr>
        <w:t>:</w:t>
      </w:r>
      <w:r w:rsidRPr="006A766E">
        <w:rPr>
          <w:lang w:val="en-US"/>
        </w:rPr>
        <w:t xml:space="preserve"> Evolution of the number of insured persons in Algeria (2001-201</w:t>
      </w:r>
      <w:r>
        <w:rPr>
          <w:lang w:val="en-US"/>
        </w:rPr>
        <w:t>7</w:t>
      </w:r>
      <w:r w:rsidRPr="006A766E">
        <w:rPr>
          <w:lang w:val="en-US"/>
        </w:rPr>
        <w:t>)</w:t>
      </w:r>
    </w:p>
    <w:p w:rsidR="001650BE" w:rsidRDefault="001650BE" w:rsidP="001650BE">
      <w:pPr>
        <w:pStyle w:val="P68B1DB1-Normal5"/>
        <w:widowControl w:val="0"/>
        <w:autoSpaceDE w:val="0"/>
        <w:autoSpaceDN w:val="0"/>
        <w:spacing w:after="0"/>
        <w:jc w:val="center"/>
        <w:rPr>
          <w:lang w:val="en-US"/>
        </w:rPr>
      </w:pPr>
    </w:p>
    <w:tbl>
      <w:tblPr>
        <w:tblW w:w="9877" w:type="dxa"/>
        <w:tblInd w:w="-436" w:type="dxa"/>
        <w:tblCellMar>
          <w:left w:w="70" w:type="dxa"/>
          <w:right w:w="70" w:type="dxa"/>
        </w:tblCellMar>
        <w:tblLook w:val="04A0" w:firstRow="1" w:lastRow="0" w:firstColumn="1" w:lastColumn="0" w:noHBand="0" w:noVBand="1"/>
      </w:tblPr>
      <w:tblGrid>
        <w:gridCol w:w="965"/>
        <w:gridCol w:w="1678"/>
        <w:gridCol w:w="1531"/>
        <w:gridCol w:w="1579"/>
        <w:gridCol w:w="2054"/>
        <w:gridCol w:w="2070"/>
      </w:tblGrid>
      <w:tr w:rsidR="001650BE" w:rsidRPr="005175ED" w:rsidTr="009C496D">
        <w:trPr>
          <w:trHeight w:val="378"/>
        </w:trPr>
        <w:tc>
          <w:tcPr>
            <w:tcW w:w="965"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Cs w:val="22"/>
              </w:rPr>
            </w:pPr>
            <w:r w:rsidRPr="005175ED">
              <w:rPr>
                <w:rFonts w:ascii="Times New Roman" w:eastAsia="Times New Roman" w:hAnsi="Times New Roman" w:cs="Times New Roman"/>
                <w:b/>
                <w:bCs/>
                <w:color w:val="000000"/>
                <w:szCs w:val="22"/>
              </w:rPr>
              <w:t>Years</w:t>
            </w:r>
          </w:p>
        </w:tc>
        <w:tc>
          <w:tcPr>
            <w:tcW w:w="4788" w:type="dxa"/>
            <w:gridSpan w:val="3"/>
            <w:tcBorders>
              <w:top w:val="single" w:sz="8" w:space="0" w:color="000000"/>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                  </w:t>
            </w:r>
            <w:r w:rsidRPr="005175ED">
              <w:rPr>
                <w:rFonts w:ascii="Times New Roman" w:eastAsia="Times New Roman" w:hAnsi="Times New Roman" w:cs="Times New Roman"/>
                <w:b/>
                <w:bCs/>
                <w:color w:val="000000"/>
                <w:sz w:val="20"/>
              </w:rPr>
              <w:t>CSNOS social security beneficiaries</w:t>
            </w:r>
          </w:p>
        </w:tc>
        <w:tc>
          <w:tcPr>
            <w:tcW w:w="4124" w:type="dxa"/>
            <w:gridSpan w:val="2"/>
            <w:tcBorders>
              <w:top w:val="single" w:sz="8" w:space="0" w:color="000000"/>
              <w:left w:val="nil"/>
              <w:bottom w:val="single" w:sz="8" w:space="0" w:color="000000"/>
              <w:right w:val="single" w:sz="8" w:space="0" w:color="000000"/>
            </w:tcBorders>
            <w:shd w:val="clear" w:color="auto" w:fill="auto"/>
            <w:vAlign w:val="center"/>
            <w:hideMark/>
          </w:tcPr>
          <w:p w:rsidR="001650BE" w:rsidRPr="005175ED" w:rsidRDefault="001650BE" w:rsidP="00880163">
            <w:pPr>
              <w:spacing w:after="0" w:line="240" w:lineRule="auto"/>
              <w:ind w:firstLineChars="400" w:firstLine="803"/>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 xml:space="preserve"> CNAS social security beneficiaries</w:t>
            </w:r>
          </w:p>
        </w:tc>
      </w:tr>
      <w:tr w:rsidR="001650BE" w:rsidRPr="005175ED" w:rsidTr="009C496D">
        <w:trPr>
          <w:trHeight w:val="524"/>
        </w:trPr>
        <w:tc>
          <w:tcPr>
            <w:tcW w:w="965" w:type="dxa"/>
            <w:vMerge/>
            <w:tcBorders>
              <w:top w:val="single" w:sz="8" w:space="0" w:color="000000"/>
              <w:left w:val="single" w:sz="8" w:space="0" w:color="000000"/>
              <w:bottom w:val="single" w:sz="8" w:space="0" w:color="000000"/>
              <w:right w:val="single" w:sz="8" w:space="0" w:color="000000"/>
            </w:tcBorders>
            <w:vAlign w:val="center"/>
            <w:hideMark/>
          </w:tcPr>
          <w:p w:rsidR="001650BE" w:rsidRPr="005175ED" w:rsidRDefault="001650BE" w:rsidP="009C496D">
            <w:pPr>
              <w:spacing w:after="0" w:line="240" w:lineRule="auto"/>
              <w:rPr>
                <w:rFonts w:ascii="Times New Roman" w:eastAsia="Times New Roman" w:hAnsi="Times New Roman" w:cs="Times New Roman"/>
                <w:b/>
                <w:bCs/>
                <w:color w:val="000000"/>
                <w:szCs w:val="22"/>
              </w:rPr>
            </w:pPr>
          </w:p>
        </w:tc>
        <w:tc>
          <w:tcPr>
            <w:tcW w:w="167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Number of  active affiliates</w:t>
            </w:r>
          </w:p>
        </w:tc>
        <w:tc>
          <w:tcPr>
            <w:tcW w:w="1531" w:type="dxa"/>
            <w:tcBorders>
              <w:top w:val="nil"/>
              <w:left w:val="nil"/>
              <w:bottom w:val="nil"/>
              <w:right w:val="single" w:sz="8" w:space="0" w:color="000000"/>
            </w:tcBorders>
            <w:shd w:val="clear" w:color="auto" w:fill="auto"/>
            <w:vAlign w:val="center"/>
            <w:hideMark/>
          </w:tcPr>
          <w:p w:rsidR="001650BE" w:rsidRPr="003D44B2" w:rsidRDefault="001650BE" w:rsidP="009C496D">
            <w:pPr>
              <w:spacing w:after="0" w:line="240" w:lineRule="auto"/>
              <w:jc w:val="center"/>
              <w:rPr>
                <w:rFonts w:ascii="Times New Roman" w:eastAsia="Times New Roman" w:hAnsi="Times New Roman" w:cs="Times New Roman"/>
                <w:b/>
                <w:bCs/>
                <w:color w:val="000000"/>
                <w:sz w:val="20"/>
                <w:lang w:val="en-US"/>
              </w:rPr>
            </w:pPr>
            <w:r w:rsidRPr="005175ED">
              <w:rPr>
                <w:rFonts w:ascii="Times New Roman" w:eastAsia="Times New Roman" w:hAnsi="Times New Roman" w:cs="Times New Roman"/>
                <w:b/>
                <w:bCs/>
                <w:color w:val="000000"/>
                <w:sz w:val="20"/>
                <w:lang w:val="en-US"/>
              </w:rPr>
              <w:t>Number of up to date</w:t>
            </w:r>
          </w:p>
        </w:tc>
        <w:tc>
          <w:tcPr>
            <w:tcW w:w="157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Number of retirees</w:t>
            </w:r>
          </w:p>
        </w:tc>
        <w:tc>
          <w:tcPr>
            <w:tcW w:w="205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650BE" w:rsidRPr="003D44B2" w:rsidRDefault="001650BE" w:rsidP="009C496D">
            <w:pPr>
              <w:spacing w:after="0" w:line="240" w:lineRule="auto"/>
              <w:jc w:val="center"/>
              <w:rPr>
                <w:rFonts w:ascii="Times New Roman" w:eastAsia="Times New Roman" w:hAnsi="Times New Roman" w:cs="Times New Roman"/>
                <w:b/>
                <w:bCs/>
                <w:color w:val="000000"/>
                <w:sz w:val="20"/>
                <w:lang w:val="en-US"/>
              </w:rPr>
            </w:pPr>
            <w:r w:rsidRPr="005175ED">
              <w:rPr>
                <w:rFonts w:ascii="Times New Roman" w:eastAsia="Times New Roman" w:hAnsi="Times New Roman" w:cs="Times New Roman"/>
                <w:b/>
                <w:bCs/>
                <w:color w:val="000000"/>
                <w:sz w:val="20"/>
                <w:lang w:val="en"/>
              </w:rPr>
              <w:t>Number of social security beneficiaries</w:t>
            </w:r>
          </w:p>
        </w:tc>
        <w:tc>
          <w:tcPr>
            <w:tcW w:w="207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Including employees in %</w:t>
            </w:r>
          </w:p>
        </w:tc>
      </w:tr>
      <w:tr w:rsidR="001650BE" w:rsidRPr="005175ED" w:rsidTr="009C496D">
        <w:trPr>
          <w:trHeight w:val="233"/>
        </w:trPr>
        <w:tc>
          <w:tcPr>
            <w:tcW w:w="965" w:type="dxa"/>
            <w:vMerge/>
            <w:tcBorders>
              <w:top w:val="single" w:sz="8" w:space="0" w:color="000000"/>
              <w:left w:val="single" w:sz="8" w:space="0" w:color="000000"/>
              <w:bottom w:val="single" w:sz="8" w:space="0" w:color="000000"/>
              <w:right w:val="single" w:sz="8" w:space="0" w:color="000000"/>
            </w:tcBorders>
            <w:vAlign w:val="center"/>
            <w:hideMark/>
          </w:tcPr>
          <w:p w:rsidR="001650BE" w:rsidRPr="005175ED" w:rsidRDefault="001650BE" w:rsidP="009C496D">
            <w:pPr>
              <w:spacing w:after="0" w:line="240" w:lineRule="auto"/>
              <w:rPr>
                <w:rFonts w:ascii="Times New Roman" w:eastAsia="Times New Roman" w:hAnsi="Times New Roman" w:cs="Times New Roman"/>
                <w:b/>
                <w:bCs/>
                <w:color w:val="000000"/>
                <w:szCs w:val="22"/>
              </w:rPr>
            </w:pPr>
          </w:p>
        </w:tc>
        <w:tc>
          <w:tcPr>
            <w:tcW w:w="1678" w:type="dxa"/>
            <w:vMerge/>
            <w:tcBorders>
              <w:top w:val="nil"/>
              <w:left w:val="single" w:sz="8" w:space="0" w:color="000000"/>
              <w:bottom w:val="single" w:sz="8" w:space="0" w:color="000000"/>
              <w:right w:val="single" w:sz="8" w:space="0" w:color="000000"/>
            </w:tcBorders>
            <w:vAlign w:val="center"/>
            <w:hideMark/>
          </w:tcPr>
          <w:p w:rsidR="001650BE" w:rsidRPr="005175ED" w:rsidRDefault="001650BE" w:rsidP="009C496D">
            <w:pPr>
              <w:spacing w:after="0" w:line="240" w:lineRule="auto"/>
              <w:rPr>
                <w:rFonts w:ascii="Times New Roman" w:eastAsia="Times New Roman" w:hAnsi="Times New Roman" w:cs="Times New Roman"/>
                <w:b/>
                <w:bCs/>
                <w:color w:val="000000"/>
                <w:sz w:val="20"/>
              </w:rPr>
            </w:pP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contributors</w:t>
            </w:r>
          </w:p>
        </w:tc>
        <w:tc>
          <w:tcPr>
            <w:tcW w:w="1578" w:type="dxa"/>
            <w:vMerge/>
            <w:tcBorders>
              <w:top w:val="nil"/>
              <w:left w:val="single" w:sz="8" w:space="0" w:color="000000"/>
              <w:bottom w:val="single" w:sz="8" w:space="0" w:color="000000"/>
              <w:right w:val="single" w:sz="8" w:space="0" w:color="000000"/>
            </w:tcBorders>
            <w:vAlign w:val="center"/>
            <w:hideMark/>
          </w:tcPr>
          <w:p w:rsidR="001650BE" w:rsidRPr="005175ED" w:rsidRDefault="001650BE" w:rsidP="009C496D">
            <w:pPr>
              <w:spacing w:after="0" w:line="240" w:lineRule="auto"/>
              <w:rPr>
                <w:rFonts w:ascii="Times New Roman" w:eastAsia="Times New Roman" w:hAnsi="Times New Roman" w:cs="Times New Roman"/>
                <w:b/>
                <w:bCs/>
                <w:color w:val="000000"/>
                <w:sz w:val="20"/>
              </w:rPr>
            </w:pPr>
          </w:p>
        </w:tc>
        <w:tc>
          <w:tcPr>
            <w:tcW w:w="2054" w:type="dxa"/>
            <w:vMerge/>
            <w:tcBorders>
              <w:top w:val="nil"/>
              <w:left w:val="single" w:sz="8" w:space="0" w:color="000000"/>
              <w:bottom w:val="single" w:sz="8" w:space="0" w:color="000000"/>
              <w:right w:val="single" w:sz="8" w:space="0" w:color="000000"/>
            </w:tcBorders>
            <w:vAlign w:val="center"/>
            <w:hideMark/>
          </w:tcPr>
          <w:p w:rsidR="001650BE" w:rsidRPr="005175ED" w:rsidRDefault="001650BE" w:rsidP="009C496D">
            <w:pPr>
              <w:spacing w:after="0" w:line="240" w:lineRule="auto"/>
              <w:rPr>
                <w:rFonts w:ascii="Times New Roman" w:eastAsia="Times New Roman" w:hAnsi="Times New Roman" w:cs="Times New Roman"/>
                <w:b/>
                <w:bCs/>
                <w:color w:val="000000"/>
                <w:sz w:val="20"/>
              </w:rPr>
            </w:pPr>
          </w:p>
        </w:tc>
        <w:tc>
          <w:tcPr>
            <w:tcW w:w="2070" w:type="dxa"/>
            <w:vMerge/>
            <w:tcBorders>
              <w:top w:val="nil"/>
              <w:left w:val="single" w:sz="8" w:space="0" w:color="000000"/>
              <w:bottom w:val="single" w:sz="8" w:space="0" w:color="000000"/>
              <w:right w:val="single" w:sz="8" w:space="0" w:color="000000"/>
            </w:tcBorders>
            <w:vAlign w:val="center"/>
            <w:hideMark/>
          </w:tcPr>
          <w:p w:rsidR="001650BE" w:rsidRPr="005175ED" w:rsidRDefault="001650BE" w:rsidP="009C496D">
            <w:pPr>
              <w:spacing w:after="0" w:line="240" w:lineRule="auto"/>
              <w:rPr>
                <w:rFonts w:ascii="Times New Roman" w:eastAsia="Times New Roman" w:hAnsi="Times New Roman" w:cs="Times New Roman"/>
                <w:b/>
                <w:bCs/>
                <w:color w:val="000000"/>
                <w:sz w:val="20"/>
              </w:rPr>
            </w:pP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2001</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558 473</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303 676</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134 908</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4 873 699</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76,46</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2002</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604 621</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298 069</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145 468</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4 872 715</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71,28</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2003</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646 785</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305 604</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156 070</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4 055 243</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84,48</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2004</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680 543</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286 718</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169 284</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6 369 266</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55,08</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2005</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720 090</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291 776</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177 891</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6 756 271</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52,8</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2006</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765 940</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303 164</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185 791</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6 816 052</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54,18</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2007</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819 821</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329 003</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194 730</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7 337 372</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51,93</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2008</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877 329</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365 858</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198 991</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7 800 320</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52,69</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2009</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941 825</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393 176</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209 796</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8 346 692</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57,37</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2010</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1 011 435</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424 162</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211 359</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8 494 919</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57,22</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2011</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1 123 932</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437 132</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215 517</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8 819 160</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57,27</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2012</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1 250 075</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472 787</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223 121</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9 288 143</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57,41</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2013</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1 287 463</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533 679</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231 466</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9 917 243</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57,21</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2014</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1 381 029</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582 223</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239 403</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10 626 369</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55,88</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2015</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1 493 629</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643 997</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243 241</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11 342 779</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54,01</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2016</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1 721 756</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915 934</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277 700</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11 957 202</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51,35</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2017</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1 806 124</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794 118</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289 356</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12 316 693</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47,69</w:t>
            </w:r>
          </w:p>
        </w:tc>
      </w:tr>
    </w:tbl>
    <w:p w:rsidR="001650BE" w:rsidRDefault="001650BE" w:rsidP="001650BE">
      <w:pPr>
        <w:pStyle w:val="P68B1DB1-Normal5"/>
        <w:widowControl w:val="0"/>
        <w:autoSpaceDE w:val="0"/>
        <w:autoSpaceDN w:val="0"/>
        <w:spacing w:after="0"/>
        <w:rPr>
          <w:lang w:val="en-US"/>
        </w:rPr>
      </w:pPr>
    </w:p>
    <w:p w:rsidR="001650BE" w:rsidRPr="006A766E" w:rsidRDefault="001650BE" w:rsidP="001650BE">
      <w:pPr>
        <w:pStyle w:val="P68B1DB1-Normal8"/>
        <w:widowControl w:val="0"/>
        <w:autoSpaceDE w:val="0"/>
        <w:autoSpaceDN w:val="0"/>
        <w:spacing w:before="10" w:after="0"/>
        <w:ind w:left="1"/>
        <w:rPr>
          <w:lang w:val="en-US"/>
        </w:rPr>
      </w:pPr>
      <w:r w:rsidRPr="006A766E">
        <w:rPr>
          <w:b/>
          <w:lang w:val="en-US"/>
        </w:rPr>
        <w:t xml:space="preserve">Source: </w:t>
      </w:r>
      <w:r w:rsidRPr="006A766E">
        <w:rPr>
          <w:lang w:val="en-US"/>
        </w:rPr>
        <w:t>Table produced by us from data from the National Statistics Office, 2016 edition, p. 22 and 23, 2017 edition, p. 22</w:t>
      </w:r>
      <w:r>
        <w:rPr>
          <w:lang w:val="en-US"/>
        </w:rPr>
        <w:t>,</w:t>
      </w:r>
      <w:r w:rsidRPr="006A766E">
        <w:rPr>
          <w:lang w:val="en-US"/>
        </w:rPr>
        <w:t xml:space="preserve"> 23 and 2018 edition, p. 19.</w:t>
      </w:r>
    </w:p>
    <w:p w:rsidR="001650BE" w:rsidRPr="006A766E" w:rsidRDefault="001650BE" w:rsidP="001650BE">
      <w:pPr>
        <w:widowControl w:val="0"/>
        <w:autoSpaceDE w:val="0"/>
        <w:autoSpaceDN w:val="0"/>
        <w:spacing w:before="253" w:after="0" w:line="240" w:lineRule="auto"/>
        <w:rPr>
          <w:rFonts w:ascii="Times New Roman" w:eastAsia="Times New Roman" w:hAnsi="Times New Roman" w:cs="Times New Roman"/>
          <w:sz w:val="24"/>
          <w:lang w:val="en-US"/>
        </w:rPr>
      </w:pPr>
    </w:p>
    <w:p w:rsidR="001650BE" w:rsidRPr="006A766E" w:rsidRDefault="001650BE" w:rsidP="001650BE">
      <w:pPr>
        <w:pStyle w:val="P68B1DB1-Normal3"/>
        <w:spacing w:line="360" w:lineRule="auto"/>
        <w:jc w:val="both"/>
        <w:rPr>
          <w:lang w:val="en-US"/>
        </w:rPr>
      </w:pPr>
      <w:r w:rsidRPr="006A766E">
        <w:rPr>
          <w:lang w:val="en-US"/>
        </w:rPr>
        <w:t>4.1.2. Financial situation and sustainability</w:t>
      </w:r>
    </w:p>
    <w:p w:rsidR="00B721E3" w:rsidRDefault="001650BE" w:rsidP="00B721E3">
      <w:pPr>
        <w:pStyle w:val="P68B1DB1-Normal4"/>
        <w:spacing w:before="240" w:line="360" w:lineRule="auto"/>
        <w:jc w:val="both"/>
        <w:rPr>
          <w:lang w:val="en-US"/>
        </w:rPr>
      </w:pPr>
      <w:r w:rsidRPr="006A766E">
        <w:rPr>
          <w:lang w:val="en-US"/>
        </w:rPr>
        <w:t xml:space="preserve">Until the early 1980s, the financial situation of the various caisses </w:t>
      </w:r>
      <w:r>
        <w:rPr>
          <w:lang w:val="en-US"/>
        </w:rPr>
        <w:t xml:space="preserve"> funds </w:t>
      </w:r>
      <w:r w:rsidRPr="006A766E">
        <w:rPr>
          <w:lang w:val="en-US"/>
        </w:rPr>
        <w:t xml:space="preserve">in Algeria was considered excellent because it did not show any deficit. The stability of the major economic factors that were supported by a significant increase in oil prices is the essential reason that pushed the State to engage in major actions without seriously harming the main resources of the organization.  </w:t>
      </w:r>
      <w:sdt>
        <w:sdtPr>
          <w:rPr>
            <w:szCs w:val="24"/>
          </w:rPr>
          <w:id w:val="221416629"/>
          <w:citation/>
        </w:sdtPr>
        <w:sdtEndPr/>
        <w:sdtContent>
          <w:r>
            <w:fldChar w:fldCharType="begin"/>
          </w:r>
          <w:r w:rsidRPr="006A766E">
            <w:rPr>
              <w:lang w:val="en-US"/>
            </w:rPr>
            <w:instrText xml:space="preserve">CITATION 10 \l 1036 </w:instrText>
          </w:r>
          <w:r>
            <w:fldChar w:fldCharType="separate"/>
          </w:r>
          <w:r w:rsidRPr="003D44B2">
            <w:rPr>
              <w:noProof/>
              <w:lang w:val="en-US"/>
            </w:rPr>
            <w:t>(Kara Terki, 2010)</w:t>
          </w:r>
          <w:r>
            <w:fldChar w:fldCharType="end"/>
          </w:r>
        </w:sdtContent>
      </w:sdt>
      <w:r w:rsidRPr="006A766E">
        <w:rPr>
          <w:lang w:val="en-US"/>
        </w:rPr>
        <w:t xml:space="preserve"> From the 1990s, the social security system began to experience serious financial difficulties due to the socio-economic changes that the country has experienced. The implementation of the structural adjustment programme (SAP), which resulted in particular in the abolition of price support (including that for medicines) and the decline in productive employment in the industrial sector, led to a profound change in the balance of the system</w:t>
      </w:r>
      <w:sdt>
        <w:sdtPr>
          <w:rPr>
            <w:szCs w:val="24"/>
          </w:rPr>
          <w:id w:val="-393042683"/>
          <w:citation/>
        </w:sdtPr>
        <w:sdtEndPr/>
        <w:sdtContent>
          <w:r>
            <w:fldChar w:fldCharType="begin"/>
          </w:r>
          <w:r w:rsidRPr="006A766E">
            <w:rPr>
              <w:lang w:val="en-US"/>
            </w:rPr>
            <w:instrText xml:space="preserve">CITATION Zeh08 \l 1036 </w:instrText>
          </w:r>
          <w:r>
            <w:fldChar w:fldCharType="separate"/>
          </w:r>
          <w:r w:rsidRPr="003D44B2">
            <w:rPr>
              <w:noProof/>
              <w:lang w:val="en-US"/>
            </w:rPr>
            <w:t xml:space="preserve"> (Zehnati, 2008)</w:t>
          </w:r>
          <w:r>
            <w:fldChar w:fldCharType="end"/>
          </w:r>
        </w:sdtContent>
      </w:sdt>
      <w:r w:rsidRPr="006A766E">
        <w:rPr>
          <w:lang w:val="en-US"/>
        </w:rPr>
        <w:t xml:space="preserve">. </w:t>
      </w:r>
      <w:r w:rsidR="00B721E3" w:rsidRPr="00B721E3">
        <w:rPr>
          <w:lang w:val="en-US"/>
        </w:rPr>
        <w:t>The financial situation of the social security funds has improved considerably since 2000, particularly for the CNAS. The latter is a privilege of the economic situation that has characterized the Algerian economy for this period, an increase in hydrocarbon prices.</w:t>
      </w:r>
    </w:p>
    <w:p w:rsidR="00B721E3" w:rsidRDefault="00B721E3" w:rsidP="00B721E3">
      <w:pPr>
        <w:pStyle w:val="P68B1DB1-Normal4"/>
        <w:spacing w:before="240" w:line="360" w:lineRule="auto"/>
        <w:jc w:val="both"/>
        <w:rPr>
          <w:lang w:val="en-US"/>
        </w:rPr>
      </w:pPr>
    </w:p>
    <w:p w:rsidR="00B721E3" w:rsidRDefault="00B721E3" w:rsidP="001650BE">
      <w:pPr>
        <w:pStyle w:val="P68B1DB1-Normal4"/>
        <w:spacing w:before="240" w:line="360" w:lineRule="auto"/>
        <w:jc w:val="both"/>
        <w:rPr>
          <w:lang w:val="en-US"/>
        </w:rPr>
      </w:pPr>
    </w:p>
    <w:p w:rsidR="001650BE" w:rsidRPr="006A766E" w:rsidRDefault="001650BE" w:rsidP="001650BE">
      <w:pPr>
        <w:pStyle w:val="P68B1DB1-Normal5"/>
        <w:widowControl w:val="0"/>
        <w:autoSpaceDE w:val="0"/>
        <w:autoSpaceDN w:val="0"/>
        <w:spacing w:after="0" w:line="240" w:lineRule="auto"/>
        <w:jc w:val="both"/>
        <w:rPr>
          <w:lang w:val="en-US"/>
        </w:rPr>
      </w:pPr>
      <w:r>
        <w:rPr>
          <w:lang w:val="en-US"/>
        </w:rPr>
        <w:t xml:space="preserve">   </w:t>
      </w:r>
      <w:r w:rsidRPr="006A766E">
        <w:rPr>
          <w:lang w:val="en-US"/>
        </w:rPr>
        <w:t>Table</w:t>
      </w:r>
      <w:r>
        <w:rPr>
          <w:lang w:val="en-US"/>
        </w:rPr>
        <w:t xml:space="preserve"> </w:t>
      </w:r>
      <w:r w:rsidRPr="006A766E">
        <w:rPr>
          <w:lang w:val="en-US"/>
        </w:rPr>
        <w:t>2</w:t>
      </w:r>
      <w:r>
        <w:rPr>
          <w:lang w:val="en-US"/>
        </w:rPr>
        <w:t>:</w:t>
      </w:r>
      <w:r w:rsidRPr="006A766E">
        <w:rPr>
          <w:lang w:val="en-US"/>
        </w:rPr>
        <w:t xml:space="preserve"> Financial balance of health insurance management funds in Algeria</w:t>
      </w:r>
      <w:r>
        <w:rPr>
          <w:lang w:val="en-US"/>
        </w:rPr>
        <w:t xml:space="preserve"> (2001-2017)</w:t>
      </w:r>
    </w:p>
    <w:p w:rsidR="001650BE" w:rsidRPr="006A766E" w:rsidRDefault="001650BE" w:rsidP="001650BE">
      <w:pPr>
        <w:widowControl w:val="0"/>
        <w:autoSpaceDE w:val="0"/>
        <w:autoSpaceDN w:val="0"/>
        <w:spacing w:after="0" w:line="240" w:lineRule="auto"/>
        <w:jc w:val="both"/>
        <w:rPr>
          <w:rFonts w:ascii="Times New Roman" w:eastAsia="Times New Roman" w:hAnsi="Times New Roman" w:cs="Times New Roman"/>
          <w:b/>
          <w:sz w:val="24"/>
          <w:lang w:val="en-US"/>
        </w:rPr>
      </w:pPr>
    </w:p>
    <w:p w:rsidR="001650BE" w:rsidRDefault="001650BE" w:rsidP="001650BE">
      <w:pPr>
        <w:pStyle w:val="P68B1DB1-Normal7"/>
        <w:widowControl w:val="0"/>
        <w:autoSpaceDE w:val="0"/>
        <w:autoSpaceDN w:val="0"/>
        <w:spacing w:before="43" w:after="34" w:line="240" w:lineRule="auto"/>
        <w:ind w:right="421"/>
        <w:jc w:val="right"/>
      </w:pPr>
      <w:r>
        <w:rPr>
          <w:b/>
        </w:rPr>
        <w:t xml:space="preserve">Unit: </w:t>
      </w:r>
      <w:r>
        <w:t>million DA</w:t>
      </w:r>
    </w:p>
    <w:p w:rsidR="001650BE" w:rsidRDefault="001650BE" w:rsidP="001650BE">
      <w:pPr>
        <w:pStyle w:val="P68B1DB1-Normal7"/>
        <w:widowControl w:val="0"/>
        <w:autoSpaceDE w:val="0"/>
        <w:autoSpaceDN w:val="0"/>
        <w:spacing w:before="43" w:after="34" w:line="240" w:lineRule="auto"/>
        <w:ind w:right="421"/>
        <w:jc w:val="right"/>
      </w:pPr>
    </w:p>
    <w:tbl>
      <w:tblPr>
        <w:tblpPr w:leftFromText="141" w:rightFromText="141" w:vertAnchor="text" w:horzAnchor="margin" w:tblpY="-61"/>
        <w:tblW w:w="9440" w:type="dxa"/>
        <w:tblCellMar>
          <w:left w:w="70" w:type="dxa"/>
          <w:right w:w="70" w:type="dxa"/>
        </w:tblCellMar>
        <w:tblLook w:val="04A0" w:firstRow="1" w:lastRow="0" w:firstColumn="1" w:lastColumn="0" w:noHBand="0" w:noVBand="1"/>
      </w:tblPr>
      <w:tblGrid>
        <w:gridCol w:w="1125"/>
        <w:gridCol w:w="1266"/>
        <w:gridCol w:w="1197"/>
        <w:gridCol w:w="1331"/>
        <w:gridCol w:w="1329"/>
        <w:gridCol w:w="1558"/>
        <w:gridCol w:w="1634"/>
      </w:tblGrid>
      <w:tr w:rsidR="001650BE" w:rsidRPr="00B660D8" w:rsidTr="009C496D">
        <w:trPr>
          <w:trHeight w:val="258"/>
        </w:trPr>
        <w:tc>
          <w:tcPr>
            <w:tcW w:w="11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Years</w:t>
            </w:r>
          </w:p>
        </w:tc>
        <w:tc>
          <w:tcPr>
            <w:tcW w:w="3794" w:type="dxa"/>
            <w:gridSpan w:val="3"/>
            <w:tcBorders>
              <w:top w:val="single" w:sz="8" w:space="0" w:color="000000"/>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CASNOS</w:t>
            </w:r>
          </w:p>
        </w:tc>
        <w:tc>
          <w:tcPr>
            <w:tcW w:w="4521" w:type="dxa"/>
            <w:gridSpan w:val="3"/>
            <w:tcBorders>
              <w:top w:val="single" w:sz="8" w:space="0" w:color="000000"/>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CNAS</w:t>
            </w:r>
          </w:p>
        </w:tc>
      </w:tr>
      <w:tr w:rsidR="001650BE" w:rsidRPr="00B660D8" w:rsidTr="009C496D">
        <w:trPr>
          <w:trHeight w:val="258"/>
        </w:trPr>
        <w:tc>
          <w:tcPr>
            <w:tcW w:w="1125" w:type="dxa"/>
            <w:vMerge/>
            <w:tcBorders>
              <w:top w:val="single" w:sz="8" w:space="0" w:color="000000"/>
              <w:left w:val="single" w:sz="8" w:space="0" w:color="000000"/>
              <w:bottom w:val="single" w:sz="8" w:space="0" w:color="000000"/>
              <w:right w:val="single" w:sz="8" w:space="0" w:color="000000"/>
            </w:tcBorders>
            <w:vAlign w:val="center"/>
            <w:hideMark/>
          </w:tcPr>
          <w:p w:rsidR="001650BE" w:rsidRPr="00B660D8" w:rsidRDefault="001650BE" w:rsidP="009C496D">
            <w:pPr>
              <w:spacing w:after="0" w:line="240" w:lineRule="auto"/>
              <w:rPr>
                <w:rFonts w:ascii="Times New Roman" w:eastAsia="Times New Roman" w:hAnsi="Times New Roman" w:cs="Times New Roman"/>
                <w:b/>
                <w:bCs/>
                <w:color w:val="000000"/>
                <w:sz w:val="20"/>
              </w:rPr>
            </w:pP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Incomes</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E</w:t>
            </w:r>
            <w:r w:rsidRPr="00B660D8">
              <w:rPr>
                <w:rFonts w:ascii="Times New Roman" w:eastAsia="Times New Roman" w:hAnsi="Times New Roman" w:cs="Times New Roman"/>
                <w:b/>
                <w:bCs/>
                <w:color w:val="000000"/>
                <w:sz w:val="20"/>
              </w:rPr>
              <w:t>xpenses</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Balances</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Incomes</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E</w:t>
            </w:r>
            <w:r w:rsidRPr="00B660D8">
              <w:rPr>
                <w:rFonts w:ascii="Times New Roman" w:eastAsia="Times New Roman" w:hAnsi="Times New Roman" w:cs="Times New Roman"/>
                <w:b/>
                <w:bCs/>
                <w:color w:val="000000"/>
                <w:sz w:val="20"/>
              </w:rPr>
              <w:t>xpenses</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Balances</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2001</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9065</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8819</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246</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88 174</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80 605</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7569</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2002</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10 121</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9464</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657</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104 771</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98 719</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6052</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2003</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9543</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10 306</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-763</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115 331</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106 431</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8900</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2004</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10 092</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11 700</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-1608</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137 144</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128 659</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8485</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2005</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10 588</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12 993</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-2405</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169 703</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159 711</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9992</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2006</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11 634</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13 497</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-1863</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162 429</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160 858</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1571</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2007</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14 545</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15 385</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-840</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176 930</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167 285</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9645</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2008</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17 146</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17 497</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-351</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217 423</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191 726</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25 697</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2009</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19 095</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17 739</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1356</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237 280</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187 104</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50 176</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2010</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23 668</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20 236</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3432</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290 835</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209 742</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81 093</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2011</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25 494</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23 558</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1836</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374 138</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240 607</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133 531</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2012</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30 789</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26 619</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4170</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477 285</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280 753</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196 532</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2013</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35 555</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31 612</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3943</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429 840</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322 523</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107 317</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2014</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38 572</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38 196</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376</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459 757</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374 060</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85 696</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2015</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43 709</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41 256</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2 453</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474 944</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395 395</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79 549</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2016</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71 780</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45 349</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26 431</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482 065</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400 553</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81 512</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2017</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63 895</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49 073</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14 822</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492 340</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435 227</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57 113</w:t>
            </w:r>
          </w:p>
        </w:tc>
      </w:tr>
    </w:tbl>
    <w:p w:rsidR="001650BE" w:rsidRDefault="001650BE" w:rsidP="001650BE">
      <w:pPr>
        <w:pStyle w:val="P68B1DB1-Normal8"/>
        <w:widowControl w:val="0"/>
        <w:autoSpaceDE w:val="0"/>
        <w:autoSpaceDN w:val="0"/>
        <w:spacing w:before="9" w:after="0"/>
        <w:ind w:right="420"/>
        <w:jc w:val="both"/>
        <w:rPr>
          <w:lang w:val="en-US"/>
        </w:rPr>
      </w:pPr>
      <w:r w:rsidRPr="000E23DE">
        <w:rPr>
          <w:b/>
          <w:lang w:val="en-US"/>
        </w:rPr>
        <w:t xml:space="preserve">Source: </w:t>
      </w:r>
      <w:r w:rsidRPr="000E23DE">
        <w:rPr>
          <w:lang w:val="en-US"/>
        </w:rPr>
        <w:t xml:space="preserve">Table produced by us from data from the National Statistics Office, 2016, 2017 and 2018 edition, p. 20 </w:t>
      </w:r>
      <w:r>
        <w:rPr>
          <w:lang w:val="en-US"/>
        </w:rPr>
        <w:t>,</w:t>
      </w:r>
      <w:r w:rsidRPr="000E23DE">
        <w:rPr>
          <w:lang w:val="en-US"/>
        </w:rPr>
        <w:t xml:space="preserve"> 21</w:t>
      </w:r>
      <w:r>
        <w:rPr>
          <w:lang w:val="en-US"/>
        </w:rPr>
        <w:t xml:space="preserve"> and 18</w:t>
      </w:r>
      <w:r w:rsidRPr="000E23DE">
        <w:rPr>
          <w:lang w:val="en-US"/>
        </w:rPr>
        <w:t>.</w:t>
      </w:r>
    </w:p>
    <w:p w:rsidR="00FE3828" w:rsidRDefault="00FE3828" w:rsidP="001650BE">
      <w:pPr>
        <w:pStyle w:val="P68B1DB1-Normal8"/>
        <w:widowControl w:val="0"/>
        <w:autoSpaceDE w:val="0"/>
        <w:autoSpaceDN w:val="0"/>
        <w:spacing w:before="9" w:after="0"/>
        <w:ind w:right="420"/>
        <w:jc w:val="both"/>
        <w:rPr>
          <w:lang w:val="en-US"/>
        </w:rPr>
      </w:pPr>
    </w:p>
    <w:p w:rsidR="001650BE" w:rsidRPr="006A766E" w:rsidRDefault="001650BE" w:rsidP="001650BE">
      <w:pPr>
        <w:pStyle w:val="P68B1DB1-Normal9"/>
        <w:widowControl w:val="0"/>
        <w:autoSpaceDE w:val="0"/>
        <w:autoSpaceDN w:val="0"/>
        <w:spacing w:before="130" w:after="0" w:line="360" w:lineRule="auto"/>
        <w:rPr>
          <w:rFonts w:ascii="Times New Roman" w:eastAsia="Times New Roman" w:hAnsi="Times New Roman" w:cs="Times New Roman"/>
          <w:sz w:val="26"/>
          <w:lang w:val="en-US"/>
        </w:rPr>
      </w:pPr>
      <w:r w:rsidRPr="006A766E">
        <w:rPr>
          <w:rFonts w:asciiTheme="majorBidi" w:hAnsiTheme="majorBidi" w:cstheme="majorBidi"/>
          <w:sz w:val="24"/>
          <w:lang w:val="en-US"/>
        </w:rPr>
        <w:t xml:space="preserve">4.1.2.1. </w:t>
      </w:r>
      <w:r w:rsidRPr="006A766E">
        <w:rPr>
          <w:rFonts w:ascii="Times New Roman" w:eastAsia="Times New Roman" w:hAnsi="Times New Roman" w:cs="Times New Roman"/>
          <w:sz w:val="26"/>
          <w:lang w:val="en-US"/>
        </w:rPr>
        <w:t>Analysis of health insurance expenditure in Algeria</w:t>
      </w:r>
    </w:p>
    <w:p w:rsidR="001650BE" w:rsidRDefault="001650BE" w:rsidP="001650BE">
      <w:pPr>
        <w:pStyle w:val="P68B1DB1-Normal8"/>
        <w:widowControl w:val="0"/>
        <w:autoSpaceDE w:val="0"/>
        <w:autoSpaceDN w:val="0"/>
        <w:spacing w:before="130" w:after="0" w:line="360" w:lineRule="auto"/>
        <w:jc w:val="both"/>
        <w:rPr>
          <w:lang w:val="en-US"/>
        </w:rPr>
      </w:pPr>
      <w:r w:rsidRPr="006A766E">
        <w:rPr>
          <w:lang w:val="en-US"/>
        </w:rPr>
        <w:t>Health insurance, through its two funds (CNAS and CASNOS), faces a constant increase in expenses stimulated by various factors, and particularly by the effects induced by the health transition, the extension of public and private supply as well as by the vagaries of the drug market, which remains difficult to control, regardless of the policies implemented in this direction</w:t>
      </w:r>
      <w:sdt>
        <w:sdtPr>
          <w:rPr>
            <w:szCs w:val="24"/>
          </w:rPr>
          <w:id w:val="-440224376"/>
          <w:citation/>
        </w:sdtPr>
        <w:sdtEndPr/>
        <w:sdtContent>
          <w:r>
            <w:fldChar w:fldCharType="begin"/>
          </w:r>
          <w:r w:rsidRPr="006A766E">
            <w:rPr>
              <w:lang w:val="en-US"/>
            </w:rPr>
            <w:instrText xml:space="preserve"> CITATION Espace_réservé4 \l 1036 </w:instrText>
          </w:r>
          <w:r>
            <w:fldChar w:fldCharType="separate"/>
          </w:r>
          <w:r>
            <w:rPr>
              <w:noProof/>
              <w:lang w:val="en-US"/>
            </w:rPr>
            <w:t xml:space="preserve"> </w:t>
          </w:r>
          <w:r w:rsidRPr="00697916">
            <w:rPr>
              <w:noProof/>
              <w:lang w:val="en-US"/>
            </w:rPr>
            <w:t>(Brahamia,B, 2010a)</w:t>
          </w:r>
          <w:r>
            <w:fldChar w:fldCharType="end"/>
          </w:r>
        </w:sdtContent>
      </w:sdt>
      <w:r w:rsidRPr="006A766E">
        <w:rPr>
          <w:lang w:val="en-US"/>
        </w:rPr>
        <w:t>.Indeed, the analysis of health insurance expenditure indicates that it has been increasing steadily since 1990, at an accelerated pace. They have increased nearly 60.86 times in the space of 26 years. In constant dinars, health insurance expenditure also recorded a considerable evolution, however this evolution is less than the evolution of health insurance expenditure in current dinars (Figure N°1).</w:t>
      </w:r>
    </w:p>
    <w:p w:rsidR="00A63170" w:rsidRDefault="00A63170" w:rsidP="001650BE">
      <w:pPr>
        <w:pStyle w:val="P68B1DB1-Normal5"/>
        <w:widowControl w:val="0"/>
        <w:autoSpaceDE w:val="0"/>
        <w:autoSpaceDN w:val="0"/>
        <w:spacing w:after="0"/>
        <w:ind w:right="298"/>
        <w:jc w:val="center"/>
        <w:rPr>
          <w:lang w:val="en-US"/>
        </w:rPr>
      </w:pPr>
    </w:p>
    <w:p w:rsidR="001650BE" w:rsidRDefault="001650BE" w:rsidP="001650BE">
      <w:pPr>
        <w:pStyle w:val="P68B1DB1-Normal5"/>
        <w:widowControl w:val="0"/>
        <w:autoSpaceDE w:val="0"/>
        <w:autoSpaceDN w:val="0"/>
        <w:spacing w:after="0"/>
        <w:ind w:right="298"/>
        <w:jc w:val="center"/>
        <w:rPr>
          <w:lang w:val="en-US"/>
        </w:rPr>
      </w:pPr>
      <w:r w:rsidRPr="006A766E">
        <w:rPr>
          <w:lang w:val="en-US"/>
        </w:rPr>
        <w:t>Figure 0</w:t>
      </w:r>
      <w:r>
        <w:rPr>
          <w:lang w:val="en-US"/>
        </w:rPr>
        <w:t>1:</w:t>
      </w:r>
      <w:r w:rsidRPr="006A766E">
        <w:rPr>
          <w:lang w:val="en-US"/>
        </w:rPr>
        <w:t xml:space="preserve"> Evolution of CNAS health insurance expenses</w:t>
      </w:r>
    </w:p>
    <w:p w:rsidR="001650BE" w:rsidRDefault="001650BE" w:rsidP="001650BE">
      <w:pPr>
        <w:pStyle w:val="P68B1DB1-Normal5"/>
        <w:widowControl w:val="0"/>
        <w:autoSpaceDE w:val="0"/>
        <w:autoSpaceDN w:val="0"/>
        <w:spacing w:after="0"/>
        <w:ind w:right="298"/>
        <w:jc w:val="center"/>
        <w:rPr>
          <w:lang w:val="en-US"/>
        </w:rPr>
      </w:pPr>
      <w:r w:rsidRPr="006A766E">
        <w:rPr>
          <w:lang w:val="en-US"/>
        </w:rPr>
        <w:t>(in million DA)</w:t>
      </w:r>
    </w:p>
    <w:p w:rsidR="001650BE" w:rsidRDefault="001650BE" w:rsidP="001650BE">
      <w:pPr>
        <w:pStyle w:val="P68B1DB1-Normal7"/>
        <w:widowControl w:val="0"/>
        <w:autoSpaceDE w:val="0"/>
        <w:autoSpaceDN w:val="0"/>
        <w:spacing w:before="95" w:after="0" w:line="240" w:lineRule="auto"/>
        <w:rPr>
          <w:lang w:val="en-US"/>
        </w:rPr>
      </w:pPr>
      <w:r>
        <w:rPr>
          <w:noProof/>
          <w:lang w:val="en-IN" w:eastAsia="en-IN"/>
        </w:rPr>
        <w:lastRenderedPageBreak/>
        <w:drawing>
          <wp:inline distT="0" distB="0" distL="0" distR="0" wp14:anchorId="2FB6FFA6" wp14:editId="1A7A5E1F">
            <wp:extent cx="6033135" cy="3407410"/>
            <wp:effectExtent l="0" t="0" r="5715" b="254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650BE" w:rsidRPr="006A766E" w:rsidRDefault="001650BE" w:rsidP="001650BE">
      <w:pPr>
        <w:pStyle w:val="P68B1DB1-Normal7"/>
        <w:widowControl w:val="0"/>
        <w:autoSpaceDE w:val="0"/>
        <w:autoSpaceDN w:val="0"/>
        <w:spacing w:before="95" w:after="0" w:line="240" w:lineRule="auto"/>
        <w:rPr>
          <w:lang w:val="en-US"/>
        </w:rPr>
      </w:pPr>
    </w:p>
    <w:p w:rsidR="001650BE" w:rsidRPr="00C8456A" w:rsidRDefault="001650BE" w:rsidP="001650BE">
      <w:pPr>
        <w:pStyle w:val="P68B1DB1-Normal8"/>
        <w:widowControl w:val="0"/>
        <w:autoSpaceDE w:val="0"/>
        <w:autoSpaceDN w:val="0"/>
        <w:spacing w:after="0" w:line="240" w:lineRule="auto"/>
        <w:rPr>
          <w:lang w:val="en-US"/>
        </w:rPr>
      </w:pPr>
      <w:r w:rsidRPr="006A766E">
        <w:rPr>
          <w:b/>
          <w:lang w:val="en-US"/>
        </w:rPr>
        <w:t xml:space="preserve">Source: </w:t>
      </w:r>
      <w:r w:rsidRPr="00C8456A">
        <w:rPr>
          <w:lang w:val="en-US"/>
        </w:rPr>
        <w:t>Graph made by us from:</w:t>
      </w:r>
    </w:p>
    <w:p w:rsidR="001650BE" w:rsidRPr="003D44B2" w:rsidRDefault="001650BE" w:rsidP="001650BE">
      <w:pPr>
        <w:pStyle w:val="P68B1DB1-Normal8"/>
        <w:numPr>
          <w:ilvl w:val="0"/>
          <w:numId w:val="8"/>
        </w:numPr>
        <w:rPr>
          <w:lang w:val="en-US"/>
        </w:rPr>
      </w:pPr>
      <w:r w:rsidRPr="003D44B2">
        <w:rPr>
          <w:lang w:val="en-US"/>
        </w:rPr>
        <w:t xml:space="preserve"> Data collected from the Directorate General of Social Security (DGSS).</w:t>
      </w:r>
    </w:p>
    <w:p w:rsidR="001650BE" w:rsidRPr="006A766E" w:rsidRDefault="001650BE" w:rsidP="001650BE">
      <w:pPr>
        <w:widowControl w:val="0"/>
        <w:autoSpaceDE w:val="0"/>
        <w:autoSpaceDN w:val="0"/>
        <w:spacing w:before="5" w:after="0" w:line="240" w:lineRule="auto"/>
        <w:rPr>
          <w:rFonts w:ascii="Times New Roman" w:eastAsia="Times New Roman" w:hAnsi="Times New Roman" w:cs="Times New Roman"/>
          <w:sz w:val="24"/>
          <w:lang w:val="en-US"/>
        </w:rPr>
      </w:pPr>
    </w:p>
    <w:p w:rsidR="001650BE" w:rsidRPr="006A766E" w:rsidRDefault="001650BE" w:rsidP="001650BE">
      <w:pPr>
        <w:pStyle w:val="P68B1DB1-Normal11"/>
        <w:widowControl w:val="0"/>
        <w:autoSpaceDE w:val="0"/>
        <w:autoSpaceDN w:val="0"/>
        <w:spacing w:before="45" w:after="0" w:line="360" w:lineRule="auto"/>
        <w:ind w:right="422"/>
        <w:jc w:val="both"/>
        <w:rPr>
          <w:lang w:val="en-US"/>
        </w:rPr>
      </w:pPr>
      <w:r w:rsidRPr="006A766E">
        <w:rPr>
          <w:lang w:val="en-US"/>
        </w:rPr>
        <w:t>1 The health expenditure structure of the social insurance branch</w:t>
      </w:r>
    </w:p>
    <w:p w:rsidR="001650BE" w:rsidRPr="006A766E" w:rsidRDefault="001650BE" w:rsidP="001650BE">
      <w:pPr>
        <w:pStyle w:val="P68B1DB1-Normal8"/>
        <w:widowControl w:val="0"/>
        <w:autoSpaceDE w:val="0"/>
        <w:autoSpaceDN w:val="0"/>
        <w:spacing w:before="45" w:after="0" w:line="360" w:lineRule="auto"/>
        <w:ind w:right="422"/>
        <w:jc w:val="both"/>
        <w:rPr>
          <w:lang w:val="en-US"/>
        </w:rPr>
      </w:pPr>
      <w:r w:rsidRPr="006A766E">
        <w:rPr>
          <w:lang w:val="en-US"/>
        </w:rPr>
        <w:t>In the following, we will review the expenditure structure of the social insurance branch where sickness risk is the main risk covered. We therefore look at the main expenses of this branch: these are the hospital package, transfers for care abroad, drug reimbursements and daily allowances.</w:t>
      </w:r>
    </w:p>
    <w:p w:rsidR="001650BE" w:rsidRPr="006A766E" w:rsidRDefault="001650BE" w:rsidP="001650BE">
      <w:pPr>
        <w:pStyle w:val="P68B1DB1-Normal11"/>
        <w:widowControl w:val="0"/>
        <w:autoSpaceDE w:val="0"/>
        <w:autoSpaceDN w:val="0"/>
        <w:spacing w:before="130" w:after="0" w:line="360" w:lineRule="auto"/>
        <w:rPr>
          <w:lang w:val="en-US"/>
        </w:rPr>
      </w:pPr>
      <w:r w:rsidRPr="006A766E">
        <w:rPr>
          <w:lang w:val="en-US"/>
        </w:rPr>
        <w:t>A. Drug reimbursements</w:t>
      </w:r>
    </w:p>
    <w:p w:rsidR="001650BE" w:rsidRDefault="001650BE" w:rsidP="001650BE">
      <w:pPr>
        <w:pStyle w:val="P68B1DB1-Normal8"/>
        <w:widowControl w:val="0"/>
        <w:autoSpaceDE w:val="0"/>
        <w:autoSpaceDN w:val="0"/>
        <w:spacing w:before="130" w:after="0" w:line="360" w:lineRule="auto"/>
        <w:jc w:val="both"/>
        <w:rPr>
          <w:lang w:val="en-US"/>
        </w:rPr>
      </w:pPr>
      <w:r w:rsidRPr="006A766E">
        <w:rPr>
          <w:lang w:val="en-US"/>
        </w:rPr>
        <w:t>Drug reimbursement is the largest item of expenditure of the CNAS, accounting for 7.45% of expenditure in 1990. In 2017, it reached 84% of total health insurance spending and continues to increase, at an accelerated pace. This expenditure has undergone a continuous evolution, increasing from DZD 0.94 billion in 1990 to DZD 190 billion in 2016 (Figure2), i.e. a multiplication by 202.12. This change in reimbursements is mainly due to the increase in drug prices, following successive currency devaluations, as well as the increase in the number of insured persons.</w:t>
      </w:r>
    </w:p>
    <w:p w:rsidR="00A63170" w:rsidRDefault="00A63170" w:rsidP="001650BE">
      <w:pPr>
        <w:pStyle w:val="P68B1DB1-Normal8"/>
        <w:widowControl w:val="0"/>
        <w:autoSpaceDE w:val="0"/>
        <w:autoSpaceDN w:val="0"/>
        <w:spacing w:before="130" w:after="0" w:line="360" w:lineRule="auto"/>
        <w:jc w:val="both"/>
        <w:rPr>
          <w:lang w:val="en-US"/>
        </w:rPr>
      </w:pPr>
    </w:p>
    <w:p w:rsidR="001650BE" w:rsidRDefault="001650BE" w:rsidP="001650BE">
      <w:pPr>
        <w:pStyle w:val="P68B1DB1-Normal5"/>
        <w:widowControl w:val="0"/>
        <w:autoSpaceDE w:val="0"/>
        <w:autoSpaceDN w:val="0"/>
        <w:spacing w:after="0"/>
        <w:ind w:right="298"/>
        <w:jc w:val="center"/>
        <w:rPr>
          <w:lang w:val="en-US"/>
        </w:rPr>
      </w:pPr>
      <w:r w:rsidRPr="006A766E">
        <w:rPr>
          <w:lang w:val="en-US"/>
        </w:rPr>
        <w:t>Figure 0</w:t>
      </w:r>
      <w:r>
        <w:rPr>
          <w:lang w:val="en-US"/>
        </w:rPr>
        <w:t xml:space="preserve">2: </w:t>
      </w:r>
      <w:r w:rsidRPr="006A766E">
        <w:rPr>
          <w:lang w:val="en-US"/>
        </w:rPr>
        <w:t>Evolution of drug reimbursements in Algeria                                                           (in billion DA)</w:t>
      </w:r>
    </w:p>
    <w:p w:rsidR="001650BE" w:rsidRDefault="001650BE" w:rsidP="001650BE">
      <w:pPr>
        <w:pStyle w:val="P68B1DB1-Normal5"/>
        <w:widowControl w:val="0"/>
        <w:autoSpaceDE w:val="0"/>
        <w:autoSpaceDN w:val="0"/>
        <w:spacing w:after="0"/>
        <w:ind w:right="298"/>
        <w:jc w:val="center"/>
        <w:rPr>
          <w:lang w:val="en-US"/>
        </w:rPr>
      </w:pPr>
    </w:p>
    <w:p w:rsidR="001650BE" w:rsidRDefault="001650BE" w:rsidP="001650BE">
      <w:pPr>
        <w:pStyle w:val="P68B1DB1-Normal5"/>
        <w:widowControl w:val="0"/>
        <w:autoSpaceDE w:val="0"/>
        <w:autoSpaceDN w:val="0"/>
        <w:spacing w:after="0"/>
        <w:ind w:right="298"/>
        <w:jc w:val="center"/>
        <w:rPr>
          <w:lang w:val="en-US"/>
        </w:rPr>
      </w:pPr>
      <w:r>
        <w:rPr>
          <w:noProof/>
          <w:lang w:val="en-IN" w:eastAsia="en-IN"/>
        </w:rPr>
        <w:lastRenderedPageBreak/>
        <w:drawing>
          <wp:inline distT="0" distB="0" distL="0" distR="0" wp14:anchorId="1806E451" wp14:editId="5B71A5F4">
            <wp:extent cx="6147435" cy="2990850"/>
            <wp:effectExtent l="0" t="0" r="5715" b="0"/>
            <wp:docPr id="60" name="Graphique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50BE" w:rsidRDefault="001650BE" w:rsidP="001650BE">
      <w:pPr>
        <w:pStyle w:val="P68B1DB1-Normal5"/>
        <w:widowControl w:val="0"/>
        <w:autoSpaceDE w:val="0"/>
        <w:autoSpaceDN w:val="0"/>
        <w:spacing w:after="0"/>
        <w:ind w:right="298"/>
        <w:jc w:val="center"/>
        <w:rPr>
          <w:lang w:val="en-US"/>
        </w:rPr>
      </w:pPr>
    </w:p>
    <w:p w:rsidR="001650BE" w:rsidRPr="00C8456A" w:rsidRDefault="001650BE" w:rsidP="001650BE">
      <w:pPr>
        <w:pStyle w:val="P68B1DB1-Normal8"/>
        <w:widowControl w:val="0"/>
        <w:autoSpaceDE w:val="0"/>
        <w:autoSpaceDN w:val="0"/>
        <w:spacing w:after="0" w:line="240" w:lineRule="auto"/>
        <w:rPr>
          <w:lang w:val="en-US"/>
        </w:rPr>
      </w:pPr>
      <w:r w:rsidRPr="006A766E">
        <w:rPr>
          <w:b/>
          <w:lang w:val="en-US"/>
        </w:rPr>
        <w:t xml:space="preserve">Source: </w:t>
      </w:r>
      <w:r w:rsidRPr="00C8456A">
        <w:rPr>
          <w:lang w:val="en-US"/>
        </w:rPr>
        <w:t>Graph made by us from:</w:t>
      </w:r>
    </w:p>
    <w:p w:rsidR="001650BE" w:rsidRPr="003D44B2" w:rsidRDefault="001650BE" w:rsidP="001650BE">
      <w:pPr>
        <w:pStyle w:val="P68B1DB1-Normal8"/>
        <w:numPr>
          <w:ilvl w:val="0"/>
          <w:numId w:val="8"/>
        </w:numPr>
        <w:rPr>
          <w:lang w:val="en-US"/>
        </w:rPr>
      </w:pPr>
      <w:r w:rsidRPr="003D44B2">
        <w:rPr>
          <w:lang w:val="en-US"/>
        </w:rPr>
        <w:t>Data collected from the Directorate General of Social Security (DGSS).</w:t>
      </w:r>
    </w:p>
    <w:p w:rsidR="001650BE" w:rsidRPr="006A766E" w:rsidRDefault="001650BE" w:rsidP="001650BE">
      <w:pPr>
        <w:widowControl w:val="0"/>
        <w:autoSpaceDE w:val="0"/>
        <w:autoSpaceDN w:val="0"/>
        <w:spacing w:after="0" w:line="240" w:lineRule="auto"/>
        <w:rPr>
          <w:rFonts w:ascii="Times New Roman" w:eastAsia="Times New Roman" w:hAnsi="Times New Roman" w:cs="Times New Roman"/>
          <w:sz w:val="24"/>
          <w:lang w:val="en-US"/>
        </w:rPr>
      </w:pPr>
    </w:p>
    <w:p w:rsidR="001650BE" w:rsidRPr="006A766E" w:rsidRDefault="001650BE" w:rsidP="001650BE">
      <w:pPr>
        <w:pStyle w:val="P68B1DB1-Normal8"/>
        <w:widowControl w:val="0"/>
        <w:autoSpaceDE w:val="0"/>
        <w:autoSpaceDN w:val="0"/>
        <w:spacing w:before="1" w:after="0" w:line="360" w:lineRule="auto"/>
        <w:ind w:right="428"/>
        <w:jc w:val="both"/>
        <w:rPr>
          <w:lang w:val="en-US"/>
        </w:rPr>
      </w:pPr>
      <w:r w:rsidRPr="006A766E">
        <w:rPr>
          <w:lang w:val="en-US"/>
        </w:rPr>
        <w:t>The growth in reimbursement expenses can also be explained by the increase in the number of reimbursable molecules. Indeed, the data in Table 38 indicate that the number of IBDs is continuously increasing from 897 IBDs in 2000 to 1365 in 2012. The number of brands reimbursed by the CNAS also increased over the period from 2,300 brands to 4,500 brands between 2000 and 2012.</w:t>
      </w:r>
    </w:p>
    <w:p w:rsidR="001650BE" w:rsidRPr="006A766E" w:rsidRDefault="001650BE" w:rsidP="001650BE">
      <w:pPr>
        <w:widowControl w:val="0"/>
        <w:autoSpaceDE w:val="0"/>
        <w:autoSpaceDN w:val="0"/>
        <w:spacing w:before="18" w:after="0" w:line="240" w:lineRule="auto"/>
        <w:rPr>
          <w:rFonts w:ascii="Times New Roman" w:eastAsia="Times New Roman" w:hAnsi="Times New Roman" w:cs="Times New Roman"/>
          <w:sz w:val="26"/>
          <w:lang w:val="en-US"/>
        </w:rPr>
      </w:pPr>
    </w:p>
    <w:p w:rsidR="001650BE" w:rsidRPr="006A766E" w:rsidRDefault="001650BE" w:rsidP="001650BE">
      <w:pPr>
        <w:pStyle w:val="P68B1DB1-Normal5"/>
        <w:widowControl w:val="0"/>
        <w:autoSpaceDE w:val="0"/>
        <w:autoSpaceDN w:val="0"/>
        <w:spacing w:after="42" w:line="240" w:lineRule="auto"/>
        <w:ind w:right="421"/>
        <w:jc w:val="center"/>
        <w:rPr>
          <w:lang w:val="en-US"/>
        </w:rPr>
      </w:pPr>
      <w:r w:rsidRPr="006A766E">
        <w:rPr>
          <w:lang w:val="en-US"/>
        </w:rPr>
        <w:t>Table</w:t>
      </w:r>
      <w:r>
        <w:rPr>
          <w:lang w:val="en-US"/>
        </w:rPr>
        <w:t xml:space="preserve"> </w:t>
      </w:r>
      <w:r w:rsidRPr="006A766E">
        <w:rPr>
          <w:lang w:val="en-US"/>
        </w:rPr>
        <w:t>3</w:t>
      </w:r>
      <w:r>
        <w:rPr>
          <w:lang w:val="en-US"/>
        </w:rPr>
        <w:t>:</w:t>
      </w:r>
      <w:r w:rsidRPr="006A766E">
        <w:rPr>
          <w:lang w:val="en-US"/>
        </w:rPr>
        <w:t xml:space="preserve"> Structure of drugs reimbursable by the CNAS</w:t>
      </w:r>
    </w:p>
    <w:p w:rsidR="001650BE" w:rsidRDefault="001650BE" w:rsidP="001650BE">
      <w:pPr>
        <w:pStyle w:val="P68B1DB1-Normal5"/>
        <w:widowControl w:val="0"/>
        <w:autoSpaceDE w:val="0"/>
        <w:autoSpaceDN w:val="0"/>
        <w:spacing w:after="42" w:line="240" w:lineRule="auto"/>
        <w:ind w:right="421"/>
        <w:jc w:val="center"/>
      </w:pPr>
      <w:r>
        <w:t>(2000-2012)</w:t>
      </w:r>
    </w:p>
    <w:tbl>
      <w:tblPr>
        <w:tblStyle w:val="TableNormal1"/>
        <w:tblpPr w:leftFromText="141" w:rightFromText="141" w:vertAnchor="text" w:horzAnchor="margin" w:tblpY="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4"/>
        <w:gridCol w:w="3645"/>
        <w:gridCol w:w="3025"/>
      </w:tblGrid>
      <w:tr w:rsidR="001650BE" w:rsidTr="009C496D">
        <w:trPr>
          <w:trHeight w:val="318"/>
        </w:trPr>
        <w:tc>
          <w:tcPr>
            <w:tcW w:w="2394" w:type="dxa"/>
          </w:tcPr>
          <w:p w:rsidR="001650BE" w:rsidRDefault="001650BE" w:rsidP="009C496D">
            <w:pPr>
              <w:pStyle w:val="P68B1DB1-Normal5"/>
              <w:spacing w:before="1"/>
              <w:ind w:right="4"/>
              <w:jc w:val="center"/>
            </w:pPr>
            <w:r>
              <w:t>Years</w:t>
            </w:r>
          </w:p>
        </w:tc>
        <w:tc>
          <w:tcPr>
            <w:tcW w:w="3645" w:type="dxa"/>
          </w:tcPr>
          <w:p w:rsidR="001650BE" w:rsidRDefault="001650BE" w:rsidP="009C496D">
            <w:pPr>
              <w:pStyle w:val="P68B1DB1-Normal5"/>
              <w:spacing w:before="1"/>
              <w:ind w:right="1263"/>
              <w:jc w:val="center"/>
            </w:pPr>
            <w:r>
              <w:t>Number of Inns</w:t>
            </w:r>
          </w:p>
        </w:tc>
        <w:tc>
          <w:tcPr>
            <w:tcW w:w="3025" w:type="dxa"/>
          </w:tcPr>
          <w:p w:rsidR="001650BE" w:rsidRDefault="001650BE" w:rsidP="009C496D">
            <w:pPr>
              <w:pStyle w:val="P68B1DB1-Normal5"/>
              <w:spacing w:before="1"/>
              <w:jc w:val="center"/>
            </w:pPr>
            <w:r>
              <w:t>Number of brandings</w:t>
            </w:r>
          </w:p>
        </w:tc>
      </w:tr>
      <w:tr w:rsidR="001650BE" w:rsidTr="009C496D">
        <w:trPr>
          <w:trHeight w:val="263"/>
        </w:trPr>
        <w:tc>
          <w:tcPr>
            <w:tcW w:w="2394" w:type="dxa"/>
          </w:tcPr>
          <w:p w:rsidR="001650BE" w:rsidRDefault="001650BE" w:rsidP="009C496D">
            <w:pPr>
              <w:pStyle w:val="P68B1DB1-Normal7"/>
              <w:jc w:val="center"/>
            </w:pPr>
            <w:r>
              <w:t>2000</w:t>
            </w:r>
          </w:p>
        </w:tc>
        <w:tc>
          <w:tcPr>
            <w:tcW w:w="3645" w:type="dxa"/>
          </w:tcPr>
          <w:p w:rsidR="001650BE" w:rsidRDefault="001650BE" w:rsidP="009C496D">
            <w:pPr>
              <w:pStyle w:val="P68B1DB1-Normal7"/>
            </w:pPr>
            <w:r>
              <w:t xml:space="preserve">                     897</w:t>
            </w:r>
          </w:p>
        </w:tc>
        <w:tc>
          <w:tcPr>
            <w:tcW w:w="3025" w:type="dxa"/>
          </w:tcPr>
          <w:p w:rsidR="001650BE" w:rsidRDefault="001650BE" w:rsidP="009C496D">
            <w:pPr>
              <w:pStyle w:val="P68B1DB1-Normal7"/>
              <w:ind w:right="1"/>
              <w:jc w:val="center"/>
            </w:pPr>
            <w:r>
              <w:t>2300</w:t>
            </w:r>
          </w:p>
        </w:tc>
      </w:tr>
      <w:tr w:rsidR="001650BE" w:rsidTr="009C496D">
        <w:trPr>
          <w:trHeight w:val="265"/>
        </w:trPr>
        <w:tc>
          <w:tcPr>
            <w:tcW w:w="2394" w:type="dxa"/>
          </w:tcPr>
          <w:p w:rsidR="001650BE" w:rsidRDefault="001650BE" w:rsidP="009C496D">
            <w:pPr>
              <w:pStyle w:val="P68B1DB1-Normal7"/>
              <w:jc w:val="center"/>
            </w:pPr>
            <w:r>
              <w:t>2007</w:t>
            </w:r>
          </w:p>
        </w:tc>
        <w:tc>
          <w:tcPr>
            <w:tcW w:w="3645" w:type="dxa"/>
          </w:tcPr>
          <w:p w:rsidR="001650BE" w:rsidRDefault="001650BE" w:rsidP="009C496D">
            <w:pPr>
              <w:pStyle w:val="P68B1DB1-Normal7"/>
              <w:ind w:right="1295"/>
              <w:jc w:val="center"/>
            </w:pPr>
            <w:r>
              <w:t>1,134</w:t>
            </w:r>
          </w:p>
        </w:tc>
        <w:tc>
          <w:tcPr>
            <w:tcW w:w="3025" w:type="dxa"/>
          </w:tcPr>
          <w:p w:rsidR="001650BE" w:rsidRDefault="001650BE" w:rsidP="009C496D">
            <w:pPr>
              <w:pStyle w:val="P68B1DB1-Normal7"/>
              <w:ind w:right="1"/>
              <w:jc w:val="center"/>
            </w:pPr>
            <w:r>
              <w:t>3000</w:t>
            </w:r>
          </w:p>
        </w:tc>
      </w:tr>
      <w:tr w:rsidR="001650BE" w:rsidTr="009C496D">
        <w:trPr>
          <w:trHeight w:val="263"/>
        </w:trPr>
        <w:tc>
          <w:tcPr>
            <w:tcW w:w="2394" w:type="dxa"/>
          </w:tcPr>
          <w:p w:rsidR="001650BE" w:rsidRDefault="001650BE" w:rsidP="009C496D">
            <w:pPr>
              <w:pStyle w:val="P68B1DB1-Normal7"/>
              <w:jc w:val="center"/>
            </w:pPr>
            <w:r>
              <w:t>2008</w:t>
            </w:r>
          </w:p>
        </w:tc>
        <w:tc>
          <w:tcPr>
            <w:tcW w:w="3645" w:type="dxa"/>
          </w:tcPr>
          <w:p w:rsidR="001650BE" w:rsidRDefault="001650BE" w:rsidP="009C496D">
            <w:pPr>
              <w:pStyle w:val="P68B1DB1-Normal7"/>
              <w:ind w:right="1295"/>
              <w:jc w:val="center"/>
            </w:pPr>
            <w:r>
              <w:t>1198</w:t>
            </w:r>
          </w:p>
        </w:tc>
        <w:tc>
          <w:tcPr>
            <w:tcW w:w="3025" w:type="dxa"/>
          </w:tcPr>
          <w:p w:rsidR="001650BE" w:rsidRDefault="001650BE" w:rsidP="009C496D">
            <w:pPr>
              <w:pStyle w:val="P68B1DB1-Normal7"/>
              <w:ind w:right="1"/>
              <w:jc w:val="center"/>
            </w:pPr>
            <w:r>
              <w:t>3138</w:t>
            </w:r>
          </w:p>
        </w:tc>
      </w:tr>
      <w:tr w:rsidR="001650BE" w:rsidTr="009C496D">
        <w:trPr>
          <w:trHeight w:val="263"/>
        </w:trPr>
        <w:tc>
          <w:tcPr>
            <w:tcW w:w="2394" w:type="dxa"/>
          </w:tcPr>
          <w:p w:rsidR="001650BE" w:rsidRDefault="001650BE" w:rsidP="009C496D">
            <w:pPr>
              <w:pStyle w:val="P68B1DB1-Normal7"/>
              <w:jc w:val="center"/>
            </w:pPr>
            <w:r>
              <w:t>2009</w:t>
            </w:r>
          </w:p>
        </w:tc>
        <w:tc>
          <w:tcPr>
            <w:tcW w:w="3645" w:type="dxa"/>
          </w:tcPr>
          <w:p w:rsidR="001650BE" w:rsidRDefault="001650BE" w:rsidP="009C496D">
            <w:pPr>
              <w:pStyle w:val="P68B1DB1-Normal7"/>
              <w:ind w:right="1295"/>
              <w:jc w:val="center"/>
            </w:pPr>
            <w:r>
              <w:t>1300</w:t>
            </w:r>
          </w:p>
        </w:tc>
        <w:tc>
          <w:tcPr>
            <w:tcW w:w="3025" w:type="dxa"/>
          </w:tcPr>
          <w:p w:rsidR="001650BE" w:rsidRDefault="001650BE" w:rsidP="009C496D">
            <w:pPr>
              <w:pStyle w:val="P68B1DB1-Normal7"/>
              <w:jc w:val="center"/>
            </w:pPr>
            <w:r>
              <w:t>-</w:t>
            </w:r>
          </w:p>
        </w:tc>
      </w:tr>
      <w:tr w:rsidR="001650BE" w:rsidTr="009C496D">
        <w:trPr>
          <w:trHeight w:val="265"/>
        </w:trPr>
        <w:tc>
          <w:tcPr>
            <w:tcW w:w="2394" w:type="dxa"/>
          </w:tcPr>
          <w:p w:rsidR="001650BE" w:rsidRDefault="001650BE" w:rsidP="009C496D">
            <w:pPr>
              <w:pStyle w:val="P68B1DB1-Normal7"/>
              <w:jc w:val="center"/>
            </w:pPr>
            <w:r>
              <w:t>2010</w:t>
            </w:r>
          </w:p>
        </w:tc>
        <w:tc>
          <w:tcPr>
            <w:tcW w:w="3645" w:type="dxa"/>
          </w:tcPr>
          <w:p w:rsidR="001650BE" w:rsidRDefault="001650BE" w:rsidP="009C496D">
            <w:pPr>
              <w:pStyle w:val="P68B1DB1-Normal7"/>
              <w:ind w:right="1295"/>
              <w:jc w:val="center"/>
            </w:pPr>
            <w:r>
              <w:t>1344</w:t>
            </w:r>
          </w:p>
        </w:tc>
        <w:tc>
          <w:tcPr>
            <w:tcW w:w="3025" w:type="dxa"/>
          </w:tcPr>
          <w:p w:rsidR="001650BE" w:rsidRDefault="001650BE" w:rsidP="009C496D">
            <w:pPr>
              <w:pStyle w:val="P68B1DB1-Normal7"/>
              <w:ind w:right="1"/>
              <w:jc w:val="center"/>
            </w:pPr>
            <w:r>
              <w:t>4000</w:t>
            </w:r>
          </w:p>
        </w:tc>
      </w:tr>
      <w:tr w:rsidR="001650BE" w:rsidTr="009C496D">
        <w:trPr>
          <w:trHeight w:val="263"/>
        </w:trPr>
        <w:tc>
          <w:tcPr>
            <w:tcW w:w="2394" w:type="dxa"/>
          </w:tcPr>
          <w:p w:rsidR="001650BE" w:rsidRDefault="001650BE" w:rsidP="009C496D">
            <w:pPr>
              <w:pStyle w:val="P68B1DB1-Normal7"/>
              <w:jc w:val="center"/>
            </w:pPr>
            <w:r>
              <w:t>2012</w:t>
            </w:r>
          </w:p>
        </w:tc>
        <w:tc>
          <w:tcPr>
            <w:tcW w:w="3645" w:type="dxa"/>
          </w:tcPr>
          <w:p w:rsidR="001650BE" w:rsidRDefault="001650BE" w:rsidP="009C496D">
            <w:pPr>
              <w:pStyle w:val="P68B1DB1-Normal7"/>
              <w:ind w:right="1295"/>
              <w:jc w:val="center"/>
            </w:pPr>
            <w:r>
              <w:t>1365</w:t>
            </w:r>
          </w:p>
        </w:tc>
        <w:tc>
          <w:tcPr>
            <w:tcW w:w="3025" w:type="dxa"/>
          </w:tcPr>
          <w:p w:rsidR="001650BE" w:rsidRDefault="001650BE" w:rsidP="009C496D">
            <w:pPr>
              <w:pStyle w:val="P68B1DB1-Normal7"/>
              <w:ind w:right="1"/>
              <w:jc w:val="center"/>
            </w:pPr>
            <w:r>
              <w:t>4500</w:t>
            </w:r>
          </w:p>
        </w:tc>
      </w:tr>
    </w:tbl>
    <w:p w:rsidR="001650BE" w:rsidRDefault="001650BE" w:rsidP="001650BE">
      <w:pPr>
        <w:widowControl w:val="0"/>
        <w:autoSpaceDE w:val="0"/>
        <w:autoSpaceDN w:val="0"/>
        <w:spacing w:after="42" w:line="240" w:lineRule="auto"/>
        <w:ind w:right="421"/>
        <w:jc w:val="center"/>
        <w:rPr>
          <w:rFonts w:ascii="Times New Roman" w:eastAsia="Times New Roman" w:hAnsi="Times New Roman" w:cs="Times New Roman"/>
          <w:b/>
          <w:sz w:val="24"/>
        </w:rPr>
      </w:pPr>
    </w:p>
    <w:p w:rsidR="001650BE" w:rsidRPr="006A766E" w:rsidRDefault="001650BE" w:rsidP="001650BE">
      <w:pPr>
        <w:pStyle w:val="P68B1DB1-Normal8"/>
        <w:widowControl w:val="0"/>
        <w:autoSpaceDE w:val="0"/>
        <w:autoSpaceDN w:val="0"/>
        <w:spacing w:before="6" w:after="0" w:line="240" w:lineRule="auto"/>
        <w:rPr>
          <w:lang w:val="en-US"/>
        </w:rPr>
      </w:pPr>
      <w:r w:rsidRPr="006A766E">
        <w:rPr>
          <w:b/>
          <w:lang w:val="en-US"/>
        </w:rPr>
        <w:t>Source</w:t>
      </w:r>
      <w:r w:rsidRPr="006A766E">
        <w:rPr>
          <w:lang w:val="en-US"/>
        </w:rPr>
        <w:t>: Table made by us from:</w:t>
      </w:r>
    </w:p>
    <w:p w:rsidR="001650BE" w:rsidRDefault="001650BE" w:rsidP="001650BE">
      <w:pPr>
        <w:pStyle w:val="P68B1DB1-Normal8"/>
        <w:widowControl w:val="0"/>
        <w:numPr>
          <w:ilvl w:val="0"/>
          <w:numId w:val="8"/>
        </w:numPr>
        <w:tabs>
          <w:tab w:val="left" w:pos="721"/>
        </w:tabs>
        <w:autoSpaceDE w:val="0"/>
        <w:autoSpaceDN w:val="0"/>
        <w:spacing w:after="0" w:line="271" w:lineRule="auto"/>
        <w:ind w:right="422"/>
        <w:jc w:val="both"/>
        <w:rPr>
          <w:i/>
        </w:rPr>
      </w:pPr>
      <w:r>
        <w:t>Brahamia B. (2008), "Quel alternative de financement de l 'assurance maladie dans la transition sanitaire en Algérie",</w:t>
      </w:r>
    </w:p>
    <w:p w:rsidR="001650BE" w:rsidRDefault="001650BE" w:rsidP="001650BE">
      <w:pPr>
        <w:pStyle w:val="P68B1DB1-Normal8"/>
        <w:widowControl w:val="0"/>
        <w:numPr>
          <w:ilvl w:val="0"/>
          <w:numId w:val="8"/>
        </w:numPr>
        <w:tabs>
          <w:tab w:val="left" w:pos="721"/>
        </w:tabs>
        <w:autoSpaceDE w:val="0"/>
        <w:autoSpaceDN w:val="0"/>
        <w:spacing w:after="0" w:line="268" w:lineRule="auto"/>
        <w:ind w:right="423"/>
        <w:jc w:val="both"/>
        <w:rPr>
          <w:b/>
        </w:rPr>
      </w:pPr>
      <w:r>
        <w:t xml:space="preserve">Snoussi Z. (2017), "Les faux réponses à l 'augmentation des dépenses de remboursement des médicaments en Algérie", </w:t>
      </w:r>
      <w:r>
        <w:rPr>
          <w:i/>
        </w:rPr>
        <w:t xml:space="preserve">In Les évolution récents du système de santé algérien, </w:t>
      </w:r>
      <w:r>
        <w:t>Edition CREAD, p</w:t>
      </w:r>
      <w:r>
        <w:rPr>
          <w:b/>
        </w:rPr>
        <w:t xml:space="preserve">. </w:t>
      </w:r>
      <w:r w:rsidRPr="000C30F6">
        <w:rPr>
          <w:bCs/>
        </w:rPr>
        <w:t>86.</w:t>
      </w:r>
      <w:r>
        <w:rPr>
          <w:b/>
        </w:rPr>
        <w:t xml:space="preserve"> </w:t>
      </w:r>
    </w:p>
    <w:p w:rsidR="001650BE" w:rsidRPr="006A766E" w:rsidRDefault="001650BE" w:rsidP="001650BE">
      <w:pPr>
        <w:pStyle w:val="P68B1DB1-Normal11"/>
        <w:widowControl w:val="0"/>
        <w:autoSpaceDE w:val="0"/>
        <w:autoSpaceDN w:val="0"/>
        <w:spacing w:after="0" w:line="360" w:lineRule="auto"/>
        <w:jc w:val="both"/>
        <w:rPr>
          <w:lang w:val="en-US"/>
        </w:rPr>
      </w:pPr>
      <w:r w:rsidRPr="006A766E">
        <w:rPr>
          <w:lang w:val="en-US"/>
        </w:rPr>
        <w:t>B. Transfers for care abroad</w:t>
      </w:r>
    </w:p>
    <w:p w:rsidR="001650BE" w:rsidRDefault="001650BE" w:rsidP="001650BE">
      <w:pPr>
        <w:pStyle w:val="P68B1DB1-Normal8"/>
        <w:widowControl w:val="0"/>
        <w:autoSpaceDE w:val="0"/>
        <w:autoSpaceDN w:val="0"/>
        <w:spacing w:before="45" w:after="0" w:line="360" w:lineRule="auto"/>
        <w:ind w:right="362"/>
        <w:jc w:val="both"/>
        <w:rPr>
          <w:lang w:val="en-US"/>
        </w:rPr>
      </w:pPr>
      <w:r w:rsidRPr="006A766E">
        <w:rPr>
          <w:lang w:val="en-US"/>
        </w:rPr>
        <w:t xml:space="preserve">Transfers abroad decreased from 6,300 patients in 1985 to 2,100 patients in 1990, a decrease </w:t>
      </w:r>
      <w:r w:rsidRPr="006A766E">
        <w:rPr>
          <w:lang w:val="en-US"/>
        </w:rPr>
        <w:lastRenderedPageBreak/>
        <w:t>of 66.66% due to the economic crisis experienced by the country during the 1980s, and to the decrease in hydrocarbon export revenues during this period, then doubled from 2,100 in 1990 to 4,539 in 1994. From 1995 to 2016, they again experienced a considerable decline, from 2411 to 163 respectively (Figure3). This decrease is the result of measures taken by the public authorities to reduce spending on care abroad, through the reduction in the number of pathologies eligible for transfers, the diversification of host countries and the encouragement of foreign medical teams to come to Algeria. Nevertheless, the expenses related to this item continue to increase: they have doubled in the space of 14 years from 0.76 billion DA in 1985 DA to 1.5 billion DA in 2009 due to the fact that the care provided abroad concerns serious diseases requiring high costs.</w:t>
      </w:r>
    </w:p>
    <w:p w:rsidR="001650BE" w:rsidRPr="006A766E" w:rsidRDefault="001650BE" w:rsidP="001650BE">
      <w:pPr>
        <w:pStyle w:val="P68B1DB1-Normal5"/>
        <w:widowControl w:val="0"/>
        <w:autoSpaceDE w:val="0"/>
        <w:autoSpaceDN w:val="0"/>
        <w:spacing w:after="0" w:line="240" w:lineRule="auto"/>
        <w:jc w:val="center"/>
        <w:rPr>
          <w:lang w:val="en-US"/>
        </w:rPr>
      </w:pPr>
      <w:r w:rsidRPr="006A766E">
        <w:rPr>
          <w:lang w:val="en-US"/>
        </w:rPr>
        <w:t>Figure 03</w:t>
      </w:r>
      <w:r>
        <w:rPr>
          <w:lang w:val="en-US"/>
        </w:rPr>
        <w:t>:</w:t>
      </w:r>
      <w:r w:rsidRPr="006A766E">
        <w:rPr>
          <w:lang w:val="en-US"/>
        </w:rPr>
        <w:t xml:space="preserve"> Evolution of transfers for care abroad in Algeria</w:t>
      </w:r>
    </w:p>
    <w:p w:rsidR="001650BE" w:rsidRPr="006A766E" w:rsidRDefault="001650BE" w:rsidP="001650BE">
      <w:pPr>
        <w:widowControl w:val="0"/>
        <w:autoSpaceDE w:val="0"/>
        <w:autoSpaceDN w:val="0"/>
        <w:spacing w:after="0" w:line="240" w:lineRule="auto"/>
        <w:jc w:val="center"/>
        <w:rPr>
          <w:rFonts w:ascii="Times New Roman" w:eastAsia="Times New Roman" w:hAnsi="Times New Roman" w:cs="Times New Roman"/>
          <w:b/>
          <w:sz w:val="24"/>
          <w:lang w:val="en-US"/>
        </w:rPr>
      </w:pPr>
    </w:p>
    <w:p w:rsidR="001650BE" w:rsidRPr="006A766E" w:rsidRDefault="001650BE" w:rsidP="001650BE">
      <w:pPr>
        <w:widowControl w:val="0"/>
        <w:autoSpaceDE w:val="0"/>
        <w:autoSpaceDN w:val="0"/>
        <w:spacing w:after="0" w:line="240" w:lineRule="auto"/>
        <w:rPr>
          <w:rFonts w:ascii="Times New Roman" w:eastAsia="Times New Roman" w:hAnsi="Times New Roman" w:cs="Times New Roman"/>
          <w:sz w:val="20"/>
          <w:lang w:val="en-US"/>
        </w:rPr>
      </w:pPr>
      <w:r>
        <w:rPr>
          <w:rFonts w:ascii="Times New Roman" w:eastAsia="Times New Roman" w:hAnsi="Times New Roman" w:cs="Times New Roman"/>
          <w:noProof/>
          <w:sz w:val="18"/>
          <w:lang w:val="en-IN" w:eastAsia="en-IN"/>
        </w:rPr>
        <w:drawing>
          <wp:inline distT="0" distB="0" distL="0" distR="0" wp14:anchorId="0675E66F" wp14:editId="7415E90B">
            <wp:extent cx="6033135" cy="2840990"/>
            <wp:effectExtent l="0" t="0" r="5715" b="16510"/>
            <wp:docPr id="62" name="Graphique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650BE" w:rsidRPr="006A766E" w:rsidRDefault="001650BE" w:rsidP="001650BE">
      <w:pPr>
        <w:widowControl w:val="0"/>
        <w:autoSpaceDE w:val="0"/>
        <w:autoSpaceDN w:val="0"/>
        <w:spacing w:before="65" w:after="0" w:line="240" w:lineRule="auto"/>
        <w:rPr>
          <w:rFonts w:ascii="Times New Roman" w:eastAsia="Times New Roman" w:hAnsi="Times New Roman" w:cs="Times New Roman"/>
          <w:sz w:val="20"/>
          <w:lang w:val="en-US"/>
        </w:rPr>
      </w:pPr>
    </w:p>
    <w:p w:rsidR="001650BE" w:rsidRPr="006A766E" w:rsidRDefault="001650BE" w:rsidP="001650BE">
      <w:pPr>
        <w:pStyle w:val="P68B1DB1-Normal7"/>
        <w:widowControl w:val="0"/>
        <w:autoSpaceDE w:val="0"/>
        <w:autoSpaceDN w:val="0"/>
        <w:spacing w:before="1" w:after="0" w:line="240" w:lineRule="auto"/>
        <w:jc w:val="center"/>
        <w:rPr>
          <w:lang w:val="en-US"/>
        </w:rPr>
      </w:pPr>
      <w:r>
        <w:rPr>
          <w:noProof/>
          <w:lang w:val="en-IN" w:eastAsia="en-IN"/>
        </w:rPr>
        <mc:AlternateContent>
          <mc:Choice Requires="wps">
            <w:drawing>
              <wp:anchor distT="0" distB="0" distL="0" distR="0" simplePos="0" relativeHeight="251658240" behindDoc="0" locked="0" layoutInCell="1" allowOverlap="1" wp14:anchorId="079A3818" wp14:editId="4266B62D">
                <wp:simplePos x="0" y="0"/>
                <wp:positionH relativeFrom="page">
                  <wp:posOffset>2322830</wp:posOffset>
                </wp:positionH>
                <wp:positionV relativeFrom="paragraph">
                  <wp:posOffset>77470</wp:posOffset>
                </wp:positionV>
                <wp:extent cx="24384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270"/>
                        </a:xfrm>
                        <a:custGeom>
                          <a:avLst/>
                          <a:gdLst/>
                          <a:ahLst/>
                          <a:cxnLst/>
                          <a:rect l="l" t="t" r="r" b="b"/>
                          <a:pathLst>
                            <a:path w="243840">
                              <a:moveTo>
                                <a:pt x="0" y="0"/>
                              </a:moveTo>
                              <a:lnTo>
                                <a:pt x="243839" y="0"/>
                              </a:lnTo>
                            </a:path>
                          </a:pathLst>
                        </a:custGeom>
                        <a:ln w="28575">
                          <a:solidFill>
                            <a:srgbClr val="497DBA"/>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CF74C9" id="Graphic 23" o:spid="_x0000_s1026" style="position:absolute;margin-left:182.9pt;margin-top:6.1pt;width:19.2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4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" path="m,l243839,e" filled="f" strokecolor="#497dba" strokeweight="2.25pt">
                <v:path arrowok="t"/>
                <w10:wrap anchorx="page"/>
              </v:shape>
            </w:pict>
          </mc:Fallback>
        </mc:AlternateContent>
      </w:r>
      <w:r w:rsidRPr="006A766E">
        <w:rPr>
          <w:lang w:val="en-US"/>
        </w:rPr>
        <w:t>Number of patients transferred abroad</w:t>
      </w:r>
    </w:p>
    <w:p w:rsidR="001650BE" w:rsidRPr="006A766E" w:rsidRDefault="001650BE" w:rsidP="001650BE">
      <w:pPr>
        <w:pStyle w:val="P68B1DB1-Normal8"/>
        <w:widowControl w:val="0"/>
        <w:autoSpaceDE w:val="0"/>
        <w:autoSpaceDN w:val="0"/>
        <w:spacing w:before="226" w:after="0" w:line="240" w:lineRule="auto"/>
        <w:rPr>
          <w:lang w:val="en-US"/>
        </w:rPr>
      </w:pPr>
      <w:r w:rsidRPr="006A766E">
        <w:rPr>
          <w:b/>
          <w:lang w:val="en-US"/>
        </w:rPr>
        <w:t xml:space="preserve">Source: </w:t>
      </w:r>
      <w:r w:rsidRPr="006A766E">
        <w:rPr>
          <w:lang w:val="en-US"/>
        </w:rPr>
        <w:t>Graph made by us from:</w:t>
      </w:r>
    </w:p>
    <w:p w:rsidR="001650BE" w:rsidRPr="003D44B2" w:rsidRDefault="001650BE" w:rsidP="001650BE">
      <w:pPr>
        <w:pStyle w:val="ListParagraph"/>
        <w:numPr>
          <w:ilvl w:val="0"/>
          <w:numId w:val="8"/>
        </w:numPr>
        <w:rPr>
          <w:lang w:val="en-US"/>
        </w:rPr>
      </w:pPr>
      <w:r w:rsidRPr="003D44B2">
        <w:rPr>
          <w:lang w:val="en-US"/>
        </w:rPr>
        <w:t xml:space="preserve">   Data collected from the Directorate General of Social Security (DGSS).</w:t>
      </w:r>
    </w:p>
    <w:p w:rsidR="001650BE" w:rsidRPr="006A766E" w:rsidRDefault="001650BE" w:rsidP="001650BE">
      <w:pPr>
        <w:pStyle w:val="ListParagraph"/>
        <w:ind w:firstLine="0"/>
        <w:rPr>
          <w:sz w:val="24"/>
          <w:lang w:val="en-US"/>
        </w:rPr>
      </w:pPr>
    </w:p>
    <w:p w:rsidR="001650BE" w:rsidRPr="006A766E" w:rsidRDefault="001650BE" w:rsidP="001650BE">
      <w:pPr>
        <w:pStyle w:val="P68B1DB1-Normal11"/>
        <w:widowControl w:val="0"/>
        <w:autoSpaceDE w:val="0"/>
        <w:autoSpaceDN w:val="0"/>
        <w:spacing w:before="44" w:after="0" w:line="360" w:lineRule="auto"/>
        <w:ind w:right="426"/>
        <w:jc w:val="both"/>
        <w:rPr>
          <w:lang w:val="en-US"/>
        </w:rPr>
      </w:pPr>
      <w:r w:rsidRPr="006A766E">
        <w:rPr>
          <w:lang w:val="en-US"/>
        </w:rPr>
        <w:t>C. The hospitals package</w:t>
      </w:r>
    </w:p>
    <w:p w:rsidR="001650BE" w:rsidRDefault="001650BE" w:rsidP="001650BE">
      <w:pPr>
        <w:pStyle w:val="P68B1DB1-Normal8"/>
        <w:widowControl w:val="0"/>
        <w:autoSpaceDE w:val="0"/>
        <w:autoSpaceDN w:val="0"/>
        <w:spacing w:before="44" w:after="0" w:line="360" w:lineRule="auto"/>
        <w:ind w:right="426"/>
        <w:jc w:val="both"/>
        <w:rPr>
          <w:lang w:val="en-US"/>
        </w:rPr>
      </w:pPr>
      <w:r w:rsidRPr="006A766E">
        <w:rPr>
          <w:lang w:val="en-US"/>
        </w:rPr>
        <w:t xml:space="preserve">Since 1974 and under the law on free medicine in Algeria, social security has been called upon to contribute to the financing of the operating budget of health institutions through a flat-rate contribution fixed annually under the finance law. These budgetary provisions, called "hospital packages", are a financial obligation supposed to compensate for the health benefits provided to insured persons and their beneficiaries (Kara Terki, 2010, p240). Since its establishment in 1973, the hospital package has seen a steady increase. Indeed, it increased from 120 million DA in 1973 to 27,021 million DA in 2004, a multiplication by 225.17 in the </w:t>
      </w:r>
      <w:r w:rsidRPr="006A766E">
        <w:rPr>
          <w:lang w:val="en-US"/>
        </w:rPr>
        <w:lastRenderedPageBreak/>
        <w:t>space of 31 years. This increase in the hospital fee is due, on the one hand, to the gradual disengagement from the State budget, and on the other hand, to problems related to the determination of the actual amount of benefits provided to insured persons and their beneficiaries in terms of hospitalization and care provided. Since 2005, when the contractualisation process was set up and started, the fixed fee for hospitals has been set at 35,000 million DA. In 2016, it rose to 65,000 million DA (Figure 4), which remains high despite the implementation of the contracting process.</w:t>
      </w:r>
    </w:p>
    <w:p w:rsidR="00A63170" w:rsidRDefault="00A63170" w:rsidP="001650BE">
      <w:pPr>
        <w:pStyle w:val="P68B1DB1-Normal5"/>
        <w:widowControl w:val="0"/>
        <w:autoSpaceDE w:val="0"/>
        <w:autoSpaceDN w:val="0"/>
        <w:spacing w:before="1" w:after="0" w:line="240" w:lineRule="auto"/>
        <w:jc w:val="center"/>
        <w:rPr>
          <w:lang w:val="en-US"/>
        </w:rPr>
      </w:pPr>
    </w:p>
    <w:p w:rsidR="001650BE" w:rsidRPr="006A766E" w:rsidRDefault="001650BE" w:rsidP="001650BE">
      <w:pPr>
        <w:pStyle w:val="P68B1DB1-Normal5"/>
        <w:widowControl w:val="0"/>
        <w:autoSpaceDE w:val="0"/>
        <w:autoSpaceDN w:val="0"/>
        <w:spacing w:before="1" w:after="0" w:line="240" w:lineRule="auto"/>
        <w:jc w:val="center"/>
        <w:rPr>
          <w:lang w:val="en-US"/>
        </w:rPr>
      </w:pPr>
      <w:r w:rsidRPr="006A766E">
        <w:rPr>
          <w:lang w:val="en-US"/>
        </w:rPr>
        <w:t>Figure 0</w:t>
      </w:r>
      <w:r>
        <w:rPr>
          <w:lang w:val="en-US"/>
        </w:rPr>
        <w:t>4:</w:t>
      </w:r>
      <w:r w:rsidRPr="006A766E">
        <w:rPr>
          <w:lang w:val="en-US"/>
        </w:rPr>
        <w:t xml:space="preserve"> Evolution of the hospital package in Algeria (in million DA)</w:t>
      </w:r>
    </w:p>
    <w:p w:rsidR="001650BE" w:rsidRPr="006A766E" w:rsidRDefault="001650BE" w:rsidP="001650BE">
      <w:pPr>
        <w:widowControl w:val="0"/>
        <w:autoSpaceDE w:val="0"/>
        <w:autoSpaceDN w:val="0"/>
        <w:spacing w:before="1" w:after="0" w:line="240" w:lineRule="auto"/>
        <w:jc w:val="center"/>
        <w:rPr>
          <w:rFonts w:ascii="Times New Roman" w:eastAsia="Times New Roman" w:hAnsi="Times New Roman" w:cs="Times New Roman"/>
          <w:b/>
          <w:sz w:val="24"/>
          <w:lang w:val="en-US"/>
        </w:rPr>
      </w:pPr>
    </w:p>
    <w:p w:rsidR="001650BE" w:rsidRPr="006A766E" w:rsidRDefault="001650BE" w:rsidP="001650BE">
      <w:pPr>
        <w:pStyle w:val="P68B1DB1-Normal7"/>
        <w:widowControl w:val="0"/>
        <w:autoSpaceDE w:val="0"/>
        <w:autoSpaceDN w:val="0"/>
        <w:spacing w:after="0" w:line="240" w:lineRule="auto"/>
        <w:jc w:val="center"/>
        <w:rPr>
          <w:lang w:val="en-US"/>
        </w:rPr>
      </w:pPr>
      <w:r>
        <w:rPr>
          <w:noProof/>
          <w:sz w:val="18"/>
          <w:lang w:val="en-IN" w:eastAsia="en-IN"/>
        </w:rPr>
        <w:drawing>
          <wp:inline distT="0" distB="0" distL="0" distR="0" wp14:anchorId="1736B152" wp14:editId="283D41F3">
            <wp:extent cx="6033135" cy="2941955"/>
            <wp:effectExtent l="0" t="0" r="5715" b="10795"/>
            <wp:docPr id="66" name="Graphique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lang w:val="en-US"/>
        </w:rPr>
        <w:t xml:space="preserve">                         </w:t>
      </w:r>
    </w:p>
    <w:p w:rsidR="001650BE" w:rsidRPr="006A766E" w:rsidRDefault="001650BE" w:rsidP="001650BE">
      <w:pPr>
        <w:pStyle w:val="P68B1DB1-Normal8"/>
        <w:widowControl w:val="0"/>
        <w:autoSpaceDE w:val="0"/>
        <w:autoSpaceDN w:val="0"/>
        <w:spacing w:before="226" w:after="0" w:line="240" w:lineRule="auto"/>
        <w:jc w:val="both"/>
        <w:rPr>
          <w:lang w:val="en-US"/>
        </w:rPr>
      </w:pPr>
      <w:r w:rsidRPr="006A766E">
        <w:rPr>
          <w:b/>
          <w:lang w:val="en-US"/>
        </w:rPr>
        <w:t xml:space="preserve">Source: </w:t>
      </w:r>
      <w:r w:rsidRPr="006A766E">
        <w:rPr>
          <w:lang w:val="en-US"/>
        </w:rPr>
        <w:t>Graph made by us from:</w:t>
      </w:r>
    </w:p>
    <w:p w:rsidR="001650BE" w:rsidRPr="003D44B2" w:rsidRDefault="001650BE" w:rsidP="001650BE">
      <w:pPr>
        <w:pStyle w:val="P68B1DB1-Normal8"/>
        <w:widowControl w:val="0"/>
        <w:numPr>
          <w:ilvl w:val="0"/>
          <w:numId w:val="6"/>
        </w:numPr>
        <w:tabs>
          <w:tab w:val="left" w:pos="721"/>
        </w:tabs>
        <w:autoSpaceDE w:val="0"/>
        <w:autoSpaceDN w:val="0"/>
        <w:spacing w:before="42" w:after="0" w:line="268" w:lineRule="auto"/>
        <w:ind w:right="420"/>
        <w:jc w:val="both"/>
        <w:rPr>
          <w:lang w:val="en-US"/>
        </w:rPr>
      </w:pPr>
      <w:r w:rsidRPr="006A766E">
        <w:rPr>
          <w:lang w:val="en-US"/>
        </w:rPr>
        <w:t>CNES (2001), "The evolution of social protection systems and the prospects, conditions and modalities for ensuring their financial balance",</w:t>
      </w:r>
      <w:r w:rsidRPr="006A766E">
        <w:rPr>
          <w:vertAlign w:val="superscript"/>
          <w:lang w:val="en-US"/>
        </w:rPr>
        <w:t xml:space="preserve"> 18th</w:t>
      </w:r>
      <w:r w:rsidRPr="006A766E">
        <w:rPr>
          <w:lang w:val="en-US"/>
        </w:rPr>
        <w:t xml:space="preserve"> plenary session, June 2001. p. 75.</w:t>
      </w:r>
    </w:p>
    <w:p w:rsidR="001650BE" w:rsidRPr="003D44B2" w:rsidRDefault="001650BE" w:rsidP="001650BE">
      <w:pPr>
        <w:widowControl w:val="0"/>
        <w:tabs>
          <w:tab w:val="left" w:pos="721"/>
          <w:tab w:val="left" w:pos="5865"/>
        </w:tabs>
        <w:autoSpaceDE w:val="0"/>
        <w:autoSpaceDN w:val="0"/>
        <w:spacing w:before="42" w:after="0" w:line="268" w:lineRule="auto"/>
        <w:ind w:left="644" w:right="420"/>
        <w:jc w:val="both"/>
        <w:rPr>
          <w:rFonts w:ascii="Times New Roman" w:eastAsia="Times New Roman" w:hAnsi="Times New Roman" w:cs="Times New Roman"/>
          <w:sz w:val="24"/>
          <w:lang w:val="en-US"/>
        </w:rPr>
      </w:pPr>
      <w:r w:rsidRPr="003D44B2">
        <w:rPr>
          <w:rFonts w:ascii="Times New Roman" w:eastAsia="Times New Roman" w:hAnsi="Times New Roman" w:cs="Times New Roman"/>
          <w:sz w:val="24"/>
          <w:lang w:val="en-US"/>
        </w:rPr>
        <w:tab/>
      </w:r>
    </w:p>
    <w:p w:rsidR="001650BE" w:rsidRPr="003D44B2" w:rsidRDefault="001650BE" w:rsidP="001650BE">
      <w:pPr>
        <w:pStyle w:val="P68B1DB1-Normal14"/>
        <w:widowControl w:val="0"/>
        <w:tabs>
          <w:tab w:val="left" w:pos="721"/>
        </w:tabs>
        <w:autoSpaceDE w:val="0"/>
        <w:autoSpaceDN w:val="0"/>
        <w:spacing w:before="42" w:after="0" w:line="360" w:lineRule="auto"/>
        <w:ind w:right="420"/>
        <w:jc w:val="both"/>
        <w:rPr>
          <w:lang w:val="en-US"/>
        </w:rPr>
      </w:pPr>
      <w:r w:rsidRPr="003D44B2">
        <w:rPr>
          <w:b/>
          <w:lang w:val="en-US"/>
        </w:rPr>
        <w:t>D.</w:t>
      </w:r>
      <w:r w:rsidRPr="003D44B2">
        <w:rPr>
          <w:lang w:val="en-US"/>
        </w:rPr>
        <w:t xml:space="preserve"> </w:t>
      </w:r>
      <w:r w:rsidRPr="003D44B2">
        <w:rPr>
          <w:b/>
          <w:lang w:val="en-US"/>
        </w:rPr>
        <w:t>Per diems</w:t>
      </w:r>
    </w:p>
    <w:p w:rsidR="001650BE" w:rsidRPr="006A766E" w:rsidRDefault="001650BE" w:rsidP="001650BE">
      <w:pPr>
        <w:pStyle w:val="P68B1DB1-Normal8"/>
        <w:widowControl w:val="0"/>
        <w:autoSpaceDE w:val="0"/>
        <w:autoSpaceDN w:val="0"/>
        <w:spacing w:before="44" w:after="0" w:line="360" w:lineRule="auto"/>
        <w:ind w:right="425"/>
        <w:jc w:val="both"/>
        <w:rPr>
          <w:lang w:val="en-US"/>
        </w:rPr>
      </w:pPr>
      <w:r w:rsidRPr="006A766E">
        <w:rPr>
          <w:lang w:val="en-US"/>
        </w:rPr>
        <w:t xml:space="preserve">Expenditure on the CNAS per diem item increased from DZD 1.34 </w:t>
      </w:r>
      <w:r>
        <w:rPr>
          <w:lang w:val="en-US"/>
        </w:rPr>
        <w:t>B</w:t>
      </w:r>
      <w:r w:rsidRPr="006A766E">
        <w:rPr>
          <w:lang w:val="en-US"/>
        </w:rPr>
        <w:t xml:space="preserve">illion in 1990 to DZD 18 </w:t>
      </w:r>
      <w:r>
        <w:rPr>
          <w:lang w:val="en-US"/>
        </w:rPr>
        <w:t>B</w:t>
      </w:r>
      <w:r w:rsidRPr="006A766E">
        <w:rPr>
          <w:lang w:val="en-US"/>
        </w:rPr>
        <w:t>illion in 2015, a 13.42 -fold increase during this period. In 2016, 14,774,568 daily allowances relating to work stoppages were reimbursed by the CNAS, representing 17.3 billion DA, compared to 15,127,391 reimbursed in 2015 with an amount of 18 billion DA (Figure 5), this slight decrease is explained by the various administrative checks carried out at home by CNAS agents.</w:t>
      </w:r>
    </w:p>
    <w:p w:rsidR="009C496D" w:rsidRDefault="009C496D" w:rsidP="001650BE">
      <w:pPr>
        <w:pStyle w:val="P68B1DB1-Normal5"/>
        <w:widowControl w:val="0"/>
        <w:autoSpaceDE w:val="0"/>
        <w:autoSpaceDN w:val="0"/>
        <w:spacing w:before="1" w:after="0" w:line="240" w:lineRule="auto"/>
        <w:ind w:left="426"/>
        <w:jc w:val="center"/>
        <w:rPr>
          <w:lang w:val="en-US"/>
        </w:rPr>
      </w:pPr>
    </w:p>
    <w:p w:rsidR="009C496D" w:rsidRDefault="009C496D" w:rsidP="001650BE">
      <w:pPr>
        <w:pStyle w:val="P68B1DB1-Normal5"/>
        <w:widowControl w:val="0"/>
        <w:autoSpaceDE w:val="0"/>
        <w:autoSpaceDN w:val="0"/>
        <w:spacing w:before="1" w:after="0" w:line="240" w:lineRule="auto"/>
        <w:ind w:left="426"/>
        <w:jc w:val="center"/>
        <w:rPr>
          <w:lang w:val="en-US"/>
        </w:rPr>
      </w:pPr>
    </w:p>
    <w:p w:rsidR="009C496D" w:rsidRDefault="009C496D" w:rsidP="001650BE">
      <w:pPr>
        <w:pStyle w:val="P68B1DB1-Normal5"/>
        <w:widowControl w:val="0"/>
        <w:autoSpaceDE w:val="0"/>
        <w:autoSpaceDN w:val="0"/>
        <w:spacing w:before="1" w:after="0" w:line="240" w:lineRule="auto"/>
        <w:ind w:left="426"/>
        <w:jc w:val="center"/>
        <w:rPr>
          <w:lang w:val="en-US"/>
        </w:rPr>
      </w:pPr>
    </w:p>
    <w:p w:rsidR="009C496D" w:rsidRDefault="009C496D" w:rsidP="001650BE">
      <w:pPr>
        <w:pStyle w:val="P68B1DB1-Normal5"/>
        <w:widowControl w:val="0"/>
        <w:autoSpaceDE w:val="0"/>
        <w:autoSpaceDN w:val="0"/>
        <w:spacing w:before="1" w:after="0" w:line="240" w:lineRule="auto"/>
        <w:ind w:left="426"/>
        <w:jc w:val="center"/>
        <w:rPr>
          <w:lang w:val="en-US"/>
        </w:rPr>
      </w:pPr>
    </w:p>
    <w:p w:rsidR="001650BE" w:rsidRPr="006A766E" w:rsidRDefault="001650BE" w:rsidP="001650BE">
      <w:pPr>
        <w:pStyle w:val="P68B1DB1-Normal5"/>
        <w:widowControl w:val="0"/>
        <w:autoSpaceDE w:val="0"/>
        <w:autoSpaceDN w:val="0"/>
        <w:spacing w:before="1" w:after="0" w:line="240" w:lineRule="auto"/>
        <w:ind w:left="426"/>
        <w:jc w:val="center"/>
        <w:rPr>
          <w:lang w:val="en-US"/>
        </w:rPr>
      </w:pPr>
      <w:r w:rsidRPr="006A766E">
        <w:rPr>
          <w:lang w:val="en-US"/>
        </w:rPr>
        <w:t>Figure 0</w:t>
      </w:r>
      <w:r>
        <w:rPr>
          <w:lang w:val="en-US"/>
        </w:rPr>
        <w:t>5:</w:t>
      </w:r>
      <w:r w:rsidRPr="006A766E">
        <w:rPr>
          <w:lang w:val="en-US"/>
        </w:rPr>
        <w:t xml:space="preserve"> Evolution of per diem expenses reimbursed by the</w:t>
      </w:r>
    </w:p>
    <w:p w:rsidR="001650BE" w:rsidRPr="009C496D" w:rsidRDefault="001650BE" w:rsidP="001650BE">
      <w:pPr>
        <w:pStyle w:val="P68B1DB1-Normal5"/>
        <w:widowControl w:val="0"/>
        <w:autoSpaceDE w:val="0"/>
        <w:autoSpaceDN w:val="0"/>
        <w:spacing w:before="40" w:after="0" w:line="240" w:lineRule="auto"/>
        <w:jc w:val="center"/>
        <w:rPr>
          <w:lang w:val="en-US"/>
        </w:rPr>
      </w:pPr>
      <w:r w:rsidRPr="009C496D">
        <w:rPr>
          <w:lang w:val="en-US"/>
        </w:rPr>
        <w:t>Billions DZD</w:t>
      </w:r>
    </w:p>
    <w:p w:rsidR="001650BE" w:rsidRPr="009C496D" w:rsidRDefault="001650BE" w:rsidP="001650BE">
      <w:pPr>
        <w:pStyle w:val="P68B1DB1-Normal5"/>
        <w:widowControl w:val="0"/>
        <w:autoSpaceDE w:val="0"/>
        <w:autoSpaceDN w:val="0"/>
        <w:spacing w:before="40" w:after="0" w:line="240" w:lineRule="auto"/>
        <w:jc w:val="center"/>
        <w:rPr>
          <w:lang w:val="en-US"/>
        </w:rPr>
      </w:pPr>
    </w:p>
    <w:p w:rsidR="001650BE" w:rsidRDefault="001650BE" w:rsidP="001650BE">
      <w:pPr>
        <w:pStyle w:val="P68B1DB1-Normal5"/>
        <w:widowControl w:val="0"/>
        <w:autoSpaceDE w:val="0"/>
        <w:autoSpaceDN w:val="0"/>
        <w:spacing w:before="40" w:after="0" w:line="240" w:lineRule="auto"/>
        <w:jc w:val="center"/>
      </w:pPr>
      <w:r>
        <w:rPr>
          <w:noProof/>
          <w:lang w:val="en-IN" w:eastAsia="en-IN"/>
        </w:rPr>
        <w:drawing>
          <wp:inline distT="0" distB="0" distL="0" distR="0" wp14:anchorId="7A84A357" wp14:editId="4D7B37BE">
            <wp:extent cx="5743575" cy="2790825"/>
            <wp:effectExtent l="0" t="0" r="9525" b="9525"/>
            <wp:docPr id="91" name="Graphique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650BE" w:rsidRDefault="001650BE" w:rsidP="001650BE">
      <w:pPr>
        <w:pStyle w:val="P68B1DB1-Normal5"/>
        <w:widowControl w:val="0"/>
        <w:autoSpaceDE w:val="0"/>
        <w:autoSpaceDN w:val="0"/>
        <w:spacing w:before="40" w:after="0" w:line="240" w:lineRule="auto"/>
        <w:jc w:val="center"/>
      </w:pPr>
    </w:p>
    <w:p w:rsidR="001650BE" w:rsidRDefault="001650BE" w:rsidP="001650BE">
      <w:pPr>
        <w:pStyle w:val="P68B1DB1-Normal5"/>
        <w:widowControl w:val="0"/>
        <w:autoSpaceDE w:val="0"/>
        <w:autoSpaceDN w:val="0"/>
        <w:spacing w:before="40" w:after="0" w:line="240" w:lineRule="auto"/>
        <w:jc w:val="center"/>
      </w:pPr>
    </w:p>
    <w:p w:rsidR="001650BE" w:rsidRPr="006A766E" w:rsidRDefault="001650BE" w:rsidP="001650BE">
      <w:pPr>
        <w:pStyle w:val="P68B1DB1-Normal8"/>
        <w:widowControl w:val="0"/>
        <w:autoSpaceDE w:val="0"/>
        <w:autoSpaceDN w:val="0"/>
        <w:spacing w:after="0" w:line="240" w:lineRule="auto"/>
        <w:ind w:left="426" w:right="298"/>
        <w:rPr>
          <w:lang w:val="en-US"/>
        </w:rPr>
      </w:pPr>
      <w:r w:rsidRPr="006A766E">
        <w:rPr>
          <w:b/>
          <w:lang w:val="en-US"/>
        </w:rPr>
        <w:t xml:space="preserve">Source: </w:t>
      </w:r>
      <w:r w:rsidRPr="006A766E">
        <w:rPr>
          <w:lang w:val="en-US"/>
        </w:rPr>
        <w:t>Graph made by us from:</w:t>
      </w:r>
    </w:p>
    <w:p w:rsidR="001650BE" w:rsidRPr="006A766E" w:rsidRDefault="001650BE" w:rsidP="001650BE">
      <w:pPr>
        <w:pStyle w:val="ListParagraph"/>
        <w:ind w:left="644" w:right="298" w:firstLine="0"/>
        <w:rPr>
          <w:sz w:val="24"/>
          <w:lang w:val="en-US"/>
        </w:rPr>
      </w:pPr>
      <w:r w:rsidRPr="008F3AB1">
        <w:rPr>
          <w:lang w:val="en-US"/>
        </w:rPr>
        <w:t>Data collected from the Directorate General of Social Security (DGSS).</w:t>
      </w:r>
    </w:p>
    <w:p w:rsidR="001650BE" w:rsidRPr="001650BE" w:rsidRDefault="001650BE" w:rsidP="001650BE">
      <w:pPr>
        <w:pStyle w:val="P68B1DB1-Normal8"/>
        <w:widowControl w:val="0"/>
        <w:autoSpaceDE w:val="0"/>
        <w:autoSpaceDN w:val="0"/>
        <w:spacing w:before="263" w:after="0" w:line="360" w:lineRule="auto"/>
        <w:ind w:left="142" w:right="423" w:hanging="426"/>
        <w:jc w:val="both"/>
        <w:rPr>
          <w:lang w:val="en-US"/>
        </w:rPr>
      </w:pPr>
      <w:r w:rsidRPr="006A766E">
        <w:rPr>
          <w:b/>
          <w:lang w:val="en-US"/>
        </w:rPr>
        <w:t xml:space="preserve">      1.1 The Effects of Increased Expenditure on the Health Insurance System </w:t>
      </w:r>
      <w:r w:rsidRPr="006A766E">
        <w:rPr>
          <w:lang w:val="en-US"/>
        </w:rPr>
        <w:t xml:space="preserve">The exponential evolution of health spending is related to a series of factors, including the double transition (epidemiological and demographic) that has characterized the Algerian economy. The epidemiological transition and the demographic transition have had the effect of changing the morbidity and mortality profiles in the country. These involve considerable effects on the health insurance system. </w:t>
      </w:r>
      <w:r w:rsidRPr="001650BE">
        <w:rPr>
          <w:lang w:val="en-US"/>
        </w:rPr>
        <w:t>The most significant are</w:t>
      </w:r>
      <w:sdt>
        <w:sdtPr>
          <w:rPr>
            <w:szCs w:val="24"/>
          </w:rPr>
          <w:id w:val="1070700670"/>
          <w:citation/>
        </w:sdtPr>
        <w:sdtEndPr/>
        <w:sdtContent>
          <w:r>
            <w:fldChar w:fldCharType="begin"/>
          </w:r>
          <w:r w:rsidRPr="001650BE">
            <w:rPr>
              <w:lang w:val="en-US"/>
            </w:rPr>
            <w:instrText xml:space="preserve">CITATION Lam01 \l 1036 </w:instrText>
          </w:r>
          <w:r>
            <w:fldChar w:fldCharType="separate"/>
          </w:r>
          <w:r w:rsidRPr="001650BE">
            <w:rPr>
              <w:noProof/>
              <w:lang w:val="en-US"/>
            </w:rPr>
            <w:t xml:space="preserve"> (Lamri,L, Monographie de l’assurance maladie en Algérie, 2001)</w:t>
          </w:r>
          <w:r>
            <w:fldChar w:fldCharType="end"/>
          </w:r>
        </w:sdtContent>
      </w:sdt>
      <w:r w:rsidRPr="001650BE">
        <w:rPr>
          <w:lang w:val="en-US"/>
        </w:rPr>
        <w:t>:</w:t>
      </w:r>
    </w:p>
    <w:p w:rsidR="001650BE" w:rsidRPr="001650BE" w:rsidRDefault="001650BE" w:rsidP="001650BE">
      <w:pPr>
        <w:widowControl w:val="0"/>
        <w:autoSpaceDE w:val="0"/>
        <w:autoSpaceDN w:val="0"/>
        <w:spacing w:after="0" w:line="360" w:lineRule="auto"/>
        <w:ind w:left="142" w:right="423" w:hanging="426"/>
        <w:jc w:val="both"/>
        <w:rPr>
          <w:rFonts w:ascii="Times New Roman" w:eastAsia="Times New Roman" w:hAnsi="Times New Roman" w:cs="Times New Roman"/>
          <w:sz w:val="24"/>
          <w:highlight w:val="yellow"/>
          <w:lang w:val="en-US"/>
        </w:rPr>
      </w:pPr>
    </w:p>
    <w:p w:rsidR="001650BE" w:rsidRPr="006A766E" w:rsidRDefault="001650BE" w:rsidP="001650BE">
      <w:pPr>
        <w:pStyle w:val="P68B1DB1-Paragraphedeliste16"/>
        <w:numPr>
          <w:ilvl w:val="0"/>
          <w:numId w:val="6"/>
        </w:numPr>
        <w:spacing w:before="1" w:line="360" w:lineRule="auto"/>
        <w:ind w:left="142" w:right="429" w:hanging="426"/>
        <w:rPr>
          <w:lang w:val="en-US"/>
        </w:rPr>
      </w:pPr>
      <w:r w:rsidRPr="006A766E">
        <w:rPr>
          <w:lang w:val="en-US"/>
        </w:rPr>
        <w:t>Increase in the overall burden of disease and chronic disabilities due to severe diseases, which causes an increase in care costs, especially those of drugs supported by health insurance. The ageing of the population will weigh heavily on the social security system and in particular on the health insurance sector.</w:t>
      </w:r>
    </w:p>
    <w:p w:rsidR="001650BE" w:rsidRDefault="001650BE" w:rsidP="001650BE">
      <w:pPr>
        <w:pStyle w:val="P68B1DB1-Paragraphedeliste16"/>
        <w:numPr>
          <w:ilvl w:val="0"/>
          <w:numId w:val="6"/>
        </w:numPr>
        <w:spacing w:before="2" w:line="360" w:lineRule="auto"/>
        <w:ind w:left="142" w:right="425" w:hanging="426"/>
        <w:rPr>
          <w:lang w:val="en-US"/>
        </w:rPr>
      </w:pPr>
      <w:r w:rsidRPr="006A766E">
        <w:rPr>
          <w:lang w:val="en-US"/>
        </w:rPr>
        <w:t>The increase in health insurance expenses and the disengagement of the State will result in a greater participation of households in the financing of the health insurance system.</w:t>
      </w:r>
    </w:p>
    <w:p w:rsidR="009C496D" w:rsidRDefault="009C496D" w:rsidP="001650BE">
      <w:pPr>
        <w:pStyle w:val="P68B1DB1-Paragraphedeliste17"/>
        <w:spacing w:before="2" w:line="360" w:lineRule="auto"/>
        <w:ind w:left="0" w:right="425" w:firstLine="0"/>
        <w:rPr>
          <w:lang w:val="en-US"/>
        </w:rPr>
      </w:pPr>
    </w:p>
    <w:p w:rsidR="001650BE" w:rsidRPr="006A766E" w:rsidRDefault="001650BE" w:rsidP="001650BE">
      <w:pPr>
        <w:pStyle w:val="P68B1DB1-Paragraphedeliste17"/>
        <w:spacing w:before="2" w:line="360" w:lineRule="auto"/>
        <w:ind w:left="0" w:right="425" w:firstLine="0"/>
        <w:rPr>
          <w:lang w:val="en-US"/>
        </w:rPr>
      </w:pPr>
      <w:r w:rsidRPr="006A766E">
        <w:rPr>
          <w:lang w:val="en-US"/>
        </w:rPr>
        <w:t>4.1.2.2. Analysis of CNAS health insurance receipts</w:t>
      </w:r>
    </w:p>
    <w:p w:rsidR="001650BE" w:rsidRPr="006A766E" w:rsidRDefault="001650BE" w:rsidP="001650BE">
      <w:pPr>
        <w:pStyle w:val="P68B1DB1-Normal8"/>
        <w:widowControl w:val="0"/>
        <w:autoSpaceDE w:val="0"/>
        <w:autoSpaceDN w:val="0"/>
        <w:spacing w:after="0" w:line="360" w:lineRule="auto"/>
        <w:jc w:val="both"/>
        <w:rPr>
          <w:lang w:val="en-US"/>
        </w:rPr>
      </w:pPr>
      <w:r w:rsidRPr="006A766E">
        <w:rPr>
          <w:lang w:val="en-US"/>
        </w:rPr>
        <w:t xml:space="preserve">In Algeria, the financing mechanisms of the social security system are mainly based on social </w:t>
      </w:r>
      <w:r w:rsidRPr="006A766E">
        <w:rPr>
          <w:lang w:val="en-US"/>
        </w:rPr>
        <w:lastRenderedPageBreak/>
        <w:t>contributions based on income from employment. This method of professional financing makes social security particularly dependent on changes in its economic and social environment.</w:t>
      </w:r>
    </w:p>
    <w:p w:rsidR="001650BE" w:rsidRPr="006A766E" w:rsidRDefault="001650BE" w:rsidP="001650BE">
      <w:pPr>
        <w:pStyle w:val="P68B1DB1-Normal5"/>
        <w:widowControl w:val="0"/>
        <w:autoSpaceDE w:val="0"/>
        <w:autoSpaceDN w:val="0"/>
        <w:spacing w:after="0" w:line="240" w:lineRule="auto"/>
        <w:rPr>
          <w:lang w:val="en-US"/>
        </w:rPr>
      </w:pPr>
      <w:r w:rsidRPr="006A766E">
        <w:rPr>
          <w:lang w:val="en-US"/>
        </w:rPr>
        <w:t xml:space="preserve">1) Evolution of CNAS health insurance revenues </w:t>
      </w:r>
    </w:p>
    <w:p w:rsidR="001650BE" w:rsidRPr="006A766E" w:rsidRDefault="001650BE" w:rsidP="001650BE">
      <w:pPr>
        <w:widowControl w:val="0"/>
        <w:autoSpaceDE w:val="0"/>
        <w:autoSpaceDN w:val="0"/>
        <w:spacing w:after="0" w:line="240" w:lineRule="auto"/>
        <w:rPr>
          <w:rFonts w:ascii="Times New Roman" w:eastAsia="Times New Roman" w:hAnsi="Times New Roman" w:cs="Times New Roman"/>
          <w:sz w:val="26"/>
          <w:lang w:val="en-US"/>
        </w:rPr>
      </w:pPr>
    </w:p>
    <w:p w:rsidR="001650BE" w:rsidRDefault="001650BE" w:rsidP="001650BE">
      <w:pPr>
        <w:pStyle w:val="P68B1DB1-Normal8"/>
        <w:widowControl w:val="0"/>
        <w:autoSpaceDE w:val="0"/>
        <w:autoSpaceDN w:val="0"/>
        <w:spacing w:before="46" w:after="0" w:line="360" w:lineRule="auto"/>
        <w:ind w:right="360"/>
        <w:jc w:val="both"/>
        <w:rPr>
          <w:lang w:val="en-US"/>
        </w:rPr>
      </w:pPr>
      <w:r w:rsidRPr="006A766E">
        <w:rPr>
          <w:lang w:val="en-US"/>
        </w:rPr>
        <w:t>Health insurance receipts are integrated into total social insurance receipts, the latter have seen a clear increase in current dinars. Over the period 1990-2016, they multiplied by 18.44. In constant dinars, social insurance receipts increased less, only 5.81 times between 1990 and 2016 (Figure6). However, even if revenues have increased significantly, they can no longer keep up with the "explosion" of spending. The difficult economic recovery, the persistence of high levels of unemployment, the development of informal activities that escape contributions, the continuing restructuring of public enterprises resulting in reductions in the number of employees and the explosion in health costs are all elements that have a strong negative impact on the financial equilibrium of health insurance.</w:t>
      </w:r>
    </w:p>
    <w:p w:rsidR="001650BE" w:rsidRDefault="001650BE" w:rsidP="001650BE">
      <w:pPr>
        <w:pStyle w:val="P68B1DB1-Normal8"/>
        <w:widowControl w:val="0"/>
        <w:autoSpaceDE w:val="0"/>
        <w:autoSpaceDN w:val="0"/>
        <w:spacing w:before="46" w:after="0" w:line="360" w:lineRule="auto"/>
        <w:ind w:right="360"/>
        <w:jc w:val="both"/>
        <w:rPr>
          <w:lang w:val="en-US"/>
        </w:rPr>
      </w:pPr>
    </w:p>
    <w:p w:rsidR="001650BE" w:rsidRDefault="001650BE" w:rsidP="001650BE">
      <w:pPr>
        <w:pStyle w:val="P68B1DB1-Normal5"/>
        <w:widowControl w:val="0"/>
        <w:autoSpaceDE w:val="0"/>
        <w:autoSpaceDN w:val="0"/>
        <w:spacing w:after="0" w:line="240" w:lineRule="auto"/>
        <w:rPr>
          <w:lang w:val="en-US"/>
        </w:rPr>
      </w:pPr>
      <w:r>
        <w:rPr>
          <w:lang w:val="en-US"/>
        </w:rPr>
        <w:t xml:space="preserve">                      </w:t>
      </w:r>
      <w:r w:rsidRPr="006A766E">
        <w:rPr>
          <w:lang w:val="en-US"/>
        </w:rPr>
        <w:t>Figure 6: Evolution of social insurance receipts in Algeria (in million DA)</w:t>
      </w:r>
    </w:p>
    <w:p w:rsidR="001650BE" w:rsidRDefault="001650BE" w:rsidP="001650BE">
      <w:pPr>
        <w:pStyle w:val="P68B1DB1-Normal5"/>
        <w:widowControl w:val="0"/>
        <w:autoSpaceDE w:val="0"/>
        <w:autoSpaceDN w:val="0"/>
        <w:spacing w:after="0" w:line="240" w:lineRule="auto"/>
        <w:rPr>
          <w:lang w:val="en-US"/>
        </w:rPr>
      </w:pPr>
    </w:p>
    <w:p w:rsidR="001650BE" w:rsidRDefault="001650BE" w:rsidP="001650BE">
      <w:pPr>
        <w:pStyle w:val="P68B1DB1-Normal5"/>
        <w:widowControl w:val="0"/>
        <w:autoSpaceDE w:val="0"/>
        <w:autoSpaceDN w:val="0"/>
        <w:spacing w:after="0" w:line="240" w:lineRule="auto"/>
        <w:rPr>
          <w:lang w:val="en-US"/>
        </w:rPr>
      </w:pPr>
    </w:p>
    <w:p w:rsidR="001650BE" w:rsidRDefault="001650BE" w:rsidP="001650BE">
      <w:pPr>
        <w:pStyle w:val="P68B1DB1-Normal5"/>
        <w:widowControl w:val="0"/>
        <w:autoSpaceDE w:val="0"/>
        <w:autoSpaceDN w:val="0"/>
        <w:spacing w:after="0" w:line="240" w:lineRule="auto"/>
        <w:rPr>
          <w:lang w:val="en-US"/>
        </w:rPr>
      </w:pPr>
      <w:r>
        <w:rPr>
          <w:noProof/>
          <w:lang w:val="en-IN" w:eastAsia="en-IN"/>
        </w:rPr>
        <w:drawing>
          <wp:inline distT="0" distB="0" distL="0" distR="0" wp14:anchorId="104F22E5" wp14:editId="46FA5587">
            <wp:extent cx="5905500" cy="3457575"/>
            <wp:effectExtent l="0" t="0" r="0" b="9525"/>
            <wp:docPr id="94" name="Graphique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650BE" w:rsidRPr="00873AA4" w:rsidRDefault="001650BE" w:rsidP="001650BE">
      <w:pPr>
        <w:pStyle w:val="P68B1DB1-Normal5"/>
        <w:rPr>
          <w:lang w:val="en-US"/>
        </w:rPr>
      </w:pPr>
      <w:r w:rsidRPr="00873AA4">
        <w:rPr>
          <w:lang w:val="en-US"/>
        </w:rPr>
        <w:t xml:space="preserve">Source: </w:t>
      </w:r>
      <w:r w:rsidRPr="003D44B2">
        <w:rPr>
          <w:b w:val="0"/>
          <w:bCs/>
          <w:lang w:val="en-US"/>
        </w:rPr>
        <w:t>Graph made by us from:</w:t>
      </w:r>
    </w:p>
    <w:p w:rsidR="001650BE" w:rsidRPr="003D44B2" w:rsidRDefault="001650BE" w:rsidP="001650BE">
      <w:pPr>
        <w:pStyle w:val="P68B1DB1-Normal5"/>
        <w:numPr>
          <w:ilvl w:val="0"/>
          <w:numId w:val="6"/>
        </w:numPr>
        <w:rPr>
          <w:b w:val="0"/>
          <w:bCs/>
          <w:lang w:val="en-US"/>
        </w:rPr>
      </w:pPr>
      <w:r w:rsidRPr="003D44B2">
        <w:rPr>
          <w:b w:val="0"/>
          <w:bCs/>
          <w:lang w:val="en-US"/>
        </w:rPr>
        <w:t>Data collected from the Directorate General of Social Security (DGSS).</w:t>
      </w:r>
    </w:p>
    <w:p w:rsidR="001650BE" w:rsidRPr="006A766E" w:rsidRDefault="001650BE" w:rsidP="001650BE">
      <w:pPr>
        <w:pStyle w:val="P68B1DB1-Normal18"/>
        <w:widowControl w:val="0"/>
        <w:autoSpaceDE w:val="0"/>
        <w:autoSpaceDN w:val="0"/>
        <w:spacing w:before="215" w:after="0" w:line="355" w:lineRule="auto"/>
        <w:ind w:left="3119" w:right="2132" w:hanging="284"/>
        <w:rPr>
          <w:sz w:val="20"/>
          <w:lang w:val="en-US"/>
        </w:rPr>
      </w:pPr>
      <w:r w:rsidRPr="006A766E">
        <w:rPr>
          <w:sz w:val="20"/>
          <w:lang w:val="en-US"/>
        </w:rPr>
        <w:t xml:space="preserve">                                                                                                                                                                    </w:t>
      </w:r>
    </w:p>
    <w:p w:rsidR="001650BE" w:rsidRPr="006A766E" w:rsidRDefault="001650BE" w:rsidP="001650BE">
      <w:pPr>
        <w:pStyle w:val="P68B1DB1-Normal11"/>
        <w:widowControl w:val="0"/>
        <w:autoSpaceDE w:val="0"/>
        <w:autoSpaceDN w:val="0"/>
        <w:spacing w:before="47" w:after="0" w:line="360" w:lineRule="auto"/>
        <w:ind w:left="426" w:right="429"/>
        <w:jc w:val="both"/>
        <w:rPr>
          <w:lang w:val="en-US"/>
        </w:rPr>
      </w:pPr>
      <w:r w:rsidRPr="006A766E">
        <w:rPr>
          <w:lang w:val="en-US"/>
        </w:rPr>
        <w:t xml:space="preserve">2) Sources of funding for health insurance revenues </w:t>
      </w:r>
    </w:p>
    <w:p w:rsidR="001650BE" w:rsidRDefault="001650BE" w:rsidP="001650BE">
      <w:pPr>
        <w:pStyle w:val="P68B1DB1-Normal8"/>
        <w:widowControl w:val="0"/>
        <w:autoSpaceDE w:val="0"/>
        <w:autoSpaceDN w:val="0"/>
        <w:spacing w:before="47" w:after="0" w:line="360" w:lineRule="auto"/>
        <w:ind w:left="426" w:right="429"/>
        <w:jc w:val="both"/>
        <w:rPr>
          <w:lang w:val="en-US"/>
        </w:rPr>
      </w:pPr>
      <w:r w:rsidRPr="006A766E">
        <w:rPr>
          <w:lang w:val="en-US"/>
        </w:rPr>
        <w:t xml:space="preserve">The sources of funding for social insurance consist mainly of contributions, the state </w:t>
      </w:r>
      <w:r w:rsidRPr="006A766E">
        <w:rPr>
          <w:lang w:val="en-US"/>
        </w:rPr>
        <w:lastRenderedPageBreak/>
        <w:t>budget and additional resources.</w:t>
      </w:r>
    </w:p>
    <w:p w:rsidR="00E12413" w:rsidRPr="006A766E" w:rsidRDefault="00E12413" w:rsidP="001650BE">
      <w:pPr>
        <w:pStyle w:val="P68B1DB1-Normal8"/>
        <w:widowControl w:val="0"/>
        <w:autoSpaceDE w:val="0"/>
        <w:autoSpaceDN w:val="0"/>
        <w:spacing w:before="47" w:after="0" w:line="360" w:lineRule="auto"/>
        <w:ind w:left="426" w:right="429"/>
        <w:jc w:val="both"/>
        <w:rPr>
          <w:lang w:val="en-US"/>
        </w:rPr>
      </w:pPr>
    </w:p>
    <w:p w:rsidR="001650BE" w:rsidRPr="006A766E" w:rsidRDefault="001650BE" w:rsidP="001650BE">
      <w:pPr>
        <w:pStyle w:val="P68B1DB1-Normal11"/>
        <w:widowControl w:val="0"/>
        <w:autoSpaceDE w:val="0"/>
        <w:autoSpaceDN w:val="0"/>
        <w:spacing w:before="47" w:after="0" w:line="360" w:lineRule="auto"/>
        <w:ind w:left="426" w:right="423" w:firstLine="141"/>
        <w:jc w:val="both"/>
        <w:rPr>
          <w:lang w:val="en-US"/>
        </w:rPr>
      </w:pPr>
      <w:r w:rsidRPr="006A766E">
        <w:rPr>
          <w:lang w:val="en-US"/>
        </w:rPr>
        <w:t>For dues.</w:t>
      </w:r>
    </w:p>
    <w:p w:rsidR="001650BE" w:rsidRDefault="001650BE" w:rsidP="001650BE">
      <w:pPr>
        <w:pStyle w:val="P68B1DB1-Normal8"/>
        <w:widowControl w:val="0"/>
        <w:autoSpaceDE w:val="0"/>
        <w:autoSpaceDN w:val="0"/>
        <w:spacing w:before="47" w:after="0" w:line="360" w:lineRule="auto"/>
        <w:ind w:left="426" w:right="423"/>
        <w:jc w:val="both"/>
        <w:rPr>
          <w:lang w:val="en-US"/>
        </w:rPr>
      </w:pPr>
      <w:r w:rsidRPr="006A766E">
        <w:rPr>
          <w:lang w:val="en-US"/>
        </w:rPr>
        <w:t>For salaried employees, the single contribution rate is 34.5% of the salary subject to contribution as defined by law. Table 4 gives the breakdown of contribution rates by covered risk.</w:t>
      </w:r>
    </w:p>
    <w:p w:rsidR="009C496D" w:rsidRDefault="009C496D" w:rsidP="001650BE">
      <w:pPr>
        <w:pStyle w:val="P68B1DB1-Normal5"/>
        <w:widowControl w:val="0"/>
        <w:autoSpaceDE w:val="0"/>
        <w:autoSpaceDN w:val="0"/>
        <w:spacing w:after="42" w:line="240" w:lineRule="auto"/>
        <w:jc w:val="center"/>
        <w:rPr>
          <w:lang w:val="en-US"/>
        </w:rPr>
      </w:pPr>
    </w:p>
    <w:p w:rsidR="001650BE" w:rsidRPr="006A766E" w:rsidRDefault="001650BE" w:rsidP="001650BE">
      <w:pPr>
        <w:pStyle w:val="P68B1DB1-Normal5"/>
        <w:widowControl w:val="0"/>
        <w:autoSpaceDE w:val="0"/>
        <w:autoSpaceDN w:val="0"/>
        <w:spacing w:after="42" w:line="240" w:lineRule="auto"/>
        <w:jc w:val="center"/>
        <w:rPr>
          <w:lang w:val="en-US"/>
        </w:rPr>
      </w:pPr>
      <w:r w:rsidRPr="006A766E">
        <w:rPr>
          <w:lang w:val="en-US"/>
        </w:rPr>
        <w:t>Table</w:t>
      </w:r>
      <w:r>
        <w:rPr>
          <w:lang w:val="en-US"/>
        </w:rPr>
        <w:t xml:space="preserve"> </w:t>
      </w:r>
      <w:r w:rsidRPr="006A766E">
        <w:rPr>
          <w:lang w:val="en-US"/>
        </w:rPr>
        <w:t>4</w:t>
      </w:r>
      <w:r>
        <w:rPr>
          <w:lang w:val="en-US"/>
        </w:rPr>
        <w:t>:</w:t>
      </w:r>
      <w:r w:rsidRPr="006A766E">
        <w:rPr>
          <w:lang w:val="en-US"/>
        </w:rPr>
        <w:t xml:space="preserve"> Breakdown of contribution rates in Algeria as of January 1, 2024</w:t>
      </w:r>
    </w:p>
    <w:p w:rsidR="001650BE" w:rsidRPr="006A766E" w:rsidRDefault="001650BE" w:rsidP="001650BE">
      <w:pPr>
        <w:widowControl w:val="0"/>
        <w:autoSpaceDE w:val="0"/>
        <w:autoSpaceDN w:val="0"/>
        <w:spacing w:after="42" w:line="240" w:lineRule="auto"/>
        <w:jc w:val="center"/>
        <w:rPr>
          <w:rFonts w:ascii="Times New Roman" w:eastAsia="Times New Roman" w:hAnsi="Times New Roman" w:cs="Times New Roman"/>
          <w:b/>
          <w:sz w:val="24"/>
          <w:lang w:val="en-US"/>
        </w:rPr>
      </w:pPr>
    </w:p>
    <w:tbl>
      <w:tblPr>
        <w:tblStyle w:val="TableNormal1"/>
        <w:tblpPr w:leftFromText="141" w:rightFromText="141" w:vertAnchor="text" w:horzAnchor="margin" w:tblpXSpec="center" w:tblpY="1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1261"/>
        <w:gridCol w:w="1352"/>
        <w:gridCol w:w="1620"/>
        <w:gridCol w:w="934"/>
      </w:tblGrid>
      <w:tr w:rsidR="001650BE" w:rsidTr="009C496D">
        <w:trPr>
          <w:trHeight w:val="794"/>
        </w:trPr>
        <w:tc>
          <w:tcPr>
            <w:tcW w:w="4249" w:type="dxa"/>
          </w:tcPr>
          <w:p w:rsidR="001650BE" w:rsidRDefault="001650BE" w:rsidP="009C496D">
            <w:pPr>
              <w:pStyle w:val="P68B1DB1-Normal6"/>
              <w:jc w:val="center"/>
            </w:pPr>
            <w:r>
              <w:t>Subject</w:t>
            </w:r>
          </w:p>
        </w:tc>
        <w:tc>
          <w:tcPr>
            <w:tcW w:w="1261" w:type="dxa"/>
          </w:tcPr>
          <w:p w:rsidR="001650BE" w:rsidRDefault="001650BE" w:rsidP="009C496D">
            <w:pPr>
              <w:pStyle w:val="P68B1DB1-Normal6"/>
              <w:ind w:right="23"/>
              <w:jc w:val="center"/>
            </w:pPr>
            <w:r>
              <w:t>Responsibility of</w:t>
            </w:r>
          </w:p>
          <w:p w:rsidR="001650BE" w:rsidRDefault="001650BE" w:rsidP="009C496D">
            <w:pPr>
              <w:pStyle w:val="P68B1DB1-Normal6"/>
              <w:spacing w:before="1"/>
              <w:jc w:val="center"/>
            </w:pPr>
            <w:r>
              <w:t>the Employer</w:t>
            </w:r>
          </w:p>
        </w:tc>
        <w:tc>
          <w:tcPr>
            <w:tcW w:w="1352" w:type="dxa"/>
          </w:tcPr>
          <w:p w:rsidR="001650BE" w:rsidRPr="006A766E" w:rsidRDefault="001650BE" w:rsidP="009C496D">
            <w:pPr>
              <w:pStyle w:val="P68B1DB1-Normal6"/>
              <w:ind w:right="81"/>
              <w:jc w:val="center"/>
              <w:rPr>
                <w:lang w:val="en-US"/>
              </w:rPr>
            </w:pPr>
            <w:r w:rsidRPr="006A766E">
              <w:rPr>
                <w:lang w:val="en-US"/>
              </w:rPr>
              <w:t>3% to be borne by the employee.</w:t>
            </w:r>
          </w:p>
        </w:tc>
        <w:tc>
          <w:tcPr>
            <w:tcW w:w="1620" w:type="dxa"/>
          </w:tcPr>
          <w:p w:rsidR="001650BE" w:rsidRPr="006A766E" w:rsidRDefault="001650BE" w:rsidP="009C496D">
            <w:pPr>
              <w:pStyle w:val="P68B1DB1-Normal6"/>
              <w:jc w:val="center"/>
              <w:rPr>
                <w:lang w:val="en-US"/>
              </w:rPr>
            </w:pPr>
            <w:r w:rsidRPr="006A766E">
              <w:rPr>
                <w:lang w:val="en-US"/>
              </w:rPr>
              <w:t>At the expense of the fund of</w:t>
            </w:r>
          </w:p>
          <w:p w:rsidR="001650BE" w:rsidRDefault="001650BE" w:rsidP="009C496D">
            <w:pPr>
              <w:pStyle w:val="P68B1DB1-Normal6"/>
              <w:spacing w:before="1"/>
              <w:jc w:val="center"/>
            </w:pPr>
            <w:r>
              <w:t>Social work</w:t>
            </w:r>
          </w:p>
        </w:tc>
        <w:tc>
          <w:tcPr>
            <w:tcW w:w="934" w:type="dxa"/>
          </w:tcPr>
          <w:p w:rsidR="001650BE" w:rsidRDefault="001650BE" w:rsidP="009C496D">
            <w:pPr>
              <w:pStyle w:val="P68B1DB1-Normal6"/>
              <w:jc w:val="center"/>
            </w:pPr>
            <w:r>
              <w:t>Total</w:t>
            </w:r>
          </w:p>
        </w:tc>
      </w:tr>
      <w:tr w:rsidR="001650BE" w:rsidTr="009C496D">
        <w:trPr>
          <w:trHeight w:val="527"/>
        </w:trPr>
        <w:tc>
          <w:tcPr>
            <w:tcW w:w="4249" w:type="dxa"/>
          </w:tcPr>
          <w:p w:rsidR="001650BE" w:rsidRPr="006A766E" w:rsidRDefault="001650BE" w:rsidP="009C496D">
            <w:pPr>
              <w:pStyle w:val="P68B1DB1-Normal7"/>
              <w:tabs>
                <w:tab w:val="left" w:pos="1314"/>
                <w:tab w:val="left" w:pos="2351"/>
                <w:tab w:val="left" w:pos="3334"/>
              </w:tabs>
              <w:rPr>
                <w:lang w:val="en-US"/>
              </w:rPr>
            </w:pPr>
            <w:r w:rsidRPr="006A766E">
              <w:rPr>
                <w:lang w:val="en-US"/>
              </w:rPr>
              <w:t>Social insurance:</w:t>
            </w:r>
            <w:r w:rsidRPr="006A766E">
              <w:rPr>
                <w:lang w:val="en-US"/>
              </w:rPr>
              <w:tab/>
            </w:r>
            <w:r w:rsidRPr="006A766E">
              <w:rPr>
                <w:lang w:val="en-US"/>
              </w:rPr>
              <w:tab/>
              <w:t>sickness,</w:t>
            </w:r>
            <w:r w:rsidRPr="006A766E">
              <w:rPr>
                <w:lang w:val="en-US"/>
              </w:rPr>
              <w:tab/>
              <w:t>maternity,</w:t>
            </w:r>
          </w:p>
          <w:p w:rsidR="001650BE" w:rsidRPr="006A766E" w:rsidRDefault="001650BE" w:rsidP="009C496D">
            <w:pPr>
              <w:pStyle w:val="P68B1DB1-Normal7"/>
              <w:spacing w:before="34"/>
              <w:rPr>
                <w:lang w:val="en-US"/>
              </w:rPr>
            </w:pPr>
            <w:r w:rsidRPr="006A766E">
              <w:rPr>
                <w:lang w:val="en-US"/>
              </w:rPr>
              <w:t>Invalidity, old-age and decease</w:t>
            </w:r>
          </w:p>
        </w:tc>
        <w:tc>
          <w:tcPr>
            <w:tcW w:w="1261" w:type="dxa"/>
          </w:tcPr>
          <w:p w:rsidR="001650BE" w:rsidRDefault="001650BE" w:rsidP="009C496D">
            <w:pPr>
              <w:pStyle w:val="P68B1DB1-Normal7"/>
              <w:jc w:val="center"/>
            </w:pPr>
            <w:r>
              <w:t>11.5%</w:t>
            </w:r>
          </w:p>
        </w:tc>
        <w:tc>
          <w:tcPr>
            <w:tcW w:w="1352" w:type="dxa"/>
          </w:tcPr>
          <w:p w:rsidR="001650BE" w:rsidRDefault="001650BE" w:rsidP="009C496D">
            <w:pPr>
              <w:pStyle w:val="P68B1DB1-Normal7"/>
              <w:jc w:val="center"/>
            </w:pPr>
            <w:r>
              <w:t>1.5%</w:t>
            </w:r>
          </w:p>
        </w:tc>
        <w:tc>
          <w:tcPr>
            <w:tcW w:w="1620" w:type="dxa"/>
          </w:tcPr>
          <w:p w:rsidR="001650BE" w:rsidRDefault="001650BE" w:rsidP="009C496D">
            <w:pPr>
              <w:pStyle w:val="P68B1DB1-Normal7"/>
              <w:jc w:val="center"/>
            </w:pPr>
            <w:r>
              <w:t>-</w:t>
            </w:r>
          </w:p>
        </w:tc>
        <w:tc>
          <w:tcPr>
            <w:tcW w:w="934" w:type="dxa"/>
          </w:tcPr>
          <w:p w:rsidR="001650BE" w:rsidRDefault="001650BE" w:rsidP="009C496D">
            <w:pPr>
              <w:pStyle w:val="P68B1DB1-Normal7"/>
              <w:jc w:val="center"/>
            </w:pPr>
            <w:r>
              <w:t>13%</w:t>
            </w:r>
          </w:p>
        </w:tc>
      </w:tr>
      <w:tr w:rsidR="001650BE" w:rsidTr="009C496D">
        <w:trPr>
          <w:trHeight w:val="265"/>
        </w:trPr>
        <w:tc>
          <w:tcPr>
            <w:tcW w:w="4249" w:type="dxa"/>
          </w:tcPr>
          <w:p w:rsidR="001650BE" w:rsidRPr="006A766E" w:rsidRDefault="001650BE" w:rsidP="009C496D">
            <w:pPr>
              <w:pStyle w:val="P68B1DB1-Normal7"/>
              <w:spacing w:before="2"/>
              <w:rPr>
                <w:lang w:val="en-US"/>
              </w:rPr>
            </w:pPr>
            <w:r w:rsidRPr="006A766E">
              <w:rPr>
                <w:lang w:val="en-US"/>
              </w:rPr>
              <w:t>Work-related accidents and occupational illness</w:t>
            </w:r>
          </w:p>
        </w:tc>
        <w:tc>
          <w:tcPr>
            <w:tcW w:w="1261" w:type="dxa"/>
          </w:tcPr>
          <w:p w:rsidR="001650BE" w:rsidRDefault="001650BE" w:rsidP="009C496D">
            <w:pPr>
              <w:pStyle w:val="P68B1DB1-Normal7"/>
              <w:spacing w:before="2"/>
              <w:jc w:val="center"/>
            </w:pPr>
            <w:r>
              <w:t>1.25%</w:t>
            </w:r>
          </w:p>
        </w:tc>
        <w:tc>
          <w:tcPr>
            <w:tcW w:w="1352" w:type="dxa"/>
          </w:tcPr>
          <w:p w:rsidR="001650BE" w:rsidRDefault="001650BE" w:rsidP="009C496D">
            <w:pPr>
              <w:pStyle w:val="P68B1DB1-Normal7"/>
              <w:spacing w:before="2"/>
              <w:jc w:val="center"/>
            </w:pPr>
            <w:r>
              <w:t>-</w:t>
            </w:r>
          </w:p>
        </w:tc>
        <w:tc>
          <w:tcPr>
            <w:tcW w:w="1620" w:type="dxa"/>
          </w:tcPr>
          <w:p w:rsidR="001650BE" w:rsidRDefault="001650BE" w:rsidP="009C496D">
            <w:pPr>
              <w:pStyle w:val="P68B1DB1-Normal7"/>
              <w:spacing w:before="2"/>
              <w:jc w:val="center"/>
            </w:pPr>
            <w:r>
              <w:t>-</w:t>
            </w:r>
          </w:p>
        </w:tc>
        <w:tc>
          <w:tcPr>
            <w:tcW w:w="934" w:type="dxa"/>
          </w:tcPr>
          <w:p w:rsidR="001650BE" w:rsidRDefault="001650BE" w:rsidP="009C496D">
            <w:pPr>
              <w:pStyle w:val="P68B1DB1-Normal7"/>
              <w:spacing w:before="2"/>
              <w:jc w:val="center"/>
            </w:pPr>
            <w:r>
              <w:t>1.25%</w:t>
            </w:r>
          </w:p>
        </w:tc>
      </w:tr>
      <w:tr w:rsidR="001650BE" w:rsidRPr="006A766E" w:rsidTr="009C496D">
        <w:trPr>
          <w:trHeight w:val="263"/>
        </w:trPr>
        <w:tc>
          <w:tcPr>
            <w:tcW w:w="4249" w:type="dxa"/>
          </w:tcPr>
          <w:p w:rsidR="001650BE" w:rsidRDefault="001650BE" w:rsidP="009C496D">
            <w:pPr>
              <w:pStyle w:val="P68B1DB1-Normal7"/>
            </w:pPr>
            <w:r>
              <w:t>Retirement</w:t>
            </w:r>
          </w:p>
        </w:tc>
        <w:tc>
          <w:tcPr>
            <w:tcW w:w="1261" w:type="dxa"/>
          </w:tcPr>
          <w:p w:rsidR="001650BE" w:rsidRDefault="001650BE" w:rsidP="009C496D">
            <w:pPr>
              <w:pStyle w:val="P68B1DB1-Normal7"/>
              <w:jc w:val="center"/>
            </w:pPr>
            <w:r>
              <w:t>11%</w:t>
            </w:r>
          </w:p>
        </w:tc>
        <w:tc>
          <w:tcPr>
            <w:tcW w:w="1352" w:type="dxa"/>
          </w:tcPr>
          <w:p w:rsidR="001650BE" w:rsidRDefault="001650BE" w:rsidP="009C496D">
            <w:pPr>
              <w:pStyle w:val="P68B1DB1-Normal7"/>
              <w:jc w:val="center"/>
            </w:pPr>
            <w:r>
              <w:t>6.75%</w:t>
            </w:r>
          </w:p>
        </w:tc>
        <w:tc>
          <w:tcPr>
            <w:tcW w:w="1620" w:type="dxa"/>
          </w:tcPr>
          <w:p w:rsidR="001650BE" w:rsidRDefault="001650BE" w:rsidP="009C496D">
            <w:pPr>
              <w:pStyle w:val="P68B1DB1-Normal7"/>
              <w:jc w:val="center"/>
            </w:pPr>
            <w:r>
              <w:t>-</w:t>
            </w:r>
          </w:p>
        </w:tc>
        <w:tc>
          <w:tcPr>
            <w:tcW w:w="934" w:type="dxa"/>
          </w:tcPr>
          <w:p w:rsidR="001650BE" w:rsidRPr="006A766E" w:rsidRDefault="001650BE" w:rsidP="009C496D">
            <w:pPr>
              <w:pStyle w:val="P68B1DB1-Normal7"/>
              <w:jc w:val="center"/>
              <w:rPr>
                <w:lang w:val="en-US"/>
              </w:rPr>
            </w:pPr>
          </w:p>
        </w:tc>
      </w:tr>
      <w:tr w:rsidR="001650BE" w:rsidTr="009C496D">
        <w:trPr>
          <w:trHeight w:val="263"/>
        </w:trPr>
        <w:tc>
          <w:tcPr>
            <w:tcW w:w="4249" w:type="dxa"/>
          </w:tcPr>
          <w:p w:rsidR="001650BE" w:rsidRDefault="001650BE" w:rsidP="009C496D">
            <w:pPr>
              <w:pStyle w:val="P68B1DB1-Normal7"/>
            </w:pPr>
            <w:r>
              <w:t>Unemployment Insurance</w:t>
            </w:r>
          </w:p>
        </w:tc>
        <w:tc>
          <w:tcPr>
            <w:tcW w:w="1261" w:type="dxa"/>
          </w:tcPr>
          <w:p w:rsidR="001650BE" w:rsidRDefault="001650BE" w:rsidP="009C496D">
            <w:pPr>
              <w:pStyle w:val="P68B1DB1-Normal7"/>
              <w:jc w:val="center"/>
            </w:pPr>
            <w:r>
              <w:t>1%</w:t>
            </w:r>
          </w:p>
        </w:tc>
        <w:tc>
          <w:tcPr>
            <w:tcW w:w="1352" w:type="dxa"/>
          </w:tcPr>
          <w:p w:rsidR="001650BE" w:rsidRDefault="001650BE" w:rsidP="009C496D">
            <w:pPr>
              <w:pStyle w:val="P68B1DB1-Normal7"/>
              <w:jc w:val="center"/>
            </w:pPr>
            <w:r>
              <w:t>0.5%</w:t>
            </w:r>
          </w:p>
        </w:tc>
        <w:tc>
          <w:tcPr>
            <w:tcW w:w="1620" w:type="dxa"/>
          </w:tcPr>
          <w:p w:rsidR="001650BE" w:rsidRDefault="001650BE" w:rsidP="009C496D">
            <w:pPr>
              <w:pStyle w:val="P68B1DB1-Normal7"/>
              <w:jc w:val="center"/>
            </w:pPr>
            <w:r>
              <w:t>-</w:t>
            </w:r>
          </w:p>
        </w:tc>
        <w:tc>
          <w:tcPr>
            <w:tcW w:w="934" w:type="dxa"/>
          </w:tcPr>
          <w:p w:rsidR="001650BE" w:rsidRDefault="001650BE" w:rsidP="009C496D">
            <w:pPr>
              <w:pStyle w:val="P68B1DB1-Normal7"/>
              <w:jc w:val="center"/>
            </w:pPr>
            <w:r>
              <w:t>1.5%</w:t>
            </w:r>
          </w:p>
        </w:tc>
      </w:tr>
      <w:tr w:rsidR="001650BE" w:rsidTr="009C496D">
        <w:trPr>
          <w:trHeight w:val="265"/>
        </w:trPr>
        <w:tc>
          <w:tcPr>
            <w:tcW w:w="4249" w:type="dxa"/>
          </w:tcPr>
          <w:p w:rsidR="001650BE" w:rsidRDefault="001650BE" w:rsidP="009C496D">
            <w:pPr>
              <w:pStyle w:val="P68B1DB1-Normal7"/>
              <w:spacing w:before="2"/>
            </w:pPr>
            <w:r>
              <w:t>Early retirement</w:t>
            </w:r>
          </w:p>
        </w:tc>
        <w:tc>
          <w:tcPr>
            <w:tcW w:w="1261" w:type="dxa"/>
          </w:tcPr>
          <w:p w:rsidR="001650BE" w:rsidRDefault="001650BE" w:rsidP="009C496D">
            <w:pPr>
              <w:pStyle w:val="P68B1DB1-Normal7"/>
              <w:spacing w:before="2"/>
              <w:jc w:val="center"/>
            </w:pPr>
            <w:r>
              <w:t>0,25%</w:t>
            </w:r>
          </w:p>
        </w:tc>
        <w:tc>
          <w:tcPr>
            <w:tcW w:w="1352" w:type="dxa"/>
          </w:tcPr>
          <w:p w:rsidR="001650BE" w:rsidRDefault="001650BE" w:rsidP="009C496D">
            <w:pPr>
              <w:pStyle w:val="P68B1DB1-Normal7"/>
              <w:spacing w:before="2"/>
              <w:jc w:val="center"/>
            </w:pPr>
            <w:r>
              <w:t>0,25%</w:t>
            </w:r>
          </w:p>
        </w:tc>
        <w:tc>
          <w:tcPr>
            <w:tcW w:w="1620" w:type="dxa"/>
          </w:tcPr>
          <w:p w:rsidR="001650BE" w:rsidRDefault="001650BE" w:rsidP="009C496D">
            <w:pPr>
              <w:pStyle w:val="P68B1DB1-Normal7"/>
              <w:spacing w:before="2"/>
              <w:jc w:val="center"/>
            </w:pPr>
            <w:r>
              <w:t>-</w:t>
            </w:r>
          </w:p>
        </w:tc>
        <w:tc>
          <w:tcPr>
            <w:tcW w:w="934" w:type="dxa"/>
          </w:tcPr>
          <w:p w:rsidR="001650BE" w:rsidRDefault="001650BE" w:rsidP="009C496D">
            <w:pPr>
              <w:pStyle w:val="P68B1DB1-Normal7"/>
              <w:spacing w:before="2"/>
              <w:jc w:val="center"/>
            </w:pPr>
            <w:r>
              <w:t>0.5%</w:t>
            </w:r>
          </w:p>
        </w:tc>
      </w:tr>
      <w:tr w:rsidR="001650BE" w:rsidTr="009C496D">
        <w:trPr>
          <w:trHeight w:val="263"/>
        </w:trPr>
        <w:tc>
          <w:tcPr>
            <w:tcW w:w="4249" w:type="dxa"/>
          </w:tcPr>
          <w:p w:rsidR="001650BE" w:rsidRDefault="001650BE" w:rsidP="009C496D">
            <w:pPr>
              <w:pStyle w:val="P68B1DB1-Normal7"/>
            </w:pPr>
            <w:r>
              <w:t>Public Housing</w:t>
            </w:r>
          </w:p>
        </w:tc>
        <w:tc>
          <w:tcPr>
            <w:tcW w:w="1261" w:type="dxa"/>
          </w:tcPr>
          <w:p w:rsidR="001650BE" w:rsidRDefault="001650BE" w:rsidP="009C496D">
            <w:pPr>
              <w:pStyle w:val="P68B1DB1-Normal7"/>
              <w:jc w:val="center"/>
            </w:pPr>
            <w:r>
              <w:t>-</w:t>
            </w:r>
          </w:p>
        </w:tc>
        <w:tc>
          <w:tcPr>
            <w:tcW w:w="1352" w:type="dxa"/>
          </w:tcPr>
          <w:p w:rsidR="001650BE" w:rsidRDefault="001650BE" w:rsidP="009C496D">
            <w:pPr>
              <w:pStyle w:val="P68B1DB1-Normal7"/>
              <w:jc w:val="center"/>
            </w:pPr>
            <w:r>
              <w:t>-</w:t>
            </w:r>
          </w:p>
        </w:tc>
        <w:tc>
          <w:tcPr>
            <w:tcW w:w="1620" w:type="dxa"/>
          </w:tcPr>
          <w:p w:rsidR="001650BE" w:rsidRDefault="001650BE" w:rsidP="009C496D">
            <w:pPr>
              <w:pStyle w:val="P68B1DB1-Normal7"/>
              <w:jc w:val="center"/>
            </w:pPr>
            <w:r>
              <w:t>0.5%</w:t>
            </w:r>
          </w:p>
        </w:tc>
        <w:tc>
          <w:tcPr>
            <w:tcW w:w="934" w:type="dxa"/>
          </w:tcPr>
          <w:p w:rsidR="001650BE" w:rsidRDefault="001650BE" w:rsidP="009C496D">
            <w:pPr>
              <w:pStyle w:val="P68B1DB1-Normal7"/>
              <w:jc w:val="center"/>
            </w:pPr>
            <w:r>
              <w:t>0.5%</w:t>
            </w:r>
          </w:p>
        </w:tc>
      </w:tr>
      <w:tr w:rsidR="001650BE" w:rsidTr="009C496D">
        <w:trPr>
          <w:trHeight w:val="266"/>
        </w:trPr>
        <w:tc>
          <w:tcPr>
            <w:tcW w:w="4249" w:type="dxa"/>
          </w:tcPr>
          <w:p w:rsidR="001650BE" w:rsidRDefault="001650BE" w:rsidP="009C496D">
            <w:pPr>
              <w:pStyle w:val="P68B1DB1-Normal7"/>
            </w:pPr>
            <w:r>
              <w:t>Public Housing</w:t>
            </w:r>
          </w:p>
        </w:tc>
        <w:tc>
          <w:tcPr>
            <w:tcW w:w="1261" w:type="dxa"/>
          </w:tcPr>
          <w:p w:rsidR="001650BE" w:rsidRDefault="001650BE" w:rsidP="009C496D">
            <w:pPr>
              <w:pStyle w:val="P68B1DB1-Normal7"/>
              <w:jc w:val="center"/>
            </w:pPr>
            <w:r>
              <w:t>25%</w:t>
            </w:r>
          </w:p>
        </w:tc>
        <w:tc>
          <w:tcPr>
            <w:tcW w:w="1352" w:type="dxa"/>
          </w:tcPr>
          <w:p w:rsidR="001650BE" w:rsidRDefault="001650BE" w:rsidP="009C496D">
            <w:pPr>
              <w:pStyle w:val="P68B1DB1-Normal7"/>
              <w:jc w:val="center"/>
            </w:pPr>
            <w:r>
              <w:t>9%</w:t>
            </w:r>
          </w:p>
        </w:tc>
        <w:tc>
          <w:tcPr>
            <w:tcW w:w="1620" w:type="dxa"/>
          </w:tcPr>
          <w:p w:rsidR="001650BE" w:rsidRDefault="001650BE" w:rsidP="009C496D">
            <w:pPr>
              <w:pStyle w:val="P68B1DB1-Normal7"/>
              <w:jc w:val="center"/>
            </w:pPr>
            <w:r>
              <w:t>0.5%</w:t>
            </w:r>
          </w:p>
        </w:tc>
        <w:tc>
          <w:tcPr>
            <w:tcW w:w="934" w:type="dxa"/>
          </w:tcPr>
          <w:p w:rsidR="001650BE" w:rsidRDefault="001650BE" w:rsidP="009C496D">
            <w:pPr>
              <w:pStyle w:val="P68B1DB1-Normal7"/>
              <w:jc w:val="center"/>
            </w:pPr>
            <w:r>
              <w:t>34.5%</w:t>
            </w:r>
          </w:p>
        </w:tc>
      </w:tr>
    </w:tbl>
    <w:p w:rsidR="001650BE" w:rsidRDefault="001650BE" w:rsidP="001650BE">
      <w:pPr>
        <w:widowControl w:val="0"/>
        <w:autoSpaceDE w:val="0"/>
        <w:autoSpaceDN w:val="0"/>
        <w:spacing w:after="42" w:line="240" w:lineRule="auto"/>
        <w:rPr>
          <w:rFonts w:ascii="Times New Roman" w:eastAsia="Times New Roman" w:hAnsi="Times New Roman" w:cs="Times New Roman"/>
          <w:b/>
          <w:sz w:val="24"/>
        </w:rPr>
      </w:pPr>
    </w:p>
    <w:p w:rsidR="001650BE" w:rsidRPr="006A766E" w:rsidRDefault="001650BE" w:rsidP="001650BE">
      <w:pPr>
        <w:pStyle w:val="P68B1DB1-Normal8"/>
        <w:widowControl w:val="0"/>
        <w:autoSpaceDE w:val="0"/>
        <w:autoSpaceDN w:val="0"/>
        <w:spacing w:before="3" w:after="0"/>
        <w:ind w:right="422"/>
        <w:jc w:val="both"/>
        <w:rPr>
          <w:i/>
          <w:lang w:val="en-US"/>
        </w:rPr>
      </w:pPr>
      <w:r w:rsidRPr="006A766E">
        <w:rPr>
          <w:b/>
          <w:lang w:val="en-US"/>
        </w:rPr>
        <w:t xml:space="preserve">Source: </w:t>
      </w:r>
      <w:r w:rsidRPr="006A766E">
        <w:rPr>
          <w:lang w:val="en-US"/>
        </w:rPr>
        <w:t xml:space="preserve">Table produced by us using data from the Centre for European and International Social Security Liaisons (CLEISS), available on the internet at: </w:t>
      </w:r>
      <w:hyperlink r:id="rId15">
        <w:r w:rsidRPr="006A766E">
          <w:rPr>
            <w:i/>
            <w:color w:val="0000FF"/>
            <w:u w:val="single" w:color="0000FF"/>
            <w:lang w:val="en-US"/>
          </w:rPr>
          <w:t>http://www.cleiss.fr</w:t>
        </w:r>
      </w:hyperlink>
    </w:p>
    <w:p w:rsidR="001650BE" w:rsidRPr="006A766E" w:rsidRDefault="001650BE" w:rsidP="001650BE">
      <w:pPr>
        <w:widowControl w:val="0"/>
        <w:autoSpaceDE w:val="0"/>
        <w:autoSpaceDN w:val="0"/>
        <w:spacing w:after="0" w:line="360" w:lineRule="auto"/>
        <w:ind w:right="422"/>
        <w:jc w:val="both"/>
        <w:rPr>
          <w:rFonts w:ascii="Times New Roman" w:eastAsia="Times New Roman" w:hAnsi="Times New Roman" w:cs="Times New Roman"/>
          <w:sz w:val="24"/>
          <w:lang w:val="en-US"/>
        </w:rPr>
      </w:pPr>
    </w:p>
    <w:p w:rsidR="001650BE" w:rsidRPr="006A766E" w:rsidRDefault="001650BE" w:rsidP="001650BE">
      <w:pPr>
        <w:pStyle w:val="P68B1DB1-Normal8"/>
        <w:widowControl w:val="0"/>
        <w:autoSpaceDE w:val="0"/>
        <w:autoSpaceDN w:val="0"/>
        <w:spacing w:after="0" w:line="360" w:lineRule="auto"/>
        <w:ind w:right="422"/>
        <w:jc w:val="both"/>
        <w:rPr>
          <w:lang w:val="en-US"/>
        </w:rPr>
      </w:pPr>
      <w:r w:rsidRPr="006A766E">
        <w:rPr>
          <w:lang w:val="en-US"/>
        </w:rPr>
        <w:t>For non-employees, the rate of the overall contribution payable by them is 15% calculated based on annual taxable income or, failing that, turnover or in some cases on the basis of the annual SNMG. This rate is divided equally (7.5%) between social insurance and retirement. For inactive special categories, the contribution rate charged to the state budget varies between 1% and 7% of the SNMG. For special active categories: the contribution rate and base depends on the specificity of the activity and the basket of services provided.</w:t>
      </w:r>
    </w:p>
    <w:p w:rsidR="001650BE" w:rsidRPr="006A766E" w:rsidRDefault="001650BE" w:rsidP="001650BE">
      <w:pPr>
        <w:widowControl w:val="0"/>
        <w:autoSpaceDE w:val="0"/>
        <w:autoSpaceDN w:val="0"/>
        <w:spacing w:before="45" w:after="0" w:line="360" w:lineRule="auto"/>
        <w:rPr>
          <w:rFonts w:ascii="Times New Roman" w:eastAsia="Times New Roman" w:hAnsi="Times New Roman" w:cs="Times New Roman"/>
          <w:sz w:val="24"/>
          <w:lang w:val="en-US"/>
        </w:rPr>
      </w:pPr>
    </w:p>
    <w:p w:rsidR="001650BE" w:rsidRDefault="001650BE" w:rsidP="001650BE">
      <w:pPr>
        <w:pStyle w:val="P68B1DB1-Normal8"/>
        <w:widowControl w:val="0"/>
        <w:autoSpaceDE w:val="0"/>
        <w:autoSpaceDN w:val="0"/>
        <w:spacing w:before="1" w:after="0" w:line="360" w:lineRule="auto"/>
        <w:ind w:right="425"/>
        <w:jc w:val="both"/>
        <w:rPr>
          <w:lang w:val="en-US"/>
        </w:rPr>
      </w:pPr>
      <w:r w:rsidRPr="006A766E">
        <w:rPr>
          <w:lang w:val="en-US"/>
        </w:rPr>
        <w:t>The data in Figure7 shows that the bulk of contributions come from state-owned enterprises and government. The share of private sector insured persons relative to the total social insured persons of the CNAS comes in third place, behind public companies and the administration. This situation is explained by the fact that private employers resort to non-declaration practices by their employees to avoid paying social security contributions, in particular the agricultural sector, which no longer declares its employees.</w:t>
      </w:r>
    </w:p>
    <w:p w:rsidR="00E12413" w:rsidRDefault="00E12413" w:rsidP="001650BE">
      <w:pPr>
        <w:pStyle w:val="P68B1DB1-Normal8"/>
        <w:widowControl w:val="0"/>
        <w:autoSpaceDE w:val="0"/>
        <w:autoSpaceDN w:val="0"/>
        <w:spacing w:before="1" w:after="0" w:line="360" w:lineRule="auto"/>
        <w:ind w:right="425"/>
        <w:jc w:val="both"/>
        <w:rPr>
          <w:lang w:val="en-US"/>
        </w:rPr>
      </w:pPr>
    </w:p>
    <w:p w:rsidR="00E12413" w:rsidRDefault="00E12413" w:rsidP="001650BE">
      <w:pPr>
        <w:pStyle w:val="P68B1DB1-Normal8"/>
        <w:widowControl w:val="0"/>
        <w:autoSpaceDE w:val="0"/>
        <w:autoSpaceDN w:val="0"/>
        <w:spacing w:before="1" w:after="0" w:line="360" w:lineRule="auto"/>
        <w:ind w:right="425"/>
        <w:jc w:val="both"/>
        <w:rPr>
          <w:lang w:val="en-US"/>
        </w:rPr>
      </w:pPr>
    </w:p>
    <w:p w:rsidR="00E12413" w:rsidRDefault="00E12413" w:rsidP="001650BE">
      <w:pPr>
        <w:pStyle w:val="P68B1DB1-Normal8"/>
        <w:widowControl w:val="0"/>
        <w:autoSpaceDE w:val="0"/>
        <w:autoSpaceDN w:val="0"/>
        <w:spacing w:before="1" w:after="0" w:line="360" w:lineRule="auto"/>
        <w:ind w:right="425"/>
        <w:jc w:val="both"/>
        <w:rPr>
          <w:lang w:val="en-US"/>
        </w:rPr>
      </w:pPr>
    </w:p>
    <w:p w:rsidR="001650BE" w:rsidRDefault="001650BE" w:rsidP="001650BE">
      <w:pPr>
        <w:pStyle w:val="P68B1DB1-Normal8"/>
        <w:widowControl w:val="0"/>
        <w:autoSpaceDE w:val="0"/>
        <w:autoSpaceDN w:val="0"/>
        <w:spacing w:before="1" w:after="0" w:line="360" w:lineRule="auto"/>
        <w:ind w:right="425"/>
        <w:jc w:val="both"/>
        <w:rPr>
          <w:lang w:val="en-US"/>
        </w:rPr>
      </w:pPr>
    </w:p>
    <w:p w:rsidR="001650BE" w:rsidRPr="006A766E" w:rsidRDefault="001650BE" w:rsidP="001650BE">
      <w:pPr>
        <w:pStyle w:val="P68B1DB1-Normal5"/>
        <w:widowControl w:val="0"/>
        <w:autoSpaceDE w:val="0"/>
        <w:autoSpaceDN w:val="0"/>
        <w:spacing w:after="0" w:line="240" w:lineRule="auto"/>
        <w:ind w:right="536"/>
        <w:jc w:val="center"/>
        <w:rPr>
          <w:lang w:val="en-US"/>
        </w:rPr>
      </w:pPr>
      <w:r w:rsidRPr="006A766E">
        <w:rPr>
          <w:lang w:val="en-US"/>
        </w:rPr>
        <w:t>Figure 0</w:t>
      </w:r>
      <w:r>
        <w:rPr>
          <w:lang w:val="en-US"/>
        </w:rPr>
        <w:t>7:</w:t>
      </w:r>
      <w:r w:rsidRPr="006A766E">
        <w:rPr>
          <w:lang w:val="en-US"/>
        </w:rPr>
        <w:t xml:space="preserve"> Evolution of the sources of financing of health insurance funds in</w:t>
      </w:r>
    </w:p>
    <w:p w:rsidR="001650BE" w:rsidRDefault="001650BE" w:rsidP="001650BE">
      <w:pPr>
        <w:pStyle w:val="P68B1DB1-Normal5"/>
        <w:widowControl w:val="0"/>
        <w:autoSpaceDE w:val="0"/>
        <w:autoSpaceDN w:val="0"/>
        <w:spacing w:before="41" w:after="0" w:line="240" w:lineRule="auto"/>
        <w:jc w:val="center"/>
      </w:pPr>
      <w:r>
        <w:t>Algeria</w:t>
      </w:r>
    </w:p>
    <w:p w:rsidR="001650BE" w:rsidRDefault="001650BE" w:rsidP="001650BE">
      <w:pPr>
        <w:pStyle w:val="P68B1DB1-Normal5"/>
        <w:widowControl w:val="0"/>
        <w:autoSpaceDE w:val="0"/>
        <w:autoSpaceDN w:val="0"/>
        <w:spacing w:before="41" w:after="0" w:line="240" w:lineRule="auto"/>
        <w:jc w:val="center"/>
      </w:pPr>
    </w:p>
    <w:p w:rsidR="001650BE" w:rsidRDefault="001650BE" w:rsidP="001650BE">
      <w:pPr>
        <w:pStyle w:val="P68B1DB1-Normal5"/>
        <w:widowControl w:val="0"/>
        <w:autoSpaceDE w:val="0"/>
        <w:autoSpaceDN w:val="0"/>
        <w:spacing w:before="41" w:after="0" w:line="240" w:lineRule="auto"/>
        <w:jc w:val="center"/>
      </w:pPr>
      <w:r>
        <w:rPr>
          <w:noProof/>
          <w:lang w:val="en-IN" w:eastAsia="en-IN"/>
        </w:rPr>
        <w:drawing>
          <wp:inline distT="0" distB="0" distL="0" distR="0" wp14:anchorId="0C6DA42D" wp14:editId="65400539">
            <wp:extent cx="6033135" cy="3270885"/>
            <wp:effectExtent l="0" t="0" r="5715" b="5715"/>
            <wp:docPr id="93" name="Graphique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650BE" w:rsidRPr="006A766E" w:rsidRDefault="001650BE" w:rsidP="001650BE">
      <w:pPr>
        <w:pStyle w:val="P68B1DB1-Normal8"/>
        <w:widowControl w:val="0"/>
        <w:autoSpaceDE w:val="0"/>
        <w:autoSpaceDN w:val="0"/>
        <w:spacing w:before="226" w:after="0" w:line="240" w:lineRule="auto"/>
        <w:rPr>
          <w:lang w:val="en-US"/>
        </w:rPr>
      </w:pPr>
      <w:r w:rsidRPr="006A766E">
        <w:rPr>
          <w:b/>
          <w:lang w:val="en-US"/>
        </w:rPr>
        <w:t xml:space="preserve">Source: </w:t>
      </w:r>
      <w:r w:rsidRPr="006A766E">
        <w:rPr>
          <w:lang w:val="en-US"/>
        </w:rPr>
        <w:t>Table made by us from:</w:t>
      </w:r>
    </w:p>
    <w:p w:rsidR="001650BE" w:rsidRDefault="001650BE" w:rsidP="001650BE">
      <w:pPr>
        <w:pStyle w:val="P68B1DB1-Normal8"/>
        <w:widowControl w:val="0"/>
        <w:tabs>
          <w:tab w:val="left" w:pos="1286"/>
        </w:tabs>
        <w:autoSpaceDE w:val="0"/>
        <w:autoSpaceDN w:val="0"/>
        <w:spacing w:before="230" w:after="0" w:line="240" w:lineRule="auto"/>
        <w:ind w:left="853" w:right="418"/>
        <w:jc w:val="both"/>
      </w:pPr>
      <w:r>
        <w:t xml:space="preserve">-Kassa F. (2009), "Essai d 'analyse des dépenses d 'assurance maladie en Algérie", </w:t>
      </w:r>
      <w:r>
        <w:rPr>
          <w:i/>
        </w:rPr>
        <w:t>dissertation by Magister in Economics</w:t>
      </w:r>
      <w:r>
        <w:t>, University of Bejaia, p. 130.</w:t>
      </w:r>
    </w:p>
    <w:p w:rsidR="001650BE" w:rsidRDefault="001650BE" w:rsidP="001650BE">
      <w:pPr>
        <w:pStyle w:val="P68B1DB1-Normal8"/>
        <w:widowControl w:val="0"/>
        <w:tabs>
          <w:tab w:val="left" w:pos="1282"/>
        </w:tabs>
        <w:autoSpaceDE w:val="0"/>
        <w:autoSpaceDN w:val="0"/>
        <w:spacing w:before="121" w:after="0" w:line="240" w:lineRule="auto"/>
        <w:jc w:val="both"/>
      </w:pPr>
      <w:r>
        <w:t xml:space="preserve">            </w:t>
      </w:r>
    </w:p>
    <w:p w:rsidR="001650BE" w:rsidRPr="006A766E" w:rsidRDefault="001650BE" w:rsidP="001650BE">
      <w:pPr>
        <w:pStyle w:val="P68B1DB1-Normal5"/>
        <w:widowControl w:val="0"/>
        <w:autoSpaceDE w:val="0"/>
        <w:autoSpaceDN w:val="0"/>
        <w:spacing w:before="167" w:after="0" w:line="360" w:lineRule="auto"/>
        <w:ind w:left="281" w:hanging="281"/>
        <w:rPr>
          <w:lang w:val="en-US"/>
        </w:rPr>
      </w:pPr>
      <w:r w:rsidRPr="006A766E">
        <w:rPr>
          <w:lang w:val="en-US"/>
        </w:rPr>
        <w:t>B. Intervention of the State budget</w:t>
      </w:r>
    </w:p>
    <w:p w:rsidR="001650BE" w:rsidRPr="006A766E" w:rsidRDefault="001650BE" w:rsidP="001650BE">
      <w:pPr>
        <w:pStyle w:val="P68B1DB1-Normal8"/>
        <w:widowControl w:val="0"/>
        <w:autoSpaceDE w:val="0"/>
        <w:autoSpaceDN w:val="0"/>
        <w:spacing w:before="44" w:after="0" w:line="360" w:lineRule="auto"/>
        <w:jc w:val="both"/>
        <w:rPr>
          <w:lang w:val="en-US"/>
        </w:rPr>
      </w:pPr>
      <w:r w:rsidRPr="006A766E">
        <w:rPr>
          <w:lang w:val="en-US"/>
        </w:rPr>
        <w:t>The State participates in the financing of the social security system by:</w:t>
      </w:r>
    </w:p>
    <w:p w:rsidR="001650BE" w:rsidRPr="006A766E" w:rsidRDefault="001650BE" w:rsidP="001650BE">
      <w:pPr>
        <w:pStyle w:val="P68B1DB1-Normal8"/>
        <w:widowControl w:val="0"/>
        <w:numPr>
          <w:ilvl w:val="1"/>
          <w:numId w:val="5"/>
        </w:numPr>
        <w:tabs>
          <w:tab w:val="left" w:pos="720"/>
        </w:tabs>
        <w:autoSpaceDE w:val="0"/>
        <w:autoSpaceDN w:val="0"/>
        <w:spacing w:before="45" w:after="0" w:line="360" w:lineRule="auto"/>
        <w:ind w:left="720" w:hanging="359"/>
        <w:jc w:val="both"/>
        <w:rPr>
          <w:lang w:val="en-US"/>
        </w:rPr>
      </w:pPr>
      <w:r w:rsidRPr="006A766E">
        <w:rPr>
          <w:lang w:val="en-US"/>
        </w:rPr>
        <w:t>The financing of family allowances;</w:t>
      </w:r>
    </w:p>
    <w:p w:rsidR="001650BE" w:rsidRPr="006A766E" w:rsidRDefault="001650BE" w:rsidP="001650BE">
      <w:pPr>
        <w:pStyle w:val="P68B1DB1-Normal8"/>
        <w:widowControl w:val="0"/>
        <w:numPr>
          <w:ilvl w:val="1"/>
          <w:numId w:val="5"/>
        </w:numPr>
        <w:tabs>
          <w:tab w:val="left" w:pos="721"/>
        </w:tabs>
        <w:autoSpaceDE w:val="0"/>
        <w:autoSpaceDN w:val="0"/>
        <w:spacing w:before="44" w:after="0" w:line="360" w:lineRule="auto"/>
        <w:ind w:right="423"/>
        <w:jc w:val="both"/>
        <w:rPr>
          <w:lang w:val="en-US"/>
        </w:rPr>
      </w:pPr>
      <w:r w:rsidRPr="006A766E">
        <w:rPr>
          <w:lang w:val="en-US"/>
        </w:rPr>
        <w:t>The coverage of national solidarity expenses - non-contributory rights (supplements and allowances paid to small pensions and retirement allowances - minimum pensions and allowances, exceptional increases in pensions, contribution differentials for the promotion of employment and investment, etc.).</w:t>
      </w:r>
    </w:p>
    <w:p w:rsidR="001650BE" w:rsidRPr="006A766E" w:rsidRDefault="001650BE" w:rsidP="001650BE">
      <w:pPr>
        <w:widowControl w:val="0"/>
        <w:autoSpaceDE w:val="0"/>
        <w:autoSpaceDN w:val="0"/>
        <w:spacing w:before="44" w:after="0" w:line="360" w:lineRule="auto"/>
        <w:ind w:right="422"/>
        <w:jc w:val="both"/>
        <w:rPr>
          <w:rFonts w:ascii="Times New Roman" w:eastAsia="Times New Roman" w:hAnsi="Times New Roman" w:cs="Times New Roman"/>
          <w:sz w:val="24"/>
          <w:lang w:val="en-US"/>
        </w:rPr>
      </w:pPr>
    </w:p>
    <w:p w:rsidR="001650BE" w:rsidRPr="006A766E" w:rsidRDefault="001650BE" w:rsidP="001650BE">
      <w:pPr>
        <w:pStyle w:val="P68B1DB1-Normal5"/>
        <w:widowControl w:val="0"/>
        <w:autoSpaceDE w:val="0"/>
        <w:autoSpaceDN w:val="0"/>
        <w:spacing w:before="44" w:after="0" w:line="360" w:lineRule="auto"/>
        <w:ind w:right="422"/>
        <w:jc w:val="both"/>
        <w:rPr>
          <w:lang w:val="en-US"/>
        </w:rPr>
      </w:pPr>
      <w:r w:rsidRPr="006A766E">
        <w:rPr>
          <w:lang w:val="en-US"/>
        </w:rPr>
        <w:t>C. Indication of additional requirements</w:t>
      </w:r>
    </w:p>
    <w:p w:rsidR="001650BE" w:rsidRDefault="001650BE" w:rsidP="001650BE">
      <w:pPr>
        <w:pStyle w:val="P68B1DB1-Normal8"/>
        <w:widowControl w:val="0"/>
        <w:autoSpaceDE w:val="0"/>
        <w:autoSpaceDN w:val="0"/>
        <w:spacing w:before="44" w:after="0" w:line="360" w:lineRule="auto"/>
        <w:ind w:right="422"/>
        <w:jc w:val="both"/>
      </w:pPr>
      <w:r w:rsidRPr="006A766E">
        <w:rPr>
          <w:lang w:val="en-US"/>
        </w:rPr>
        <w:t xml:space="preserve">In order to mobilize new resources for the social security system, reforms of the financing of the system were introduced, from 2006, through the finance laws. These are new so-called </w:t>
      </w:r>
      <w:r w:rsidRPr="006A766E">
        <w:rPr>
          <w:lang w:val="en-US"/>
        </w:rPr>
        <w:lastRenderedPageBreak/>
        <w:t xml:space="preserve">additional resources from taxation (taxes and levies on the proceeds of oil taxation and on products related to social security expenditure. </w:t>
      </w:r>
      <w:r>
        <w:t>It is within this framework that were carried out:</w:t>
      </w:r>
    </w:p>
    <w:p w:rsidR="001650BE" w:rsidRDefault="001650BE" w:rsidP="001650BE">
      <w:pPr>
        <w:pStyle w:val="P68B1DB1-Normal8"/>
        <w:widowControl w:val="0"/>
        <w:autoSpaceDE w:val="0"/>
        <w:autoSpaceDN w:val="0"/>
        <w:spacing w:before="44" w:after="0" w:line="360" w:lineRule="auto"/>
        <w:ind w:right="422"/>
        <w:jc w:val="both"/>
      </w:pPr>
    </w:p>
    <w:p w:rsidR="001650BE" w:rsidRDefault="001650BE" w:rsidP="001650BE">
      <w:pPr>
        <w:widowControl w:val="0"/>
        <w:autoSpaceDE w:val="0"/>
        <w:autoSpaceDN w:val="0"/>
        <w:spacing w:before="44" w:after="0" w:line="360" w:lineRule="auto"/>
        <w:ind w:right="422"/>
        <w:jc w:val="both"/>
        <w:rPr>
          <w:rFonts w:ascii="Times New Roman" w:eastAsia="Times New Roman" w:hAnsi="Times New Roman" w:cs="Times New Roman"/>
          <w:sz w:val="24"/>
        </w:rPr>
      </w:pPr>
    </w:p>
    <w:p w:rsidR="001650BE" w:rsidRPr="006A766E" w:rsidRDefault="001650BE" w:rsidP="001650BE">
      <w:pPr>
        <w:pStyle w:val="P68B1DB1-Paragraphedeliste16"/>
        <w:numPr>
          <w:ilvl w:val="0"/>
          <w:numId w:val="15"/>
        </w:numPr>
        <w:spacing w:before="44" w:line="360" w:lineRule="auto"/>
        <w:ind w:right="422"/>
        <w:rPr>
          <w:lang w:val="en-US"/>
        </w:rPr>
      </w:pPr>
      <w:r w:rsidRPr="006A766E">
        <w:rPr>
          <w:b/>
          <w:lang w:val="en-US"/>
        </w:rPr>
        <w:t xml:space="preserve">The national pension reserve fund, </w:t>
      </w:r>
      <w:r w:rsidRPr="006A766E">
        <w:rPr>
          <w:lang w:val="en-US"/>
        </w:rPr>
        <w:t>created in 2006 and funded annually by 3% of the amount of oil taxation.</w:t>
      </w:r>
    </w:p>
    <w:p w:rsidR="001650BE" w:rsidRPr="006A766E" w:rsidRDefault="001650BE" w:rsidP="001650BE">
      <w:pPr>
        <w:pStyle w:val="P68B1DB1-Normal8"/>
        <w:widowControl w:val="0"/>
        <w:numPr>
          <w:ilvl w:val="0"/>
          <w:numId w:val="3"/>
        </w:numPr>
        <w:tabs>
          <w:tab w:val="left" w:pos="721"/>
        </w:tabs>
        <w:autoSpaceDE w:val="0"/>
        <w:autoSpaceDN w:val="0"/>
        <w:spacing w:after="0" w:line="360" w:lineRule="auto"/>
        <w:ind w:right="425"/>
        <w:jc w:val="both"/>
        <w:rPr>
          <w:lang w:val="en-US"/>
        </w:rPr>
      </w:pPr>
      <w:r w:rsidRPr="006A766E">
        <w:rPr>
          <w:b/>
          <w:lang w:val="en-US"/>
        </w:rPr>
        <w:t xml:space="preserve">The national social security fund: </w:t>
      </w:r>
      <w:r w:rsidRPr="006A766E">
        <w:rPr>
          <w:lang w:val="en-US"/>
        </w:rPr>
        <w:t>The financing of the financial imbalance of the social security bodies, the National Social Insurance Fund for Employees (CNAS), the National Social Security Fund for Non-Employees (CASNOS), as well as that of the National Pension Fund (CNR), will be made up by the National Social Security Fund (FNSS), whose monitoring and evaluation modalities as well as the nomenclature of income and expenditure have been published in the Official Journal No.55 dated July 14, 2021.</w:t>
      </w:r>
    </w:p>
    <w:p w:rsidR="001650BE" w:rsidRPr="006A766E" w:rsidRDefault="001650BE" w:rsidP="001650BE">
      <w:pPr>
        <w:widowControl w:val="0"/>
        <w:tabs>
          <w:tab w:val="left" w:pos="721"/>
        </w:tabs>
        <w:autoSpaceDE w:val="0"/>
        <w:autoSpaceDN w:val="0"/>
        <w:spacing w:after="0" w:line="360" w:lineRule="auto"/>
        <w:ind w:left="721" w:right="425"/>
        <w:jc w:val="both"/>
        <w:rPr>
          <w:rFonts w:ascii="Times New Roman" w:eastAsia="Times New Roman" w:hAnsi="Times New Roman" w:cs="Times New Roman"/>
          <w:sz w:val="24"/>
          <w:lang w:val="en-US"/>
        </w:rPr>
      </w:pPr>
    </w:p>
    <w:p w:rsidR="001650BE" w:rsidRPr="006A766E" w:rsidRDefault="001650BE" w:rsidP="001650BE">
      <w:pPr>
        <w:pStyle w:val="P68B1DB1-Normal5"/>
        <w:widowControl w:val="0"/>
        <w:autoSpaceDE w:val="0"/>
        <w:autoSpaceDN w:val="0"/>
        <w:spacing w:before="43" w:after="0" w:line="360" w:lineRule="auto"/>
        <w:jc w:val="both"/>
        <w:rPr>
          <w:lang w:val="en-US"/>
        </w:rPr>
      </w:pPr>
      <w:r w:rsidRPr="006A766E">
        <w:rPr>
          <w:lang w:val="en-US"/>
        </w:rPr>
        <w:t>3) Factors limiting the level of health insurance revenues</w:t>
      </w:r>
    </w:p>
    <w:p w:rsidR="001650BE" w:rsidRPr="006A766E" w:rsidRDefault="001650BE" w:rsidP="001650BE">
      <w:pPr>
        <w:pStyle w:val="P68B1DB1-Normal8"/>
        <w:widowControl w:val="0"/>
        <w:autoSpaceDE w:val="0"/>
        <w:autoSpaceDN w:val="0"/>
        <w:spacing w:before="43" w:after="0" w:line="360" w:lineRule="auto"/>
        <w:jc w:val="both"/>
        <w:rPr>
          <w:lang w:val="en-US"/>
        </w:rPr>
      </w:pPr>
      <w:r w:rsidRPr="006A766E">
        <w:rPr>
          <w:lang w:val="en-US"/>
        </w:rPr>
        <w:t>As noted above, the system's funding mechanisms have not varied. They are mainly based on social security contributions. These are still insufficient to absorb the large amount of expenditure. The reasons for this are mainly due to the narrowing of the contribution base, the mismatch between the contribution rate and the range of benefits guaranteed by the system and constraints in the collection of contributions.</w:t>
      </w:r>
    </w:p>
    <w:p w:rsidR="001650BE" w:rsidRPr="006A766E" w:rsidRDefault="001650BE" w:rsidP="001650BE">
      <w:pPr>
        <w:widowControl w:val="0"/>
        <w:autoSpaceDE w:val="0"/>
        <w:autoSpaceDN w:val="0"/>
        <w:spacing w:before="43" w:after="0" w:line="360" w:lineRule="auto"/>
        <w:jc w:val="both"/>
        <w:rPr>
          <w:rFonts w:ascii="Times New Roman" w:eastAsia="Times New Roman" w:hAnsi="Times New Roman" w:cs="Times New Roman"/>
          <w:sz w:val="24"/>
          <w:lang w:val="en-US"/>
        </w:rPr>
      </w:pPr>
    </w:p>
    <w:p w:rsidR="001650BE" w:rsidRPr="006A766E" w:rsidRDefault="001650BE" w:rsidP="001650BE">
      <w:pPr>
        <w:pStyle w:val="P68B1DB1-Normal8"/>
        <w:widowControl w:val="0"/>
        <w:autoSpaceDE w:val="0"/>
        <w:autoSpaceDN w:val="0"/>
        <w:spacing w:before="43" w:after="0" w:line="360" w:lineRule="auto"/>
        <w:jc w:val="both"/>
        <w:rPr>
          <w:lang w:val="en-US"/>
        </w:rPr>
      </w:pPr>
      <w:r w:rsidRPr="006A766E">
        <w:rPr>
          <w:b/>
          <w:lang w:val="en-US"/>
        </w:rPr>
        <w:t>A.</w:t>
      </w:r>
      <w:r w:rsidRPr="006A766E">
        <w:rPr>
          <w:lang w:val="en-US"/>
        </w:rPr>
        <w:t xml:space="preserve"> </w:t>
      </w:r>
      <w:r w:rsidRPr="006A766E">
        <w:rPr>
          <w:b/>
          <w:lang w:val="en-US"/>
        </w:rPr>
        <w:t>Shrinking contribution base</w:t>
      </w:r>
    </w:p>
    <w:p w:rsidR="001650BE" w:rsidRPr="006A766E" w:rsidRDefault="001650BE" w:rsidP="001650BE">
      <w:pPr>
        <w:pStyle w:val="P68B1DB1-Normal8"/>
        <w:widowControl w:val="0"/>
        <w:autoSpaceDE w:val="0"/>
        <w:autoSpaceDN w:val="0"/>
        <w:spacing w:before="43" w:after="0" w:line="360" w:lineRule="auto"/>
        <w:jc w:val="both"/>
        <w:rPr>
          <w:lang w:val="en-US"/>
        </w:rPr>
      </w:pPr>
      <w:r w:rsidRPr="006A766E">
        <w:rPr>
          <w:lang w:val="en-US"/>
        </w:rPr>
        <w:t>The difficult economic recovery, the high level of unemployment, especially among urban youth, the low guaranteed minimum national wage (18,000 DA) as well as the expansion of the informal sphere have led to a reduction in the number of contributors and therefore a decline in revenues.</w:t>
      </w:r>
    </w:p>
    <w:p w:rsidR="001650BE" w:rsidRPr="006A766E" w:rsidRDefault="001650BE" w:rsidP="001650BE">
      <w:pPr>
        <w:pStyle w:val="P68B1DB1-Normal8"/>
        <w:widowControl w:val="0"/>
        <w:autoSpaceDE w:val="0"/>
        <w:autoSpaceDN w:val="0"/>
        <w:spacing w:before="43" w:after="0" w:line="360" w:lineRule="auto"/>
        <w:jc w:val="both"/>
        <w:rPr>
          <w:lang w:val="en-US"/>
        </w:rPr>
      </w:pPr>
      <w:r w:rsidRPr="006A766E">
        <w:rPr>
          <w:lang w:val="en-US"/>
        </w:rPr>
        <w:t xml:space="preserve"> </w:t>
      </w:r>
    </w:p>
    <w:p w:rsidR="001650BE" w:rsidRPr="006A766E" w:rsidRDefault="001650BE" w:rsidP="001650BE">
      <w:pPr>
        <w:pStyle w:val="P68B1DB1-Normal8"/>
        <w:widowControl w:val="0"/>
        <w:autoSpaceDE w:val="0"/>
        <w:autoSpaceDN w:val="0"/>
        <w:spacing w:before="43" w:after="0" w:line="360" w:lineRule="auto"/>
        <w:jc w:val="both"/>
        <w:rPr>
          <w:lang w:val="en-US"/>
        </w:rPr>
      </w:pPr>
      <w:r w:rsidRPr="006A766E">
        <w:rPr>
          <w:b/>
          <w:lang w:val="en-US"/>
        </w:rPr>
        <w:t>B</w:t>
      </w:r>
      <w:r w:rsidRPr="006A766E">
        <w:rPr>
          <w:lang w:val="en-US"/>
        </w:rPr>
        <w:t>.</w:t>
      </w:r>
      <w:r w:rsidRPr="006A766E">
        <w:rPr>
          <w:b/>
          <w:lang w:val="en-US"/>
        </w:rPr>
        <w:t xml:space="preserve"> Mismatch between the contribution rate and the range of benefits guaranteed by the system</w:t>
      </w:r>
    </w:p>
    <w:p w:rsidR="001650BE" w:rsidRPr="006A766E" w:rsidRDefault="001650BE" w:rsidP="001650BE">
      <w:pPr>
        <w:pStyle w:val="P68B1DB1-Normal8"/>
        <w:widowControl w:val="0"/>
        <w:autoSpaceDE w:val="0"/>
        <w:autoSpaceDN w:val="0"/>
        <w:spacing w:before="43" w:after="0" w:line="360" w:lineRule="auto"/>
        <w:jc w:val="both"/>
        <w:rPr>
          <w:lang w:val="en-US"/>
        </w:rPr>
      </w:pPr>
      <w:r w:rsidRPr="006A766E">
        <w:rPr>
          <w:lang w:val="en-US"/>
        </w:rPr>
        <w:t xml:space="preserve">Extended to almost all social categories, the Algerian social security system suffers from the mismatch between relatively low contribution rates, especially for special categories in large numbers and the importance of expenditure on care for these categories </w:t>
      </w:r>
      <w:sdt>
        <w:sdtPr>
          <w:rPr>
            <w:szCs w:val="24"/>
          </w:rPr>
          <w:id w:val="-1316569823"/>
          <w:citation/>
        </w:sdtPr>
        <w:sdtEndPr/>
        <w:sdtContent>
          <w:r>
            <w:fldChar w:fldCharType="begin"/>
          </w:r>
          <w:r w:rsidRPr="006A766E">
            <w:rPr>
              <w:lang w:val="en-US"/>
            </w:rPr>
            <w:instrText xml:space="preserve"> CITATION Lam04 \l 1036 </w:instrText>
          </w:r>
          <w:r>
            <w:fldChar w:fldCharType="separate"/>
          </w:r>
          <w:r w:rsidRPr="00697916">
            <w:rPr>
              <w:noProof/>
              <w:lang w:val="en-US"/>
            </w:rPr>
            <w:t>(Lamri, L, 2004)</w:t>
          </w:r>
          <w:r>
            <w:fldChar w:fldCharType="end"/>
          </w:r>
        </w:sdtContent>
      </w:sdt>
      <w:r w:rsidRPr="006A766E">
        <w:rPr>
          <w:lang w:val="en-US"/>
        </w:rPr>
        <w:t>.</w:t>
      </w:r>
    </w:p>
    <w:p w:rsidR="001650BE" w:rsidRPr="006A766E" w:rsidRDefault="001650BE" w:rsidP="001650BE">
      <w:pPr>
        <w:widowControl w:val="0"/>
        <w:autoSpaceDE w:val="0"/>
        <w:autoSpaceDN w:val="0"/>
        <w:spacing w:before="43" w:after="0" w:line="360" w:lineRule="auto"/>
        <w:jc w:val="both"/>
        <w:rPr>
          <w:rFonts w:ascii="Times New Roman" w:eastAsia="Times New Roman" w:hAnsi="Times New Roman" w:cs="Times New Roman"/>
          <w:sz w:val="24"/>
          <w:lang w:val="en-US"/>
        </w:rPr>
      </w:pPr>
    </w:p>
    <w:p w:rsidR="001650BE" w:rsidRPr="006A766E" w:rsidRDefault="001650BE" w:rsidP="001650BE">
      <w:pPr>
        <w:pStyle w:val="P68B1DB1-Normal8"/>
        <w:widowControl w:val="0"/>
        <w:autoSpaceDE w:val="0"/>
        <w:autoSpaceDN w:val="0"/>
        <w:spacing w:before="43" w:after="0" w:line="360" w:lineRule="auto"/>
        <w:jc w:val="both"/>
        <w:rPr>
          <w:lang w:val="en-US"/>
        </w:rPr>
      </w:pPr>
      <w:r w:rsidRPr="006A766E">
        <w:rPr>
          <w:b/>
          <w:lang w:val="en-US"/>
        </w:rPr>
        <w:lastRenderedPageBreak/>
        <w:t>C.</w:t>
      </w:r>
      <w:r w:rsidRPr="006A766E">
        <w:rPr>
          <w:lang w:val="en-US"/>
        </w:rPr>
        <w:t xml:space="preserve"> </w:t>
      </w:r>
      <w:r w:rsidRPr="006A766E">
        <w:rPr>
          <w:b/>
          <w:lang w:val="en-US"/>
        </w:rPr>
        <w:t>Constraints in the collection of contributions</w:t>
      </w:r>
    </w:p>
    <w:p w:rsidR="001650BE" w:rsidRPr="006A766E" w:rsidRDefault="001650BE" w:rsidP="001650BE">
      <w:pPr>
        <w:pStyle w:val="P68B1DB1-Normal8"/>
        <w:widowControl w:val="0"/>
        <w:autoSpaceDE w:val="0"/>
        <w:autoSpaceDN w:val="0"/>
        <w:spacing w:before="43" w:after="0" w:line="360" w:lineRule="auto"/>
        <w:jc w:val="both"/>
        <w:rPr>
          <w:lang w:val="en-US"/>
        </w:rPr>
      </w:pPr>
      <w:r w:rsidRPr="006A766E">
        <w:rPr>
          <w:lang w:val="en-US"/>
        </w:rPr>
        <w:t xml:space="preserve">In Algeria, despite the various legal procedures made available to the social security for the recovery system to be efficient and in accordance with Law No. 99-10 of 11 November 1999, it has proved to be ineffective. To date, the contribution rate for the CNAS is 34.5% of salary and that of CASNOS 15% of income. But the funds are facing a shortfall: the actual contribution rate is significantly lower than the required rate. The potential revenues of the CNAS would theoretically be 34.5% of the payroll, but the result of this theoretical equation does not necessarily coincide with the actual revenues of the CNAS. The CNAS then suffers a loss of income because a large proportion of employees (33% according to the </w:t>
      </w:r>
      <w:r w:rsidRPr="00C037A9">
        <w:rPr>
          <w:lang w:val="en-US"/>
        </w:rPr>
        <w:t>National Office of Statistics</w:t>
      </w:r>
      <w:r w:rsidRPr="006A766E">
        <w:rPr>
          <w:lang w:val="en-US"/>
        </w:rPr>
        <w:t xml:space="preserve">, 2011) are not affiliated to social security and their salary is therefore not subject to contribution. This is also the case for CASNOS, which suffers in its operation from the low collection of contributions from self-employed workers  </w:t>
      </w:r>
      <w:sdt>
        <w:sdtPr>
          <w:rPr>
            <w:szCs w:val="24"/>
          </w:rPr>
          <w:id w:val="-442606742"/>
          <w:citation/>
        </w:sdtPr>
        <w:sdtEndPr/>
        <w:sdtContent>
          <w:r>
            <w:fldChar w:fldCharType="begin"/>
          </w:r>
          <w:r w:rsidRPr="006A766E">
            <w:rPr>
              <w:lang w:val="en-US"/>
            </w:rPr>
            <w:instrText xml:space="preserve"> CITATION Mer14 \l 1036 </w:instrText>
          </w:r>
          <w:r>
            <w:fldChar w:fldCharType="separate"/>
          </w:r>
          <w:r w:rsidRPr="00697916">
            <w:rPr>
              <w:noProof/>
              <w:lang w:val="en-US"/>
            </w:rPr>
            <w:t>(Merouani ,W, El Moudden ,C, &amp; Hammoudi,N, 2014)</w:t>
          </w:r>
          <w:r>
            <w:fldChar w:fldCharType="end"/>
          </w:r>
        </w:sdtContent>
      </w:sdt>
    </w:p>
    <w:p w:rsidR="001650BE" w:rsidRPr="006A766E" w:rsidRDefault="001650BE" w:rsidP="001650BE">
      <w:pPr>
        <w:pStyle w:val="P68B1DB1-Normal4"/>
        <w:spacing w:line="360" w:lineRule="auto"/>
        <w:jc w:val="both"/>
        <w:rPr>
          <w:lang w:val="en-US"/>
        </w:rPr>
      </w:pPr>
      <w:r w:rsidRPr="006A766E">
        <w:rPr>
          <w:lang w:val="en-US"/>
        </w:rPr>
        <w:t xml:space="preserve">The actuarial projections made as part of this research indicate a growing structural deficit if no reform is undertaken. The revenue/expenditure ratio, currently 1.02, could fall to 0.87 in 2030 under the trend scenario, requiring budget transfers from the State estimated at 2.1% of GDP. </w:t>
      </w:r>
    </w:p>
    <w:p w:rsidR="001650BE" w:rsidRPr="006A766E" w:rsidRDefault="001650BE" w:rsidP="001650BE">
      <w:pPr>
        <w:pStyle w:val="P68B1DB1-Normal3"/>
        <w:spacing w:line="360" w:lineRule="auto"/>
        <w:jc w:val="both"/>
        <w:rPr>
          <w:lang w:val="en-US"/>
        </w:rPr>
      </w:pPr>
      <w:r w:rsidRPr="006A766E">
        <w:rPr>
          <w:lang w:val="en-US"/>
        </w:rPr>
        <w:t>Structural challenges identified:</w:t>
      </w:r>
    </w:p>
    <w:p w:rsidR="001650BE" w:rsidRPr="006A766E" w:rsidRDefault="001650BE" w:rsidP="001650BE">
      <w:pPr>
        <w:pStyle w:val="P68B1DB1-Normal3"/>
        <w:spacing w:line="360" w:lineRule="auto"/>
        <w:jc w:val="both"/>
        <w:rPr>
          <w:lang w:val="en-US"/>
        </w:rPr>
      </w:pPr>
      <w:r w:rsidRPr="006A766E">
        <w:rPr>
          <w:lang w:val="en-US"/>
        </w:rPr>
        <w:t>4.2.1. Institutional fragmentation</w:t>
      </w:r>
    </w:p>
    <w:p w:rsidR="001650BE" w:rsidRPr="006A766E" w:rsidRDefault="001650BE" w:rsidP="001650BE">
      <w:pPr>
        <w:pStyle w:val="P68B1DB1-Normal4"/>
        <w:spacing w:line="360" w:lineRule="auto"/>
        <w:jc w:val="both"/>
        <w:rPr>
          <w:lang w:val="en-US"/>
        </w:rPr>
      </w:pPr>
      <w:r w:rsidRPr="006A766E">
        <w:rPr>
          <w:lang w:val="en-US"/>
        </w:rPr>
        <w:t xml:space="preserve">The qualitative analysis reveals that institutional fragmentation is one of the major obstacles to the efficiency of the system. This fragmentation generates high administrative costs and unequal treatment among policyholders. </w:t>
      </w:r>
    </w:p>
    <w:p w:rsidR="001650BE" w:rsidRPr="006A766E" w:rsidRDefault="001650BE" w:rsidP="001650BE">
      <w:pPr>
        <w:pStyle w:val="P68B1DB1-Normal3"/>
        <w:spacing w:line="360" w:lineRule="auto"/>
        <w:jc w:val="both"/>
        <w:rPr>
          <w:lang w:val="en-US"/>
        </w:rPr>
      </w:pPr>
      <w:r w:rsidRPr="006A766E">
        <w:rPr>
          <w:lang w:val="en-US"/>
        </w:rPr>
        <w:t>4.2.2. Geographical and social inequalities</w:t>
      </w:r>
    </w:p>
    <w:p w:rsidR="001650BE" w:rsidRPr="006A766E" w:rsidRDefault="001650BE" w:rsidP="001650BE">
      <w:pPr>
        <w:pStyle w:val="P68B1DB1-Normal4"/>
        <w:spacing w:line="360" w:lineRule="auto"/>
        <w:jc w:val="both"/>
        <w:rPr>
          <w:lang w:val="en-US"/>
        </w:rPr>
      </w:pPr>
      <w:r w:rsidRPr="006A766E">
        <w:rPr>
          <w:lang w:val="en-US"/>
        </w:rPr>
        <w:t>The data collected highlight significant disparities in access to care by region and socio-professional category. The rate of recourse to specialized care varies from 1 to 4 between the wilayas of the north and those of the south, reflecting both inequalities in the provision of care and residual financial barriers.</w:t>
      </w:r>
    </w:p>
    <w:p w:rsidR="001650BE" w:rsidRPr="006A766E" w:rsidRDefault="001650BE" w:rsidP="001650BE">
      <w:pPr>
        <w:pStyle w:val="P68B1DB1-Normal3"/>
        <w:spacing w:line="360" w:lineRule="auto"/>
        <w:jc w:val="center"/>
        <w:rPr>
          <w:lang w:val="en-US"/>
        </w:rPr>
      </w:pPr>
      <w:r w:rsidRPr="006A766E">
        <w:rPr>
          <w:lang w:val="en-US"/>
        </w:rPr>
        <w:t>Table 5: Access to care indicators by region (2022)</w:t>
      </w:r>
    </w:p>
    <w:tbl>
      <w:tblPr>
        <w:tblStyle w:val="TableGrid"/>
        <w:tblW w:w="0" w:type="auto"/>
        <w:tblLook w:val="04A0" w:firstRow="1" w:lastRow="0" w:firstColumn="1" w:lastColumn="0" w:noHBand="0" w:noVBand="1"/>
      </w:tblPr>
      <w:tblGrid>
        <w:gridCol w:w="1475"/>
        <w:gridCol w:w="2971"/>
        <w:gridCol w:w="2637"/>
        <w:gridCol w:w="2634"/>
      </w:tblGrid>
      <w:tr w:rsidR="001650BE" w:rsidTr="009C496D">
        <w:trPr>
          <w:trHeight w:val="587"/>
        </w:trPr>
        <w:tc>
          <w:tcPr>
            <w:tcW w:w="1555" w:type="dxa"/>
          </w:tcPr>
          <w:p w:rsidR="001650BE" w:rsidRDefault="001650BE" w:rsidP="009C496D">
            <w:pPr>
              <w:pStyle w:val="P68B1DB1-Normal19"/>
              <w:spacing w:line="360" w:lineRule="auto"/>
              <w:jc w:val="center"/>
            </w:pPr>
            <w:r>
              <w:t>Region</w:t>
            </w:r>
          </w:p>
        </w:tc>
        <w:tc>
          <w:tcPr>
            <w:tcW w:w="3260" w:type="dxa"/>
          </w:tcPr>
          <w:p w:rsidR="001650BE" w:rsidRDefault="001650BE" w:rsidP="009C496D">
            <w:pPr>
              <w:pStyle w:val="P68B1DB1-Normal19"/>
              <w:spacing w:line="360" w:lineRule="auto"/>
              <w:jc w:val="center"/>
            </w:pPr>
            <w:r>
              <w:t>Medical density (/10,000 inhab.)</w:t>
            </w:r>
          </w:p>
        </w:tc>
        <w:tc>
          <w:tcPr>
            <w:tcW w:w="2835" w:type="dxa"/>
          </w:tcPr>
          <w:p w:rsidR="001650BE" w:rsidRDefault="001650BE" w:rsidP="009C496D">
            <w:pPr>
              <w:pStyle w:val="P68B1DB1-Normal19"/>
              <w:spacing w:line="360" w:lineRule="auto"/>
              <w:jc w:val="center"/>
            </w:pPr>
            <w:r>
              <w:t>Specialized recourse rate (%)</w:t>
            </w:r>
          </w:p>
        </w:tc>
        <w:tc>
          <w:tcPr>
            <w:tcW w:w="2835" w:type="dxa"/>
          </w:tcPr>
          <w:p w:rsidR="001650BE" w:rsidRDefault="001650BE" w:rsidP="009C496D">
            <w:pPr>
              <w:pStyle w:val="P68B1DB1-Normal19"/>
              <w:spacing w:line="360" w:lineRule="auto"/>
              <w:jc w:val="center"/>
            </w:pPr>
            <w:r>
              <w:t>Remaining medium load (DA)</w:t>
            </w:r>
          </w:p>
        </w:tc>
      </w:tr>
      <w:tr w:rsidR="001650BE" w:rsidTr="009C496D">
        <w:tc>
          <w:tcPr>
            <w:tcW w:w="1555" w:type="dxa"/>
          </w:tcPr>
          <w:p w:rsidR="001650BE" w:rsidRDefault="001650BE" w:rsidP="009C496D">
            <w:pPr>
              <w:pStyle w:val="P68B1DB1-Normal4"/>
              <w:spacing w:line="360" w:lineRule="auto"/>
              <w:jc w:val="center"/>
            </w:pPr>
            <w:r>
              <w:t>North</w:t>
            </w:r>
          </w:p>
        </w:tc>
        <w:tc>
          <w:tcPr>
            <w:tcW w:w="3260" w:type="dxa"/>
          </w:tcPr>
          <w:p w:rsidR="001650BE" w:rsidRDefault="001650BE" w:rsidP="009C496D">
            <w:pPr>
              <w:pStyle w:val="P68B1DB1-Normal4"/>
              <w:jc w:val="center"/>
            </w:pPr>
            <w:r>
              <w:t>12.4</w:t>
            </w:r>
          </w:p>
        </w:tc>
        <w:tc>
          <w:tcPr>
            <w:tcW w:w="2835" w:type="dxa"/>
          </w:tcPr>
          <w:p w:rsidR="001650BE" w:rsidRDefault="001650BE" w:rsidP="009C496D">
            <w:pPr>
              <w:pStyle w:val="P68B1DB1-Normal4"/>
              <w:jc w:val="center"/>
            </w:pPr>
            <w:r>
              <w:t>34.2</w:t>
            </w:r>
          </w:p>
        </w:tc>
        <w:tc>
          <w:tcPr>
            <w:tcW w:w="2835" w:type="dxa"/>
          </w:tcPr>
          <w:p w:rsidR="001650BE" w:rsidRDefault="001650BE" w:rsidP="009C496D">
            <w:pPr>
              <w:pStyle w:val="P68B1DB1-Normal4"/>
              <w:jc w:val="center"/>
            </w:pPr>
            <w:r>
              <w:t>8,450</w:t>
            </w:r>
          </w:p>
        </w:tc>
      </w:tr>
      <w:tr w:rsidR="001650BE" w:rsidTr="009C496D">
        <w:tc>
          <w:tcPr>
            <w:tcW w:w="1555" w:type="dxa"/>
          </w:tcPr>
          <w:p w:rsidR="001650BE" w:rsidRDefault="001650BE" w:rsidP="009C496D">
            <w:pPr>
              <w:pStyle w:val="P68B1DB1-Normal4"/>
              <w:spacing w:line="360" w:lineRule="auto"/>
              <w:jc w:val="center"/>
            </w:pPr>
            <w:r>
              <w:t>Plateau</w:t>
            </w:r>
          </w:p>
        </w:tc>
        <w:tc>
          <w:tcPr>
            <w:tcW w:w="3260" w:type="dxa"/>
          </w:tcPr>
          <w:p w:rsidR="001650BE" w:rsidRDefault="001650BE" w:rsidP="009C496D">
            <w:pPr>
              <w:pStyle w:val="P68B1DB1-Normal4"/>
              <w:jc w:val="center"/>
            </w:pPr>
            <w:r>
              <w:t>8.7</w:t>
            </w:r>
          </w:p>
        </w:tc>
        <w:tc>
          <w:tcPr>
            <w:tcW w:w="2835" w:type="dxa"/>
          </w:tcPr>
          <w:p w:rsidR="001650BE" w:rsidRDefault="001650BE" w:rsidP="009C496D">
            <w:pPr>
              <w:pStyle w:val="P68B1DB1-Normal4"/>
              <w:jc w:val="center"/>
            </w:pPr>
            <w:r>
              <w:t>22.1</w:t>
            </w:r>
          </w:p>
        </w:tc>
        <w:tc>
          <w:tcPr>
            <w:tcW w:w="2835" w:type="dxa"/>
          </w:tcPr>
          <w:p w:rsidR="001650BE" w:rsidRDefault="001650BE" w:rsidP="009C496D">
            <w:pPr>
              <w:pStyle w:val="P68B1DB1-Normal4"/>
              <w:jc w:val="center"/>
            </w:pPr>
            <w:r>
              <w:t>12,300</w:t>
            </w:r>
          </w:p>
        </w:tc>
      </w:tr>
      <w:tr w:rsidR="001650BE" w:rsidTr="009C496D">
        <w:tc>
          <w:tcPr>
            <w:tcW w:w="1555" w:type="dxa"/>
          </w:tcPr>
          <w:p w:rsidR="001650BE" w:rsidRDefault="001650BE" w:rsidP="009C496D">
            <w:pPr>
              <w:pStyle w:val="P68B1DB1-Normal4"/>
              <w:spacing w:line="360" w:lineRule="auto"/>
              <w:jc w:val="center"/>
            </w:pPr>
            <w:r>
              <w:lastRenderedPageBreak/>
              <w:t>South</w:t>
            </w:r>
          </w:p>
        </w:tc>
        <w:tc>
          <w:tcPr>
            <w:tcW w:w="3260" w:type="dxa"/>
          </w:tcPr>
          <w:p w:rsidR="001650BE" w:rsidRDefault="001650BE" w:rsidP="009C496D">
            <w:pPr>
              <w:pStyle w:val="P68B1DB1-Normal4"/>
              <w:jc w:val="center"/>
            </w:pPr>
            <w:r>
              <w:t>6.2</w:t>
            </w:r>
          </w:p>
        </w:tc>
        <w:tc>
          <w:tcPr>
            <w:tcW w:w="2835" w:type="dxa"/>
          </w:tcPr>
          <w:p w:rsidR="001650BE" w:rsidRDefault="001650BE" w:rsidP="009C496D">
            <w:pPr>
              <w:pStyle w:val="P68B1DB1-Normal4"/>
              <w:jc w:val="center"/>
            </w:pPr>
            <w:r>
              <w:t>14.8</w:t>
            </w:r>
          </w:p>
        </w:tc>
        <w:tc>
          <w:tcPr>
            <w:tcW w:w="2835" w:type="dxa"/>
          </w:tcPr>
          <w:p w:rsidR="001650BE" w:rsidRDefault="001650BE" w:rsidP="009C496D">
            <w:pPr>
              <w:pStyle w:val="P68B1DB1-Normal4"/>
              <w:jc w:val="center"/>
            </w:pPr>
            <w:r>
              <w:t>18,750</w:t>
            </w:r>
          </w:p>
        </w:tc>
      </w:tr>
    </w:tbl>
    <w:p w:rsidR="001650BE" w:rsidRPr="006A766E" w:rsidRDefault="001650BE" w:rsidP="001650BE">
      <w:pPr>
        <w:pStyle w:val="P68B1DB1-Normal4"/>
        <w:spacing w:after="0" w:line="360" w:lineRule="auto"/>
        <w:jc w:val="both"/>
        <w:rPr>
          <w:lang w:val="en-US"/>
        </w:rPr>
      </w:pPr>
      <w:r w:rsidRPr="006A766E">
        <w:rPr>
          <w:b/>
          <w:lang w:val="en-US"/>
        </w:rPr>
        <w:t xml:space="preserve">Source: </w:t>
      </w:r>
      <w:r w:rsidRPr="006A766E">
        <w:rPr>
          <w:lang w:val="en-US"/>
        </w:rPr>
        <w:t>Table made by us from:</w:t>
      </w:r>
    </w:p>
    <w:p w:rsidR="001650BE" w:rsidRDefault="001650BE" w:rsidP="001650BE">
      <w:pPr>
        <w:pStyle w:val="P68B1DB1-Normal4"/>
        <w:numPr>
          <w:ilvl w:val="0"/>
          <w:numId w:val="6"/>
        </w:numPr>
        <w:spacing w:after="0" w:line="360" w:lineRule="auto"/>
        <w:jc w:val="both"/>
        <w:rPr>
          <w:lang w:val="en-US"/>
        </w:rPr>
      </w:pPr>
      <w:r w:rsidRPr="006A766E">
        <w:rPr>
          <w:lang w:val="en-US"/>
        </w:rPr>
        <w:t>Data from the Directorate General of the CNAS of Algiers.</w:t>
      </w:r>
    </w:p>
    <w:p w:rsidR="001650BE" w:rsidRPr="006A766E" w:rsidRDefault="001650BE" w:rsidP="001650BE">
      <w:pPr>
        <w:pStyle w:val="P68B1DB1-Normal3"/>
        <w:spacing w:line="360" w:lineRule="auto"/>
        <w:rPr>
          <w:lang w:val="en-US"/>
        </w:rPr>
      </w:pPr>
      <w:r w:rsidRPr="006A766E">
        <w:rPr>
          <w:lang w:val="en-US"/>
        </w:rPr>
        <w:t>4.2.3 Epidemiological transition and disease burden</w:t>
      </w:r>
    </w:p>
    <w:p w:rsidR="001650BE" w:rsidRPr="006A766E" w:rsidRDefault="001650BE" w:rsidP="001650BE">
      <w:pPr>
        <w:pStyle w:val="P68B1DB1-Normal4"/>
        <w:spacing w:line="360" w:lineRule="auto"/>
        <w:jc w:val="both"/>
        <w:rPr>
          <w:lang w:val="en-US"/>
        </w:rPr>
      </w:pPr>
      <w:r w:rsidRPr="006A766E">
        <w:rPr>
          <w:lang w:val="en-US"/>
        </w:rPr>
        <w:t>The epidemiological transition is one of the major challenges of the Algerian health insurance system. Non-communicable diseases now account for 60.8% of overall mortality, marking a definitive shift in the national health profile. This development reflected in an increasing prevalence of costly chronic pathologies in terms of management.</w:t>
      </w:r>
    </w:p>
    <w:p w:rsidR="001650BE" w:rsidRPr="006A766E" w:rsidRDefault="001650BE" w:rsidP="001650BE">
      <w:pPr>
        <w:pStyle w:val="P68B1DB1-Paragraphedeliste20"/>
        <w:spacing w:line="360" w:lineRule="auto"/>
        <w:ind w:firstLine="0"/>
        <w:rPr>
          <w:lang w:val="en-US"/>
        </w:rPr>
      </w:pPr>
      <w:r>
        <w:rPr>
          <w:lang w:val="en-US"/>
        </w:rPr>
        <w:t xml:space="preserve">                               </w:t>
      </w:r>
      <w:r w:rsidRPr="006A766E">
        <w:rPr>
          <w:lang w:val="en-US"/>
        </w:rPr>
        <w:t>Table 6: Prevalence of major NCDs in Algeria</w:t>
      </w:r>
    </w:p>
    <w:p w:rsidR="001650BE" w:rsidRPr="006A766E" w:rsidRDefault="001650BE" w:rsidP="001650BE">
      <w:pPr>
        <w:pStyle w:val="ListParagraph"/>
        <w:spacing w:line="360" w:lineRule="auto"/>
        <w:ind w:firstLine="0"/>
        <w:rPr>
          <w:rFonts w:asciiTheme="majorBidi" w:hAnsiTheme="majorBidi" w:cstheme="majorBidi"/>
          <w:b/>
          <w:sz w:val="24"/>
          <w:lang w:val="en-US"/>
        </w:rPr>
      </w:pPr>
    </w:p>
    <w:tbl>
      <w:tblPr>
        <w:tblStyle w:val="TableGrid"/>
        <w:tblW w:w="0" w:type="auto"/>
        <w:tblLook w:val="04A0" w:firstRow="1" w:lastRow="0" w:firstColumn="1" w:lastColumn="0" w:noHBand="0" w:noVBand="1"/>
      </w:tblPr>
      <w:tblGrid>
        <w:gridCol w:w="2451"/>
        <w:gridCol w:w="2420"/>
        <w:gridCol w:w="2423"/>
        <w:gridCol w:w="2423"/>
      </w:tblGrid>
      <w:tr w:rsidR="001650BE" w:rsidTr="009C496D">
        <w:tc>
          <w:tcPr>
            <w:tcW w:w="2637" w:type="dxa"/>
          </w:tcPr>
          <w:p w:rsidR="001650BE" w:rsidRDefault="001650BE" w:rsidP="009C496D">
            <w:pPr>
              <w:pStyle w:val="P68B1DB1-Normal3"/>
              <w:spacing w:line="360" w:lineRule="auto"/>
              <w:jc w:val="center"/>
            </w:pPr>
            <w:r>
              <w:t>Pathology</w:t>
            </w:r>
          </w:p>
        </w:tc>
        <w:tc>
          <w:tcPr>
            <w:tcW w:w="2637" w:type="dxa"/>
          </w:tcPr>
          <w:p w:rsidR="001650BE" w:rsidRDefault="001650BE" w:rsidP="009C496D">
            <w:pPr>
              <w:pStyle w:val="P68B1DB1-Normal3"/>
              <w:spacing w:line="360" w:lineRule="auto"/>
              <w:jc w:val="center"/>
            </w:pPr>
            <w:r>
              <w:t>Global prevalence</w:t>
            </w:r>
          </w:p>
        </w:tc>
        <w:tc>
          <w:tcPr>
            <w:tcW w:w="2638" w:type="dxa"/>
          </w:tcPr>
          <w:p w:rsidR="001650BE" w:rsidRDefault="001650BE" w:rsidP="009C496D">
            <w:pPr>
              <w:pStyle w:val="P68B1DB1-Normal3"/>
              <w:spacing w:line="360" w:lineRule="auto"/>
              <w:jc w:val="center"/>
            </w:pPr>
            <w:r>
              <w:t>Prevalence 18-29 years</w:t>
            </w:r>
          </w:p>
        </w:tc>
        <w:tc>
          <w:tcPr>
            <w:tcW w:w="2638" w:type="dxa"/>
          </w:tcPr>
          <w:p w:rsidR="001650BE" w:rsidRDefault="001650BE" w:rsidP="009C496D">
            <w:pPr>
              <w:pStyle w:val="P68B1DB1-Normal3"/>
              <w:spacing w:line="360" w:lineRule="auto"/>
              <w:jc w:val="center"/>
            </w:pPr>
            <w:r>
              <w:t>Prevalence 60-69 years</w:t>
            </w:r>
          </w:p>
        </w:tc>
      </w:tr>
      <w:tr w:rsidR="001650BE" w:rsidTr="009C496D">
        <w:tc>
          <w:tcPr>
            <w:tcW w:w="2637" w:type="dxa"/>
          </w:tcPr>
          <w:p w:rsidR="001650BE" w:rsidRDefault="001650BE" w:rsidP="009C496D">
            <w:pPr>
              <w:pStyle w:val="P68B1DB1-Normal4"/>
              <w:spacing w:line="360" w:lineRule="auto"/>
              <w:rPr>
                <w:b/>
              </w:rPr>
            </w:pPr>
            <w:r>
              <w:t>Diabetes</w:t>
            </w:r>
          </w:p>
        </w:tc>
        <w:tc>
          <w:tcPr>
            <w:tcW w:w="2637" w:type="dxa"/>
          </w:tcPr>
          <w:p w:rsidR="001650BE" w:rsidRDefault="001650BE" w:rsidP="009C496D">
            <w:pPr>
              <w:pStyle w:val="P68B1DB1-Normal4"/>
              <w:spacing w:line="360" w:lineRule="auto"/>
              <w:jc w:val="center"/>
              <w:rPr>
                <w:b/>
              </w:rPr>
            </w:pPr>
            <w:r>
              <w:t>9%</w:t>
            </w:r>
          </w:p>
        </w:tc>
        <w:tc>
          <w:tcPr>
            <w:tcW w:w="2638" w:type="dxa"/>
          </w:tcPr>
          <w:p w:rsidR="001650BE" w:rsidRDefault="001650BE" w:rsidP="009C496D">
            <w:pPr>
              <w:pStyle w:val="P68B1DB1-Normal4"/>
              <w:spacing w:line="360" w:lineRule="auto"/>
              <w:jc w:val="center"/>
              <w:rPr>
                <w:b/>
              </w:rPr>
            </w:pPr>
            <w:r>
              <w:t>4%</w:t>
            </w:r>
          </w:p>
        </w:tc>
        <w:tc>
          <w:tcPr>
            <w:tcW w:w="2638" w:type="dxa"/>
          </w:tcPr>
          <w:p w:rsidR="001650BE" w:rsidRDefault="001650BE" w:rsidP="009C496D">
            <w:pPr>
              <w:pStyle w:val="P68B1DB1-Normal4"/>
              <w:spacing w:line="360" w:lineRule="auto"/>
              <w:jc w:val="center"/>
            </w:pPr>
            <w:r>
              <w:t>25.7%</w:t>
            </w:r>
          </w:p>
        </w:tc>
      </w:tr>
      <w:tr w:rsidR="001650BE" w:rsidTr="009C496D">
        <w:tc>
          <w:tcPr>
            <w:tcW w:w="2637" w:type="dxa"/>
          </w:tcPr>
          <w:p w:rsidR="001650BE" w:rsidRDefault="001650BE" w:rsidP="009C496D">
            <w:pPr>
              <w:pStyle w:val="P68B1DB1-Normal4"/>
              <w:spacing w:line="360" w:lineRule="auto"/>
              <w:rPr>
                <w:b/>
              </w:rPr>
            </w:pPr>
            <w:r>
              <w:t>Arterial hypertension.</w:t>
            </w:r>
          </w:p>
        </w:tc>
        <w:tc>
          <w:tcPr>
            <w:tcW w:w="2637" w:type="dxa"/>
          </w:tcPr>
          <w:p w:rsidR="001650BE" w:rsidRDefault="001650BE" w:rsidP="009C496D">
            <w:pPr>
              <w:pStyle w:val="P68B1DB1-Normal4"/>
              <w:spacing w:line="360" w:lineRule="auto"/>
              <w:jc w:val="center"/>
            </w:pPr>
            <w:r>
              <w:t>23.6%</w:t>
            </w:r>
          </w:p>
        </w:tc>
        <w:tc>
          <w:tcPr>
            <w:tcW w:w="2638" w:type="dxa"/>
          </w:tcPr>
          <w:p w:rsidR="001650BE" w:rsidRDefault="001650BE" w:rsidP="009C496D">
            <w:pPr>
              <w:pStyle w:val="P68B1DB1-Normal4"/>
              <w:spacing w:line="360" w:lineRule="auto"/>
              <w:jc w:val="center"/>
            </w:pPr>
            <w:r>
              <w:t>8.5%</w:t>
            </w:r>
          </w:p>
        </w:tc>
        <w:tc>
          <w:tcPr>
            <w:tcW w:w="2638" w:type="dxa"/>
          </w:tcPr>
          <w:p w:rsidR="001650BE" w:rsidRDefault="001650BE" w:rsidP="009C496D">
            <w:pPr>
              <w:pStyle w:val="P68B1DB1-Normal4"/>
              <w:spacing w:line="360" w:lineRule="auto"/>
              <w:jc w:val="center"/>
            </w:pPr>
            <w:r>
              <w:t>62%</w:t>
            </w:r>
          </w:p>
        </w:tc>
      </w:tr>
      <w:tr w:rsidR="001650BE" w:rsidTr="009C496D">
        <w:tc>
          <w:tcPr>
            <w:tcW w:w="2637" w:type="dxa"/>
          </w:tcPr>
          <w:p w:rsidR="001650BE" w:rsidRDefault="001650BE" w:rsidP="009C496D">
            <w:pPr>
              <w:pStyle w:val="P68B1DB1-Normal4"/>
              <w:spacing w:line="360" w:lineRule="auto"/>
              <w:rPr>
                <w:b/>
              </w:rPr>
            </w:pPr>
            <w:r>
              <w:t>Cancer (incidence)</w:t>
            </w:r>
          </w:p>
        </w:tc>
        <w:tc>
          <w:tcPr>
            <w:tcW w:w="2637" w:type="dxa"/>
          </w:tcPr>
          <w:p w:rsidR="001650BE" w:rsidRDefault="001650BE" w:rsidP="009C496D">
            <w:pPr>
              <w:pStyle w:val="P68B1DB1-Normal4"/>
              <w:spacing w:line="360" w:lineRule="auto"/>
              <w:jc w:val="center"/>
            </w:pPr>
            <w:r>
              <w:t>1/100,000</w:t>
            </w:r>
          </w:p>
        </w:tc>
        <w:tc>
          <w:tcPr>
            <w:tcW w:w="2638" w:type="dxa"/>
          </w:tcPr>
          <w:p w:rsidR="001650BE" w:rsidRDefault="001650BE" w:rsidP="009C496D">
            <w:pPr>
              <w:pStyle w:val="P68B1DB1-Normal4"/>
              <w:spacing w:line="360" w:lineRule="auto"/>
              <w:jc w:val="center"/>
            </w:pPr>
            <w:r>
              <w:t>-</w:t>
            </w:r>
          </w:p>
        </w:tc>
        <w:tc>
          <w:tcPr>
            <w:tcW w:w="2638" w:type="dxa"/>
          </w:tcPr>
          <w:p w:rsidR="001650BE" w:rsidRDefault="001650BE" w:rsidP="009C496D">
            <w:pPr>
              <w:pStyle w:val="P68B1DB1-Normal4"/>
              <w:spacing w:line="360" w:lineRule="auto"/>
              <w:jc w:val="center"/>
            </w:pPr>
            <w:r>
              <w:t>-</w:t>
            </w:r>
          </w:p>
        </w:tc>
      </w:tr>
      <w:tr w:rsidR="001650BE" w:rsidTr="009C496D">
        <w:tc>
          <w:tcPr>
            <w:tcW w:w="2637" w:type="dxa"/>
          </w:tcPr>
          <w:p w:rsidR="001650BE" w:rsidRDefault="001650BE" w:rsidP="009C496D">
            <w:pPr>
              <w:pStyle w:val="P68B1DB1-Normal4"/>
              <w:spacing w:line="360" w:lineRule="auto"/>
              <w:rPr>
                <w:b/>
              </w:rPr>
            </w:pPr>
            <w:r>
              <w:t>at least one</w:t>
            </w:r>
          </w:p>
        </w:tc>
        <w:tc>
          <w:tcPr>
            <w:tcW w:w="2637" w:type="dxa"/>
          </w:tcPr>
          <w:p w:rsidR="001650BE" w:rsidRDefault="001650BE" w:rsidP="009C496D">
            <w:pPr>
              <w:pStyle w:val="P68B1DB1-Normal4"/>
              <w:spacing w:line="360" w:lineRule="auto"/>
              <w:jc w:val="center"/>
              <w:rPr>
                <w:b/>
              </w:rPr>
            </w:pPr>
            <w:r>
              <w:t>20% (&gt;15 years)</w:t>
            </w:r>
          </w:p>
        </w:tc>
        <w:tc>
          <w:tcPr>
            <w:tcW w:w="2638" w:type="dxa"/>
          </w:tcPr>
          <w:p w:rsidR="001650BE" w:rsidRDefault="001650BE" w:rsidP="009C496D">
            <w:pPr>
              <w:pStyle w:val="P68B1DB1-Normal3"/>
              <w:spacing w:line="360" w:lineRule="auto"/>
              <w:jc w:val="center"/>
            </w:pPr>
            <w:r>
              <w:t>-</w:t>
            </w:r>
          </w:p>
        </w:tc>
        <w:tc>
          <w:tcPr>
            <w:tcW w:w="2638" w:type="dxa"/>
          </w:tcPr>
          <w:p w:rsidR="001650BE" w:rsidRDefault="001650BE" w:rsidP="009C496D">
            <w:pPr>
              <w:pStyle w:val="P68B1DB1-Normal3"/>
              <w:spacing w:line="360" w:lineRule="auto"/>
              <w:jc w:val="center"/>
            </w:pPr>
            <w:r>
              <w:t>-</w:t>
            </w:r>
          </w:p>
        </w:tc>
      </w:tr>
    </w:tbl>
    <w:p w:rsidR="009C496D" w:rsidRDefault="009C496D" w:rsidP="001650BE">
      <w:pPr>
        <w:pStyle w:val="P68B1DB1-Normal4"/>
        <w:spacing w:after="0" w:line="360" w:lineRule="auto"/>
        <w:jc w:val="both"/>
        <w:rPr>
          <w:b/>
          <w:lang w:val="en-US"/>
        </w:rPr>
      </w:pPr>
    </w:p>
    <w:p w:rsidR="001650BE" w:rsidRPr="006A766E" w:rsidRDefault="001650BE" w:rsidP="001650BE">
      <w:pPr>
        <w:pStyle w:val="P68B1DB1-Normal4"/>
        <w:spacing w:after="0" w:line="360" w:lineRule="auto"/>
        <w:jc w:val="both"/>
        <w:rPr>
          <w:lang w:val="en-US"/>
        </w:rPr>
      </w:pPr>
      <w:r w:rsidRPr="006A766E">
        <w:rPr>
          <w:b/>
          <w:lang w:val="en-US"/>
        </w:rPr>
        <w:t xml:space="preserve">Source: </w:t>
      </w:r>
      <w:r w:rsidRPr="006A766E">
        <w:rPr>
          <w:lang w:val="en-US"/>
        </w:rPr>
        <w:t>Table made by us from:</w:t>
      </w:r>
    </w:p>
    <w:p w:rsidR="001650BE" w:rsidRPr="006A766E" w:rsidRDefault="001650BE" w:rsidP="001650BE">
      <w:pPr>
        <w:pStyle w:val="P68B1DB1-Normal4"/>
        <w:numPr>
          <w:ilvl w:val="0"/>
          <w:numId w:val="6"/>
        </w:numPr>
        <w:spacing w:after="0" w:line="360" w:lineRule="auto"/>
        <w:jc w:val="both"/>
        <w:rPr>
          <w:lang w:val="en-US"/>
        </w:rPr>
      </w:pPr>
      <w:r w:rsidRPr="006A766E">
        <w:rPr>
          <w:lang w:val="en-US"/>
        </w:rPr>
        <w:t>Data from the Directorate General of the CNAS of Algiers.</w:t>
      </w:r>
    </w:p>
    <w:p w:rsidR="001650BE" w:rsidRPr="006A766E" w:rsidRDefault="001650BE" w:rsidP="001650BE">
      <w:pPr>
        <w:pStyle w:val="P68B1DB1-Paragraphedeliste21"/>
        <w:spacing w:line="360" w:lineRule="auto"/>
        <w:ind w:firstLine="0"/>
        <w:rPr>
          <w:lang w:val="en-US"/>
        </w:rPr>
      </w:pPr>
      <w:r w:rsidRPr="006A766E">
        <w:rPr>
          <w:lang w:val="en-US"/>
        </w:rPr>
        <w:tab/>
      </w:r>
      <w:r w:rsidRPr="006A766E">
        <w:rPr>
          <w:lang w:val="en-US"/>
        </w:rPr>
        <w:tab/>
      </w:r>
      <w:r w:rsidRPr="006A766E">
        <w:rPr>
          <w:lang w:val="en-US"/>
        </w:rPr>
        <w:tab/>
      </w:r>
    </w:p>
    <w:p w:rsidR="001650BE" w:rsidRDefault="001650BE" w:rsidP="001650BE">
      <w:pPr>
        <w:pStyle w:val="P68B1DB1-Normal4"/>
        <w:spacing w:line="360" w:lineRule="auto"/>
        <w:jc w:val="both"/>
        <w:rPr>
          <w:lang w:val="en-US"/>
        </w:rPr>
      </w:pPr>
      <w:r w:rsidRPr="006A766E">
        <w:rPr>
          <w:lang w:val="en-US"/>
        </w:rPr>
        <w:t>This epidemiological evolution generates increasing pressure on health insurance expenses, chronic pathologies requiring prolonged treatment and regular medical follow-up. The financial impact is particularly visible in the explosion of drug spending, which now represents the first item of expenditure of the CNAS.</w:t>
      </w:r>
    </w:p>
    <w:p w:rsidR="001650BE" w:rsidRPr="006A766E" w:rsidRDefault="001650BE" w:rsidP="001650BE">
      <w:pPr>
        <w:pStyle w:val="P68B1DB1-Normal3"/>
        <w:spacing w:line="360" w:lineRule="auto"/>
        <w:jc w:val="both"/>
        <w:rPr>
          <w:lang w:val="en-US"/>
        </w:rPr>
      </w:pPr>
      <w:r w:rsidRPr="006A766E">
        <w:rPr>
          <w:lang w:val="en-US"/>
        </w:rPr>
        <w:t>4.3. Prospects for progress towards UHC</w:t>
      </w:r>
    </w:p>
    <w:p w:rsidR="001650BE" w:rsidRPr="006A766E" w:rsidRDefault="001650BE" w:rsidP="001650BE">
      <w:pPr>
        <w:pStyle w:val="P68B1DB1-Normal3"/>
        <w:spacing w:line="360" w:lineRule="auto"/>
        <w:jc w:val="both"/>
        <w:rPr>
          <w:lang w:val="en-US"/>
        </w:rPr>
      </w:pPr>
      <w:r w:rsidRPr="006A766E">
        <w:rPr>
          <w:lang w:val="en-US"/>
        </w:rPr>
        <w:t>4.3.1. Forward-looking scenarios</w:t>
      </w:r>
    </w:p>
    <w:p w:rsidR="001650BE" w:rsidRPr="006A766E" w:rsidRDefault="001650BE" w:rsidP="001650BE">
      <w:pPr>
        <w:pStyle w:val="P68B1DB1-Normal4"/>
        <w:spacing w:line="360" w:lineRule="auto"/>
        <w:jc w:val="both"/>
        <w:rPr>
          <w:lang w:val="en-US"/>
        </w:rPr>
      </w:pPr>
      <w:r w:rsidRPr="006A766E">
        <w:rPr>
          <w:lang w:val="en-US"/>
        </w:rPr>
        <w:t xml:space="preserve">Three evolution scenarios were developed from the data and international benchmarking: </w:t>
      </w:r>
    </w:p>
    <w:p w:rsidR="001650BE" w:rsidRPr="006A766E" w:rsidRDefault="001650BE" w:rsidP="001650BE">
      <w:pPr>
        <w:pStyle w:val="P68B1DB1-Normal4"/>
        <w:spacing w:line="360" w:lineRule="auto"/>
        <w:jc w:val="both"/>
        <w:rPr>
          <w:lang w:val="en-US"/>
        </w:rPr>
      </w:pPr>
      <w:r w:rsidRPr="006A766E">
        <w:rPr>
          <w:b/>
          <w:lang w:val="en-US"/>
        </w:rPr>
        <w:t>Scenario 1 - Trend change:</w:t>
      </w:r>
      <w:r w:rsidRPr="006A766E">
        <w:rPr>
          <w:lang w:val="en-US"/>
        </w:rPr>
        <w:t xml:space="preserve"> Maintenance of the current architecture with parametric adjustments (increase in contributions, progressive extension of coverage). This scenario results in 92% coverage in 2035 but with precarious financial sustainability. </w:t>
      </w:r>
    </w:p>
    <w:p w:rsidR="001650BE" w:rsidRPr="006A766E" w:rsidRDefault="001650BE" w:rsidP="001650BE">
      <w:pPr>
        <w:pStyle w:val="P68B1DB1-Normal4"/>
        <w:spacing w:line="360" w:lineRule="auto"/>
        <w:jc w:val="both"/>
        <w:rPr>
          <w:lang w:val="en-US"/>
        </w:rPr>
      </w:pPr>
      <w:r w:rsidRPr="006A766E">
        <w:rPr>
          <w:b/>
          <w:lang w:val="en-US"/>
        </w:rPr>
        <w:lastRenderedPageBreak/>
        <w:t>Scenario 2 - Moderate reform:</w:t>
      </w:r>
      <w:r w:rsidRPr="006A766E">
        <w:rPr>
          <w:lang w:val="en-US"/>
        </w:rPr>
        <w:t xml:space="preserve"> Progressive unification of insurance plans with maintenance of the contributory system. Creation of an equity fund for vulnerable populations. Universal coverage achieved in 2032 with an estimated cost of 2.8% of GDP. </w:t>
      </w:r>
    </w:p>
    <w:p w:rsidR="001650BE" w:rsidRDefault="001650BE" w:rsidP="001650BE">
      <w:pPr>
        <w:pStyle w:val="P68B1DB1-Normal4"/>
        <w:spacing w:line="360" w:lineRule="auto"/>
        <w:jc w:val="both"/>
        <w:rPr>
          <w:lang w:val="en-US"/>
        </w:rPr>
      </w:pPr>
      <w:r w:rsidRPr="006A766E">
        <w:rPr>
          <w:b/>
          <w:lang w:val="en-US"/>
        </w:rPr>
        <w:t>Scenario 3 - Ambitious reform:</w:t>
      </w:r>
      <w:r w:rsidRPr="006A766E">
        <w:rPr>
          <w:lang w:val="en-US"/>
        </w:rPr>
        <w:t xml:space="preserve"> Transition to a unified system of UHC funded by general taxation, inspired by the Beveridge model. Universal coverage in 2028 but requiring a complete overhaul of the financing system. </w:t>
      </w:r>
    </w:p>
    <w:p w:rsidR="001650BE" w:rsidRPr="006A766E" w:rsidRDefault="001650BE" w:rsidP="001650BE">
      <w:pPr>
        <w:pStyle w:val="P68B1DB1-Normal3"/>
        <w:spacing w:line="360" w:lineRule="auto"/>
        <w:jc w:val="both"/>
        <w:rPr>
          <w:lang w:val="en-US"/>
        </w:rPr>
      </w:pPr>
      <w:r w:rsidRPr="006A766E">
        <w:rPr>
          <w:lang w:val="en-US"/>
        </w:rPr>
        <w:t>4.3.2. Feasibility conditions</w:t>
      </w:r>
    </w:p>
    <w:p w:rsidR="001650BE" w:rsidRPr="006A766E" w:rsidRDefault="001650BE" w:rsidP="001650BE">
      <w:pPr>
        <w:pStyle w:val="P68B1DB1-Normal4"/>
        <w:spacing w:line="360" w:lineRule="auto"/>
        <w:jc w:val="both"/>
        <w:rPr>
          <w:lang w:val="en-US"/>
        </w:rPr>
      </w:pPr>
      <w:r w:rsidRPr="006A766E">
        <w:rPr>
          <w:lang w:val="en-US"/>
        </w:rPr>
        <w:t xml:space="preserve">The analysis of the data reveals a consensus on the need for reform, but divergences on the modalities. Actors identify four preconditions for a successful transition to UHC: (1) political leadership at the highest level, (2) broad stakeholder consultation, (3) a significant increase in public health financing, and (4) modernization of information and management systems. </w:t>
      </w:r>
    </w:p>
    <w:p w:rsidR="001650BE" w:rsidRPr="006A766E" w:rsidRDefault="001650BE" w:rsidP="001650BE">
      <w:pPr>
        <w:pStyle w:val="P68B1DB1-Normal22"/>
        <w:spacing w:line="360" w:lineRule="auto"/>
        <w:jc w:val="both"/>
        <w:rPr>
          <w:lang w:val="en-US"/>
        </w:rPr>
      </w:pPr>
      <w:r w:rsidRPr="006A766E">
        <w:rPr>
          <w:lang w:val="en-US"/>
        </w:rPr>
        <w:t>5. Discussion</w:t>
      </w:r>
    </w:p>
    <w:p w:rsidR="001650BE" w:rsidRPr="006A766E" w:rsidRDefault="001650BE" w:rsidP="001650BE">
      <w:pPr>
        <w:pStyle w:val="P68B1DB1-Normal22"/>
        <w:spacing w:line="360" w:lineRule="auto"/>
        <w:jc w:val="both"/>
        <w:rPr>
          <w:lang w:val="en-US"/>
        </w:rPr>
      </w:pPr>
      <w:r w:rsidRPr="006A766E">
        <w:rPr>
          <w:lang w:val="en-US"/>
        </w:rPr>
        <w:t>5.1. Lessons from international benchmarking</w:t>
      </w:r>
    </w:p>
    <w:p w:rsidR="001650BE" w:rsidRPr="006A766E" w:rsidRDefault="001650BE" w:rsidP="001650BE">
      <w:pPr>
        <w:pStyle w:val="P68B1DB1-Normal3"/>
        <w:spacing w:after="0" w:line="360" w:lineRule="auto"/>
        <w:jc w:val="both"/>
        <w:rPr>
          <w:lang w:val="en-US"/>
        </w:rPr>
      </w:pPr>
      <w:r w:rsidRPr="006A766E">
        <w:rPr>
          <w:lang w:val="en-US"/>
        </w:rPr>
        <w:t>5.1.1 Morocco</w:t>
      </w:r>
    </w:p>
    <w:p w:rsidR="001650BE" w:rsidRPr="006A766E" w:rsidRDefault="001650BE" w:rsidP="001650BE">
      <w:pPr>
        <w:pStyle w:val="P68B1DB1-Normal4"/>
        <w:spacing w:after="0" w:line="360" w:lineRule="auto"/>
        <w:jc w:val="both"/>
        <w:rPr>
          <w:lang w:val="en-US"/>
        </w:rPr>
      </w:pPr>
      <w:r w:rsidRPr="006A766E">
        <w:rPr>
          <w:lang w:val="en-US"/>
        </w:rPr>
        <w:t>Since 2005, Morocco has undertaken an ambitious reform towards universal health coverage with the Compulsory Health Insurance (AMO) for the public and private sectors, and the Medical Assistance Scheme (RAMED) for the poor. In 2024, the country is progressing towards the unification of these schemes with a coverage rate reaching about 70% of the population</w:t>
      </w:r>
      <w:sdt>
        <w:sdtPr>
          <w:rPr>
            <w:szCs w:val="24"/>
          </w:rPr>
          <w:id w:val="-2121982138"/>
          <w:citation/>
        </w:sdtPr>
        <w:sdtEndPr/>
        <w:sdtContent>
          <w:r>
            <w:fldChar w:fldCharType="begin"/>
          </w:r>
          <w:r>
            <w:rPr>
              <w:lang w:val="en-US"/>
            </w:rPr>
            <w:instrText xml:space="preserve">CITATION BEL24 \l 1036 </w:instrText>
          </w:r>
          <w:r>
            <w:fldChar w:fldCharType="separate"/>
          </w:r>
          <w:r w:rsidRPr="003D44B2">
            <w:rPr>
              <w:noProof/>
              <w:lang w:val="en-US"/>
            </w:rPr>
            <w:t xml:space="preserve"> (Belyagou,Y &amp; Benabdallah,H, 2024)</w:t>
          </w:r>
          <w:r>
            <w:fldChar w:fldCharType="end"/>
          </w:r>
        </w:sdtContent>
      </w:sdt>
      <w:r w:rsidRPr="006A766E">
        <w:rPr>
          <w:lang w:val="en-US"/>
        </w:rPr>
        <w:t>. However, only 23% of Moroccans say they are completely satisfied with their health system in 2020</w:t>
      </w:r>
      <w:sdt>
        <w:sdtPr>
          <w:rPr>
            <w:szCs w:val="24"/>
          </w:rPr>
          <w:id w:val="-1862743118"/>
          <w:citation/>
        </w:sdtPr>
        <w:sdtEndPr/>
        <w:sdtContent>
          <w:r>
            <w:fldChar w:fldCharType="begin"/>
          </w:r>
          <w:r w:rsidRPr="006A766E">
            <w:rPr>
              <w:lang w:val="en-US"/>
            </w:rPr>
            <w:instrText xml:space="preserve"> CITATION Hei20 \l 1036 </w:instrText>
          </w:r>
          <w:r>
            <w:fldChar w:fldCharType="separate"/>
          </w:r>
          <w:r>
            <w:rPr>
              <w:noProof/>
              <w:lang w:val="en-US"/>
            </w:rPr>
            <w:t xml:space="preserve"> </w:t>
          </w:r>
          <w:r w:rsidRPr="00697916">
            <w:rPr>
              <w:noProof/>
              <w:lang w:val="en-US"/>
            </w:rPr>
            <w:t>(Heikel, 2020)</w:t>
          </w:r>
          <w:r>
            <w:fldChar w:fldCharType="end"/>
          </w:r>
        </w:sdtContent>
      </w:sdt>
      <w:r w:rsidRPr="006A766E">
        <w:rPr>
          <w:lang w:val="en-US"/>
        </w:rPr>
        <w:t>.</w:t>
      </w:r>
    </w:p>
    <w:p w:rsidR="001650BE" w:rsidRPr="006A766E" w:rsidRDefault="001650BE" w:rsidP="001650BE">
      <w:pPr>
        <w:pStyle w:val="P68B1DB1-Normal3"/>
        <w:spacing w:after="0" w:line="360" w:lineRule="auto"/>
        <w:jc w:val="both"/>
        <w:rPr>
          <w:lang w:val="en-US"/>
        </w:rPr>
      </w:pPr>
      <w:r w:rsidRPr="006A766E">
        <w:rPr>
          <w:lang w:val="en-US"/>
        </w:rPr>
        <w:t>5.1.2 Tunisia</w:t>
      </w:r>
    </w:p>
    <w:p w:rsidR="001650BE" w:rsidRPr="006A766E" w:rsidRDefault="001650BE" w:rsidP="001650BE">
      <w:pPr>
        <w:pStyle w:val="P68B1DB1-Normal4"/>
        <w:spacing w:after="0" w:line="360" w:lineRule="auto"/>
        <w:jc w:val="both"/>
        <w:rPr>
          <w:lang w:val="en-US"/>
        </w:rPr>
      </w:pPr>
      <w:r w:rsidRPr="006A766E">
        <w:rPr>
          <w:lang w:val="en-US"/>
        </w:rPr>
        <w:t>Tunisia has a system based on the Caisse Nationale d 'Assurance Maladie (CNAM) offering relatively extensive coverage. The Tunisian system has similarities with the Algerian model but with better integration of the different regimes and more developed financial protection. Nearly four in 10 Tunisians (37%) believe that the government's performance in improving basic health services is “somewhat good” or “very good”, while the majority (61%) consider it inadequate. Residents of the Northeast (47%), the over 55s (40%) and the more affluent (39%-40%) are more likely to express satisfaction with this than their respective counterparts</w:t>
      </w:r>
      <w:sdt>
        <w:sdtPr>
          <w:rPr>
            <w:szCs w:val="24"/>
          </w:rPr>
          <w:id w:val="1895225387"/>
          <w:citation/>
        </w:sdtPr>
        <w:sdtEndPr/>
        <w:sdtContent>
          <w:r>
            <w:fldChar w:fldCharType="begin"/>
          </w:r>
          <w:r w:rsidRPr="006A766E">
            <w:rPr>
              <w:lang w:val="en-US"/>
            </w:rPr>
            <w:instrText xml:space="preserve"> CITATION Mis25 \l 1036 </w:instrText>
          </w:r>
          <w:r>
            <w:fldChar w:fldCharType="separate"/>
          </w:r>
          <w:r>
            <w:rPr>
              <w:noProof/>
              <w:lang w:val="en-US"/>
            </w:rPr>
            <w:t xml:space="preserve"> </w:t>
          </w:r>
          <w:r w:rsidRPr="00697916">
            <w:rPr>
              <w:noProof/>
              <w:lang w:val="en-US"/>
            </w:rPr>
            <w:t>(Missaoui,A, Mezlini,I, &amp; Meddeb,Y, 2025)</w:t>
          </w:r>
          <w:r>
            <w:fldChar w:fldCharType="end"/>
          </w:r>
        </w:sdtContent>
      </w:sdt>
      <w:r w:rsidRPr="006A766E">
        <w:rPr>
          <w:lang w:val="en-US"/>
        </w:rPr>
        <w:t>.</w:t>
      </w:r>
    </w:p>
    <w:p w:rsidR="001650BE" w:rsidRDefault="001650BE" w:rsidP="001650BE">
      <w:pPr>
        <w:pStyle w:val="P68B1DB1-Normal3"/>
        <w:spacing w:line="360" w:lineRule="auto"/>
        <w:jc w:val="center"/>
      </w:pPr>
      <w:r>
        <w:t>Table 7: 2022 Key Indicator Comparison</w:t>
      </w:r>
    </w:p>
    <w:tbl>
      <w:tblPr>
        <w:tblStyle w:val="TableGrid"/>
        <w:tblW w:w="9615" w:type="dxa"/>
        <w:tblLook w:val="04A0" w:firstRow="1" w:lastRow="0" w:firstColumn="1" w:lastColumn="0" w:noHBand="0" w:noVBand="1"/>
      </w:tblPr>
      <w:tblGrid>
        <w:gridCol w:w="2679"/>
        <w:gridCol w:w="1410"/>
        <w:gridCol w:w="1287"/>
        <w:gridCol w:w="1521"/>
        <w:gridCol w:w="2718"/>
      </w:tblGrid>
      <w:tr w:rsidR="001650BE" w:rsidTr="009C496D">
        <w:trPr>
          <w:trHeight w:val="416"/>
        </w:trPr>
        <w:tc>
          <w:tcPr>
            <w:tcW w:w="2679" w:type="dxa"/>
          </w:tcPr>
          <w:p w:rsidR="001650BE" w:rsidRDefault="001650BE" w:rsidP="009C496D">
            <w:pPr>
              <w:pStyle w:val="P68B1DB1-Normal3"/>
              <w:spacing w:after="200" w:line="360" w:lineRule="auto"/>
              <w:jc w:val="center"/>
            </w:pPr>
            <w:r>
              <w:lastRenderedPageBreak/>
              <w:t>Indicator</w:t>
            </w:r>
          </w:p>
        </w:tc>
        <w:tc>
          <w:tcPr>
            <w:tcW w:w="1410" w:type="dxa"/>
          </w:tcPr>
          <w:p w:rsidR="001650BE" w:rsidRDefault="001650BE" w:rsidP="009C496D">
            <w:pPr>
              <w:pStyle w:val="P68B1DB1-Normal3"/>
              <w:spacing w:after="200" w:line="360" w:lineRule="auto"/>
              <w:jc w:val="center"/>
            </w:pPr>
            <w:r>
              <w:t>Algeria</w:t>
            </w:r>
          </w:p>
        </w:tc>
        <w:tc>
          <w:tcPr>
            <w:tcW w:w="1287" w:type="dxa"/>
          </w:tcPr>
          <w:p w:rsidR="001650BE" w:rsidRDefault="001650BE" w:rsidP="009C496D">
            <w:pPr>
              <w:pStyle w:val="P68B1DB1-Normal3"/>
              <w:spacing w:after="200" w:line="360" w:lineRule="auto"/>
              <w:jc w:val="center"/>
            </w:pPr>
            <w:r>
              <w:t>Morocco</w:t>
            </w:r>
          </w:p>
        </w:tc>
        <w:tc>
          <w:tcPr>
            <w:tcW w:w="1521" w:type="dxa"/>
          </w:tcPr>
          <w:p w:rsidR="001650BE" w:rsidRDefault="001650BE" w:rsidP="009C496D">
            <w:pPr>
              <w:pStyle w:val="P68B1DB1-Normal3"/>
              <w:spacing w:after="200" w:line="360" w:lineRule="auto"/>
              <w:jc w:val="center"/>
            </w:pPr>
            <w:r>
              <w:t>Tunisia</w:t>
            </w:r>
          </w:p>
        </w:tc>
        <w:tc>
          <w:tcPr>
            <w:tcW w:w="2718" w:type="dxa"/>
          </w:tcPr>
          <w:p w:rsidR="001650BE" w:rsidRDefault="001650BE" w:rsidP="009C496D">
            <w:pPr>
              <w:pStyle w:val="P68B1DB1-Normal3"/>
              <w:spacing w:after="200" w:line="360" w:lineRule="auto"/>
              <w:jc w:val="center"/>
            </w:pPr>
            <w:r>
              <w:t>Who Recommendation</w:t>
            </w:r>
          </w:p>
        </w:tc>
      </w:tr>
      <w:tr w:rsidR="001650BE" w:rsidTr="009C496D">
        <w:trPr>
          <w:trHeight w:val="492"/>
        </w:trPr>
        <w:tc>
          <w:tcPr>
            <w:tcW w:w="2679" w:type="dxa"/>
          </w:tcPr>
          <w:p w:rsidR="001650BE" w:rsidRDefault="001650BE" w:rsidP="009C496D">
            <w:pPr>
              <w:pStyle w:val="P68B1DB1-Normal4"/>
              <w:spacing w:after="200" w:line="360" w:lineRule="auto"/>
              <w:jc w:val="center"/>
            </w:pPr>
            <w:r>
              <w:t>population coverage</w:t>
            </w:r>
          </w:p>
        </w:tc>
        <w:tc>
          <w:tcPr>
            <w:tcW w:w="1410" w:type="dxa"/>
          </w:tcPr>
          <w:p w:rsidR="001650BE" w:rsidRDefault="001650BE" w:rsidP="009C496D">
            <w:pPr>
              <w:pStyle w:val="P68B1DB1-Normal4"/>
              <w:spacing w:after="200" w:line="360" w:lineRule="auto"/>
              <w:jc w:val="center"/>
            </w:pPr>
            <w:r>
              <w:t>87(4)</w:t>
            </w:r>
          </w:p>
        </w:tc>
        <w:tc>
          <w:tcPr>
            <w:tcW w:w="1287" w:type="dxa"/>
          </w:tcPr>
          <w:p w:rsidR="001650BE" w:rsidRDefault="001650BE" w:rsidP="009C496D">
            <w:pPr>
              <w:pStyle w:val="P68B1DB1-Normal4"/>
              <w:spacing w:after="200" w:line="360" w:lineRule="auto"/>
              <w:jc w:val="center"/>
            </w:pPr>
            <w:r>
              <w:t>62%</w:t>
            </w:r>
          </w:p>
        </w:tc>
        <w:tc>
          <w:tcPr>
            <w:tcW w:w="1521" w:type="dxa"/>
          </w:tcPr>
          <w:p w:rsidR="001650BE" w:rsidRDefault="001650BE" w:rsidP="009C496D">
            <w:pPr>
              <w:pStyle w:val="P68B1DB1-Normal4"/>
              <w:spacing w:after="200" w:line="360" w:lineRule="auto"/>
              <w:jc w:val="center"/>
            </w:pPr>
            <w:r>
              <w:t>68%</w:t>
            </w:r>
          </w:p>
        </w:tc>
        <w:tc>
          <w:tcPr>
            <w:tcW w:w="2718" w:type="dxa"/>
          </w:tcPr>
          <w:p w:rsidR="001650BE" w:rsidRDefault="001650BE" w:rsidP="009C496D">
            <w:pPr>
              <w:pStyle w:val="P68B1DB1-Normal4"/>
              <w:spacing w:after="200" w:line="360" w:lineRule="auto"/>
              <w:jc w:val="center"/>
            </w:pPr>
            <w:r>
              <w:t>100%</w:t>
            </w:r>
          </w:p>
        </w:tc>
      </w:tr>
      <w:tr w:rsidR="001650BE" w:rsidTr="009C496D">
        <w:trPr>
          <w:trHeight w:val="677"/>
        </w:trPr>
        <w:tc>
          <w:tcPr>
            <w:tcW w:w="2679" w:type="dxa"/>
          </w:tcPr>
          <w:p w:rsidR="001650BE" w:rsidRPr="006A766E" w:rsidRDefault="001650BE" w:rsidP="009C496D">
            <w:pPr>
              <w:pStyle w:val="P68B1DB1-Normal4"/>
              <w:spacing w:line="360" w:lineRule="auto"/>
              <w:jc w:val="center"/>
              <w:rPr>
                <w:lang w:val="en-US"/>
              </w:rPr>
            </w:pPr>
            <w:r w:rsidRPr="006A766E">
              <w:rPr>
                <w:lang w:val="en-US"/>
              </w:rPr>
              <w:t>Household out-of-pocket payment</w:t>
            </w:r>
          </w:p>
        </w:tc>
        <w:tc>
          <w:tcPr>
            <w:tcW w:w="1410" w:type="dxa"/>
          </w:tcPr>
          <w:p w:rsidR="001650BE" w:rsidRDefault="001650BE" w:rsidP="009C496D">
            <w:pPr>
              <w:pStyle w:val="P68B1DB1-Normal4"/>
              <w:spacing w:after="200" w:line="360" w:lineRule="auto"/>
              <w:jc w:val="center"/>
            </w:pPr>
            <w:r>
              <w:t>37%</w:t>
            </w:r>
          </w:p>
        </w:tc>
        <w:tc>
          <w:tcPr>
            <w:tcW w:w="1287" w:type="dxa"/>
          </w:tcPr>
          <w:p w:rsidR="001650BE" w:rsidRDefault="001650BE" w:rsidP="009C496D">
            <w:pPr>
              <w:pStyle w:val="P68B1DB1-Normal4"/>
              <w:spacing w:after="200" w:line="360" w:lineRule="auto"/>
              <w:jc w:val="center"/>
            </w:pPr>
            <w:r>
              <w:t>32%</w:t>
            </w:r>
          </w:p>
        </w:tc>
        <w:tc>
          <w:tcPr>
            <w:tcW w:w="1521" w:type="dxa"/>
          </w:tcPr>
          <w:p w:rsidR="001650BE" w:rsidRDefault="001650BE" w:rsidP="009C496D">
            <w:pPr>
              <w:pStyle w:val="P68B1DB1-Normal4"/>
              <w:spacing w:after="200" w:line="360" w:lineRule="auto"/>
              <w:jc w:val="center"/>
            </w:pPr>
            <w:r>
              <w:t>32%</w:t>
            </w:r>
          </w:p>
        </w:tc>
        <w:tc>
          <w:tcPr>
            <w:tcW w:w="2718" w:type="dxa"/>
          </w:tcPr>
          <w:p w:rsidR="001650BE" w:rsidRDefault="001650BE" w:rsidP="009C496D">
            <w:pPr>
              <w:pStyle w:val="P68B1DB1-Normal4"/>
              <w:spacing w:after="200" w:line="360" w:lineRule="auto"/>
              <w:jc w:val="center"/>
            </w:pPr>
            <w:r>
              <w:t>&lt; 20%</w:t>
            </w:r>
          </w:p>
        </w:tc>
      </w:tr>
      <w:tr w:rsidR="001650BE" w:rsidTr="009C496D">
        <w:trPr>
          <w:trHeight w:val="505"/>
        </w:trPr>
        <w:tc>
          <w:tcPr>
            <w:tcW w:w="2679" w:type="dxa"/>
          </w:tcPr>
          <w:p w:rsidR="001650BE" w:rsidRDefault="001650BE" w:rsidP="009C496D">
            <w:pPr>
              <w:pStyle w:val="P68B1DB1-Normal4"/>
              <w:spacing w:after="200" w:line="360" w:lineRule="auto"/>
              <w:jc w:val="center"/>
            </w:pPr>
            <w:r>
              <w:t>% health exp./GDP</w:t>
            </w:r>
          </w:p>
        </w:tc>
        <w:tc>
          <w:tcPr>
            <w:tcW w:w="1410" w:type="dxa"/>
          </w:tcPr>
          <w:p w:rsidR="001650BE" w:rsidRDefault="001650BE" w:rsidP="009C496D">
            <w:pPr>
              <w:pStyle w:val="P68B1DB1-Normal4"/>
              <w:spacing w:after="200" w:line="360" w:lineRule="auto"/>
              <w:jc w:val="center"/>
            </w:pPr>
            <w:r>
              <w:t>6.3%</w:t>
            </w:r>
          </w:p>
        </w:tc>
        <w:tc>
          <w:tcPr>
            <w:tcW w:w="1287" w:type="dxa"/>
          </w:tcPr>
          <w:p w:rsidR="001650BE" w:rsidRDefault="001650BE" w:rsidP="009C496D">
            <w:pPr>
              <w:pStyle w:val="P68B1DB1-Normal4"/>
              <w:spacing w:after="200" w:line="360" w:lineRule="auto"/>
              <w:jc w:val="center"/>
            </w:pPr>
            <w:r>
              <w:t>5.8%</w:t>
            </w:r>
          </w:p>
        </w:tc>
        <w:tc>
          <w:tcPr>
            <w:tcW w:w="1521" w:type="dxa"/>
          </w:tcPr>
          <w:p w:rsidR="001650BE" w:rsidRDefault="001650BE" w:rsidP="009C496D">
            <w:pPr>
              <w:pStyle w:val="P68B1DB1-Normal4"/>
              <w:spacing w:after="200" w:line="360" w:lineRule="auto"/>
              <w:jc w:val="center"/>
            </w:pPr>
            <w:r>
              <w:t>7.2%</w:t>
            </w:r>
          </w:p>
        </w:tc>
        <w:tc>
          <w:tcPr>
            <w:tcW w:w="2718" w:type="dxa"/>
          </w:tcPr>
          <w:p w:rsidR="001650BE" w:rsidRDefault="001650BE" w:rsidP="009C496D">
            <w:pPr>
              <w:pStyle w:val="P68B1DB1-Normal4"/>
              <w:spacing w:after="200" w:line="360" w:lineRule="auto"/>
              <w:jc w:val="center"/>
            </w:pPr>
            <w:r>
              <w:t>&gt; 6</w:t>
            </w:r>
          </w:p>
        </w:tc>
      </w:tr>
      <w:tr w:rsidR="001650BE" w:rsidTr="009C496D">
        <w:trPr>
          <w:trHeight w:val="492"/>
        </w:trPr>
        <w:tc>
          <w:tcPr>
            <w:tcW w:w="2679" w:type="dxa"/>
          </w:tcPr>
          <w:p w:rsidR="001650BE" w:rsidRDefault="001650BE" w:rsidP="009C496D">
            <w:pPr>
              <w:pStyle w:val="P68B1DB1-Normal4"/>
              <w:spacing w:after="200" w:line="360" w:lineRule="auto"/>
              <w:jc w:val="center"/>
            </w:pPr>
            <w:r>
              <w:t>System Satisfaction</w:t>
            </w:r>
          </w:p>
        </w:tc>
        <w:tc>
          <w:tcPr>
            <w:tcW w:w="1410" w:type="dxa"/>
          </w:tcPr>
          <w:p w:rsidR="001650BE" w:rsidRDefault="001650BE" w:rsidP="009C496D">
            <w:pPr>
              <w:pStyle w:val="P68B1DB1-Normal4"/>
              <w:spacing w:after="200" w:line="360" w:lineRule="auto"/>
              <w:jc w:val="center"/>
            </w:pPr>
            <w:r>
              <w:t>-</w:t>
            </w:r>
          </w:p>
        </w:tc>
        <w:tc>
          <w:tcPr>
            <w:tcW w:w="1287" w:type="dxa"/>
          </w:tcPr>
          <w:p w:rsidR="001650BE" w:rsidRDefault="001650BE" w:rsidP="009C496D">
            <w:pPr>
              <w:pStyle w:val="P68B1DB1-Normal4"/>
              <w:spacing w:after="200" w:line="360" w:lineRule="auto"/>
              <w:jc w:val="center"/>
            </w:pPr>
            <w:r>
              <w:t>23%</w:t>
            </w:r>
          </w:p>
        </w:tc>
        <w:tc>
          <w:tcPr>
            <w:tcW w:w="1521" w:type="dxa"/>
          </w:tcPr>
          <w:p w:rsidR="001650BE" w:rsidRDefault="001650BE" w:rsidP="009C496D">
            <w:pPr>
              <w:pStyle w:val="P68B1DB1-Normal4"/>
              <w:spacing w:after="200" w:line="360" w:lineRule="auto"/>
              <w:jc w:val="center"/>
            </w:pPr>
            <w:r>
              <w:t>-</w:t>
            </w:r>
          </w:p>
        </w:tc>
        <w:tc>
          <w:tcPr>
            <w:tcW w:w="2718" w:type="dxa"/>
          </w:tcPr>
          <w:p w:rsidR="001650BE" w:rsidRDefault="001650BE" w:rsidP="009C496D">
            <w:pPr>
              <w:pStyle w:val="P68B1DB1-Normal4"/>
              <w:spacing w:after="200" w:line="360" w:lineRule="auto"/>
              <w:jc w:val="center"/>
            </w:pPr>
            <w:r>
              <w:t>&gt;80%</w:t>
            </w:r>
          </w:p>
        </w:tc>
      </w:tr>
    </w:tbl>
    <w:p w:rsidR="001650BE" w:rsidRPr="006A766E" w:rsidRDefault="001650BE" w:rsidP="001650BE">
      <w:pPr>
        <w:pStyle w:val="P68B1DB1-Normal4"/>
        <w:spacing w:after="0" w:line="360" w:lineRule="auto"/>
        <w:jc w:val="both"/>
        <w:rPr>
          <w:highlight w:val="yellow"/>
          <w:lang w:val="en-US"/>
        </w:rPr>
      </w:pPr>
      <w:r w:rsidRPr="006A766E">
        <w:rPr>
          <w:b/>
          <w:lang w:val="en-US"/>
        </w:rPr>
        <w:t xml:space="preserve">Source: </w:t>
      </w:r>
      <w:r w:rsidRPr="006A766E">
        <w:rPr>
          <w:lang w:val="en-US"/>
        </w:rPr>
        <w:t>Table made by us from:</w:t>
      </w:r>
    </w:p>
    <w:p w:rsidR="001650BE" w:rsidRPr="006A766E" w:rsidRDefault="001650BE" w:rsidP="001650BE">
      <w:pPr>
        <w:pStyle w:val="P68B1DB1-Normal4"/>
        <w:numPr>
          <w:ilvl w:val="0"/>
          <w:numId w:val="6"/>
        </w:numPr>
        <w:spacing w:after="0" w:line="240" w:lineRule="auto"/>
        <w:jc w:val="both"/>
        <w:rPr>
          <w:lang w:val="en-US"/>
        </w:rPr>
      </w:pPr>
      <w:r w:rsidRPr="006A766E">
        <w:rPr>
          <w:lang w:val="en-US"/>
        </w:rPr>
        <w:t>Data from the Directorate General of the CNAS of Algiers.</w:t>
      </w:r>
    </w:p>
    <w:p w:rsidR="001650BE" w:rsidRPr="006A766E" w:rsidRDefault="001650BE" w:rsidP="001650BE">
      <w:pPr>
        <w:pStyle w:val="P68B1DB1-Paragraphedeliste16"/>
        <w:numPr>
          <w:ilvl w:val="0"/>
          <w:numId w:val="6"/>
        </w:numPr>
        <w:rPr>
          <w:rFonts w:asciiTheme="majorBidi" w:hAnsiTheme="majorBidi" w:cstheme="majorBidi"/>
          <w:lang w:val="en-US"/>
        </w:rPr>
      </w:pPr>
      <w:r w:rsidRPr="006A766E">
        <w:rPr>
          <w:rFonts w:asciiTheme="majorBidi" w:hAnsiTheme="majorBidi" w:cstheme="majorBidi"/>
          <w:lang w:val="en-US"/>
        </w:rPr>
        <w:t>Belyagou,Y &amp; Benabdallah,H, 2024,</w:t>
      </w:r>
      <w:r w:rsidRPr="006A766E">
        <w:rPr>
          <w:lang w:val="en-US"/>
        </w:rPr>
        <w:t xml:space="preserve"> </w:t>
      </w:r>
      <w:r w:rsidRPr="006A766E">
        <w:rPr>
          <w:rFonts w:asciiTheme="majorBidi" w:hAnsiTheme="majorBidi" w:cstheme="majorBidi"/>
          <w:lang w:val="en-US"/>
        </w:rPr>
        <w:t>Models of success in universalizing health coverage and the case of Morocco, page 101-125.</w:t>
      </w:r>
    </w:p>
    <w:p w:rsidR="001650BE" w:rsidRPr="006A766E" w:rsidRDefault="001650BE" w:rsidP="001650BE">
      <w:pPr>
        <w:pStyle w:val="ListParagraph"/>
        <w:numPr>
          <w:ilvl w:val="0"/>
          <w:numId w:val="6"/>
        </w:numPr>
        <w:rPr>
          <w:rFonts w:asciiTheme="majorBidi" w:hAnsiTheme="majorBidi" w:cstheme="majorBidi"/>
          <w:sz w:val="24"/>
          <w:lang w:val="en-US"/>
        </w:rPr>
      </w:pPr>
      <w:r w:rsidRPr="006A766E">
        <w:rPr>
          <w:rFonts w:asciiTheme="majorBidi" w:hAnsiTheme="majorBidi" w:cstheme="majorBidi"/>
          <w:sz w:val="24"/>
          <w:lang w:val="en-US"/>
        </w:rPr>
        <w:t>Missaoui,A, Mezlini,I, &amp; Meddeb,Y, 2025,</w:t>
      </w:r>
      <w:r w:rsidRPr="006A766E">
        <w:rPr>
          <w:lang w:val="en-US"/>
        </w:rPr>
        <w:t xml:space="preserve"> </w:t>
      </w:r>
      <w:r w:rsidRPr="006A766E">
        <w:rPr>
          <w:rFonts w:asciiTheme="majorBidi" w:hAnsiTheme="majorBidi" w:cstheme="majorBidi"/>
          <w:sz w:val="24"/>
          <w:lang w:val="en-US"/>
        </w:rPr>
        <w:t>Tunisians support universal access to care and point to persistent challenges,page 1-17.</w:t>
      </w:r>
    </w:p>
    <w:p w:rsidR="001650BE" w:rsidRPr="006A766E" w:rsidRDefault="001650BE" w:rsidP="001650BE">
      <w:pPr>
        <w:pStyle w:val="ListParagraph"/>
        <w:ind w:left="644" w:firstLine="0"/>
        <w:rPr>
          <w:rFonts w:asciiTheme="majorBidi" w:hAnsiTheme="majorBidi" w:cstheme="majorBidi"/>
          <w:sz w:val="24"/>
          <w:lang w:val="en-US"/>
        </w:rPr>
      </w:pPr>
    </w:p>
    <w:p w:rsidR="001650BE" w:rsidRPr="006A766E" w:rsidRDefault="001650BE" w:rsidP="001650BE">
      <w:pPr>
        <w:pStyle w:val="P68B1DB1-Normal4"/>
        <w:spacing w:after="0" w:line="360" w:lineRule="auto"/>
        <w:jc w:val="both"/>
        <w:rPr>
          <w:lang w:val="en-US"/>
        </w:rPr>
      </w:pPr>
      <w:r w:rsidRPr="006A766E">
        <w:rPr>
          <w:lang w:val="en-US"/>
        </w:rPr>
        <w:t>Benchmarking reveals common patterns in successful transitions to UHC. The case of Morocco illustrates the importance of a graduated approach, with a gradual extension of coverage mechanisms (AMO then RAMED). Tunisia demonstrates the effectiveness of a well-coordinated dual system.</w:t>
      </w:r>
    </w:p>
    <w:p w:rsidR="001650BE" w:rsidRPr="006A766E" w:rsidRDefault="001650BE" w:rsidP="001650BE">
      <w:pPr>
        <w:pStyle w:val="P68B1DB1-Normal4"/>
        <w:spacing w:after="0" w:line="360" w:lineRule="auto"/>
        <w:jc w:val="both"/>
        <w:rPr>
          <w:lang w:val="en-US"/>
        </w:rPr>
      </w:pPr>
      <w:r w:rsidRPr="006A766E">
        <w:rPr>
          <w:lang w:val="en-US"/>
        </w:rPr>
        <w:t xml:space="preserve">Three success factors emerge from this comparative analysis: (1) the ability to mobilize substantial additional financing (average increase of 1.5 GDP points), (2) the existence of effective regulatory institutions, and (3) the adaptation of reforms to the specificities of the national context. </w:t>
      </w:r>
    </w:p>
    <w:p w:rsidR="001650BE" w:rsidRPr="006A766E" w:rsidRDefault="001650BE" w:rsidP="001650BE">
      <w:pPr>
        <w:pStyle w:val="P68B1DB1-Normal3"/>
        <w:spacing w:line="360" w:lineRule="auto"/>
        <w:jc w:val="both"/>
        <w:rPr>
          <w:lang w:val="en-US"/>
        </w:rPr>
      </w:pPr>
      <w:r w:rsidRPr="006A766E">
        <w:rPr>
          <w:lang w:val="en-US"/>
        </w:rPr>
        <w:t>5.2. Implications for Algeria</w:t>
      </w:r>
    </w:p>
    <w:p w:rsidR="001650BE" w:rsidRPr="006A766E" w:rsidRDefault="001650BE" w:rsidP="001650BE">
      <w:pPr>
        <w:pStyle w:val="P68B1DB1-Normal4"/>
        <w:spacing w:line="360" w:lineRule="auto"/>
        <w:jc w:val="both"/>
        <w:rPr>
          <w:lang w:val="en-US"/>
        </w:rPr>
      </w:pPr>
      <w:r w:rsidRPr="006A766E">
        <w:rPr>
          <w:lang w:val="en-US"/>
        </w:rPr>
        <w:t xml:space="preserve">Applied to the Algerian context, these lessons suggest several strategic orientations. First, a sequential approach seems more realistic than a "big bang" reform, given the institutional complexity and potential resistance. Secondly, the unification of information systems is an essential technical prerequisite for any major reform. </w:t>
      </w:r>
    </w:p>
    <w:p w:rsidR="001650BE" w:rsidRDefault="001650BE" w:rsidP="001650BE">
      <w:pPr>
        <w:pStyle w:val="P68B1DB1-Normal4"/>
        <w:spacing w:line="360" w:lineRule="auto"/>
        <w:jc w:val="both"/>
        <w:rPr>
          <w:lang w:val="en-US"/>
        </w:rPr>
      </w:pPr>
      <w:r w:rsidRPr="006A766E">
        <w:rPr>
          <w:lang w:val="en-US"/>
        </w:rPr>
        <w:t xml:space="preserve">Third, diversification of funding sources needed to reduce reliance on social contributions and improve redistribution. The introduction of a health tax on financial transactions, successfully tested in several countries, could be an innovative avenue for Algeria. </w:t>
      </w:r>
    </w:p>
    <w:p w:rsidR="001650BE" w:rsidRPr="006A766E" w:rsidRDefault="001650BE" w:rsidP="001650BE">
      <w:pPr>
        <w:pStyle w:val="P68B1DB1-Normal3"/>
        <w:spacing w:line="360" w:lineRule="auto"/>
        <w:jc w:val="both"/>
        <w:rPr>
          <w:lang w:val="en-US"/>
        </w:rPr>
      </w:pPr>
      <w:r w:rsidRPr="006A766E">
        <w:rPr>
          <w:lang w:val="en-US"/>
        </w:rPr>
        <w:t>5.3. Challenges specific to the Algerian context</w:t>
      </w:r>
    </w:p>
    <w:p w:rsidR="001650BE" w:rsidRPr="006A766E" w:rsidRDefault="001650BE" w:rsidP="001650BE">
      <w:pPr>
        <w:pStyle w:val="P68B1DB1-Normal4"/>
        <w:spacing w:line="360" w:lineRule="auto"/>
        <w:jc w:val="both"/>
        <w:rPr>
          <w:lang w:val="en-US"/>
        </w:rPr>
      </w:pPr>
      <w:r w:rsidRPr="006A766E">
        <w:rPr>
          <w:lang w:val="en-US"/>
        </w:rPr>
        <w:t xml:space="preserve">Algeria has specificities that complicate the transition to UHC. The rentier economy generates volatility in public resources that complicates long-term planning. The importance of the informal </w:t>
      </w:r>
      <w:r w:rsidRPr="006A766E">
        <w:rPr>
          <w:lang w:val="en-US"/>
        </w:rPr>
        <w:lastRenderedPageBreak/>
        <w:t xml:space="preserve">sector (estimated at 40% of the economy in 2020) poses particular challenges for extending coverage to undeclared workers. </w:t>
      </w:r>
    </w:p>
    <w:p w:rsidR="001650BE" w:rsidRPr="006A766E" w:rsidRDefault="001650BE" w:rsidP="001650BE">
      <w:pPr>
        <w:pStyle w:val="P68B1DB1-Normal4"/>
        <w:spacing w:line="360" w:lineRule="auto"/>
        <w:jc w:val="both"/>
        <w:rPr>
          <w:lang w:val="en-US"/>
        </w:rPr>
      </w:pPr>
      <w:r w:rsidRPr="006A766E">
        <w:rPr>
          <w:lang w:val="en-US"/>
        </w:rPr>
        <w:t xml:space="preserve">Moreover, the data reveal corporatist resistance from certain interest groups, particularly in the private health sector, which fears stronger regulation. These resistances require an appropriate change management strategy, based on transparent communication and fair compensation mechanisms. </w:t>
      </w:r>
    </w:p>
    <w:p w:rsidR="001650BE" w:rsidRPr="006A766E" w:rsidRDefault="001650BE" w:rsidP="001650BE">
      <w:pPr>
        <w:pStyle w:val="P68B1DB1-Normal3"/>
        <w:spacing w:line="360" w:lineRule="auto"/>
        <w:jc w:val="both"/>
        <w:rPr>
          <w:lang w:val="en-US"/>
        </w:rPr>
      </w:pPr>
      <w:r w:rsidRPr="006A766E">
        <w:rPr>
          <w:lang w:val="en-US"/>
        </w:rPr>
        <w:t>Strategic recommendations</w:t>
      </w:r>
    </w:p>
    <w:p w:rsidR="001650BE" w:rsidRPr="006A766E" w:rsidRDefault="001650BE" w:rsidP="001650BE">
      <w:pPr>
        <w:pStyle w:val="P68B1DB1-Normal3"/>
        <w:spacing w:line="360" w:lineRule="auto"/>
        <w:jc w:val="both"/>
        <w:rPr>
          <w:lang w:val="en-US"/>
        </w:rPr>
      </w:pPr>
      <w:r w:rsidRPr="006A766E">
        <w:rPr>
          <w:lang w:val="en-US"/>
        </w:rPr>
        <w:t>6.1. Short-term recommendations (2025-2027)</w:t>
      </w:r>
    </w:p>
    <w:p w:rsidR="001650BE" w:rsidRPr="006A766E" w:rsidRDefault="001650BE" w:rsidP="001650BE">
      <w:pPr>
        <w:pStyle w:val="P68B1DB1-Normal4"/>
        <w:spacing w:line="360" w:lineRule="auto"/>
        <w:jc w:val="both"/>
        <w:rPr>
          <w:lang w:val="en-US"/>
        </w:rPr>
      </w:pPr>
      <w:r w:rsidRPr="006A766E">
        <w:rPr>
          <w:b/>
          <w:lang w:val="en-US"/>
        </w:rPr>
        <w:t>Unification of information systems:</w:t>
      </w:r>
      <w:r w:rsidRPr="006A766E">
        <w:rPr>
          <w:lang w:val="en-US"/>
        </w:rPr>
        <w:t xml:space="preserve"> Develop an integrated policyholder management platform allowing interoperability between CNAS, CASNOS and other regimes. This modernization, estimated at $250 million, is the technical foundation of any subsequent reform. </w:t>
      </w:r>
    </w:p>
    <w:p w:rsidR="001650BE" w:rsidRPr="006A766E" w:rsidRDefault="001650BE" w:rsidP="001650BE">
      <w:pPr>
        <w:pStyle w:val="P68B1DB1-Normal4"/>
        <w:spacing w:line="360" w:lineRule="auto"/>
        <w:jc w:val="both"/>
        <w:rPr>
          <w:lang w:val="en-US"/>
        </w:rPr>
      </w:pPr>
      <w:r w:rsidRPr="006A766E">
        <w:rPr>
          <w:b/>
          <w:lang w:val="en-US"/>
        </w:rPr>
        <w:t>Targeted extension of coverage:</w:t>
      </w:r>
      <w:r w:rsidRPr="006A766E">
        <w:rPr>
          <w:lang w:val="en-US"/>
        </w:rPr>
        <w:t xml:space="preserve"> Create a specific scheme for informal workers and vulnerable populations, funded by a national solidarity contribution. This measure could bring the coverage rate to 92% by 2027. </w:t>
      </w:r>
    </w:p>
    <w:p w:rsidR="001650BE" w:rsidRPr="006A766E" w:rsidRDefault="001650BE" w:rsidP="001650BE">
      <w:pPr>
        <w:pStyle w:val="P68B1DB1-Normal4"/>
        <w:spacing w:line="360" w:lineRule="auto"/>
        <w:jc w:val="both"/>
        <w:rPr>
          <w:lang w:val="en-US"/>
        </w:rPr>
      </w:pPr>
      <w:r w:rsidRPr="006A766E">
        <w:rPr>
          <w:b/>
          <w:lang w:val="en-US"/>
        </w:rPr>
        <w:t>Improved governance:</w:t>
      </w:r>
      <w:r w:rsidRPr="006A766E">
        <w:rPr>
          <w:lang w:val="en-US"/>
        </w:rPr>
        <w:t xml:space="preserve"> Establish a national health insurance regulatory agency responsible for coordinating the various bodies and defining the quality standards of services. </w:t>
      </w:r>
    </w:p>
    <w:p w:rsidR="001650BE" w:rsidRPr="006A766E" w:rsidRDefault="001650BE" w:rsidP="001650BE">
      <w:pPr>
        <w:pStyle w:val="P68B1DB1-Normal3"/>
        <w:spacing w:line="360" w:lineRule="auto"/>
        <w:jc w:val="both"/>
        <w:rPr>
          <w:lang w:val="en-US"/>
        </w:rPr>
      </w:pPr>
      <w:r w:rsidRPr="006A766E">
        <w:rPr>
          <w:lang w:val="en-US"/>
        </w:rPr>
        <w:t>6.2. Medium-term recommendations (2027-2032)</w:t>
      </w:r>
    </w:p>
    <w:p w:rsidR="001650BE" w:rsidRPr="006A766E" w:rsidRDefault="001650BE" w:rsidP="001650BE">
      <w:pPr>
        <w:pStyle w:val="P68B1DB1-Normal4"/>
        <w:spacing w:line="360" w:lineRule="auto"/>
        <w:jc w:val="both"/>
        <w:rPr>
          <w:lang w:val="en-US"/>
        </w:rPr>
      </w:pPr>
      <w:r w:rsidRPr="006A766E">
        <w:rPr>
          <w:b/>
          <w:lang w:val="en-US"/>
        </w:rPr>
        <w:t>Financing reform:</w:t>
      </w:r>
      <w:r w:rsidRPr="006A766E">
        <w:rPr>
          <w:lang w:val="en-US"/>
        </w:rPr>
        <w:t xml:space="preserve"> Diversify sources of financing by introducing taxation dedicated to health (tax on harmful products, contribution on financial transactions). This reform would reduce the share of social contributions from 78% to 60% of total funding. </w:t>
      </w:r>
    </w:p>
    <w:p w:rsidR="001650BE" w:rsidRPr="006A766E" w:rsidRDefault="001650BE" w:rsidP="001650BE">
      <w:pPr>
        <w:pStyle w:val="P68B1DB1-Normal4"/>
        <w:spacing w:line="360" w:lineRule="auto"/>
        <w:jc w:val="both"/>
        <w:rPr>
          <w:lang w:val="en-US"/>
        </w:rPr>
      </w:pPr>
      <w:r w:rsidRPr="006A766E">
        <w:rPr>
          <w:b/>
          <w:lang w:val="en-US"/>
        </w:rPr>
        <w:t>Progressive unification of plans:</w:t>
      </w:r>
      <w:r w:rsidRPr="006A766E">
        <w:rPr>
          <w:lang w:val="en-US"/>
        </w:rPr>
        <w:t xml:space="preserve"> Harmonize care baskets and reimbursement arrangements between CNAS and CASNOS, preparing for a subsequent institutional merger. </w:t>
      </w:r>
    </w:p>
    <w:p w:rsidR="001650BE" w:rsidRPr="006A766E" w:rsidRDefault="001650BE" w:rsidP="001650BE">
      <w:pPr>
        <w:pStyle w:val="P68B1DB1-Normal4"/>
        <w:spacing w:line="360" w:lineRule="auto"/>
        <w:jc w:val="both"/>
        <w:rPr>
          <w:lang w:val="en-US"/>
        </w:rPr>
      </w:pPr>
      <w:r w:rsidRPr="006A766E">
        <w:rPr>
          <w:b/>
          <w:lang w:val="en-US"/>
        </w:rPr>
        <w:t>Preventive medicine development:</w:t>
      </w:r>
      <w:r w:rsidRPr="006A766E">
        <w:rPr>
          <w:lang w:val="en-US"/>
        </w:rPr>
        <w:t xml:space="preserve"> Strengthen prevention and screening programs to control the evolution of health costs, particularly in the field of chronic diseases. </w:t>
      </w:r>
    </w:p>
    <w:p w:rsidR="001650BE" w:rsidRPr="006A766E" w:rsidRDefault="001650BE" w:rsidP="001650BE">
      <w:pPr>
        <w:pStyle w:val="P68B1DB1-Normal3"/>
        <w:spacing w:line="360" w:lineRule="auto"/>
        <w:jc w:val="both"/>
        <w:rPr>
          <w:lang w:val="en-US"/>
        </w:rPr>
      </w:pPr>
      <w:r w:rsidRPr="006A766E">
        <w:rPr>
          <w:lang w:val="en-US"/>
        </w:rPr>
        <w:t>6. Long-term vision</w:t>
      </w:r>
    </w:p>
    <w:p w:rsidR="001650BE" w:rsidRDefault="001650BE" w:rsidP="001650BE">
      <w:pPr>
        <w:pStyle w:val="P68B1DB1-Normal4"/>
        <w:spacing w:line="360" w:lineRule="auto"/>
        <w:jc w:val="both"/>
        <w:rPr>
          <w:lang w:val="en-US"/>
        </w:rPr>
      </w:pPr>
      <w:r w:rsidRPr="006A766E">
        <w:rPr>
          <w:b/>
          <w:lang w:val="en-US"/>
        </w:rPr>
        <w:t>Transition to UHC:</w:t>
      </w:r>
      <w:r w:rsidRPr="006A766E">
        <w:rPr>
          <w:lang w:val="en-US"/>
        </w:rPr>
        <w:t xml:space="preserve"> Create a unified national health insurance system guaranteeing universal access to essential care, financed by an optimal mix of social contributions (40%), general taxation (45%) and specific contributions (15%). </w:t>
      </w:r>
    </w:p>
    <w:p w:rsidR="001650BE" w:rsidRPr="006A766E" w:rsidRDefault="001650BE" w:rsidP="001650BE">
      <w:pPr>
        <w:pStyle w:val="P68B1DB1-Normal3"/>
        <w:spacing w:line="360" w:lineRule="auto"/>
        <w:jc w:val="both"/>
        <w:rPr>
          <w:lang w:val="en-US"/>
        </w:rPr>
      </w:pPr>
      <w:r w:rsidRPr="006A766E">
        <w:rPr>
          <w:lang w:val="en-US"/>
        </w:rPr>
        <w:lastRenderedPageBreak/>
        <w:t>7. Conclusion</w:t>
      </w:r>
    </w:p>
    <w:p w:rsidR="001650BE" w:rsidRPr="006A766E" w:rsidRDefault="001650BE" w:rsidP="001650BE">
      <w:pPr>
        <w:pStyle w:val="P68B1DB1-Normal4"/>
        <w:spacing w:line="360" w:lineRule="auto"/>
        <w:jc w:val="both"/>
        <w:rPr>
          <w:lang w:val="en-US"/>
        </w:rPr>
      </w:pPr>
      <w:r w:rsidRPr="006A766E">
        <w:rPr>
          <w:lang w:val="en-US"/>
        </w:rPr>
        <w:t xml:space="preserve">This research made it possible to analyze the prospects for the evolution of the Algerian health insurance system towards universal health coverage, revealing both the structural challenges and the opportunities for reform. The international comparative analysis demonstrates that the transition to UHC, although complex, remains feasible in the Algerian context subject to strong political commitment and an appropriate reform strategy. </w:t>
      </w:r>
    </w:p>
    <w:p w:rsidR="001650BE" w:rsidRPr="006A766E" w:rsidRDefault="001650BE" w:rsidP="001650BE">
      <w:pPr>
        <w:pStyle w:val="P68B1DB1-Normal4"/>
        <w:spacing w:line="360" w:lineRule="auto"/>
        <w:jc w:val="both"/>
        <w:rPr>
          <w:lang w:val="en-US"/>
        </w:rPr>
      </w:pPr>
      <w:r w:rsidRPr="006A766E">
        <w:rPr>
          <w:lang w:val="en-US"/>
        </w:rPr>
        <w:t xml:space="preserve">The main results of this study highlight that the Algerian system, despite its honorable performance in terms of formal coverage (85.3%), suffers from significant gaps in effective access to care and financial sustainability. Institutional fragmentation, geographical inequalities and over-reliance on social contributions are the major obstacles to overcome. </w:t>
      </w:r>
    </w:p>
    <w:p w:rsidR="001650BE" w:rsidRPr="006A766E" w:rsidRDefault="001650BE" w:rsidP="001650BE">
      <w:pPr>
        <w:pStyle w:val="P68B1DB1-Normal4"/>
        <w:spacing w:line="360" w:lineRule="auto"/>
        <w:jc w:val="both"/>
        <w:rPr>
          <w:lang w:val="en-US"/>
        </w:rPr>
      </w:pPr>
      <w:r w:rsidRPr="006A766E">
        <w:rPr>
          <w:lang w:val="en-US"/>
        </w:rPr>
        <w:t xml:space="preserve">The recommendations made are based on a sequential and pragmatic approach, initially focusing on the modernization of management tools and the targeted extension of coverage, before considering a more ambitious structural reform. This strategy, inspired by international best practices, could allow Algeria to achieve universal health coverage by 2032-2035. </w:t>
      </w:r>
    </w:p>
    <w:p w:rsidR="001650BE" w:rsidRPr="006A766E" w:rsidRDefault="001650BE" w:rsidP="001650BE">
      <w:pPr>
        <w:pStyle w:val="P68B1DB1-Normal4"/>
        <w:spacing w:line="360" w:lineRule="auto"/>
        <w:jc w:val="both"/>
        <w:rPr>
          <w:lang w:val="en-US"/>
        </w:rPr>
      </w:pPr>
      <w:r w:rsidRPr="006A766E">
        <w:rPr>
          <w:lang w:val="en-US"/>
        </w:rPr>
        <w:t xml:space="preserve">Beyond the Algerian case, this research contributes to the understanding of the dynamics of reform of health insurance systems in middle-income countries. It underlines the importance of contextual factors in defining reform trajectories and the need to adapt international models to national specificities. </w:t>
      </w:r>
    </w:p>
    <w:p w:rsidR="001650BE" w:rsidRPr="009C496D" w:rsidRDefault="001650BE" w:rsidP="001650BE">
      <w:pPr>
        <w:pStyle w:val="P68B1DB1-Normal4"/>
        <w:spacing w:line="360" w:lineRule="auto"/>
        <w:jc w:val="both"/>
        <w:rPr>
          <w:b/>
          <w:bCs/>
          <w:lang w:val="en-US"/>
        </w:rPr>
      </w:pPr>
      <w:r w:rsidRPr="009C496D">
        <w:rPr>
          <w:b/>
          <w:bCs/>
          <w:lang w:val="en-US"/>
        </w:rPr>
        <w:t>7.1. Limitations of the research and future perspectives</w:t>
      </w:r>
    </w:p>
    <w:p w:rsidR="001650BE" w:rsidRPr="006A766E" w:rsidRDefault="001650BE" w:rsidP="001650BE">
      <w:pPr>
        <w:pStyle w:val="P68B1DB1-Normal4"/>
        <w:spacing w:line="360" w:lineRule="auto"/>
        <w:jc w:val="both"/>
        <w:rPr>
          <w:lang w:val="en-US"/>
        </w:rPr>
      </w:pPr>
      <w:r w:rsidRPr="006A766E">
        <w:rPr>
          <w:lang w:val="en-US"/>
        </w:rPr>
        <w:t xml:space="preserve">This research has several limitations that should recognized. The limited availability of disaggregated data on some aspects of the system constrains the accuracy of some analyses, particularly regarding effective access to care for rural populations. The financial projections, although based on proven methodologies, remain sensitive to the assumptions made regarding demographic and economic developments. </w:t>
      </w:r>
    </w:p>
    <w:p w:rsidR="001650BE" w:rsidRPr="006A766E" w:rsidRDefault="001650BE" w:rsidP="001650BE">
      <w:pPr>
        <w:pStyle w:val="P68B1DB1-Normal4"/>
        <w:spacing w:line="360" w:lineRule="auto"/>
        <w:jc w:val="both"/>
        <w:rPr>
          <w:lang w:val="en-US"/>
        </w:rPr>
      </w:pPr>
      <w:r w:rsidRPr="006A766E">
        <w:rPr>
          <w:lang w:val="en-US"/>
        </w:rPr>
        <w:t xml:space="preserve">Moreover, the transferability of international teaching remains conditioned by the specificities of the Algerian context, in particular the structure of the rentier economy and the importance of the informal sector. Further research would needed to refine certain aspects, including the impact of reforms on equity of access to care and the social acceptability of the proposed changes. </w:t>
      </w:r>
    </w:p>
    <w:p w:rsidR="001650BE" w:rsidRPr="006A766E" w:rsidRDefault="001650BE" w:rsidP="001650BE">
      <w:pPr>
        <w:pStyle w:val="P68B1DB1-Normal4"/>
        <w:spacing w:line="360" w:lineRule="auto"/>
        <w:jc w:val="both"/>
        <w:rPr>
          <w:lang w:val="en-US"/>
        </w:rPr>
      </w:pPr>
      <w:r w:rsidRPr="006A766E">
        <w:rPr>
          <w:lang w:val="en-US"/>
        </w:rPr>
        <w:t xml:space="preserve">Future research perspectives could shift towards ex-ante assessment of the distributive impacts of proposed reforms, the development of more sophisticated modelling tools integrating actors' </w:t>
      </w:r>
      <w:r w:rsidRPr="006A766E">
        <w:rPr>
          <w:lang w:val="en-US"/>
        </w:rPr>
        <w:lastRenderedPageBreak/>
        <w:t xml:space="preserve">behavioural dynamics, and in-depth benchmarking with other countries in the MENA region that have undertaken similar reforms. </w:t>
      </w:r>
    </w:p>
    <w:sdt>
      <w:sdtPr>
        <w:rPr>
          <w:rFonts w:asciiTheme="minorHAnsi" w:eastAsiaTheme="minorHAnsi" w:hAnsiTheme="minorHAnsi" w:cstheme="minorBidi"/>
          <w:b w:val="0"/>
          <w:sz w:val="22"/>
        </w:rPr>
        <w:id w:val="785929943"/>
        <w:docPartObj>
          <w:docPartGallery w:val="Bibliographies"/>
          <w:docPartUnique/>
        </w:docPartObj>
      </w:sdtPr>
      <w:sdtEndPr/>
      <w:sdtContent>
        <w:sdt>
          <w:sdtPr>
            <w:rPr>
              <w:rFonts w:asciiTheme="minorHAnsi" w:eastAsiaTheme="minorHAnsi" w:hAnsiTheme="minorHAnsi" w:cstheme="minorBidi"/>
              <w:b w:val="0"/>
              <w:sz w:val="22"/>
            </w:rPr>
            <w:id w:val="-1898662352"/>
            <w:docPartObj>
              <w:docPartGallery w:val="Bibliographies"/>
              <w:docPartUnique/>
            </w:docPartObj>
          </w:sdtPr>
          <w:sdtEndPr/>
          <w:sdtContent>
            <w:p w:rsidR="001650BE" w:rsidRPr="006A766E" w:rsidRDefault="001650BE" w:rsidP="001650BE">
              <w:pPr>
                <w:pStyle w:val="Heading1"/>
                <w:rPr>
                  <w:lang w:val="en-US"/>
                </w:rPr>
              </w:pPr>
              <w:r w:rsidRPr="006A766E">
                <w:rPr>
                  <w:lang w:val="en-US"/>
                </w:rPr>
                <w:t>References:</w:t>
              </w:r>
            </w:p>
            <w:p w:rsidR="001650BE" w:rsidRPr="006A766E" w:rsidRDefault="001650BE" w:rsidP="001650BE">
              <w:pPr>
                <w:pStyle w:val="Heading1"/>
                <w:rPr>
                  <w:lang w:val="en-US"/>
                </w:rPr>
              </w:pPr>
            </w:p>
            <w:sdt>
              <w:sdtPr>
                <w:rPr>
                  <w:rFonts w:asciiTheme="minorHAnsi" w:hAnsiTheme="minorHAnsi" w:cstheme="minorBidi"/>
                  <w:sz w:val="22"/>
                </w:rPr>
                <w:id w:val="-573587230"/>
                <w:bibliography/>
              </w:sdtPr>
              <w:sdtEndPr/>
              <w:sdtContent>
                <w:p w:rsidR="001650BE" w:rsidRDefault="001650BE" w:rsidP="001650BE">
                  <w:pPr>
                    <w:pStyle w:val="P68B1DB1-Bibliographie23"/>
                    <w:jc w:val="both"/>
                  </w:pPr>
                  <w:r w:rsidRPr="006A766E">
                    <w:rPr>
                      <w:lang w:val="en-US"/>
                    </w:rPr>
                    <w:t xml:space="preserve">Azri,K, &amp; Brahamia,B. (2023). Impact of the epidemiological transition on health insurance spending in Algeria. </w:t>
                  </w:r>
                  <w:r>
                    <w:t>Forum d 'études et de recherches économiques, 600 - 617.</w:t>
                  </w:r>
                </w:p>
                <w:p w:rsidR="001650BE" w:rsidRPr="006A766E" w:rsidRDefault="001650BE" w:rsidP="001650BE">
                  <w:pPr>
                    <w:pStyle w:val="P68B1DB1-Bibliographie23"/>
                    <w:jc w:val="both"/>
                    <w:rPr>
                      <w:lang w:val="en-US"/>
                    </w:rPr>
                  </w:pPr>
                  <w:r>
                    <w:t xml:space="preserve">Belyagou,Y , &amp; Benabdallah,H. (2024). </w:t>
                  </w:r>
                  <w:r w:rsidRPr="006A766E">
                    <w:rPr>
                      <w:lang w:val="en-US"/>
                    </w:rPr>
                    <w:t>Successful models of the universalization of Health Coverage and the case of Morocco. Management Control, Auditing and Finance Review (MCAFR)</w:t>
                  </w:r>
                </w:p>
                <w:p w:rsidR="001650BE" w:rsidRPr="006A766E" w:rsidRDefault="001650BE" w:rsidP="001650BE">
                  <w:pPr>
                    <w:pStyle w:val="P68B1DB1-Bibliographie23"/>
                    <w:jc w:val="both"/>
                    <w:rPr>
                      <w:lang w:val="en-US"/>
                    </w:rPr>
                  </w:pPr>
                  <w:r w:rsidRPr="006A766E">
                    <w:rPr>
                      <w:lang w:val="en-US"/>
                    </w:rPr>
                    <w:t>Brahamia, B. (2008). What alternative financing of health insurance in the health transition in Algeria. Paper presented during the seminar for the financing of health insurance. Algiers.</w:t>
                  </w:r>
                </w:p>
                <w:p w:rsidR="001650BE" w:rsidRPr="006A766E" w:rsidRDefault="001650BE" w:rsidP="001650BE">
                  <w:pPr>
                    <w:pStyle w:val="P68B1DB1-Bibliographie23"/>
                    <w:jc w:val="both"/>
                    <w:rPr>
                      <w:lang w:val="en-US"/>
                    </w:rPr>
                  </w:pPr>
                  <w:r w:rsidRPr="006A766E">
                    <w:rPr>
                      <w:lang w:val="en-US"/>
                    </w:rPr>
                    <w:t>Brahamia,B. (2010a). Health economics, developments and trends in health systems OECD - Eastern Europe-Maghreb. Algiers: Bahaeddine Editions.</w:t>
                  </w:r>
                </w:p>
                <w:p w:rsidR="001650BE" w:rsidRPr="006A766E" w:rsidRDefault="001650BE" w:rsidP="001650BE">
                  <w:pPr>
                    <w:pStyle w:val="P68B1DB1-Bibliographie23"/>
                    <w:jc w:val="both"/>
                    <w:rPr>
                      <w:lang w:val="en-US"/>
                    </w:rPr>
                  </w:pPr>
                  <w:r w:rsidRPr="006A766E">
                    <w:rPr>
                      <w:lang w:val="en-US"/>
                    </w:rPr>
                    <w:t>CLEISS. (2025). Centre for European and International Social Security Liaison. Retrieved from http://www.cleiss.fr: https://www.cleiss.fr/docs/cotisations/algerie.html</w:t>
                  </w:r>
                </w:p>
                <w:p w:rsidR="001650BE" w:rsidRPr="006A766E" w:rsidRDefault="001650BE" w:rsidP="001650BE">
                  <w:pPr>
                    <w:pStyle w:val="P68B1DB1-Bibliographie23"/>
                    <w:jc w:val="both"/>
                    <w:rPr>
                      <w:lang w:val="en-US"/>
                    </w:rPr>
                  </w:pPr>
                  <w:r w:rsidRPr="006A766E">
                    <w:rPr>
                      <w:lang w:val="en-US"/>
                    </w:rPr>
                    <w:t>2001 – Jun. The evolution of social protection systems as well as the prospects, conditions and modalities for ensuring their financial balance. 18th Plenary Session, p. 75.</w:t>
                  </w:r>
                </w:p>
                <w:p w:rsidR="001650BE" w:rsidRPr="006A766E" w:rsidRDefault="001650BE" w:rsidP="001650BE">
                  <w:pPr>
                    <w:pStyle w:val="P68B1DB1-Bibliographie23"/>
                    <w:jc w:val="both"/>
                    <w:rPr>
                      <w:lang w:val="en-US"/>
                    </w:rPr>
                  </w:pPr>
                  <w:r w:rsidRPr="006A766E">
                    <w:rPr>
                      <w:lang w:val="en-US"/>
                    </w:rPr>
                    <w:t>Creswell, J. W, Plano Clark, &amp; V. L. (2017). Designing and conducting mixed methods research (3rd ed.). Sage Publications.</w:t>
                  </w:r>
                </w:p>
                <w:p w:rsidR="001650BE" w:rsidRPr="006A766E" w:rsidRDefault="001650BE" w:rsidP="001650BE">
                  <w:pPr>
                    <w:pStyle w:val="P68B1DB1-Bibliographie23"/>
                    <w:jc w:val="both"/>
                    <w:rPr>
                      <w:lang w:val="en-US"/>
                    </w:rPr>
                  </w:pPr>
                  <w:r w:rsidRPr="006A766E">
                    <w:rPr>
                      <w:lang w:val="en-US"/>
                    </w:rPr>
                    <w:t>Errabih, S. (2024). Law 06-22: A step towards universal health coverage in Morocco, or a difficult dream to achieve? . Moroccan Journal of Accounting, Finance and Management, 2(1).</w:t>
                  </w:r>
                </w:p>
                <w:p w:rsidR="001650BE" w:rsidRPr="006A766E" w:rsidRDefault="001650BE" w:rsidP="001650BE">
                  <w:pPr>
                    <w:pStyle w:val="P68B1DB1-Bibliographie23"/>
                    <w:jc w:val="both"/>
                    <w:rPr>
                      <w:lang w:val="en-US"/>
                    </w:rPr>
                  </w:pPr>
                  <w:r w:rsidRPr="006A766E">
                    <w:rPr>
                      <w:lang w:val="en-US"/>
                    </w:rPr>
                    <w:t>Hall, P. A, &amp; Taylor, R. C. R. (1997). Political science and the three neo-institutionalisms. Revue Française de Science Politique, pp. 47(3-4), 469-496.</w:t>
                  </w:r>
                </w:p>
                <w:p w:rsidR="001650BE" w:rsidRPr="006A766E" w:rsidRDefault="001650BE" w:rsidP="001650BE">
                  <w:pPr>
                    <w:pStyle w:val="P68B1DB1-Bibliographie23"/>
                    <w:jc w:val="both"/>
                    <w:rPr>
                      <w:lang w:val="en-US"/>
                    </w:rPr>
                  </w:pPr>
                  <w:r w:rsidRPr="006A766E">
                    <w:rPr>
                      <w:lang w:val="en-US"/>
                    </w:rPr>
                    <w:t>Heikel, J. (2020). Assessment of the effects of universal health coverage (UHC) on the effective use of health services in Morocco. Retrieved from https://shs.hal.science.fr: https://shs.hal.science/tel-03357656/</w:t>
                  </w:r>
                </w:p>
                <w:p w:rsidR="001650BE" w:rsidRPr="006A766E" w:rsidRDefault="001650BE" w:rsidP="001650BE">
                  <w:pPr>
                    <w:pStyle w:val="P68B1DB1-Bibliographie23"/>
                    <w:jc w:val="both"/>
                    <w:rPr>
                      <w:lang w:val="en-US"/>
                    </w:rPr>
                  </w:pPr>
                  <w:r w:rsidRPr="006A766E">
                    <w:rPr>
                      <w:lang w:val="en-US"/>
                    </w:rPr>
                    <w:t>Kara Terki, A. (2010). The regulation of supply in the new public care system ". PhD thesis in Economics. Economics: University of Tlemcen.</w:t>
                  </w:r>
                </w:p>
                <w:p w:rsidR="001650BE" w:rsidRPr="006A766E" w:rsidRDefault="001650BE" w:rsidP="001650BE">
                  <w:pPr>
                    <w:pStyle w:val="P68B1DB1-Bibliographie23"/>
                    <w:jc w:val="both"/>
                    <w:rPr>
                      <w:lang w:val="en-US"/>
                    </w:rPr>
                  </w:pPr>
                  <w:r w:rsidRPr="006A766E">
                    <w:rPr>
                      <w:lang w:val="en-US"/>
                    </w:rPr>
                    <w:t>KASSA (2009). Test analysis of health insurance expenses in Algeria. Magister's dissertation in economics. Economics, Algeria: University of Bejaia.</w:t>
                  </w:r>
                </w:p>
                <w:p w:rsidR="001650BE" w:rsidRPr="006A766E" w:rsidRDefault="001650BE" w:rsidP="001650BE">
                  <w:pPr>
                    <w:pStyle w:val="P68B1DB1-Bibliographie23"/>
                    <w:jc w:val="both"/>
                    <w:rPr>
                      <w:lang w:val="en-US"/>
                    </w:rPr>
                  </w:pPr>
                  <w:r w:rsidRPr="006A766E">
                    <w:rPr>
                      <w:lang w:val="en-US"/>
                    </w:rPr>
                    <w:t xml:space="preserve">Kutzin, J. (2013). Health financing for universal coverage and health system performance: Concepts and implications for policy. Bulletin of the World Health Organization. </w:t>
                  </w:r>
                </w:p>
                <w:p w:rsidR="001650BE" w:rsidRPr="003D44B2" w:rsidRDefault="001650BE" w:rsidP="001650BE">
                  <w:pPr>
                    <w:pStyle w:val="P68B1DB1-Bibliographie23"/>
                    <w:jc w:val="both"/>
                    <w:rPr>
                      <w:lang w:val="en-US"/>
                    </w:rPr>
                  </w:pPr>
                  <w:r w:rsidRPr="006A766E">
                    <w:rPr>
                      <w:lang w:val="en-US"/>
                    </w:rPr>
                    <w:t xml:space="preserve">Lamri, L. (2004). </w:t>
                  </w:r>
                  <w:r w:rsidRPr="00697916">
                    <w:rPr>
                      <w:lang w:val="en-US"/>
                    </w:rPr>
                    <w:t xml:space="preserve">The social security system in Algeria, an economic approach. </w:t>
                  </w:r>
                  <w:r w:rsidRPr="003D44B2">
                    <w:rPr>
                      <w:lang w:val="en-US"/>
                    </w:rPr>
                    <w:t>University Publications Office.</w:t>
                  </w:r>
                </w:p>
                <w:p w:rsidR="001650BE" w:rsidRPr="006A766E" w:rsidRDefault="001650BE" w:rsidP="001650BE">
                  <w:pPr>
                    <w:pStyle w:val="P68B1DB1-Bibliographie23"/>
                    <w:jc w:val="both"/>
                    <w:rPr>
                      <w:lang w:val="en-US"/>
                    </w:rPr>
                  </w:pPr>
                  <w:r w:rsidRPr="006A766E">
                    <w:rPr>
                      <w:lang w:val="en-US"/>
                    </w:rPr>
                    <w:lastRenderedPageBreak/>
                    <w:t>Lamri, L. (2014). Evolution of the Algerian health system since independence: assessment and prospects. Algerian Journal of Social Sciences, 8(2), 112-128.</w:t>
                  </w:r>
                </w:p>
                <w:p w:rsidR="001650BE" w:rsidRPr="006A766E" w:rsidRDefault="001650BE" w:rsidP="001650BE">
                  <w:pPr>
                    <w:pStyle w:val="P68B1DB1-Bibliographie23"/>
                    <w:jc w:val="both"/>
                    <w:rPr>
                      <w:lang w:val="en-US"/>
                    </w:rPr>
                  </w:pPr>
                  <w:r w:rsidRPr="006A766E">
                    <w:rPr>
                      <w:lang w:val="en-US"/>
                    </w:rPr>
                    <w:t>Lamri,L. (2001). Monograph of health insur</w:t>
                  </w:r>
                  <w:r>
                    <w:rPr>
                      <w:lang w:val="en-US"/>
                    </w:rPr>
                    <w:t>ance in Algeria. RESSMA seminar</w:t>
                  </w:r>
                  <w:r w:rsidRPr="006A766E">
                    <w:rPr>
                      <w:lang w:val="en-US"/>
                    </w:rPr>
                    <w:t>. Tunis, Hammamet.</w:t>
                  </w:r>
                </w:p>
                <w:p w:rsidR="001650BE" w:rsidRPr="006A766E" w:rsidRDefault="001650BE" w:rsidP="001650BE">
                  <w:pPr>
                    <w:pStyle w:val="P68B1DB1-Bibliographie23"/>
                    <w:jc w:val="both"/>
                    <w:rPr>
                      <w:lang w:val="en-US"/>
                    </w:rPr>
                  </w:pPr>
                  <w:r w:rsidRPr="006A766E">
                    <w:rPr>
                      <w:lang w:val="en-US"/>
                    </w:rPr>
                    <w:t>Lijphart, A. (1971). Comparative politics and the comparative method. American Political Science Review, 65(3), 682-693.</w:t>
                  </w:r>
                </w:p>
                <w:p w:rsidR="001650BE" w:rsidRPr="006A766E" w:rsidRDefault="001650BE" w:rsidP="001650BE">
                  <w:pPr>
                    <w:pStyle w:val="P68B1DB1-Bibliographie23"/>
                    <w:jc w:val="both"/>
                    <w:rPr>
                      <w:lang w:val="en-US"/>
                    </w:rPr>
                  </w:pPr>
                  <w:r w:rsidRPr="006A766E">
                    <w:rPr>
                      <w:lang w:val="en-US"/>
                    </w:rPr>
                    <w:t>Mechergui,N, Bahri,G, Youssef,I, Ben Rhouma,N, Youssfi,I, &amp; Ladhari,N. (2022). Compensated occupational diseases in the Tunisian public sector. Tunisia Medical, pp. 603-609.</w:t>
                  </w:r>
                </w:p>
                <w:p w:rsidR="001650BE" w:rsidRPr="006A766E" w:rsidRDefault="001650BE" w:rsidP="001650BE">
                  <w:pPr>
                    <w:pStyle w:val="P68B1DB1-Bibliographie23"/>
                    <w:jc w:val="both"/>
                    <w:rPr>
                      <w:lang w:val="en-US"/>
                    </w:rPr>
                  </w:pPr>
                  <w:r w:rsidRPr="006A766E">
                    <w:rPr>
                      <w:lang w:val="en-US"/>
                    </w:rPr>
                    <w:t>MENDIL,D. (2020). Analysis of the effectiveness of social protection programmes in Algeria: Achievements and Challenges. Professor, university of Bejaia (algeria)</w:t>
                  </w:r>
                </w:p>
                <w:p w:rsidR="001650BE" w:rsidRPr="006A766E" w:rsidRDefault="001650BE" w:rsidP="001650BE">
                  <w:pPr>
                    <w:pStyle w:val="P68B1DB1-Bibliographie23"/>
                    <w:jc w:val="both"/>
                    <w:rPr>
                      <w:lang w:val="en-US"/>
                    </w:rPr>
                  </w:pPr>
                  <w:r w:rsidRPr="006A766E">
                    <w:rPr>
                      <w:lang w:val="en-US"/>
                    </w:rPr>
                    <w:t>Merouani ,W, El Moudden ,C, &amp; Hammoudi,N. (2014). The Algerian system of social protection: between Bismarckian and Beveridgian. The CREAD notebooks.</w:t>
                  </w:r>
                </w:p>
                <w:p w:rsidR="001650BE" w:rsidRPr="006A766E" w:rsidRDefault="001650BE" w:rsidP="001650BE">
                  <w:pPr>
                    <w:pStyle w:val="P68B1DB1-Bibliographie23"/>
                    <w:jc w:val="both"/>
                    <w:rPr>
                      <w:lang w:val="en-US"/>
                    </w:rPr>
                  </w:pPr>
                  <w:r w:rsidRPr="006A766E">
                    <w:rPr>
                      <w:lang w:val="en-US"/>
                    </w:rPr>
                    <w:t>Ministers, S. d. (2021, June). Economic recovery plan 2020-2024. Republic of Algeria US$ 50,000,000.00</w:t>
                  </w:r>
                </w:p>
                <w:p w:rsidR="001650BE" w:rsidRPr="001650BE" w:rsidRDefault="001650BE" w:rsidP="001650BE">
                  <w:pPr>
                    <w:pStyle w:val="P68B1DB1-Bibliographie23"/>
                    <w:jc w:val="both"/>
                    <w:rPr>
                      <w:lang w:val="en-US"/>
                    </w:rPr>
                  </w:pPr>
                  <w:r w:rsidRPr="006A766E">
                    <w:rPr>
                      <w:lang w:val="en-US"/>
                    </w:rPr>
                    <w:t xml:space="preserve">Missaoui,A, Mezlini,I, &amp; Meddeb,Y. (2025). Tunisians support universal access to care and point to persistent challenges. </w:t>
                  </w:r>
                  <w:r w:rsidRPr="001650BE">
                    <w:rPr>
                      <w:lang w:val="en-US"/>
                    </w:rPr>
                    <w:t>Dispatch 1-17.</w:t>
                  </w:r>
                </w:p>
                <w:p w:rsidR="001650BE" w:rsidRDefault="001650BE" w:rsidP="001650BE">
                  <w:pPr>
                    <w:pStyle w:val="P68B1DB1-Bibliographie23"/>
                    <w:jc w:val="both"/>
                    <w:rPr>
                      <w:lang w:val="en-US"/>
                    </w:rPr>
                  </w:pPr>
                  <w:r w:rsidRPr="003D44B2">
                    <w:rPr>
                      <w:lang w:val="en-US"/>
                    </w:rPr>
                    <w:t xml:space="preserve">ONS (2016). National Office of Statistics. (2016b). </w:t>
                  </w:r>
                  <w:r w:rsidRPr="003D44B2">
                    <w:rPr>
                      <w:i/>
                      <w:iCs/>
                      <w:lang w:val="en-US"/>
                    </w:rPr>
                    <w:t>Algeria in Figures: Results 2013–2015</w:t>
                  </w:r>
                  <w:r w:rsidRPr="003D44B2">
                    <w:rPr>
                      <w:lang w:val="en-US"/>
                    </w:rPr>
                    <w:t>, No. 46, 2016 Edition.</w:t>
                  </w:r>
                </w:p>
                <w:p w:rsidR="001650BE" w:rsidRPr="006A766E" w:rsidRDefault="001650BE" w:rsidP="001650BE">
                  <w:pPr>
                    <w:pStyle w:val="P68B1DB1-Bibliographie23"/>
                    <w:jc w:val="both"/>
                    <w:rPr>
                      <w:lang w:val="en-US"/>
                    </w:rPr>
                  </w:pPr>
                  <w:r w:rsidRPr="006A766E">
                    <w:rPr>
                      <w:lang w:val="en-US"/>
                    </w:rPr>
                    <w:t xml:space="preserve">ONS (2017).  National Statistical Office (NSO) THE UCA IN A KEY FIGURES Results: 2014-2016 ", No.47, edition: 2017. </w:t>
                  </w:r>
                </w:p>
                <w:p w:rsidR="001650BE" w:rsidRPr="006A766E" w:rsidRDefault="001650BE" w:rsidP="001650BE">
                  <w:pPr>
                    <w:pStyle w:val="P68B1DB1-Bibliographie23"/>
                    <w:jc w:val="both"/>
                    <w:rPr>
                      <w:lang w:val="en-US"/>
                    </w:rPr>
                  </w:pPr>
                  <w:r w:rsidRPr="006A766E">
                    <w:rPr>
                      <w:lang w:val="en-US"/>
                    </w:rPr>
                    <w:t xml:space="preserve">ONS (2018).  National Statistical Office (NSO) THE UCA IN A KEY FIGURES Results: 2015- 2017 ", No.48, edition: 2018. </w:t>
                  </w:r>
                </w:p>
                <w:p w:rsidR="001650BE" w:rsidRPr="006A766E" w:rsidRDefault="001650BE" w:rsidP="001650BE">
                  <w:pPr>
                    <w:pStyle w:val="P68B1DB1-Bibliographie23"/>
                    <w:jc w:val="both"/>
                    <w:rPr>
                      <w:lang w:val="en-US"/>
                    </w:rPr>
                  </w:pPr>
                  <w:r w:rsidRPr="006A766E">
                    <w:rPr>
                      <w:lang w:val="en-US"/>
                    </w:rPr>
                    <w:t>Ouadah, S., &amp; Madani, H. (2025). THE ALGERIAN HEALTH SYSTEM: BETWEEN THE UNIVERSALITY OF CARE AND COST CONTROL. Journal of Economics and Applied Statistics, 195-209.</w:t>
                  </w:r>
                </w:p>
                <w:p w:rsidR="001650BE" w:rsidRPr="006A766E" w:rsidRDefault="001650BE" w:rsidP="001650BE">
                  <w:pPr>
                    <w:pStyle w:val="P68B1DB1-Bibliographie23"/>
                    <w:jc w:val="both"/>
                    <w:rPr>
                      <w:lang w:val="en-US"/>
                    </w:rPr>
                  </w:pPr>
                  <w:r w:rsidRPr="006A766E">
                    <w:rPr>
                      <w:lang w:val="en-US"/>
                    </w:rPr>
                    <w:t>Reich, M. R, Harris, J , Ikegami, N, Maeda, A, Cashin,C, &amp; Arauho,E.C. (2016). Moving towards universal health coverage: Lessons from 11 country studies. The Lancet, pp. 387(10020), 811-816.</w:t>
                  </w:r>
                </w:p>
                <w:p w:rsidR="001650BE" w:rsidRPr="006A766E" w:rsidRDefault="001650BE" w:rsidP="001650BE">
                  <w:pPr>
                    <w:pStyle w:val="P68B1DB1-Bibliographie23"/>
                    <w:jc w:val="both"/>
                    <w:rPr>
                      <w:lang w:val="en-US"/>
                    </w:rPr>
                  </w:pPr>
                  <w:r w:rsidRPr="006A766E">
                    <w:rPr>
                      <w:lang w:val="en-US"/>
                    </w:rPr>
                    <w:t>Savedoff, W. D, de Ferranti, D, Smith, A. L, &amp; Fan,V. (2012). Political and economic aspects of the transition to universal health coverage. The Lancet, pp. 380(9845), 924-932.</w:t>
                  </w:r>
                </w:p>
                <w:p w:rsidR="001650BE" w:rsidRPr="006A766E" w:rsidRDefault="001650BE" w:rsidP="001650BE">
                  <w:pPr>
                    <w:pStyle w:val="P68B1DB1-Bibliographie23"/>
                    <w:jc w:val="both"/>
                    <w:rPr>
                      <w:lang w:val="en-US"/>
                    </w:rPr>
                  </w:pPr>
                  <w:r w:rsidRPr="006A766E">
                    <w:rPr>
                      <w:lang w:val="en-US"/>
                    </w:rPr>
                    <w:t>Snoussi, Z. (2017). False Responses to Increasing Drug Reimbursement Expenditures in Algeria ", In Recent Developments in the Algerian Health System. CREAD.</w:t>
                  </w:r>
                </w:p>
                <w:p w:rsidR="001650BE" w:rsidRPr="006A766E" w:rsidRDefault="001650BE" w:rsidP="001650BE">
                  <w:pPr>
                    <w:pStyle w:val="P68B1DB1-Bibliographie23"/>
                    <w:jc w:val="both"/>
                    <w:rPr>
                      <w:lang w:val="en-US"/>
                    </w:rPr>
                  </w:pPr>
                  <w:r w:rsidRPr="006A766E">
                    <w:rPr>
                      <w:lang w:val="en-US"/>
                    </w:rPr>
                    <w:t>WHO. (2019). Universal Health Coverage (UHC). Retrieved from https://www.who.int: https://www.who.int/news-room/fact-sheets/detail/universal-health-coverage-(uhc)</w:t>
                  </w:r>
                </w:p>
                <w:p w:rsidR="001650BE" w:rsidRPr="006A766E" w:rsidRDefault="001650BE" w:rsidP="001650BE">
                  <w:pPr>
                    <w:pStyle w:val="P68B1DB1-Bibliographie23"/>
                    <w:jc w:val="both"/>
                    <w:rPr>
                      <w:lang w:val="en-US"/>
                    </w:rPr>
                  </w:pPr>
                  <w:r>
                    <w:lastRenderedPageBreak/>
                    <w:t xml:space="preserve">Zehnati, A. (2008, March). La crise du système de financement de la santé en Algérie", Poitiers, 26-28. </w:t>
                  </w:r>
                  <w:r w:rsidRPr="006A766E">
                    <w:rPr>
                      <w:lang w:val="en-US"/>
                    </w:rPr>
                    <w:t>Paper presented at the International Symposium: Services, Innovation and Sustainable Development. Poitiers</w:t>
                  </w:r>
                </w:p>
                <w:p w:rsidR="001650BE" w:rsidRPr="006A766E" w:rsidRDefault="001650BE" w:rsidP="001650BE">
                  <w:pPr>
                    <w:pStyle w:val="P68B1DB1-Bibliographie23"/>
                    <w:jc w:val="both"/>
                    <w:rPr>
                      <w:lang w:val="en-US"/>
                    </w:rPr>
                  </w:pPr>
                  <w:r w:rsidRPr="006A766E">
                    <w:rPr>
                      <w:lang w:val="en-US"/>
                    </w:rPr>
                    <w:t>Ziani,L. (2020). Analysis of the performance of social health insurance schemes in the Maghreb. Industrial Economics Review, pp. 402-420.</w:t>
                  </w:r>
                </w:p>
                <w:p w:rsidR="001650BE" w:rsidRPr="006A766E" w:rsidRDefault="001650BE" w:rsidP="001650BE">
                  <w:pPr>
                    <w:pStyle w:val="P68B1DB1-Bibliographie23"/>
                    <w:jc w:val="both"/>
                    <w:rPr>
                      <w:lang w:val="en-US"/>
                    </w:rPr>
                  </w:pPr>
                  <w:r w:rsidRPr="006A766E">
                    <w:rPr>
                      <w:lang w:val="en-US"/>
                    </w:rPr>
                    <w:t>Ziani,L, &amp; Ziani,F. (2022). Econometric study of the determinants of the degree of development of social health insurance in Algeria: ARDL model approach for the period (1980–2019). pp. 321-337.</w:t>
                  </w:r>
                </w:p>
                <w:p w:rsidR="001650BE" w:rsidRDefault="00783D0B" w:rsidP="001650BE">
                  <w:pPr>
                    <w:pStyle w:val="Bibliography"/>
                    <w:jc w:val="both"/>
                    <w:rPr>
                      <w:rFonts w:asciiTheme="majorBidi" w:hAnsiTheme="majorBidi" w:cstheme="majorBidi"/>
                      <w:sz w:val="24"/>
                    </w:rPr>
                  </w:pPr>
                </w:p>
              </w:sdtContent>
            </w:sdt>
            <w:p w:rsidR="001650BE" w:rsidRDefault="001650BE" w:rsidP="001650BE">
              <w:pPr>
                <w:pStyle w:val="Bibliography"/>
                <w:ind w:left="720" w:hanging="720"/>
                <w:rPr>
                  <w:b/>
                </w:rPr>
              </w:pPr>
            </w:p>
            <w:p w:rsidR="001650BE" w:rsidRDefault="001650BE" w:rsidP="001650BE">
              <w:pPr>
                <w:pStyle w:val="Bibliography"/>
                <w:ind w:left="720" w:hanging="720"/>
              </w:pPr>
            </w:p>
            <w:p w:rsidR="001650BE" w:rsidRDefault="00783D0B" w:rsidP="006B13F9">
              <w:pPr>
                <w:pStyle w:val="Bibliography"/>
                <w:ind w:left="720" w:hanging="720"/>
              </w:pPr>
            </w:p>
          </w:sdtContent>
        </w:sdt>
      </w:sdtContent>
    </w:sdt>
    <w:sectPr w:rsidR="001650BE">
      <w:footerReference w:type="default" r:id="rId17"/>
      <w:pgSz w:w="11910" w:h="16850"/>
      <w:pgMar w:top="940" w:right="992" w:bottom="1260" w:left="1417" w:header="252" w:footer="10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D0B" w:rsidRDefault="00783D0B">
      <w:pPr>
        <w:spacing w:after="0" w:line="240" w:lineRule="auto"/>
      </w:pPr>
      <w:r>
        <w:separator/>
      </w:r>
    </w:p>
  </w:endnote>
  <w:endnote w:type="continuationSeparator" w:id="0">
    <w:p w:rsidR="00783D0B" w:rsidRDefault="00783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F9" w:rsidRDefault="006B13F9">
    <w:pPr>
      <w:pStyle w:val="Footer"/>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880163">
      <w:rPr>
        <w:caps/>
        <w:noProof/>
        <w:color w:val="4F81BD" w:themeColor="accent1"/>
      </w:rPr>
      <w:t>1</w:t>
    </w:r>
    <w:r>
      <w:rPr>
        <w:caps/>
        <w:color w:val="4F81BD" w:themeColor="accent1"/>
      </w:rPr>
      <w:fldChar w:fldCharType="end"/>
    </w:r>
  </w:p>
  <w:p w:rsidR="009C496D" w:rsidRDefault="009C4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D0B" w:rsidRDefault="00783D0B">
      <w:pPr>
        <w:spacing w:after="0" w:line="240" w:lineRule="auto"/>
      </w:pPr>
      <w:r>
        <w:separator/>
      </w:r>
    </w:p>
  </w:footnote>
  <w:footnote w:type="continuationSeparator" w:id="0">
    <w:p w:rsidR="00783D0B" w:rsidRDefault="00783D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8.25pt;height:13.5pt;visibility:visible;mso-wrap-style:square" o:bullet="t">
        <v:imagedata r:id="rId1" o:title=""/>
        <o:lock v:ext="edit" aspectratio="f"/>
      </v:shape>
    </w:pict>
  </w:numPicBullet>
  <w:abstractNum w:abstractNumId="0">
    <w:nsid w:val="06CF710A"/>
    <w:multiLevelType w:val="hybridMultilevel"/>
    <w:tmpl w:val="9A1EFAC4"/>
    <w:lvl w:ilvl="0" w:tplc="D32020D4">
      <w:numFmt w:val="bullet"/>
      <w:lvlText w:val=""/>
      <w:lvlJc w:val="left"/>
      <w:pPr>
        <w:ind w:left="721" w:hanging="360"/>
      </w:pPr>
      <w:rPr>
        <w:rFonts w:ascii="Symbol" w:eastAsia="Symbol" w:hAnsi="Symbol" w:cs="Symbol" w:hint="default"/>
        <w:b w:val="0"/>
        <w:bCs w:val="0"/>
        <w:i w:val="0"/>
        <w:iCs w:val="0"/>
        <w:spacing w:val="0"/>
        <w:w w:val="99"/>
        <w:sz w:val="26"/>
        <w:szCs w:val="26"/>
        <w:lang w:val="fr-FR" w:eastAsia="en-US" w:bidi="ar-SA"/>
      </w:rPr>
    </w:lvl>
    <w:lvl w:ilvl="1" w:tplc="C7405CF0">
      <w:numFmt w:val="bullet"/>
      <w:lvlText w:val="•"/>
      <w:lvlJc w:val="left"/>
      <w:pPr>
        <w:ind w:left="1597" w:hanging="360"/>
      </w:pPr>
      <w:rPr>
        <w:rFonts w:hint="default"/>
        <w:lang w:val="fr-FR" w:eastAsia="en-US" w:bidi="ar-SA"/>
      </w:rPr>
    </w:lvl>
    <w:lvl w:ilvl="2" w:tplc="C3481CB6">
      <w:numFmt w:val="bullet"/>
      <w:lvlText w:val="•"/>
      <w:lvlJc w:val="left"/>
      <w:pPr>
        <w:ind w:left="2475" w:hanging="360"/>
      </w:pPr>
      <w:rPr>
        <w:rFonts w:hint="default"/>
        <w:lang w:val="fr-FR" w:eastAsia="en-US" w:bidi="ar-SA"/>
      </w:rPr>
    </w:lvl>
    <w:lvl w:ilvl="3" w:tplc="B79A450A">
      <w:numFmt w:val="bullet"/>
      <w:lvlText w:val="•"/>
      <w:lvlJc w:val="left"/>
      <w:pPr>
        <w:ind w:left="3353" w:hanging="360"/>
      </w:pPr>
      <w:rPr>
        <w:rFonts w:hint="default"/>
        <w:lang w:val="fr-FR" w:eastAsia="en-US" w:bidi="ar-SA"/>
      </w:rPr>
    </w:lvl>
    <w:lvl w:ilvl="4" w:tplc="E368A1BE">
      <w:numFmt w:val="bullet"/>
      <w:lvlText w:val="•"/>
      <w:lvlJc w:val="left"/>
      <w:pPr>
        <w:ind w:left="4230" w:hanging="360"/>
      </w:pPr>
      <w:rPr>
        <w:rFonts w:hint="default"/>
        <w:lang w:val="fr-FR" w:eastAsia="en-US" w:bidi="ar-SA"/>
      </w:rPr>
    </w:lvl>
    <w:lvl w:ilvl="5" w:tplc="75164AF4">
      <w:numFmt w:val="bullet"/>
      <w:lvlText w:val="•"/>
      <w:lvlJc w:val="left"/>
      <w:pPr>
        <w:ind w:left="5108" w:hanging="360"/>
      </w:pPr>
      <w:rPr>
        <w:rFonts w:hint="default"/>
        <w:lang w:val="fr-FR" w:eastAsia="en-US" w:bidi="ar-SA"/>
      </w:rPr>
    </w:lvl>
    <w:lvl w:ilvl="6" w:tplc="C96CCDE2">
      <w:numFmt w:val="bullet"/>
      <w:lvlText w:val="•"/>
      <w:lvlJc w:val="left"/>
      <w:pPr>
        <w:ind w:left="5986" w:hanging="360"/>
      </w:pPr>
      <w:rPr>
        <w:rFonts w:hint="default"/>
        <w:lang w:val="fr-FR" w:eastAsia="en-US" w:bidi="ar-SA"/>
      </w:rPr>
    </w:lvl>
    <w:lvl w:ilvl="7" w:tplc="1624D4A2">
      <w:numFmt w:val="bullet"/>
      <w:lvlText w:val="•"/>
      <w:lvlJc w:val="left"/>
      <w:pPr>
        <w:ind w:left="6864" w:hanging="360"/>
      </w:pPr>
      <w:rPr>
        <w:rFonts w:hint="default"/>
        <w:lang w:val="fr-FR" w:eastAsia="en-US" w:bidi="ar-SA"/>
      </w:rPr>
    </w:lvl>
    <w:lvl w:ilvl="8" w:tplc="CFEC446A">
      <w:numFmt w:val="bullet"/>
      <w:lvlText w:val="•"/>
      <w:lvlJc w:val="left"/>
      <w:pPr>
        <w:ind w:left="7741" w:hanging="360"/>
      </w:pPr>
      <w:rPr>
        <w:rFonts w:hint="default"/>
        <w:lang w:val="fr-FR" w:eastAsia="en-US" w:bidi="ar-SA"/>
      </w:rPr>
    </w:lvl>
  </w:abstractNum>
  <w:abstractNum w:abstractNumId="1">
    <w:nsid w:val="0C554C0F"/>
    <w:multiLevelType w:val="hybridMultilevel"/>
    <w:tmpl w:val="21CC04A8"/>
    <w:lvl w:ilvl="0" w:tplc="1CE2823C">
      <w:numFmt w:val="bullet"/>
      <w:lvlText w:val="-"/>
      <w:lvlJc w:val="left"/>
      <w:pPr>
        <w:ind w:left="721" w:hanging="360"/>
      </w:pPr>
      <w:rPr>
        <w:rFonts w:ascii="Calibri" w:eastAsia="Calibri" w:hAnsi="Calibri" w:cs="Calibri" w:hint="default"/>
        <w:b w:val="0"/>
        <w:bCs w:val="0"/>
        <w:i w:val="0"/>
        <w:iCs w:val="0"/>
        <w:spacing w:val="0"/>
        <w:w w:val="100"/>
        <w:sz w:val="24"/>
        <w:szCs w:val="24"/>
        <w:lang w:val="fr-FR" w:eastAsia="en-US" w:bidi="ar-SA"/>
      </w:rPr>
    </w:lvl>
    <w:lvl w:ilvl="1" w:tplc="C9484B08">
      <w:numFmt w:val="bullet"/>
      <w:lvlText w:val="•"/>
      <w:lvlJc w:val="left"/>
      <w:pPr>
        <w:ind w:left="1597" w:hanging="360"/>
      </w:pPr>
      <w:rPr>
        <w:rFonts w:hint="default"/>
        <w:lang w:val="fr-FR" w:eastAsia="en-US" w:bidi="ar-SA"/>
      </w:rPr>
    </w:lvl>
    <w:lvl w:ilvl="2" w:tplc="04245638">
      <w:numFmt w:val="bullet"/>
      <w:lvlText w:val="•"/>
      <w:lvlJc w:val="left"/>
      <w:pPr>
        <w:ind w:left="2475" w:hanging="360"/>
      </w:pPr>
      <w:rPr>
        <w:rFonts w:hint="default"/>
        <w:lang w:val="fr-FR" w:eastAsia="en-US" w:bidi="ar-SA"/>
      </w:rPr>
    </w:lvl>
    <w:lvl w:ilvl="3" w:tplc="36920364">
      <w:numFmt w:val="bullet"/>
      <w:lvlText w:val="•"/>
      <w:lvlJc w:val="left"/>
      <w:pPr>
        <w:ind w:left="3353" w:hanging="360"/>
      </w:pPr>
      <w:rPr>
        <w:rFonts w:hint="default"/>
        <w:lang w:val="fr-FR" w:eastAsia="en-US" w:bidi="ar-SA"/>
      </w:rPr>
    </w:lvl>
    <w:lvl w:ilvl="4" w:tplc="84F2C0DA">
      <w:numFmt w:val="bullet"/>
      <w:lvlText w:val="•"/>
      <w:lvlJc w:val="left"/>
      <w:pPr>
        <w:ind w:left="4230" w:hanging="360"/>
      </w:pPr>
      <w:rPr>
        <w:rFonts w:hint="default"/>
        <w:lang w:val="fr-FR" w:eastAsia="en-US" w:bidi="ar-SA"/>
      </w:rPr>
    </w:lvl>
    <w:lvl w:ilvl="5" w:tplc="1D5A537A">
      <w:numFmt w:val="bullet"/>
      <w:lvlText w:val="•"/>
      <w:lvlJc w:val="left"/>
      <w:pPr>
        <w:ind w:left="5108" w:hanging="360"/>
      </w:pPr>
      <w:rPr>
        <w:rFonts w:hint="default"/>
        <w:lang w:val="fr-FR" w:eastAsia="en-US" w:bidi="ar-SA"/>
      </w:rPr>
    </w:lvl>
    <w:lvl w:ilvl="6" w:tplc="E8942766">
      <w:numFmt w:val="bullet"/>
      <w:lvlText w:val="•"/>
      <w:lvlJc w:val="left"/>
      <w:pPr>
        <w:ind w:left="5986" w:hanging="360"/>
      </w:pPr>
      <w:rPr>
        <w:rFonts w:hint="default"/>
        <w:lang w:val="fr-FR" w:eastAsia="en-US" w:bidi="ar-SA"/>
      </w:rPr>
    </w:lvl>
    <w:lvl w:ilvl="7" w:tplc="E7C4F662">
      <w:numFmt w:val="bullet"/>
      <w:lvlText w:val="•"/>
      <w:lvlJc w:val="left"/>
      <w:pPr>
        <w:ind w:left="6864" w:hanging="360"/>
      </w:pPr>
      <w:rPr>
        <w:rFonts w:hint="default"/>
        <w:lang w:val="fr-FR" w:eastAsia="en-US" w:bidi="ar-SA"/>
      </w:rPr>
    </w:lvl>
    <w:lvl w:ilvl="8" w:tplc="90FEE760">
      <w:numFmt w:val="bullet"/>
      <w:lvlText w:val="•"/>
      <w:lvlJc w:val="left"/>
      <w:pPr>
        <w:ind w:left="7741" w:hanging="360"/>
      </w:pPr>
      <w:rPr>
        <w:rFonts w:hint="default"/>
        <w:lang w:val="fr-FR" w:eastAsia="en-US" w:bidi="ar-SA"/>
      </w:rPr>
    </w:lvl>
  </w:abstractNum>
  <w:abstractNum w:abstractNumId="2">
    <w:nsid w:val="1118755B"/>
    <w:multiLevelType w:val="hybridMultilevel"/>
    <w:tmpl w:val="D79616F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763CB6"/>
    <w:multiLevelType w:val="hybridMultilevel"/>
    <w:tmpl w:val="ACE8CACE"/>
    <w:lvl w:ilvl="0" w:tplc="BD747E50">
      <w:start w:val="1"/>
      <w:numFmt w:val="upperLetter"/>
      <w:lvlText w:val="%1."/>
      <w:lvlJc w:val="left"/>
      <w:pPr>
        <w:ind w:left="318" w:hanging="317"/>
      </w:pPr>
      <w:rPr>
        <w:rFonts w:ascii="Times New Roman" w:eastAsia="Times New Roman" w:hAnsi="Times New Roman" w:cs="Times New Roman" w:hint="default"/>
        <w:b/>
        <w:bCs/>
        <w:i w:val="0"/>
        <w:iCs w:val="0"/>
        <w:spacing w:val="0"/>
        <w:w w:val="99"/>
        <w:sz w:val="26"/>
        <w:szCs w:val="26"/>
        <w:lang w:val="fr-FR" w:eastAsia="en-US" w:bidi="ar-SA"/>
      </w:rPr>
    </w:lvl>
    <w:lvl w:ilvl="1" w:tplc="64F8EA74">
      <w:numFmt w:val="bullet"/>
      <w:lvlText w:val="•"/>
      <w:lvlJc w:val="left"/>
      <w:pPr>
        <w:ind w:left="1237" w:hanging="317"/>
      </w:pPr>
      <w:rPr>
        <w:rFonts w:hint="default"/>
        <w:lang w:val="fr-FR" w:eastAsia="en-US" w:bidi="ar-SA"/>
      </w:rPr>
    </w:lvl>
    <w:lvl w:ilvl="2" w:tplc="F126C142">
      <w:numFmt w:val="bullet"/>
      <w:lvlText w:val="•"/>
      <w:lvlJc w:val="left"/>
      <w:pPr>
        <w:ind w:left="2155" w:hanging="317"/>
      </w:pPr>
      <w:rPr>
        <w:rFonts w:hint="default"/>
        <w:lang w:val="fr-FR" w:eastAsia="en-US" w:bidi="ar-SA"/>
      </w:rPr>
    </w:lvl>
    <w:lvl w:ilvl="3" w:tplc="A44A2E04">
      <w:numFmt w:val="bullet"/>
      <w:lvlText w:val="•"/>
      <w:lvlJc w:val="left"/>
      <w:pPr>
        <w:ind w:left="3073" w:hanging="317"/>
      </w:pPr>
      <w:rPr>
        <w:rFonts w:hint="default"/>
        <w:lang w:val="fr-FR" w:eastAsia="en-US" w:bidi="ar-SA"/>
      </w:rPr>
    </w:lvl>
    <w:lvl w:ilvl="4" w:tplc="BA98EDBE">
      <w:numFmt w:val="bullet"/>
      <w:lvlText w:val="•"/>
      <w:lvlJc w:val="left"/>
      <w:pPr>
        <w:ind w:left="3990" w:hanging="317"/>
      </w:pPr>
      <w:rPr>
        <w:rFonts w:hint="default"/>
        <w:lang w:val="fr-FR" w:eastAsia="en-US" w:bidi="ar-SA"/>
      </w:rPr>
    </w:lvl>
    <w:lvl w:ilvl="5" w:tplc="11820170">
      <w:numFmt w:val="bullet"/>
      <w:lvlText w:val="•"/>
      <w:lvlJc w:val="left"/>
      <w:pPr>
        <w:ind w:left="4908" w:hanging="317"/>
      </w:pPr>
      <w:rPr>
        <w:rFonts w:hint="default"/>
        <w:lang w:val="fr-FR" w:eastAsia="en-US" w:bidi="ar-SA"/>
      </w:rPr>
    </w:lvl>
    <w:lvl w:ilvl="6" w:tplc="85EE5B22">
      <w:numFmt w:val="bullet"/>
      <w:lvlText w:val="•"/>
      <w:lvlJc w:val="left"/>
      <w:pPr>
        <w:ind w:left="5826" w:hanging="317"/>
      </w:pPr>
      <w:rPr>
        <w:rFonts w:hint="default"/>
        <w:lang w:val="fr-FR" w:eastAsia="en-US" w:bidi="ar-SA"/>
      </w:rPr>
    </w:lvl>
    <w:lvl w:ilvl="7" w:tplc="9996BB40">
      <w:numFmt w:val="bullet"/>
      <w:lvlText w:val="•"/>
      <w:lvlJc w:val="left"/>
      <w:pPr>
        <w:ind w:left="6744" w:hanging="317"/>
      </w:pPr>
      <w:rPr>
        <w:rFonts w:hint="default"/>
        <w:lang w:val="fr-FR" w:eastAsia="en-US" w:bidi="ar-SA"/>
      </w:rPr>
    </w:lvl>
    <w:lvl w:ilvl="8" w:tplc="4114F9B0">
      <w:numFmt w:val="bullet"/>
      <w:lvlText w:val="•"/>
      <w:lvlJc w:val="left"/>
      <w:pPr>
        <w:ind w:left="7661" w:hanging="317"/>
      </w:pPr>
      <w:rPr>
        <w:rFonts w:hint="default"/>
        <w:lang w:val="fr-FR" w:eastAsia="en-US" w:bidi="ar-SA"/>
      </w:rPr>
    </w:lvl>
  </w:abstractNum>
  <w:abstractNum w:abstractNumId="4">
    <w:nsid w:val="1D1C73B8"/>
    <w:multiLevelType w:val="hybridMultilevel"/>
    <w:tmpl w:val="36EED5C6"/>
    <w:lvl w:ilvl="0" w:tplc="9370DA42">
      <w:start w:val="1"/>
      <w:numFmt w:val="upperLetter"/>
      <w:lvlText w:val="%1."/>
      <w:lvlJc w:val="left"/>
      <w:pPr>
        <w:ind w:left="317" w:hanging="317"/>
      </w:pPr>
      <w:rPr>
        <w:rFonts w:ascii="Times New Roman" w:eastAsia="Times New Roman" w:hAnsi="Times New Roman" w:cs="Times New Roman" w:hint="default"/>
        <w:b/>
        <w:bCs/>
        <w:i w:val="0"/>
        <w:iCs w:val="0"/>
        <w:spacing w:val="0"/>
        <w:w w:val="99"/>
        <w:sz w:val="26"/>
        <w:szCs w:val="26"/>
        <w:lang w:val="fr-FR" w:eastAsia="en-US" w:bidi="ar-SA"/>
      </w:rPr>
    </w:lvl>
    <w:lvl w:ilvl="1" w:tplc="CC8A5374">
      <w:numFmt w:val="bullet"/>
      <w:lvlText w:val="•"/>
      <w:lvlJc w:val="left"/>
      <w:pPr>
        <w:ind w:left="1236" w:hanging="317"/>
      </w:pPr>
      <w:rPr>
        <w:rFonts w:hint="default"/>
        <w:lang w:val="fr-FR" w:eastAsia="en-US" w:bidi="ar-SA"/>
      </w:rPr>
    </w:lvl>
    <w:lvl w:ilvl="2" w:tplc="24EAA9A0">
      <w:numFmt w:val="bullet"/>
      <w:lvlText w:val="•"/>
      <w:lvlJc w:val="left"/>
      <w:pPr>
        <w:ind w:left="2154" w:hanging="317"/>
      </w:pPr>
      <w:rPr>
        <w:rFonts w:hint="default"/>
        <w:lang w:val="fr-FR" w:eastAsia="en-US" w:bidi="ar-SA"/>
      </w:rPr>
    </w:lvl>
    <w:lvl w:ilvl="3" w:tplc="FE34CD1C">
      <w:numFmt w:val="bullet"/>
      <w:lvlText w:val="•"/>
      <w:lvlJc w:val="left"/>
      <w:pPr>
        <w:ind w:left="3072" w:hanging="317"/>
      </w:pPr>
      <w:rPr>
        <w:rFonts w:hint="default"/>
        <w:lang w:val="fr-FR" w:eastAsia="en-US" w:bidi="ar-SA"/>
      </w:rPr>
    </w:lvl>
    <w:lvl w:ilvl="4" w:tplc="6930D120">
      <w:numFmt w:val="bullet"/>
      <w:lvlText w:val="•"/>
      <w:lvlJc w:val="left"/>
      <w:pPr>
        <w:ind w:left="3989" w:hanging="317"/>
      </w:pPr>
      <w:rPr>
        <w:rFonts w:hint="default"/>
        <w:lang w:val="fr-FR" w:eastAsia="en-US" w:bidi="ar-SA"/>
      </w:rPr>
    </w:lvl>
    <w:lvl w:ilvl="5" w:tplc="36061048">
      <w:numFmt w:val="bullet"/>
      <w:lvlText w:val="•"/>
      <w:lvlJc w:val="left"/>
      <w:pPr>
        <w:ind w:left="4907" w:hanging="317"/>
      </w:pPr>
      <w:rPr>
        <w:rFonts w:hint="default"/>
        <w:lang w:val="fr-FR" w:eastAsia="en-US" w:bidi="ar-SA"/>
      </w:rPr>
    </w:lvl>
    <w:lvl w:ilvl="6" w:tplc="1C96040E">
      <w:numFmt w:val="bullet"/>
      <w:lvlText w:val="•"/>
      <w:lvlJc w:val="left"/>
      <w:pPr>
        <w:ind w:left="5825" w:hanging="317"/>
      </w:pPr>
      <w:rPr>
        <w:rFonts w:hint="default"/>
        <w:lang w:val="fr-FR" w:eastAsia="en-US" w:bidi="ar-SA"/>
      </w:rPr>
    </w:lvl>
    <w:lvl w:ilvl="7" w:tplc="D66ED3FC">
      <w:numFmt w:val="bullet"/>
      <w:lvlText w:val="•"/>
      <w:lvlJc w:val="left"/>
      <w:pPr>
        <w:ind w:left="6743" w:hanging="317"/>
      </w:pPr>
      <w:rPr>
        <w:rFonts w:hint="default"/>
        <w:lang w:val="fr-FR" w:eastAsia="en-US" w:bidi="ar-SA"/>
      </w:rPr>
    </w:lvl>
    <w:lvl w:ilvl="8" w:tplc="12D84728">
      <w:numFmt w:val="bullet"/>
      <w:lvlText w:val="•"/>
      <w:lvlJc w:val="left"/>
      <w:pPr>
        <w:ind w:left="7660" w:hanging="317"/>
      </w:pPr>
      <w:rPr>
        <w:rFonts w:hint="default"/>
        <w:lang w:val="fr-FR" w:eastAsia="en-US" w:bidi="ar-SA"/>
      </w:rPr>
    </w:lvl>
  </w:abstractNum>
  <w:abstractNum w:abstractNumId="5">
    <w:nsid w:val="37265DBD"/>
    <w:multiLevelType w:val="hybridMultilevel"/>
    <w:tmpl w:val="C26C4CA6"/>
    <w:lvl w:ilvl="0" w:tplc="E81405D8">
      <w:numFmt w:val="bullet"/>
      <w:lvlText w:val=""/>
      <w:lvlJc w:val="left"/>
      <w:pPr>
        <w:ind w:left="721" w:hanging="360"/>
      </w:pPr>
      <w:rPr>
        <w:rFonts w:ascii="Wingdings" w:eastAsia="Wingdings" w:hAnsi="Wingdings" w:cs="Wingdings" w:hint="default"/>
        <w:b w:val="0"/>
        <w:bCs w:val="0"/>
        <w:i w:val="0"/>
        <w:iCs w:val="0"/>
        <w:spacing w:val="0"/>
        <w:w w:val="99"/>
        <w:sz w:val="26"/>
        <w:szCs w:val="26"/>
        <w:lang w:val="fr-FR" w:eastAsia="en-US" w:bidi="ar-SA"/>
      </w:rPr>
    </w:lvl>
    <w:lvl w:ilvl="1" w:tplc="6BB22680">
      <w:numFmt w:val="bullet"/>
      <w:lvlText w:val="•"/>
      <w:lvlJc w:val="left"/>
      <w:pPr>
        <w:ind w:left="1597" w:hanging="360"/>
      </w:pPr>
      <w:rPr>
        <w:rFonts w:hint="default"/>
        <w:lang w:val="fr-FR" w:eastAsia="en-US" w:bidi="ar-SA"/>
      </w:rPr>
    </w:lvl>
    <w:lvl w:ilvl="2" w:tplc="78E8B9B2">
      <w:numFmt w:val="bullet"/>
      <w:lvlText w:val="•"/>
      <w:lvlJc w:val="left"/>
      <w:pPr>
        <w:ind w:left="2475" w:hanging="360"/>
      </w:pPr>
      <w:rPr>
        <w:rFonts w:hint="default"/>
        <w:lang w:val="fr-FR" w:eastAsia="en-US" w:bidi="ar-SA"/>
      </w:rPr>
    </w:lvl>
    <w:lvl w:ilvl="3" w:tplc="942A8706">
      <w:numFmt w:val="bullet"/>
      <w:lvlText w:val="•"/>
      <w:lvlJc w:val="left"/>
      <w:pPr>
        <w:ind w:left="3353" w:hanging="360"/>
      </w:pPr>
      <w:rPr>
        <w:rFonts w:hint="default"/>
        <w:lang w:val="fr-FR" w:eastAsia="en-US" w:bidi="ar-SA"/>
      </w:rPr>
    </w:lvl>
    <w:lvl w:ilvl="4" w:tplc="7304DD02">
      <w:numFmt w:val="bullet"/>
      <w:lvlText w:val="•"/>
      <w:lvlJc w:val="left"/>
      <w:pPr>
        <w:ind w:left="4230" w:hanging="360"/>
      </w:pPr>
      <w:rPr>
        <w:rFonts w:hint="default"/>
        <w:lang w:val="fr-FR" w:eastAsia="en-US" w:bidi="ar-SA"/>
      </w:rPr>
    </w:lvl>
    <w:lvl w:ilvl="5" w:tplc="5A143E98">
      <w:numFmt w:val="bullet"/>
      <w:lvlText w:val="•"/>
      <w:lvlJc w:val="left"/>
      <w:pPr>
        <w:ind w:left="5108" w:hanging="360"/>
      </w:pPr>
      <w:rPr>
        <w:rFonts w:hint="default"/>
        <w:lang w:val="fr-FR" w:eastAsia="en-US" w:bidi="ar-SA"/>
      </w:rPr>
    </w:lvl>
    <w:lvl w:ilvl="6" w:tplc="D7EC1FC2">
      <w:numFmt w:val="bullet"/>
      <w:lvlText w:val="•"/>
      <w:lvlJc w:val="left"/>
      <w:pPr>
        <w:ind w:left="5986" w:hanging="360"/>
      </w:pPr>
      <w:rPr>
        <w:rFonts w:hint="default"/>
        <w:lang w:val="fr-FR" w:eastAsia="en-US" w:bidi="ar-SA"/>
      </w:rPr>
    </w:lvl>
    <w:lvl w:ilvl="7" w:tplc="A9D291B2">
      <w:numFmt w:val="bullet"/>
      <w:lvlText w:val="•"/>
      <w:lvlJc w:val="left"/>
      <w:pPr>
        <w:ind w:left="6864" w:hanging="360"/>
      </w:pPr>
      <w:rPr>
        <w:rFonts w:hint="default"/>
        <w:lang w:val="fr-FR" w:eastAsia="en-US" w:bidi="ar-SA"/>
      </w:rPr>
    </w:lvl>
    <w:lvl w:ilvl="8" w:tplc="EB54B2C4">
      <w:numFmt w:val="bullet"/>
      <w:lvlText w:val="•"/>
      <w:lvlJc w:val="left"/>
      <w:pPr>
        <w:ind w:left="7741" w:hanging="360"/>
      </w:pPr>
      <w:rPr>
        <w:rFonts w:hint="default"/>
        <w:lang w:val="fr-FR" w:eastAsia="en-US" w:bidi="ar-SA"/>
      </w:rPr>
    </w:lvl>
  </w:abstractNum>
  <w:abstractNum w:abstractNumId="6">
    <w:nsid w:val="3A5D351C"/>
    <w:multiLevelType w:val="hybridMultilevel"/>
    <w:tmpl w:val="5EDEF00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D0D6418"/>
    <w:multiLevelType w:val="hybridMultilevel"/>
    <w:tmpl w:val="79621306"/>
    <w:lvl w:ilvl="0" w:tplc="37EE269C">
      <w:start w:val="1"/>
      <w:numFmt w:val="upperLetter"/>
      <w:lvlText w:val="%1."/>
      <w:lvlJc w:val="left"/>
      <w:pPr>
        <w:ind w:left="318" w:hanging="317"/>
      </w:pPr>
      <w:rPr>
        <w:rFonts w:hint="default"/>
        <w:spacing w:val="0"/>
        <w:w w:val="99"/>
        <w:lang w:val="fr-FR" w:eastAsia="en-US" w:bidi="ar-SA"/>
      </w:rPr>
    </w:lvl>
    <w:lvl w:ilvl="1" w:tplc="7D1ADD1C">
      <w:numFmt w:val="bullet"/>
      <w:lvlText w:val=""/>
      <w:lvlJc w:val="left"/>
      <w:pPr>
        <w:ind w:left="721" w:hanging="360"/>
      </w:pPr>
      <w:rPr>
        <w:rFonts w:ascii="Symbol" w:eastAsia="Symbol" w:hAnsi="Symbol" w:cs="Symbol" w:hint="default"/>
        <w:b w:val="0"/>
        <w:bCs w:val="0"/>
        <w:i w:val="0"/>
        <w:iCs w:val="0"/>
        <w:spacing w:val="0"/>
        <w:w w:val="99"/>
        <w:sz w:val="26"/>
        <w:szCs w:val="26"/>
        <w:lang w:val="fr-FR" w:eastAsia="en-US" w:bidi="ar-SA"/>
      </w:rPr>
    </w:lvl>
    <w:lvl w:ilvl="2" w:tplc="240C5B5A">
      <w:numFmt w:val="bullet"/>
      <w:lvlText w:val="•"/>
      <w:lvlJc w:val="left"/>
      <w:pPr>
        <w:ind w:left="1695" w:hanging="360"/>
      </w:pPr>
      <w:rPr>
        <w:rFonts w:hint="default"/>
        <w:lang w:val="fr-FR" w:eastAsia="en-US" w:bidi="ar-SA"/>
      </w:rPr>
    </w:lvl>
    <w:lvl w:ilvl="3" w:tplc="024EE07C">
      <w:numFmt w:val="bullet"/>
      <w:lvlText w:val="•"/>
      <w:lvlJc w:val="left"/>
      <w:pPr>
        <w:ind w:left="2670" w:hanging="360"/>
      </w:pPr>
      <w:rPr>
        <w:rFonts w:hint="default"/>
        <w:lang w:val="fr-FR" w:eastAsia="en-US" w:bidi="ar-SA"/>
      </w:rPr>
    </w:lvl>
    <w:lvl w:ilvl="4" w:tplc="B1AEECC2">
      <w:numFmt w:val="bullet"/>
      <w:lvlText w:val="•"/>
      <w:lvlJc w:val="left"/>
      <w:pPr>
        <w:ind w:left="3645" w:hanging="360"/>
      </w:pPr>
      <w:rPr>
        <w:rFonts w:hint="default"/>
        <w:lang w:val="fr-FR" w:eastAsia="en-US" w:bidi="ar-SA"/>
      </w:rPr>
    </w:lvl>
    <w:lvl w:ilvl="5" w:tplc="4D60BF02">
      <w:numFmt w:val="bullet"/>
      <w:lvlText w:val="•"/>
      <w:lvlJc w:val="left"/>
      <w:pPr>
        <w:ind w:left="4621" w:hanging="360"/>
      </w:pPr>
      <w:rPr>
        <w:rFonts w:hint="default"/>
        <w:lang w:val="fr-FR" w:eastAsia="en-US" w:bidi="ar-SA"/>
      </w:rPr>
    </w:lvl>
    <w:lvl w:ilvl="6" w:tplc="3E162DB8">
      <w:numFmt w:val="bullet"/>
      <w:lvlText w:val="•"/>
      <w:lvlJc w:val="left"/>
      <w:pPr>
        <w:ind w:left="5596" w:hanging="360"/>
      </w:pPr>
      <w:rPr>
        <w:rFonts w:hint="default"/>
        <w:lang w:val="fr-FR" w:eastAsia="en-US" w:bidi="ar-SA"/>
      </w:rPr>
    </w:lvl>
    <w:lvl w:ilvl="7" w:tplc="3AAC54A2">
      <w:numFmt w:val="bullet"/>
      <w:lvlText w:val="•"/>
      <w:lvlJc w:val="left"/>
      <w:pPr>
        <w:ind w:left="6571" w:hanging="360"/>
      </w:pPr>
      <w:rPr>
        <w:rFonts w:hint="default"/>
        <w:lang w:val="fr-FR" w:eastAsia="en-US" w:bidi="ar-SA"/>
      </w:rPr>
    </w:lvl>
    <w:lvl w:ilvl="8" w:tplc="582CE2FC">
      <w:numFmt w:val="bullet"/>
      <w:lvlText w:val="•"/>
      <w:lvlJc w:val="left"/>
      <w:pPr>
        <w:ind w:left="7546" w:hanging="360"/>
      </w:pPr>
      <w:rPr>
        <w:rFonts w:hint="default"/>
        <w:lang w:val="fr-FR" w:eastAsia="en-US" w:bidi="ar-SA"/>
      </w:rPr>
    </w:lvl>
  </w:abstractNum>
  <w:abstractNum w:abstractNumId="8">
    <w:nsid w:val="464633FD"/>
    <w:multiLevelType w:val="hybridMultilevel"/>
    <w:tmpl w:val="71206F70"/>
    <w:lvl w:ilvl="0" w:tplc="A9D6E926">
      <w:numFmt w:val="bullet"/>
      <w:lvlText w:val="-"/>
      <w:lvlJc w:val="left"/>
      <w:pPr>
        <w:ind w:left="644" w:hanging="360"/>
      </w:pPr>
      <w:rPr>
        <w:rFonts w:ascii="Calibri" w:eastAsia="Calibri" w:hAnsi="Calibri" w:cs="Calibri" w:hint="default"/>
        <w:b w:val="0"/>
        <w:bCs w:val="0"/>
        <w:i w:val="0"/>
        <w:iCs w:val="0"/>
        <w:spacing w:val="0"/>
        <w:w w:val="100"/>
        <w:sz w:val="24"/>
        <w:szCs w:val="24"/>
        <w:lang w:val="fr-FR" w:eastAsia="en-US" w:bidi="ar-SA"/>
      </w:rPr>
    </w:lvl>
    <w:lvl w:ilvl="1" w:tplc="E632C090">
      <w:numFmt w:val="bullet"/>
      <w:lvlText w:val="•"/>
      <w:lvlJc w:val="left"/>
      <w:pPr>
        <w:ind w:left="1520" w:hanging="360"/>
      </w:pPr>
      <w:rPr>
        <w:rFonts w:hint="default"/>
        <w:lang w:val="fr-FR" w:eastAsia="en-US" w:bidi="ar-SA"/>
      </w:rPr>
    </w:lvl>
    <w:lvl w:ilvl="2" w:tplc="D6E21B48">
      <w:numFmt w:val="bullet"/>
      <w:lvlText w:val="•"/>
      <w:lvlJc w:val="left"/>
      <w:pPr>
        <w:ind w:left="2398" w:hanging="360"/>
      </w:pPr>
      <w:rPr>
        <w:rFonts w:hint="default"/>
        <w:lang w:val="fr-FR" w:eastAsia="en-US" w:bidi="ar-SA"/>
      </w:rPr>
    </w:lvl>
    <w:lvl w:ilvl="3" w:tplc="165AE4E0">
      <w:numFmt w:val="bullet"/>
      <w:lvlText w:val="•"/>
      <w:lvlJc w:val="left"/>
      <w:pPr>
        <w:ind w:left="3276" w:hanging="360"/>
      </w:pPr>
      <w:rPr>
        <w:rFonts w:hint="default"/>
        <w:lang w:val="fr-FR" w:eastAsia="en-US" w:bidi="ar-SA"/>
      </w:rPr>
    </w:lvl>
    <w:lvl w:ilvl="4" w:tplc="05A4DD04">
      <w:numFmt w:val="bullet"/>
      <w:lvlText w:val="•"/>
      <w:lvlJc w:val="left"/>
      <w:pPr>
        <w:ind w:left="4153" w:hanging="360"/>
      </w:pPr>
      <w:rPr>
        <w:rFonts w:hint="default"/>
        <w:lang w:val="fr-FR" w:eastAsia="en-US" w:bidi="ar-SA"/>
      </w:rPr>
    </w:lvl>
    <w:lvl w:ilvl="5" w:tplc="A4361EB4">
      <w:numFmt w:val="bullet"/>
      <w:lvlText w:val="•"/>
      <w:lvlJc w:val="left"/>
      <w:pPr>
        <w:ind w:left="5031" w:hanging="360"/>
      </w:pPr>
      <w:rPr>
        <w:rFonts w:hint="default"/>
        <w:lang w:val="fr-FR" w:eastAsia="en-US" w:bidi="ar-SA"/>
      </w:rPr>
    </w:lvl>
    <w:lvl w:ilvl="6" w:tplc="53EC0E60">
      <w:numFmt w:val="bullet"/>
      <w:lvlText w:val="•"/>
      <w:lvlJc w:val="left"/>
      <w:pPr>
        <w:ind w:left="5909" w:hanging="360"/>
      </w:pPr>
      <w:rPr>
        <w:rFonts w:hint="default"/>
        <w:lang w:val="fr-FR" w:eastAsia="en-US" w:bidi="ar-SA"/>
      </w:rPr>
    </w:lvl>
    <w:lvl w:ilvl="7" w:tplc="F65012D2">
      <w:numFmt w:val="bullet"/>
      <w:lvlText w:val="•"/>
      <w:lvlJc w:val="left"/>
      <w:pPr>
        <w:ind w:left="6787" w:hanging="360"/>
      </w:pPr>
      <w:rPr>
        <w:rFonts w:hint="default"/>
        <w:lang w:val="fr-FR" w:eastAsia="en-US" w:bidi="ar-SA"/>
      </w:rPr>
    </w:lvl>
    <w:lvl w:ilvl="8" w:tplc="85B6072E">
      <w:numFmt w:val="bullet"/>
      <w:lvlText w:val="•"/>
      <w:lvlJc w:val="left"/>
      <w:pPr>
        <w:ind w:left="7664" w:hanging="360"/>
      </w:pPr>
      <w:rPr>
        <w:rFonts w:hint="default"/>
        <w:lang w:val="fr-FR" w:eastAsia="en-US" w:bidi="ar-SA"/>
      </w:rPr>
    </w:lvl>
  </w:abstractNum>
  <w:abstractNum w:abstractNumId="9">
    <w:nsid w:val="54976F21"/>
    <w:multiLevelType w:val="hybridMultilevel"/>
    <w:tmpl w:val="12721500"/>
    <w:lvl w:ilvl="0" w:tplc="11E6E27E">
      <w:start w:val="1"/>
      <w:numFmt w:val="bullet"/>
      <w:lvlText w:val=""/>
      <w:lvlPicBulletId w:val="0"/>
      <w:lvlJc w:val="left"/>
      <w:pPr>
        <w:tabs>
          <w:tab w:val="num" w:pos="720"/>
        </w:tabs>
        <w:ind w:left="720" w:hanging="360"/>
      </w:pPr>
      <w:rPr>
        <w:rFonts w:ascii="Symbol" w:hAnsi="Symbol" w:hint="default"/>
      </w:rPr>
    </w:lvl>
    <w:lvl w:ilvl="1" w:tplc="A2B44EA4" w:tentative="1">
      <w:start w:val="1"/>
      <w:numFmt w:val="bullet"/>
      <w:lvlText w:val=""/>
      <w:lvlJc w:val="left"/>
      <w:pPr>
        <w:tabs>
          <w:tab w:val="num" w:pos="1440"/>
        </w:tabs>
        <w:ind w:left="1440" w:hanging="360"/>
      </w:pPr>
      <w:rPr>
        <w:rFonts w:ascii="Symbol" w:hAnsi="Symbol" w:hint="default"/>
      </w:rPr>
    </w:lvl>
    <w:lvl w:ilvl="2" w:tplc="618A6230" w:tentative="1">
      <w:start w:val="1"/>
      <w:numFmt w:val="bullet"/>
      <w:lvlText w:val=""/>
      <w:lvlJc w:val="left"/>
      <w:pPr>
        <w:tabs>
          <w:tab w:val="num" w:pos="2160"/>
        </w:tabs>
        <w:ind w:left="2160" w:hanging="360"/>
      </w:pPr>
      <w:rPr>
        <w:rFonts w:ascii="Symbol" w:hAnsi="Symbol" w:hint="default"/>
      </w:rPr>
    </w:lvl>
    <w:lvl w:ilvl="3" w:tplc="58B225BA" w:tentative="1">
      <w:start w:val="1"/>
      <w:numFmt w:val="bullet"/>
      <w:lvlText w:val=""/>
      <w:lvlJc w:val="left"/>
      <w:pPr>
        <w:tabs>
          <w:tab w:val="num" w:pos="2880"/>
        </w:tabs>
        <w:ind w:left="2880" w:hanging="360"/>
      </w:pPr>
      <w:rPr>
        <w:rFonts w:ascii="Symbol" w:hAnsi="Symbol" w:hint="default"/>
      </w:rPr>
    </w:lvl>
    <w:lvl w:ilvl="4" w:tplc="B4862DD8" w:tentative="1">
      <w:start w:val="1"/>
      <w:numFmt w:val="bullet"/>
      <w:lvlText w:val=""/>
      <w:lvlJc w:val="left"/>
      <w:pPr>
        <w:tabs>
          <w:tab w:val="num" w:pos="3600"/>
        </w:tabs>
        <w:ind w:left="3600" w:hanging="360"/>
      </w:pPr>
      <w:rPr>
        <w:rFonts w:ascii="Symbol" w:hAnsi="Symbol" w:hint="default"/>
      </w:rPr>
    </w:lvl>
    <w:lvl w:ilvl="5" w:tplc="14EC1C18" w:tentative="1">
      <w:start w:val="1"/>
      <w:numFmt w:val="bullet"/>
      <w:lvlText w:val=""/>
      <w:lvlJc w:val="left"/>
      <w:pPr>
        <w:tabs>
          <w:tab w:val="num" w:pos="4320"/>
        </w:tabs>
        <w:ind w:left="4320" w:hanging="360"/>
      </w:pPr>
      <w:rPr>
        <w:rFonts w:ascii="Symbol" w:hAnsi="Symbol" w:hint="default"/>
      </w:rPr>
    </w:lvl>
    <w:lvl w:ilvl="6" w:tplc="29EA7B4E" w:tentative="1">
      <w:start w:val="1"/>
      <w:numFmt w:val="bullet"/>
      <w:lvlText w:val=""/>
      <w:lvlJc w:val="left"/>
      <w:pPr>
        <w:tabs>
          <w:tab w:val="num" w:pos="5040"/>
        </w:tabs>
        <w:ind w:left="5040" w:hanging="360"/>
      </w:pPr>
      <w:rPr>
        <w:rFonts w:ascii="Symbol" w:hAnsi="Symbol" w:hint="default"/>
      </w:rPr>
    </w:lvl>
    <w:lvl w:ilvl="7" w:tplc="C7CC781E" w:tentative="1">
      <w:start w:val="1"/>
      <w:numFmt w:val="bullet"/>
      <w:lvlText w:val=""/>
      <w:lvlJc w:val="left"/>
      <w:pPr>
        <w:tabs>
          <w:tab w:val="num" w:pos="5760"/>
        </w:tabs>
        <w:ind w:left="5760" w:hanging="360"/>
      </w:pPr>
      <w:rPr>
        <w:rFonts w:ascii="Symbol" w:hAnsi="Symbol" w:hint="default"/>
      </w:rPr>
    </w:lvl>
    <w:lvl w:ilvl="8" w:tplc="BC64D6C4" w:tentative="1">
      <w:start w:val="1"/>
      <w:numFmt w:val="bullet"/>
      <w:lvlText w:val=""/>
      <w:lvlJc w:val="left"/>
      <w:pPr>
        <w:tabs>
          <w:tab w:val="num" w:pos="6480"/>
        </w:tabs>
        <w:ind w:left="6480" w:hanging="360"/>
      </w:pPr>
      <w:rPr>
        <w:rFonts w:ascii="Symbol" w:hAnsi="Symbol" w:hint="default"/>
      </w:rPr>
    </w:lvl>
  </w:abstractNum>
  <w:abstractNum w:abstractNumId="10">
    <w:nsid w:val="55A31BC4"/>
    <w:multiLevelType w:val="hybridMultilevel"/>
    <w:tmpl w:val="E5C6953C"/>
    <w:lvl w:ilvl="0" w:tplc="906878CC">
      <w:numFmt w:val="bullet"/>
      <w:lvlText w:val="-"/>
      <w:lvlJc w:val="left"/>
      <w:pPr>
        <w:ind w:left="853" w:hanging="168"/>
      </w:pPr>
      <w:rPr>
        <w:rFonts w:ascii="Times New Roman" w:eastAsia="Times New Roman" w:hAnsi="Times New Roman" w:cs="Times New Roman" w:hint="default"/>
        <w:b w:val="0"/>
        <w:bCs w:val="0"/>
        <w:i w:val="0"/>
        <w:iCs w:val="0"/>
        <w:spacing w:val="0"/>
        <w:w w:val="100"/>
        <w:sz w:val="28"/>
        <w:szCs w:val="28"/>
        <w:lang w:val="fr-FR" w:eastAsia="en-US" w:bidi="ar-SA"/>
      </w:rPr>
    </w:lvl>
    <w:lvl w:ilvl="1" w:tplc="B5D8CC68">
      <w:numFmt w:val="bullet"/>
      <w:lvlText w:val="•"/>
      <w:lvlJc w:val="left"/>
      <w:pPr>
        <w:ind w:left="1723" w:hanging="168"/>
      </w:pPr>
      <w:rPr>
        <w:rFonts w:hint="default"/>
        <w:lang w:val="fr-FR" w:eastAsia="en-US" w:bidi="ar-SA"/>
      </w:rPr>
    </w:lvl>
    <w:lvl w:ilvl="2" w:tplc="5F2A3946">
      <w:numFmt w:val="bullet"/>
      <w:lvlText w:val="•"/>
      <w:lvlJc w:val="left"/>
      <w:pPr>
        <w:ind w:left="2587" w:hanging="168"/>
      </w:pPr>
      <w:rPr>
        <w:rFonts w:hint="default"/>
        <w:lang w:val="fr-FR" w:eastAsia="en-US" w:bidi="ar-SA"/>
      </w:rPr>
    </w:lvl>
    <w:lvl w:ilvl="3" w:tplc="AF90CE76">
      <w:numFmt w:val="bullet"/>
      <w:lvlText w:val="•"/>
      <w:lvlJc w:val="left"/>
      <w:pPr>
        <w:ind w:left="3451" w:hanging="168"/>
      </w:pPr>
      <w:rPr>
        <w:rFonts w:hint="default"/>
        <w:lang w:val="fr-FR" w:eastAsia="en-US" w:bidi="ar-SA"/>
      </w:rPr>
    </w:lvl>
    <w:lvl w:ilvl="4" w:tplc="0D143A32">
      <w:numFmt w:val="bullet"/>
      <w:lvlText w:val="•"/>
      <w:lvlJc w:val="left"/>
      <w:pPr>
        <w:ind w:left="4314" w:hanging="168"/>
      </w:pPr>
      <w:rPr>
        <w:rFonts w:hint="default"/>
        <w:lang w:val="fr-FR" w:eastAsia="en-US" w:bidi="ar-SA"/>
      </w:rPr>
    </w:lvl>
    <w:lvl w:ilvl="5" w:tplc="220A1C3A">
      <w:numFmt w:val="bullet"/>
      <w:lvlText w:val="•"/>
      <w:lvlJc w:val="left"/>
      <w:pPr>
        <w:ind w:left="5178" w:hanging="168"/>
      </w:pPr>
      <w:rPr>
        <w:rFonts w:hint="default"/>
        <w:lang w:val="fr-FR" w:eastAsia="en-US" w:bidi="ar-SA"/>
      </w:rPr>
    </w:lvl>
    <w:lvl w:ilvl="6" w:tplc="2B527198">
      <w:numFmt w:val="bullet"/>
      <w:lvlText w:val="•"/>
      <w:lvlJc w:val="left"/>
      <w:pPr>
        <w:ind w:left="6042" w:hanging="168"/>
      </w:pPr>
      <w:rPr>
        <w:rFonts w:hint="default"/>
        <w:lang w:val="fr-FR" w:eastAsia="en-US" w:bidi="ar-SA"/>
      </w:rPr>
    </w:lvl>
    <w:lvl w:ilvl="7" w:tplc="4016F356">
      <w:numFmt w:val="bullet"/>
      <w:lvlText w:val="•"/>
      <w:lvlJc w:val="left"/>
      <w:pPr>
        <w:ind w:left="6906" w:hanging="168"/>
      </w:pPr>
      <w:rPr>
        <w:rFonts w:hint="default"/>
        <w:lang w:val="fr-FR" w:eastAsia="en-US" w:bidi="ar-SA"/>
      </w:rPr>
    </w:lvl>
    <w:lvl w:ilvl="8" w:tplc="A9A0FFEA">
      <w:numFmt w:val="bullet"/>
      <w:lvlText w:val="•"/>
      <w:lvlJc w:val="left"/>
      <w:pPr>
        <w:ind w:left="7769" w:hanging="168"/>
      </w:pPr>
      <w:rPr>
        <w:rFonts w:hint="default"/>
        <w:lang w:val="fr-FR" w:eastAsia="en-US" w:bidi="ar-SA"/>
      </w:rPr>
    </w:lvl>
  </w:abstractNum>
  <w:abstractNum w:abstractNumId="11">
    <w:nsid w:val="58057369"/>
    <w:multiLevelType w:val="hybridMultilevel"/>
    <w:tmpl w:val="B4E4126C"/>
    <w:lvl w:ilvl="0" w:tplc="1EC24D26">
      <w:numFmt w:val="bullet"/>
      <w:lvlText w:val="-"/>
      <w:lvlJc w:val="left"/>
      <w:pPr>
        <w:ind w:left="721" w:hanging="360"/>
      </w:pPr>
      <w:rPr>
        <w:rFonts w:ascii="Calibri" w:eastAsia="Calibri" w:hAnsi="Calibri" w:cs="Calibri" w:hint="default"/>
        <w:b w:val="0"/>
        <w:bCs w:val="0"/>
        <w:i w:val="0"/>
        <w:iCs w:val="0"/>
        <w:spacing w:val="0"/>
        <w:w w:val="100"/>
        <w:sz w:val="24"/>
        <w:szCs w:val="24"/>
        <w:lang w:val="fr-FR" w:eastAsia="en-US" w:bidi="ar-SA"/>
      </w:rPr>
    </w:lvl>
    <w:lvl w:ilvl="1" w:tplc="1B1AFC7E">
      <w:numFmt w:val="bullet"/>
      <w:lvlText w:val="•"/>
      <w:lvlJc w:val="left"/>
      <w:pPr>
        <w:ind w:left="1597" w:hanging="360"/>
      </w:pPr>
      <w:rPr>
        <w:rFonts w:hint="default"/>
        <w:lang w:val="fr-FR" w:eastAsia="en-US" w:bidi="ar-SA"/>
      </w:rPr>
    </w:lvl>
    <w:lvl w:ilvl="2" w:tplc="2212757C">
      <w:numFmt w:val="bullet"/>
      <w:lvlText w:val="•"/>
      <w:lvlJc w:val="left"/>
      <w:pPr>
        <w:ind w:left="2475" w:hanging="360"/>
      </w:pPr>
      <w:rPr>
        <w:rFonts w:hint="default"/>
        <w:lang w:val="fr-FR" w:eastAsia="en-US" w:bidi="ar-SA"/>
      </w:rPr>
    </w:lvl>
    <w:lvl w:ilvl="3" w:tplc="7996E3F8">
      <w:numFmt w:val="bullet"/>
      <w:lvlText w:val="•"/>
      <w:lvlJc w:val="left"/>
      <w:pPr>
        <w:ind w:left="3353" w:hanging="360"/>
      </w:pPr>
      <w:rPr>
        <w:rFonts w:hint="default"/>
        <w:lang w:val="fr-FR" w:eastAsia="en-US" w:bidi="ar-SA"/>
      </w:rPr>
    </w:lvl>
    <w:lvl w:ilvl="4" w:tplc="461E4AF8">
      <w:numFmt w:val="bullet"/>
      <w:lvlText w:val="•"/>
      <w:lvlJc w:val="left"/>
      <w:pPr>
        <w:ind w:left="4230" w:hanging="360"/>
      </w:pPr>
      <w:rPr>
        <w:rFonts w:hint="default"/>
        <w:lang w:val="fr-FR" w:eastAsia="en-US" w:bidi="ar-SA"/>
      </w:rPr>
    </w:lvl>
    <w:lvl w:ilvl="5" w:tplc="616E4C82">
      <w:numFmt w:val="bullet"/>
      <w:lvlText w:val="•"/>
      <w:lvlJc w:val="left"/>
      <w:pPr>
        <w:ind w:left="5108" w:hanging="360"/>
      </w:pPr>
      <w:rPr>
        <w:rFonts w:hint="default"/>
        <w:lang w:val="fr-FR" w:eastAsia="en-US" w:bidi="ar-SA"/>
      </w:rPr>
    </w:lvl>
    <w:lvl w:ilvl="6" w:tplc="A2344086">
      <w:numFmt w:val="bullet"/>
      <w:lvlText w:val="•"/>
      <w:lvlJc w:val="left"/>
      <w:pPr>
        <w:ind w:left="5986" w:hanging="360"/>
      </w:pPr>
      <w:rPr>
        <w:rFonts w:hint="default"/>
        <w:lang w:val="fr-FR" w:eastAsia="en-US" w:bidi="ar-SA"/>
      </w:rPr>
    </w:lvl>
    <w:lvl w:ilvl="7" w:tplc="D6C82F5A">
      <w:numFmt w:val="bullet"/>
      <w:lvlText w:val="•"/>
      <w:lvlJc w:val="left"/>
      <w:pPr>
        <w:ind w:left="6864" w:hanging="360"/>
      </w:pPr>
      <w:rPr>
        <w:rFonts w:hint="default"/>
        <w:lang w:val="fr-FR" w:eastAsia="en-US" w:bidi="ar-SA"/>
      </w:rPr>
    </w:lvl>
    <w:lvl w:ilvl="8" w:tplc="D988E244">
      <w:numFmt w:val="bullet"/>
      <w:lvlText w:val="•"/>
      <w:lvlJc w:val="left"/>
      <w:pPr>
        <w:ind w:left="7741" w:hanging="360"/>
      </w:pPr>
      <w:rPr>
        <w:rFonts w:hint="default"/>
        <w:lang w:val="fr-FR" w:eastAsia="en-US" w:bidi="ar-SA"/>
      </w:rPr>
    </w:lvl>
  </w:abstractNum>
  <w:abstractNum w:abstractNumId="12">
    <w:nsid w:val="67947039"/>
    <w:multiLevelType w:val="hybridMultilevel"/>
    <w:tmpl w:val="21BEF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42B5FE7"/>
    <w:multiLevelType w:val="hybridMultilevel"/>
    <w:tmpl w:val="F28A357A"/>
    <w:lvl w:ilvl="0" w:tplc="D246868E">
      <w:numFmt w:val="bullet"/>
      <w:lvlText w:val="-"/>
      <w:lvlJc w:val="left"/>
      <w:pPr>
        <w:ind w:left="721" w:hanging="360"/>
      </w:pPr>
      <w:rPr>
        <w:rFonts w:ascii="Calibri" w:eastAsia="Calibri" w:hAnsi="Calibri" w:cs="Calibri" w:hint="default"/>
        <w:b w:val="0"/>
        <w:bCs w:val="0"/>
        <w:i w:val="0"/>
        <w:iCs w:val="0"/>
        <w:spacing w:val="0"/>
        <w:w w:val="100"/>
        <w:sz w:val="24"/>
        <w:szCs w:val="24"/>
        <w:lang w:val="fr-FR" w:eastAsia="en-US" w:bidi="ar-SA"/>
      </w:rPr>
    </w:lvl>
    <w:lvl w:ilvl="1" w:tplc="8806F1E2">
      <w:numFmt w:val="bullet"/>
      <w:lvlText w:val="•"/>
      <w:lvlJc w:val="left"/>
      <w:pPr>
        <w:ind w:left="1597" w:hanging="360"/>
      </w:pPr>
      <w:rPr>
        <w:rFonts w:hint="default"/>
        <w:lang w:val="fr-FR" w:eastAsia="en-US" w:bidi="ar-SA"/>
      </w:rPr>
    </w:lvl>
    <w:lvl w:ilvl="2" w:tplc="2FCAA4E2">
      <w:numFmt w:val="bullet"/>
      <w:lvlText w:val="•"/>
      <w:lvlJc w:val="left"/>
      <w:pPr>
        <w:ind w:left="2475" w:hanging="360"/>
      </w:pPr>
      <w:rPr>
        <w:rFonts w:hint="default"/>
        <w:lang w:val="fr-FR" w:eastAsia="en-US" w:bidi="ar-SA"/>
      </w:rPr>
    </w:lvl>
    <w:lvl w:ilvl="3" w:tplc="F28435BC">
      <w:numFmt w:val="bullet"/>
      <w:lvlText w:val="•"/>
      <w:lvlJc w:val="left"/>
      <w:pPr>
        <w:ind w:left="3353" w:hanging="360"/>
      </w:pPr>
      <w:rPr>
        <w:rFonts w:hint="default"/>
        <w:lang w:val="fr-FR" w:eastAsia="en-US" w:bidi="ar-SA"/>
      </w:rPr>
    </w:lvl>
    <w:lvl w:ilvl="4" w:tplc="BC2A526C">
      <w:numFmt w:val="bullet"/>
      <w:lvlText w:val="•"/>
      <w:lvlJc w:val="left"/>
      <w:pPr>
        <w:ind w:left="4230" w:hanging="360"/>
      </w:pPr>
      <w:rPr>
        <w:rFonts w:hint="default"/>
        <w:lang w:val="fr-FR" w:eastAsia="en-US" w:bidi="ar-SA"/>
      </w:rPr>
    </w:lvl>
    <w:lvl w:ilvl="5" w:tplc="79508208">
      <w:numFmt w:val="bullet"/>
      <w:lvlText w:val="•"/>
      <w:lvlJc w:val="left"/>
      <w:pPr>
        <w:ind w:left="5108" w:hanging="360"/>
      </w:pPr>
      <w:rPr>
        <w:rFonts w:hint="default"/>
        <w:lang w:val="fr-FR" w:eastAsia="en-US" w:bidi="ar-SA"/>
      </w:rPr>
    </w:lvl>
    <w:lvl w:ilvl="6" w:tplc="D4381208">
      <w:numFmt w:val="bullet"/>
      <w:lvlText w:val="•"/>
      <w:lvlJc w:val="left"/>
      <w:pPr>
        <w:ind w:left="5986" w:hanging="360"/>
      </w:pPr>
      <w:rPr>
        <w:rFonts w:hint="default"/>
        <w:lang w:val="fr-FR" w:eastAsia="en-US" w:bidi="ar-SA"/>
      </w:rPr>
    </w:lvl>
    <w:lvl w:ilvl="7" w:tplc="03BE13A8">
      <w:numFmt w:val="bullet"/>
      <w:lvlText w:val="•"/>
      <w:lvlJc w:val="left"/>
      <w:pPr>
        <w:ind w:left="6864" w:hanging="360"/>
      </w:pPr>
      <w:rPr>
        <w:rFonts w:hint="default"/>
        <w:lang w:val="fr-FR" w:eastAsia="en-US" w:bidi="ar-SA"/>
      </w:rPr>
    </w:lvl>
    <w:lvl w:ilvl="8" w:tplc="867CCDBC">
      <w:numFmt w:val="bullet"/>
      <w:lvlText w:val="•"/>
      <w:lvlJc w:val="left"/>
      <w:pPr>
        <w:ind w:left="7741" w:hanging="360"/>
      </w:pPr>
      <w:rPr>
        <w:rFonts w:hint="default"/>
        <w:lang w:val="fr-FR" w:eastAsia="en-US" w:bidi="ar-SA"/>
      </w:rPr>
    </w:lvl>
  </w:abstractNum>
  <w:abstractNum w:abstractNumId="14">
    <w:nsid w:val="7C436600"/>
    <w:multiLevelType w:val="multilevel"/>
    <w:tmpl w:val="38BC074C"/>
    <w:lvl w:ilvl="0">
      <w:start w:val="1"/>
      <w:numFmt w:val="decimal"/>
      <w:lvlText w:val="%1."/>
      <w:lvlJc w:val="left"/>
      <w:pPr>
        <w:ind w:left="260" w:hanging="260"/>
      </w:pPr>
      <w:rPr>
        <w:rFonts w:ascii="Times New Roman" w:eastAsia="Times New Roman" w:hAnsi="Times New Roman" w:cs="Times New Roman" w:hint="default"/>
        <w:b/>
        <w:bCs/>
        <w:i w:val="0"/>
        <w:iCs w:val="0"/>
        <w:spacing w:val="0"/>
        <w:w w:val="99"/>
        <w:sz w:val="26"/>
        <w:szCs w:val="26"/>
        <w:lang w:val="fr-FR" w:eastAsia="en-US" w:bidi="ar-SA"/>
      </w:rPr>
    </w:lvl>
    <w:lvl w:ilvl="1">
      <w:start w:val="1"/>
      <w:numFmt w:val="decimal"/>
      <w:lvlText w:val="%1.%2."/>
      <w:lvlJc w:val="left"/>
      <w:pPr>
        <w:ind w:left="1163" w:hanging="454"/>
      </w:pPr>
      <w:rPr>
        <w:rFonts w:ascii="Times New Roman" w:eastAsia="Times New Roman" w:hAnsi="Times New Roman" w:cs="Times New Roman" w:hint="default"/>
        <w:b/>
        <w:bCs/>
        <w:i w:val="0"/>
        <w:iCs w:val="0"/>
        <w:spacing w:val="0"/>
        <w:w w:val="99"/>
        <w:sz w:val="26"/>
        <w:szCs w:val="26"/>
        <w:lang w:val="fr-FR" w:eastAsia="en-US" w:bidi="ar-SA"/>
      </w:rPr>
    </w:lvl>
    <w:lvl w:ilvl="2">
      <w:numFmt w:val="bullet"/>
      <w:lvlText w:val="•"/>
      <w:lvlJc w:val="left"/>
      <w:pPr>
        <w:ind w:left="1463" w:hanging="454"/>
      </w:pPr>
      <w:rPr>
        <w:rFonts w:hint="default"/>
        <w:lang w:val="fr-FR" w:eastAsia="en-US" w:bidi="ar-SA"/>
      </w:rPr>
    </w:lvl>
    <w:lvl w:ilvl="3">
      <w:numFmt w:val="bullet"/>
      <w:lvlText w:val="•"/>
      <w:lvlJc w:val="left"/>
      <w:pPr>
        <w:ind w:left="2467" w:hanging="454"/>
      </w:pPr>
      <w:rPr>
        <w:rFonts w:hint="default"/>
        <w:lang w:val="fr-FR" w:eastAsia="en-US" w:bidi="ar-SA"/>
      </w:rPr>
    </w:lvl>
    <w:lvl w:ilvl="4">
      <w:numFmt w:val="bullet"/>
      <w:lvlText w:val="•"/>
      <w:lvlJc w:val="left"/>
      <w:pPr>
        <w:ind w:left="3471" w:hanging="454"/>
      </w:pPr>
      <w:rPr>
        <w:rFonts w:hint="default"/>
        <w:lang w:val="fr-FR" w:eastAsia="en-US" w:bidi="ar-SA"/>
      </w:rPr>
    </w:lvl>
    <w:lvl w:ilvl="5">
      <w:numFmt w:val="bullet"/>
      <w:lvlText w:val="•"/>
      <w:lvlJc w:val="left"/>
      <w:pPr>
        <w:ind w:left="4475" w:hanging="454"/>
      </w:pPr>
      <w:rPr>
        <w:rFonts w:hint="default"/>
        <w:lang w:val="fr-FR" w:eastAsia="en-US" w:bidi="ar-SA"/>
      </w:rPr>
    </w:lvl>
    <w:lvl w:ilvl="6">
      <w:numFmt w:val="bullet"/>
      <w:lvlText w:val="•"/>
      <w:lvlJc w:val="left"/>
      <w:pPr>
        <w:ind w:left="5479" w:hanging="454"/>
      </w:pPr>
      <w:rPr>
        <w:rFonts w:hint="default"/>
        <w:lang w:val="fr-FR" w:eastAsia="en-US" w:bidi="ar-SA"/>
      </w:rPr>
    </w:lvl>
    <w:lvl w:ilvl="7">
      <w:numFmt w:val="bullet"/>
      <w:lvlText w:val="•"/>
      <w:lvlJc w:val="left"/>
      <w:pPr>
        <w:ind w:left="6483" w:hanging="454"/>
      </w:pPr>
      <w:rPr>
        <w:rFonts w:hint="default"/>
        <w:lang w:val="fr-FR" w:eastAsia="en-US" w:bidi="ar-SA"/>
      </w:rPr>
    </w:lvl>
    <w:lvl w:ilvl="8">
      <w:numFmt w:val="bullet"/>
      <w:lvlText w:val="•"/>
      <w:lvlJc w:val="left"/>
      <w:pPr>
        <w:ind w:left="7488" w:hanging="454"/>
      </w:pPr>
      <w:rPr>
        <w:rFonts w:hint="default"/>
        <w:lang w:val="fr-FR" w:eastAsia="en-US" w:bidi="ar-SA"/>
      </w:rPr>
    </w:lvl>
  </w:abstractNum>
  <w:num w:numId="1">
    <w:abstractNumId w:val="0"/>
  </w:num>
  <w:num w:numId="2">
    <w:abstractNumId w:val="3"/>
  </w:num>
  <w:num w:numId="3">
    <w:abstractNumId w:val="5"/>
  </w:num>
  <w:num w:numId="4">
    <w:abstractNumId w:val="10"/>
  </w:num>
  <w:num w:numId="5">
    <w:abstractNumId w:val="7"/>
  </w:num>
  <w:num w:numId="6">
    <w:abstractNumId w:val="8"/>
  </w:num>
  <w:num w:numId="7">
    <w:abstractNumId w:val="11"/>
  </w:num>
  <w:num w:numId="8">
    <w:abstractNumId w:val="13"/>
  </w:num>
  <w:num w:numId="9">
    <w:abstractNumId w:val="4"/>
  </w:num>
  <w:num w:numId="10">
    <w:abstractNumId w:val="1"/>
  </w:num>
  <w:num w:numId="11">
    <w:abstractNumId w:val="14"/>
  </w:num>
  <w:num w:numId="12">
    <w:abstractNumId w:val="9"/>
  </w:num>
  <w:num w:numId="13">
    <w:abstractNumId w:val="6"/>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BE"/>
    <w:rsid w:val="00064BBE"/>
    <w:rsid w:val="000A752A"/>
    <w:rsid w:val="000B0C61"/>
    <w:rsid w:val="000C3C31"/>
    <w:rsid w:val="001650BE"/>
    <w:rsid w:val="001E3B52"/>
    <w:rsid w:val="00207BBB"/>
    <w:rsid w:val="00334C91"/>
    <w:rsid w:val="003803FD"/>
    <w:rsid w:val="0041593D"/>
    <w:rsid w:val="00457CFE"/>
    <w:rsid w:val="004836DF"/>
    <w:rsid w:val="005A584E"/>
    <w:rsid w:val="005E4EBA"/>
    <w:rsid w:val="00620E64"/>
    <w:rsid w:val="00640CF5"/>
    <w:rsid w:val="00675ABE"/>
    <w:rsid w:val="00697AED"/>
    <w:rsid w:val="006B13F9"/>
    <w:rsid w:val="007712D9"/>
    <w:rsid w:val="00783D0B"/>
    <w:rsid w:val="007A3632"/>
    <w:rsid w:val="007D09B8"/>
    <w:rsid w:val="00806058"/>
    <w:rsid w:val="008379D1"/>
    <w:rsid w:val="0084313A"/>
    <w:rsid w:val="00872FDE"/>
    <w:rsid w:val="00880163"/>
    <w:rsid w:val="008B2B6F"/>
    <w:rsid w:val="009B56DA"/>
    <w:rsid w:val="009C496D"/>
    <w:rsid w:val="00A63170"/>
    <w:rsid w:val="00A96FFF"/>
    <w:rsid w:val="00B13E52"/>
    <w:rsid w:val="00B65369"/>
    <w:rsid w:val="00B721E3"/>
    <w:rsid w:val="00B87B6A"/>
    <w:rsid w:val="00C15FA7"/>
    <w:rsid w:val="00C30688"/>
    <w:rsid w:val="00CB7C20"/>
    <w:rsid w:val="00D04AB0"/>
    <w:rsid w:val="00E12413"/>
    <w:rsid w:val="00E17632"/>
    <w:rsid w:val="00EC535C"/>
    <w:rsid w:val="00F473CD"/>
    <w:rsid w:val="00F53C09"/>
    <w:rsid w:val="00FE382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C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BE"/>
    <w:rPr>
      <w:szCs w:val="20"/>
      <w:lang w:eastAsia="fr-FR"/>
    </w:rPr>
  </w:style>
  <w:style w:type="paragraph" w:styleId="Heading1">
    <w:name w:val="heading 1"/>
    <w:basedOn w:val="Normal"/>
    <w:link w:val="Heading1Char"/>
    <w:uiPriority w:val="9"/>
    <w:qFormat/>
    <w:rsid w:val="001650BE"/>
    <w:pPr>
      <w:widowControl w:val="0"/>
      <w:autoSpaceDE w:val="0"/>
      <w:autoSpaceDN w:val="0"/>
      <w:spacing w:after="0" w:line="240" w:lineRule="auto"/>
      <w:ind w:left="316" w:hanging="315"/>
      <w:jc w:val="both"/>
      <w:outlineLvl w:val="0"/>
    </w:pPr>
    <w:rPr>
      <w:rFonts w:ascii="Times New Roman" w:eastAsia="Times New Roman" w:hAnsi="Times New Roman"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0BE"/>
    <w:rPr>
      <w:rFonts w:ascii="Times New Roman" w:eastAsia="Times New Roman" w:hAnsi="Times New Roman" w:cs="Times New Roman"/>
      <w:b/>
      <w:sz w:val="26"/>
      <w:szCs w:val="20"/>
      <w:lang w:eastAsia="fr-FR"/>
    </w:rPr>
  </w:style>
  <w:style w:type="table" w:customStyle="1" w:styleId="TableNormal1">
    <w:name w:val="Table Normal1"/>
    <w:uiPriority w:val="2"/>
    <w:semiHidden/>
    <w:unhideWhenUsed/>
    <w:qFormat/>
    <w:rsid w:val="001650BE"/>
    <w:pPr>
      <w:widowControl w:val="0"/>
      <w:autoSpaceDE w:val="0"/>
      <w:autoSpaceDN w:val="0"/>
      <w:spacing w:after="0" w:line="240" w:lineRule="auto"/>
    </w:pPr>
    <w:rPr>
      <w:szCs w:val="20"/>
      <w:lang w:eastAsia="fr-FR"/>
    </w:rPr>
    <w:tblPr>
      <w:tblInd w:w="0" w:type="dxa"/>
      <w:tblCellMar>
        <w:top w:w="0" w:type="dxa"/>
        <w:left w:w="0" w:type="dxa"/>
        <w:bottom w:w="0" w:type="dxa"/>
        <w:right w:w="0" w:type="dxa"/>
      </w:tblCellMar>
    </w:tblPr>
  </w:style>
  <w:style w:type="numbering" w:customStyle="1" w:styleId="Aucuneliste1">
    <w:name w:val="Aucune liste1"/>
    <w:next w:val="NoList"/>
    <w:uiPriority w:val="99"/>
    <w:semiHidden/>
    <w:unhideWhenUsed/>
    <w:rsid w:val="001650BE"/>
  </w:style>
  <w:style w:type="paragraph" w:styleId="BodyText">
    <w:name w:val="Body Text"/>
    <w:basedOn w:val="Normal"/>
    <w:link w:val="BodyTextChar"/>
    <w:uiPriority w:val="1"/>
    <w:qFormat/>
    <w:rsid w:val="001650BE"/>
    <w:pPr>
      <w:widowControl w:val="0"/>
      <w:autoSpaceDE w:val="0"/>
      <w:autoSpaceDN w:val="0"/>
      <w:spacing w:after="0" w:line="240" w:lineRule="auto"/>
    </w:pPr>
    <w:rPr>
      <w:rFonts w:ascii="Times New Roman" w:eastAsia="Times New Roman" w:hAnsi="Times New Roman" w:cs="Times New Roman"/>
      <w:sz w:val="26"/>
    </w:rPr>
  </w:style>
  <w:style w:type="character" w:customStyle="1" w:styleId="BodyTextChar">
    <w:name w:val="Body Text Char"/>
    <w:basedOn w:val="DefaultParagraphFont"/>
    <w:link w:val="BodyText"/>
    <w:uiPriority w:val="1"/>
    <w:rsid w:val="001650BE"/>
    <w:rPr>
      <w:rFonts w:ascii="Times New Roman" w:eastAsia="Times New Roman" w:hAnsi="Times New Roman" w:cs="Times New Roman"/>
      <w:sz w:val="26"/>
      <w:szCs w:val="20"/>
      <w:lang w:eastAsia="fr-FR"/>
    </w:rPr>
  </w:style>
  <w:style w:type="paragraph" w:styleId="Title">
    <w:name w:val="Title"/>
    <w:basedOn w:val="Normal"/>
    <w:link w:val="TitleChar"/>
    <w:uiPriority w:val="1"/>
    <w:qFormat/>
    <w:rsid w:val="001650BE"/>
    <w:pPr>
      <w:widowControl w:val="0"/>
      <w:autoSpaceDE w:val="0"/>
      <w:autoSpaceDN w:val="0"/>
      <w:spacing w:before="230" w:after="0" w:line="240" w:lineRule="auto"/>
      <w:ind w:left="109" w:right="532"/>
      <w:jc w:val="center"/>
    </w:pPr>
    <w:rPr>
      <w:rFonts w:ascii="Times New Roman" w:eastAsia="Times New Roman" w:hAnsi="Times New Roman" w:cs="Times New Roman"/>
      <w:b/>
      <w:sz w:val="28"/>
    </w:rPr>
  </w:style>
  <w:style w:type="character" w:customStyle="1" w:styleId="TitleChar">
    <w:name w:val="Title Char"/>
    <w:basedOn w:val="DefaultParagraphFont"/>
    <w:link w:val="Title"/>
    <w:uiPriority w:val="1"/>
    <w:rsid w:val="001650BE"/>
    <w:rPr>
      <w:rFonts w:ascii="Times New Roman" w:eastAsia="Times New Roman" w:hAnsi="Times New Roman" w:cs="Times New Roman"/>
      <w:b/>
      <w:sz w:val="28"/>
      <w:szCs w:val="20"/>
      <w:lang w:eastAsia="fr-FR"/>
    </w:rPr>
  </w:style>
  <w:style w:type="paragraph" w:styleId="ListParagraph">
    <w:name w:val="List Paragraph"/>
    <w:basedOn w:val="Normal"/>
    <w:uiPriority w:val="1"/>
    <w:qFormat/>
    <w:rsid w:val="001650BE"/>
    <w:pPr>
      <w:widowControl w:val="0"/>
      <w:autoSpaceDE w:val="0"/>
      <w:autoSpaceDN w:val="0"/>
      <w:spacing w:after="0" w:line="240" w:lineRule="auto"/>
      <w:ind w:left="721" w:hanging="360"/>
      <w:jc w:val="both"/>
    </w:pPr>
    <w:rPr>
      <w:rFonts w:ascii="Times New Roman" w:eastAsia="Times New Roman" w:hAnsi="Times New Roman" w:cs="Times New Roman"/>
    </w:rPr>
  </w:style>
  <w:style w:type="paragraph" w:customStyle="1" w:styleId="TableParagraph">
    <w:name w:val="Table Paragraph"/>
    <w:basedOn w:val="Normal"/>
    <w:uiPriority w:val="1"/>
    <w:qFormat/>
    <w:rsid w:val="001650BE"/>
    <w:pPr>
      <w:widowControl w:val="0"/>
      <w:autoSpaceDE w:val="0"/>
      <w:autoSpaceDN w:val="0"/>
      <w:spacing w:after="0" w:line="240" w:lineRule="auto"/>
      <w:ind w:left="107"/>
    </w:pPr>
    <w:rPr>
      <w:rFonts w:ascii="Times New Roman" w:eastAsia="Times New Roman" w:hAnsi="Times New Roman" w:cs="Times New Roman"/>
    </w:rPr>
  </w:style>
  <w:style w:type="character" w:styleId="Hyperlink">
    <w:name w:val="Hyperlink"/>
    <w:basedOn w:val="DefaultParagraphFont"/>
    <w:uiPriority w:val="99"/>
    <w:unhideWhenUsed/>
    <w:rsid w:val="001650BE"/>
    <w:rPr>
      <w:color w:val="0000FF" w:themeColor="hyperlink"/>
      <w:u w:val="single"/>
    </w:rPr>
  </w:style>
  <w:style w:type="table" w:styleId="TableGrid">
    <w:name w:val="Table Grid"/>
    <w:basedOn w:val="TableNormal"/>
    <w:uiPriority w:val="59"/>
    <w:rsid w:val="001650BE"/>
    <w:pPr>
      <w:spacing w:after="0" w:line="240" w:lineRule="auto"/>
    </w:pPr>
    <w:rPr>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ed-reason-markdown">
    <w:name w:val="cited-reason-markdown"/>
    <w:basedOn w:val="DefaultParagraphFont"/>
    <w:rsid w:val="001650BE"/>
  </w:style>
  <w:style w:type="paragraph" w:styleId="Bibliography">
    <w:name w:val="Bibliography"/>
    <w:basedOn w:val="Normal"/>
    <w:next w:val="Normal"/>
    <w:uiPriority w:val="37"/>
    <w:unhideWhenUsed/>
    <w:rsid w:val="001650BE"/>
  </w:style>
  <w:style w:type="paragraph" w:styleId="TOC1">
    <w:name w:val="toc 1"/>
    <w:basedOn w:val="Normal"/>
    <w:next w:val="Normal"/>
    <w:autoRedefine/>
    <w:uiPriority w:val="39"/>
    <w:unhideWhenUsed/>
    <w:rsid w:val="001650BE"/>
    <w:pPr>
      <w:spacing w:after="100"/>
    </w:pPr>
  </w:style>
  <w:style w:type="paragraph" w:customStyle="1" w:styleId="P68B1DB1-Normal1">
    <w:name w:val="P68B1DB1-Normal1"/>
    <w:basedOn w:val="Normal"/>
    <w:rsid w:val="001650BE"/>
    <w:rPr>
      <w:rFonts w:asciiTheme="majorBidi" w:hAnsiTheme="majorBidi" w:cstheme="majorBidi"/>
      <w:b/>
      <w:sz w:val="36"/>
    </w:rPr>
  </w:style>
  <w:style w:type="paragraph" w:customStyle="1" w:styleId="P68B1DB1-Normal2">
    <w:name w:val="P68B1DB1-Normal2"/>
    <w:basedOn w:val="Normal"/>
    <w:rsid w:val="001650BE"/>
    <w:rPr>
      <w:rFonts w:asciiTheme="majorBidi" w:hAnsiTheme="majorBidi" w:cstheme="majorBidi"/>
      <w:sz w:val="18"/>
    </w:rPr>
  </w:style>
  <w:style w:type="paragraph" w:customStyle="1" w:styleId="P68B1DB1-Normal3">
    <w:name w:val="P68B1DB1-Normal3"/>
    <w:basedOn w:val="Normal"/>
    <w:rsid w:val="001650BE"/>
    <w:rPr>
      <w:rFonts w:asciiTheme="majorBidi" w:hAnsiTheme="majorBidi" w:cstheme="majorBidi"/>
      <w:b/>
      <w:sz w:val="24"/>
    </w:rPr>
  </w:style>
  <w:style w:type="paragraph" w:customStyle="1" w:styleId="P68B1DB1-Normal4">
    <w:name w:val="P68B1DB1-Normal4"/>
    <w:basedOn w:val="Normal"/>
    <w:rsid w:val="001650BE"/>
    <w:rPr>
      <w:rFonts w:asciiTheme="majorBidi" w:hAnsiTheme="majorBidi" w:cstheme="majorBidi"/>
      <w:sz w:val="24"/>
    </w:rPr>
  </w:style>
  <w:style w:type="paragraph" w:customStyle="1" w:styleId="P68B1DB1-Normal5">
    <w:name w:val="P68B1DB1-Normal5"/>
    <w:basedOn w:val="Normal"/>
    <w:rsid w:val="001650BE"/>
    <w:rPr>
      <w:rFonts w:ascii="Times New Roman" w:eastAsia="Times New Roman" w:hAnsi="Times New Roman" w:cs="Times New Roman"/>
      <w:b/>
      <w:sz w:val="24"/>
    </w:rPr>
  </w:style>
  <w:style w:type="paragraph" w:customStyle="1" w:styleId="P68B1DB1-Normal6">
    <w:name w:val="P68B1DB1-Normal6"/>
    <w:basedOn w:val="Normal"/>
    <w:rsid w:val="001650BE"/>
    <w:rPr>
      <w:rFonts w:ascii="Times New Roman" w:eastAsia="Times New Roman" w:hAnsi="Times New Roman" w:cs="Times New Roman"/>
      <w:b/>
      <w:sz w:val="20"/>
    </w:rPr>
  </w:style>
  <w:style w:type="paragraph" w:customStyle="1" w:styleId="P68B1DB1-Normal7">
    <w:name w:val="P68B1DB1-Normal7"/>
    <w:basedOn w:val="Normal"/>
    <w:rsid w:val="001650BE"/>
    <w:rPr>
      <w:rFonts w:ascii="Times New Roman" w:eastAsia="Times New Roman" w:hAnsi="Times New Roman" w:cs="Times New Roman"/>
      <w:sz w:val="20"/>
    </w:rPr>
  </w:style>
  <w:style w:type="paragraph" w:customStyle="1" w:styleId="P68B1DB1-Normal8">
    <w:name w:val="P68B1DB1-Normal8"/>
    <w:basedOn w:val="Normal"/>
    <w:rsid w:val="001650BE"/>
    <w:rPr>
      <w:rFonts w:ascii="Times New Roman" w:eastAsia="Times New Roman" w:hAnsi="Times New Roman" w:cs="Times New Roman"/>
      <w:sz w:val="24"/>
    </w:rPr>
  </w:style>
  <w:style w:type="paragraph" w:customStyle="1" w:styleId="P68B1DB1-Normal9">
    <w:name w:val="P68B1DB1-Normal9"/>
    <w:basedOn w:val="Normal"/>
    <w:rsid w:val="001650BE"/>
    <w:rPr>
      <w:b/>
    </w:rPr>
  </w:style>
  <w:style w:type="paragraph" w:customStyle="1" w:styleId="P68B1DB1-Normal10">
    <w:name w:val="P68B1DB1-Normal10"/>
    <w:basedOn w:val="Normal"/>
    <w:rsid w:val="001650BE"/>
    <w:rPr>
      <w:rFonts w:ascii="Times New Roman" w:eastAsia="Times New Roman" w:hAnsi="Times New Roman" w:cs="Times New Roman"/>
      <w:sz w:val="18"/>
    </w:rPr>
  </w:style>
  <w:style w:type="paragraph" w:customStyle="1" w:styleId="P68B1DB1-Normal11">
    <w:name w:val="P68B1DB1-Normal11"/>
    <w:basedOn w:val="Normal"/>
    <w:rsid w:val="001650BE"/>
    <w:rPr>
      <w:rFonts w:ascii="Times New Roman" w:eastAsia="Times New Roman" w:hAnsi="Times New Roman" w:cs="Times New Roman"/>
      <w:b/>
      <w:sz w:val="26"/>
    </w:rPr>
  </w:style>
  <w:style w:type="paragraph" w:customStyle="1" w:styleId="P68B1DB1-Normal12">
    <w:name w:val="P68B1DB1-Normal12"/>
    <w:basedOn w:val="Normal"/>
    <w:rsid w:val="001650BE"/>
    <w:rPr>
      <w:rFonts w:ascii="Times New Roman" w:eastAsia="Times New Roman" w:hAnsi="Times New Roman" w:cs="Times New Roman"/>
      <w:sz w:val="16"/>
    </w:rPr>
  </w:style>
  <w:style w:type="paragraph" w:customStyle="1" w:styleId="P68B1DB1-Normal13">
    <w:name w:val="P68B1DB1-Normal13"/>
    <w:basedOn w:val="Normal"/>
    <w:rsid w:val="001650BE"/>
    <w:rPr>
      <w:sz w:val="14"/>
    </w:rPr>
  </w:style>
  <w:style w:type="paragraph" w:customStyle="1" w:styleId="P68B1DB1-Normal14">
    <w:name w:val="P68B1DB1-Normal14"/>
    <w:basedOn w:val="Normal"/>
    <w:rsid w:val="001650BE"/>
    <w:rPr>
      <w:rFonts w:ascii="Times New Roman" w:eastAsia="Times New Roman" w:hAnsi="Times New Roman" w:cs="Times New Roman"/>
      <w:sz w:val="26"/>
    </w:rPr>
  </w:style>
  <w:style w:type="paragraph" w:customStyle="1" w:styleId="P68B1DB1-Paragraphedeliste15">
    <w:name w:val="P68B1DB1-Paragraphedeliste15"/>
    <w:basedOn w:val="ListParagraph"/>
    <w:rsid w:val="001650BE"/>
    <w:rPr>
      <w:sz w:val="20"/>
    </w:rPr>
  </w:style>
  <w:style w:type="paragraph" w:customStyle="1" w:styleId="P68B1DB1-Paragraphedeliste16">
    <w:name w:val="P68B1DB1-Paragraphedeliste16"/>
    <w:basedOn w:val="ListParagraph"/>
    <w:rsid w:val="001650BE"/>
    <w:rPr>
      <w:sz w:val="24"/>
    </w:rPr>
  </w:style>
  <w:style w:type="paragraph" w:customStyle="1" w:styleId="P68B1DB1-Paragraphedeliste17">
    <w:name w:val="P68B1DB1-Paragraphedeliste17"/>
    <w:basedOn w:val="ListParagraph"/>
    <w:rsid w:val="001650BE"/>
    <w:rPr>
      <w:b/>
      <w:sz w:val="24"/>
    </w:rPr>
  </w:style>
  <w:style w:type="paragraph" w:customStyle="1" w:styleId="P68B1DB1-Normal18">
    <w:name w:val="P68B1DB1-Normal18"/>
    <w:basedOn w:val="Normal"/>
    <w:rsid w:val="001650BE"/>
    <w:rPr>
      <w:rFonts w:ascii="Times New Roman" w:eastAsia="Times New Roman" w:hAnsi="Times New Roman" w:cs="Times New Roman"/>
    </w:rPr>
  </w:style>
  <w:style w:type="paragraph" w:customStyle="1" w:styleId="P68B1DB1-Normal19">
    <w:name w:val="P68B1DB1-Normal19"/>
    <w:basedOn w:val="Normal"/>
    <w:rsid w:val="001650BE"/>
    <w:rPr>
      <w:rFonts w:asciiTheme="majorBidi" w:hAnsiTheme="majorBidi" w:cstheme="majorBidi"/>
      <w:b/>
    </w:rPr>
  </w:style>
  <w:style w:type="paragraph" w:customStyle="1" w:styleId="P68B1DB1-Paragraphedeliste20">
    <w:name w:val="P68B1DB1-Paragraphedeliste20"/>
    <w:basedOn w:val="ListParagraph"/>
    <w:rsid w:val="001650BE"/>
    <w:rPr>
      <w:rFonts w:asciiTheme="majorBidi" w:hAnsiTheme="majorBidi" w:cstheme="majorBidi"/>
      <w:b/>
      <w:sz w:val="24"/>
    </w:rPr>
  </w:style>
  <w:style w:type="paragraph" w:customStyle="1" w:styleId="P68B1DB1-Paragraphedeliste21">
    <w:name w:val="P68B1DB1-Paragraphedeliste21"/>
    <w:basedOn w:val="ListParagraph"/>
    <w:rsid w:val="001650BE"/>
    <w:rPr>
      <w:rFonts w:asciiTheme="majorBidi" w:hAnsiTheme="majorBidi" w:cstheme="majorBidi"/>
      <w:sz w:val="24"/>
    </w:rPr>
  </w:style>
  <w:style w:type="paragraph" w:customStyle="1" w:styleId="P68B1DB1-Normal22">
    <w:name w:val="P68B1DB1-Normal22"/>
    <w:basedOn w:val="Normal"/>
    <w:rsid w:val="001650BE"/>
    <w:rPr>
      <w:rFonts w:asciiTheme="majorBidi" w:hAnsiTheme="majorBidi" w:cstheme="majorBidi"/>
      <w:b/>
      <w:sz w:val="26"/>
    </w:rPr>
  </w:style>
  <w:style w:type="paragraph" w:customStyle="1" w:styleId="P68B1DB1-Bibliographie23">
    <w:name w:val="P68B1DB1-Bibliographie23"/>
    <w:basedOn w:val="Bibliography"/>
    <w:rsid w:val="001650BE"/>
    <w:rPr>
      <w:rFonts w:asciiTheme="majorBidi" w:hAnsiTheme="majorBidi" w:cstheme="majorBidi"/>
      <w:sz w:val="24"/>
    </w:rPr>
  </w:style>
  <w:style w:type="paragraph" w:styleId="Header">
    <w:name w:val="header"/>
    <w:basedOn w:val="Normal"/>
    <w:link w:val="HeaderChar"/>
    <w:uiPriority w:val="99"/>
    <w:unhideWhenUsed/>
    <w:rsid w:val="001650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50BE"/>
    <w:rPr>
      <w:szCs w:val="20"/>
      <w:lang w:eastAsia="fr-FR"/>
    </w:rPr>
  </w:style>
  <w:style w:type="paragraph" w:styleId="Footer">
    <w:name w:val="footer"/>
    <w:basedOn w:val="Normal"/>
    <w:link w:val="FooterChar"/>
    <w:uiPriority w:val="99"/>
    <w:unhideWhenUsed/>
    <w:rsid w:val="001650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50BE"/>
    <w:rPr>
      <w:szCs w:val="20"/>
      <w:lang w:eastAsia="fr-FR"/>
    </w:rPr>
  </w:style>
  <w:style w:type="paragraph" w:styleId="BalloonText">
    <w:name w:val="Balloon Text"/>
    <w:basedOn w:val="Normal"/>
    <w:link w:val="BalloonTextChar"/>
    <w:uiPriority w:val="99"/>
    <w:semiHidden/>
    <w:unhideWhenUsed/>
    <w:rsid w:val="00165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0BE"/>
    <w:rPr>
      <w:rFonts w:ascii="Segoe UI" w:hAnsi="Segoe UI" w:cs="Segoe UI"/>
      <w:sz w:val="18"/>
      <w:szCs w:val="18"/>
      <w:lang w:eastAsia="fr-FR"/>
    </w:rPr>
  </w:style>
  <w:style w:type="character" w:styleId="CommentReference">
    <w:name w:val="annotation reference"/>
    <w:basedOn w:val="DefaultParagraphFont"/>
    <w:uiPriority w:val="99"/>
    <w:semiHidden/>
    <w:unhideWhenUsed/>
    <w:rsid w:val="001650BE"/>
    <w:rPr>
      <w:sz w:val="16"/>
      <w:szCs w:val="16"/>
    </w:rPr>
  </w:style>
  <w:style w:type="paragraph" w:styleId="CommentText">
    <w:name w:val="annotation text"/>
    <w:basedOn w:val="Normal"/>
    <w:link w:val="CommentTextChar"/>
    <w:uiPriority w:val="99"/>
    <w:semiHidden/>
    <w:unhideWhenUsed/>
    <w:rsid w:val="001650BE"/>
    <w:pPr>
      <w:spacing w:line="240" w:lineRule="auto"/>
    </w:pPr>
    <w:rPr>
      <w:sz w:val="20"/>
    </w:rPr>
  </w:style>
  <w:style w:type="character" w:customStyle="1" w:styleId="CommentTextChar">
    <w:name w:val="Comment Text Char"/>
    <w:basedOn w:val="DefaultParagraphFont"/>
    <w:link w:val="CommentText"/>
    <w:uiPriority w:val="99"/>
    <w:semiHidden/>
    <w:rsid w:val="001650BE"/>
    <w:rPr>
      <w:sz w:val="20"/>
      <w:szCs w:val="20"/>
      <w:lang w:eastAsia="fr-FR"/>
    </w:rPr>
  </w:style>
  <w:style w:type="paragraph" w:styleId="CommentSubject">
    <w:name w:val="annotation subject"/>
    <w:basedOn w:val="CommentText"/>
    <w:next w:val="CommentText"/>
    <w:link w:val="CommentSubjectChar"/>
    <w:uiPriority w:val="99"/>
    <w:semiHidden/>
    <w:unhideWhenUsed/>
    <w:rsid w:val="001650BE"/>
    <w:rPr>
      <w:b/>
      <w:bCs/>
    </w:rPr>
  </w:style>
  <w:style w:type="character" w:customStyle="1" w:styleId="CommentSubjectChar">
    <w:name w:val="Comment Subject Char"/>
    <w:basedOn w:val="CommentTextChar"/>
    <w:link w:val="CommentSubject"/>
    <w:uiPriority w:val="99"/>
    <w:semiHidden/>
    <w:rsid w:val="001650BE"/>
    <w:rPr>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BE"/>
    <w:rPr>
      <w:szCs w:val="20"/>
      <w:lang w:eastAsia="fr-FR"/>
    </w:rPr>
  </w:style>
  <w:style w:type="paragraph" w:styleId="Heading1">
    <w:name w:val="heading 1"/>
    <w:basedOn w:val="Normal"/>
    <w:link w:val="Heading1Char"/>
    <w:uiPriority w:val="9"/>
    <w:qFormat/>
    <w:rsid w:val="001650BE"/>
    <w:pPr>
      <w:widowControl w:val="0"/>
      <w:autoSpaceDE w:val="0"/>
      <w:autoSpaceDN w:val="0"/>
      <w:spacing w:after="0" w:line="240" w:lineRule="auto"/>
      <w:ind w:left="316" w:hanging="315"/>
      <w:jc w:val="both"/>
      <w:outlineLvl w:val="0"/>
    </w:pPr>
    <w:rPr>
      <w:rFonts w:ascii="Times New Roman" w:eastAsia="Times New Roman" w:hAnsi="Times New Roman"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0BE"/>
    <w:rPr>
      <w:rFonts w:ascii="Times New Roman" w:eastAsia="Times New Roman" w:hAnsi="Times New Roman" w:cs="Times New Roman"/>
      <w:b/>
      <w:sz w:val="26"/>
      <w:szCs w:val="20"/>
      <w:lang w:eastAsia="fr-FR"/>
    </w:rPr>
  </w:style>
  <w:style w:type="table" w:customStyle="1" w:styleId="TableNormal1">
    <w:name w:val="Table Normal1"/>
    <w:uiPriority w:val="2"/>
    <w:semiHidden/>
    <w:unhideWhenUsed/>
    <w:qFormat/>
    <w:rsid w:val="001650BE"/>
    <w:pPr>
      <w:widowControl w:val="0"/>
      <w:autoSpaceDE w:val="0"/>
      <w:autoSpaceDN w:val="0"/>
      <w:spacing w:after="0" w:line="240" w:lineRule="auto"/>
    </w:pPr>
    <w:rPr>
      <w:szCs w:val="20"/>
      <w:lang w:eastAsia="fr-FR"/>
    </w:rPr>
    <w:tblPr>
      <w:tblInd w:w="0" w:type="dxa"/>
      <w:tblCellMar>
        <w:top w:w="0" w:type="dxa"/>
        <w:left w:w="0" w:type="dxa"/>
        <w:bottom w:w="0" w:type="dxa"/>
        <w:right w:w="0" w:type="dxa"/>
      </w:tblCellMar>
    </w:tblPr>
  </w:style>
  <w:style w:type="numbering" w:customStyle="1" w:styleId="Aucuneliste1">
    <w:name w:val="Aucune liste1"/>
    <w:next w:val="NoList"/>
    <w:uiPriority w:val="99"/>
    <w:semiHidden/>
    <w:unhideWhenUsed/>
    <w:rsid w:val="001650BE"/>
  </w:style>
  <w:style w:type="paragraph" w:styleId="BodyText">
    <w:name w:val="Body Text"/>
    <w:basedOn w:val="Normal"/>
    <w:link w:val="BodyTextChar"/>
    <w:uiPriority w:val="1"/>
    <w:qFormat/>
    <w:rsid w:val="001650BE"/>
    <w:pPr>
      <w:widowControl w:val="0"/>
      <w:autoSpaceDE w:val="0"/>
      <w:autoSpaceDN w:val="0"/>
      <w:spacing w:after="0" w:line="240" w:lineRule="auto"/>
    </w:pPr>
    <w:rPr>
      <w:rFonts w:ascii="Times New Roman" w:eastAsia="Times New Roman" w:hAnsi="Times New Roman" w:cs="Times New Roman"/>
      <w:sz w:val="26"/>
    </w:rPr>
  </w:style>
  <w:style w:type="character" w:customStyle="1" w:styleId="BodyTextChar">
    <w:name w:val="Body Text Char"/>
    <w:basedOn w:val="DefaultParagraphFont"/>
    <w:link w:val="BodyText"/>
    <w:uiPriority w:val="1"/>
    <w:rsid w:val="001650BE"/>
    <w:rPr>
      <w:rFonts w:ascii="Times New Roman" w:eastAsia="Times New Roman" w:hAnsi="Times New Roman" w:cs="Times New Roman"/>
      <w:sz w:val="26"/>
      <w:szCs w:val="20"/>
      <w:lang w:eastAsia="fr-FR"/>
    </w:rPr>
  </w:style>
  <w:style w:type="paragraph" w:styleId="Title">
    <w:name w:val="Title"/>
    <w:basedOn w:val="Normal"/>
    <w:link w:val="TitleChar"/>
    <w:uiPriority w:val="1"/>
    <w:qFormat/>
    <w:rsid w:val="001650BE"/>
    <w:pPr>
      <w:widowControl w:val="0"/>
      <w:autoSpaceDE w:val="0"/>
      <w:autoSpaceDN w:val="0"/>
      <w:spacing w:before="230" w:after="0" w:line="240" w:lineRule="auto"/>
      <w:ind w:left="109" w:right="532"/>
      <w:jc w:val="center"/>
    </w:pPr>
    <w:rPr>
      <w:rFonts w:ascii="Times New Roman" w:eastAsia="Times New Roman" w:hAnsi="Times New Roman" w:cs="Times New Roman"/>
      <w:b/>
      <w:sz w:val="28"/>
    </w:rPr>
  </w:style>
  <w:style w:type="character" w:customStyle="1" w:styleId="TitleChar">
    <w:name w:val="Title Char"/>
    <w:basedOn w:val="DefaultParagraphFont"/>
    <w:link w:val="Title"/>
    <w:uiPriority w:val="1"/>
    <w:rsid w:val="001650BE"/>
    <w:rPr>
      <w:rFonts w:ascii="Times New Roman" w:eastAsia="Times New Roman" w:hAnsi="Times New Roman" w:cs="Times New Roman"/>
      <w:b/>
      <w:sz w:val="28"/>
      <w:szCs w:val="20"/>
      <w:lang w:eastAsia="fr-FR"/>
    </w:rPr>
  </w:style>
  <w:style w:type="paragraph" w:styleId="ListParagraph">
    <w:name w:val="List Paragraph"/>
    <w:basedOn w:val="Normal"/>
    <w:uiPriority w:val="1"/>
    <w:qFormat/>
    <w:rsid w:val="001650BE"/>
    <w:pPr>
      <w:widowControl w:val="0"/>
      <w:autoSpaceDE w:val="0"/>
      <w:autoSpaceDN w:val="0"/>
      <w:spacing w:after="0" w:line="240" w:lineRule="auto"/>
      <w:ind w:left="721" w:hanging="360"/>
      <w:jc w:val="both"/>
    </w:pPr>
    <w:rPr>
      <w:rFonts w:ascii="Times New Roman" w:eastAsia="Times New Roman" w:hAnsi="Times New Roman" w:cs="Times New Roman"/>
    </w:rPr>
  </w:style>
  <w:style w:type="paragraph" w:customStyle="1" w:styleId="TableParagraph">
    <w:name w:val="Table Paragraph"/>
    <w:basedOn w:val="Normal"/>
    <w:uiPriority w:val="1"/>
    <w:qFormat/>
    <w:rsid w:val="001650BE"/>
    <w:pPr>
      <w:widowControl w:val="0"/>
      <w:autoSpaceDE w:val="0"/>
      <w:autoSpaceDN w:val="0"/>
      <w:spacing w:after="0" w:line="240" w:lineRule="auto"/>
      <w:ind w:left="107"/>
    </w:pPr>
    <w:rPr>
      <w:rFonts w:ascii="Times New Roman" w:eastAsia="Times New Roman" w:hAnsi="Times New Roman" w:cs="Times New Roman"/>
    </w:rPr>
  </w:style>
  <w:style w:type="character" w:styleId="Hyperlink">
    <w:name w:val="Hyperlink"/>
    <w:basedOn w:val="DefaultParagraphFont"/>
    <w:uiPriority w:val="99"/>
    <w:unhideWhenUsed/>
    <w:rsid w:val="001650BE"/>
    <w:rPr>
      <w:color w:val="0000FF" w:themeColor="hyperlink"/>
      <w:u w:val="single"/>
    </w:rPr>
  </w:style>
  <w:style w:type="table" w:styleId="TableGrid">
    <w:name w:val="Table Grid"/>
    <w:basedOn w:val="TableNormal"/>
    <w:uiPriority w:val="59"/>
    <w:rsid w:val="001650BE"/>
    <w:pPr>
      <w:spacing w:after="0" w:line="240" w:lineRule="auto"/>
    </w:pPr>
    <w:rPr>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ed-reason-markdown">
    <w:name w:val="cited-reason-markdown"/>
    <w:basedOn w:val="DefaultParagraphFont"/>
    <w:rsid w:val="001650BE"/>
  </w:style>
  <w:style w:type="paragraph" w:styleId="Bibliography">
    <w:name w:val="Bibliography"/>
    <w:basedOn w:val="Normal"/>
    <w:next w:val="Normal"/>
    <w:uiPriority w:val="37"/>
    <w:unhideWhenUsed/>
    <w:rsid w:val="001650BE"/>
  </w:style>
  <w:style w:type="paragraph" w:styleId="TOC1">
    <w:name w:val="toc 1"/>
    <w:basedOn w:val="Normal"/>
    <w:next w:val="Normal"/>
    <w:autoRedefine/>
    <w:uiPriority w:val="39"/>
    <w:unhideWhenUsed/>
    <w:rsid w:val="001650BE"/>
    <w:pPr>
      <w:spacing w:after="100"/>
    </w:pPr>
  </w:style>
  <w:style w:type="paragraph" w:customStyle="1" w:styleId="P68B1DB1-Normal1">
    <w:name w:val="P68B1DB1-Normal1"/>
    <w:basedOn w:val="Normal"/>
    <w:rsid w:val="001650BE"/>
    <w:rPr>
      <w:rFonts w:asciiTheme="majorBidi" w:hAnsiTheme="majorBidi" w:cstheme="majorBidi"/>
      <w:b/>
      <w:sz w:val="36"/>
    </w:rPr>
  </w:style>
  <w:style w:type="paragraph" w:customStyle="1" w:styleId="P68B1DB1-Normal2">
    <w:name w:val="P68B1DB1-Normal2"/>
    <w:basedOn w:val="Normal"/>
    <w:rsid w:val="001650BE"/>
    <w:rPr>
      <w:rFonts w:asciiTheme="majorBidi" w:hAnsiTheme="majorBidi" w:cstheme="majorBidi"/>
      <w:sz w:val="18"/>
    </w:rPr>
  </w:style>
  <w:style w:type="paragraph" w:customStyle="1" w:styleId="P68B1DB1-Normal3">
    <w:name w:val="P68B1DB1-Normal3"/>
    <w:basedOn w:val="Normal"/>
    <w:rsid w:val="001650BE"/>
    <w:rPr>
      <w:rFonts w:asciiTheme="majorBidi" w:hAnsiTheme="majorBidi" w:cstheme="majorBidi"/>
      <w:b/>
      <w:sz w:val="24"/>
    </w:rPr>
  </w:style>
  <w:style w:type="paragraph" w:customStyle="1" w:styleId="P68B1DB1-Normal4">
    <w:name w:val="P68B1DB1-Normal4"/>
    <w:basedOn w:val="Normal"/>
    <w:rsid w:val="001650BE"/>
    <w:rPr>
      <w:rFonts w:asciiTheme="majorBidi" w:hAnsiTheme="majorBidi" w:cstheme="majorBidi"/>
      <w:sz w:val="24"/>
    </w:rPr>
  </w:style>
  <w:style w:type="paragraph" w:customStyle="1" w:styleId="P68B1DB1-Normal5">
    <w:name w:val="P68B1DB1-Normal5"/>
    <w:basedOn w:val="Normal"/>
    <w:rsid w:val="001650BE"/>
    <w:rPr>
      <w:rFonts w:ascii="Times New Roman" w:eastAsia="Times New Roman" w:hAnsi="Times New Roman" w:cs="Times New Roman"/>
      <w:b/>
      <w:sz w:val="24"/>
    </w:rPr>
  </w:style>
  <w:style w:type="paragraph" w:customStyle="1" w:styleId="P68B1DB1-Normal6">
    <w:name w:val="P68B1DB1-Normal6"/>
    <w:basedOn w:val="Normal"/>
    <w:rsid w:val="001650BE"/>
    <w:rPr>
      <w:rFonts w:ascii="Times New Roman" w:eastAsia="Times New Roman" w:hAnsi="Times New Roman" w:cs="Times New Roman"/>
      <w:b/>
      <w:sz w:val="20"/>
    </w:rPr>
  </w:style>
  <w:style w:type="paragraph" w:customStyle="1" w:styleId="P68B1DB1-Normal7">
    <w:name w:val="P68B1DB1-Normal7"/>
    <w:basedOn w:val="Normal"/>
    <w:rsid w:val="001650BE"/>
    <w:rPr>
      <w:rFonts w:ascii="Times New Roman" w:eastAsia="Times New Roman" w:hAnsi="Times New Roman" w:cs="Times New Roman"/>
      <w:sz w:val="20"/>
    </w:rPr>
  </w:style>
  <w:style w:type="paragraph" w:customStyle="1" w:styleId="P68B1DB1-Normal8">
    <w:name w:val="P68B1DB1-Normal8"/>
    <w:basedOn w:val="Normal"/>
    <w:rsid w:val="001650BE"/>
    <w:rPr>
      <w:rFonts w:ascii="Times New Roman" w:eastAsia="Times New Roman" w:hAnsi="Times New Roman" w:cs="Times New Roman"/>
      <w:sz w:val="24"/>
    </w:rPr>
  </w:style>
  <w:style w:type="paragraph" w:customStyle="1" w:styleId="P68B1DB1-Normal9">
    <w:name w:val="P68B1DB1-Normal9"/>
    <w:basedOn w:val="Normal"/>
    <w:rsid w:val="001650BE"/>
    <w:rPr>
      <w:b/>
    </w:rPr>
  </w:style>
  <w:style w:type="paragraph" w:customStyle="1" w:styleId="P68B1DB1-Normal10">
    <w:name w:val="P68B1DB1-Normal10"/>
    <w:basedOn w:val="Normal"/>
    <w:rsid w:val="001650BE"/>
    <w:rPr>
      <w:rFonts w:ascii="Times New Roman" w:eastAsia="Times New Roman" w:hAnsi="Times New Roman" w:cs="Times New Roman"/>
      <w:sz w:val="18"/>
    </w:rPr>
  </w:style>
  <w:style w:type="paragraph" w:customStyle="1" w:styleId="P68B1DB1-Normal11">
    <w:name w:val="P68B1DB1-Normal11"/>
    <w:basedOn w:val="Normal"/>
    <w:rsid w:val="001650BE"/>
    <w:rPr>
      <w:rFonts w:ascii="Times New Roman" w:eastAsia="Times New Roman" w:hAnsi="Times New Roman" w:cs="Times New Roman"/>
      <w:b/>
      <w:sz w:val="26"/>
    </w:rPr>
  </w:style>
  <w:style w:type="paragraph" w:customStyle="1" w:styleId="P68B1DB1-Normal12">
    <w:name w:val="P68B1DB1-Normal12"/>
    <w:basedOn w:val="Normal"/>
    <w:rsid w:val="001650BE"/>
    <w:rPr>
      <w:rFonts w:ascii="Times New Roman" w:eastAsia="Times New Roman" w:hAnsi="Times New Roman" w:cs="Times New Roman"/>
      <w:sz w:val="16"/>
    </w:rPr>
  </w:style>
  <w:style w:type="paragraph" w:customStyle="1" w:styleId="P68B1DB1-Normal13">
    <w:name w:val="P68B1DB1-Normal13"/>
    <w:basedOn w:val="Normal"/>
    <w:rsid w:val="001650BE"/>
    <w:rPr>
      <w:sz w:val="14"/>
    </w:rPr>
  </w:style>
  <w:style w:type="paragraph" w:customStyle="1" w:styleId="P68B1DB1-Normal14">
    <w:name w:val="P68B1DB1-Normal14"/>
    <w:basedOn w:val="Normal"/>
    <w:rsid w:val="001650BE"/>
    <w:rPr>
      <w:rFonts w:ascii="Times New Roman" w:eastAsia="Times New Roman" w:hAnsi="Times New Roman" w:cs="Times New Roman"/>
      <w:sz w:val="26"/>
    </w:rPr>
  </w:style>
  <w:style w:type="paragraph" w:customStyle="1" w:styleId="P68B1DB1-Paragraphedeliste15">
    <w:name w:val="P68B1DB1-Paragraphedeliste15"/>
    <w:basedOn w:val="ListParagraph"/>
    <w:rsid w:val="001650BE"/>
    <w:rPr>
      <w:sz w:val="20"/>
    </w:rPr>
  </w:style>
  <w:style w:type="paragraph" w:customStyle="1" w:styleId="P68B1DB1-Paragraphedeliste16">
    <w:name w:val="P68B1DB1-Paragraphedeliste16"/>
    <w:basedOn w:val="ListParagraph"/>
    <w:rsid w:val="001650BE"/>
    <w:rPr>
      <w:sz w:val="24"/>
    </w:rPr>
  </w:style>
  <w:style w:type="paragraph" w:customStyle="1" w:styleId="P68B1DB1-Paragraphedeliste17">
    <w:name w:val="P68B1DB1-Paragraphedeliste17"/>
    <w:basedOn w:val="ListParagraph"/>
    <w:rsid w:val="001650BE"/>
    <w:rPr>
      <w:b/>
      <w:sz w:val="24"/>
    </w:rPr>
  </w:style>
  <w:style w:type="paragraph" w:customStyle="1" w:styleId="P68B1DB1-Normal18">
    <w:name w:val="P68B1DB1-Normal18"/>
    <w:basedOn w:val="Normal"/>
    <w:rsid w:val="001650BE"/>
    <w:rPr>
      <w:rFonts w:ascii="Times New Roman" w:eastAsia="Times New Roman" w:hAnsi="Times New Roman" w:cs="Times New Roman"/>
    </w:rPr>
  </w:style>
  <w:style w:type="paragraph" w:customStyle="1" w:styleId="P68B1DB1-Normal19">
    <w:name w:val="P68B1DB1-Normal19"/>
    <w:basedOn w:val="Normal"/>
    <w:rsid w:val="001650BE"/>
    <w:rPr>
      <w:rFonts w:asciiTheme="majorBidi" w:hAnsiTheme="majorBidi" w:cstheme="majorBidi"/>
      <w:b/>
    </w:rPr>
  </w:style>
  <w:style w:type="paragraph" w:customStyle="1" w:styleId="P68B1DB1-Paragraphedeliste20">
    <w:name w:val="P68B1DB1-Paragraphedeliste20"/>
    <w:basedOn w:val="ListParagraph"/>
    <w:rsid w:val="001650BE"/>
    <w:rPr>
      <w:rFonts w:asciiTheme="majorBidi" w:hAnsiTheme="majorBidi" w:cstheme="majorBidi"/>
      <w:b/>
      <w:sz w:val="24"/>
    </w:rPr>
  </w:style>
  <w:style w:type="paragraph" w:customStyle="1" w:styleId="P68B1DB1-Paragraphedeliste21">
    <w:name w:val="P68B1DB1-Paragraphedeliste21"/>
    <w:basedOn w:val="ListParagraph"/>
    <w:rsid w:val="001650BE"/>
    <w:rPr>
      <w:rFonts w:asciiTheme="majorBidi" w:hAnsiTheme="majorBidi" w:cstheme="majorBidi"/>
      <w:sz w:val="24"/>
    </w:rPr>
  </w:style>
  <w:style w:type="paragraph" w:customStyle="1" w:styleId="P68B1DB1-Normal22">
    <w:name w:val="P68B1DB1-Normal22"/>
    <w:basedOn w:val="Normal"/>
    <w:rsid w:val="001650BE"/>
    <w:rPr>
      <w:rFonts w:asciiTheme="majorBidi" w:hAnsiTheme="majorBidi" w:cstheme="majorBidi"/>
      <w:b/>
      <w:sz w:val="26"/>
    </w:rPr>
  </w:style>
  <w:style w:type="paragraph" w:customStyle="1" w:styleId="P68B1DB1-Bibliographie23">
    <w:name w:val="P68B1DB1-Bibliographie23"/>
    <w:basedOn w:val="Bibliography"/>
    <w:rsid w:val="001650BE"/>
    <w:rPr>
      <w:rFonts w:asciiTheme="majorBidi" w:hAnsiTheme="majorBidi" w:cstheme="majorBidi"/>
      <w:sz w:val="24"/>
    </w:rPr>
  </w:style>
  <w:style w:type="paragraph" w:styleId="Header">
    <w:name w:val="header"/>
    <w:basedOn w:val="Normal"/>
    <w:link w:val="HeaderChar"/>
    <w:uiPriority w:val="99"/>
    <w:unhideWhenUsed/>
    <w:rsid w:val="001650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50BE"/>
    <w:rPr>
      <w:szCs w:val="20"/>
      <w:lang w:eastAsia="fr-FR"/>
    </w:rPr>
  </w:style>
  <w:style w:type="paragraph" w:styleId="Footer">
    <w:name w:val="footer"/>
    <w:basedOn w:val="Normal"/>
    <w:link w:val="FooterChar"/>
    <w:uiPriority w:val="99"/>
    <w:unhideWhenUsed/>
    <w:rsid w:val="001650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50BE"/>
    <w:rPr>
      <w:szCs w:val="20"/>
      <w:lang w:eastAsia="fr-FR"/>
    </w:rPr>
  </w:style>
  <w:style w:type="paragraph" w:styleId="BalloonText">
    <w:name w:val="Balloon Text"/>
    <w:basedOn w:val="Normal"/>
    <w:link w:val="BalloonTextChar"/>
    <w:uiPriority w:val="99"/>
    <w:semiHidden/>
    <w:unhideWhenUsed/>
    <w:rsid w:val="00165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0BE"/>
    <w:rPr>
      <w:rFonts w:ascii="Segoe UI" w:hAnsi="Segoe UI" w:cs="Segoe UI"/>
      <w:sz w:val="18"/>
      <w:szCs w:val="18"/>
      <w:lang w:eastAsia="fr-FR"/>
    </w:rPr>
  </w:style>
  <w:style w:type="character" w:styleId="CommentReference">
    <w:name w:val="annotation reference"/>
    <w:basedOn w:val="DefaultParagraphFont"/>
    <w:uiPriority w:val="99"/>
    <w:semiHidden/>
    <w:unhideWhenUsed/>
    <w:rsid w:val="001650BE"/>
    <w:rPr>
      <w:sz w:val="16"/>
      <w:szCs w:val="16"/>
    </w:rPr>
  </w:style>
  <w:style w:type="paragraph" w:styleId="CommentText">
    <w:name w:val="annotation text"/>
    <w:basedOn w:val="Normal"/>
    <w:link w:val="CommentTextChar"/>
    <w:uiPriority w:val="99"/>
    <w:semiHidden/>
    <w:unhideWhenUsed/>
    <w:rsid w:val="001650BE"/>
    <w:pPr>
      <w:spacing w:line="240" w:lineRule="auto"/>
    </w:pPr>
    <w:rPr>
      <w:sz w:val="20"/>
    </w:rPr>
  </w:style>
  <w:style w:type="character" w:customStyle="1" w:styleId="CommentTextChar">
    <w:name w:val="Comment Text Char"/>
    <w:basedOn w:val="DefaultParagraphFont"/>
    <w:link w:val="CommentText"/>
    <w:uiPriority w:val="99"/>
    <w:semiHidden/>
    <w:rsid w:val="001650BE"/>
    <w:rPr>
      <w:sz w:val="20"/>
      <w:szCs w:val="20"/>
      <w:lang w:eastAsia="fr-FR"/>
    </w:rPr>
  </w:style>
  <w:style w:type="paragraph" w:styleId="CommentSubject">
    <w:name w:val="annotation subject"/>
    <w:basedOn w:val="CommentText"/>
    <w:next w:val="CommentText"/>
    <w:link w:val="CommentSubjectChar"/>
    <w:uiPriority w:val="99"/>
    <w:semiHidden/>
    <w:unhideWhenUsed/>
    <w:rsid w:val="001650BE"/>
    <w:rPr>
      <w:b/>
      <w:bCs/>
    </w:rPr>
  </w:style>
  <w:style w:type="character" w:customStyle="1" w:styleId="CommentSubjectChar">
    <w:name w:val="Comment Subject Char"/>
    <w:basedOn w:val="CommentTextChar"/>
    <w:link w:val="CommentSubject"/>
    <w:uiPriority w:val="99"/>
    <w:semiHidden/>
    <w:rsid w:val="001650BE"/>
    <w:rPr>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870225">
      <w:bodyDiv w:val="1"/>
      <w:marLeft w:val="0"/>
      <w:marRight w:val="0"/>
      <w:marTop w:val="0"/>
      <w:marBottom w:val="0"/>
      <w:divBdr>
        <w:top w:val="none" w:sz="0" w:space="0" w:color="auto"/>
        <w:left w:val="none" w:sz="0" w:space="0" w:color="auto"/>
        <w:bottom w:val="none" w:sz="0" w:space="0" w:color="auto"/>
        <w:right w:val="none" w:sz="0" w:space="0" w:color="auto"/>
      </w:divBdr>
      <w:divsChild>
        <w:div w:id="609094126">
          <w:marLeft w:val="0"/>
          <w:marRight w:val="0"/>
          <w:marTop w:val="0"/>
          <w:marBottom w:val="0"/>
          <w:divBdr>
            <w:top w:val="none" w:sz="0" w:space="0" w:color="auto"/>
            <w:left w:val="none" w:sz="0" w:space="0" w:color="auto"/>
            <w:bottom w:val="none" w:sz="0" w:space="0" w:color="auto"/>
            <w:right w:val="none" w:sz="0" w:space="0" w:color="auto"/>
          </w:divBdr>
        </w:div>
      </w:divsChild>
    </w:div>
    <w:div w:id="2125075658">
      <w:bodyDiv w:val="1"/>
      <w:marLeft w:val="0"/>
      <w:marRight w:val="0"/>
      <w:marTop w:val="0"/>
      <w:marBottom w:val="0"/>
      <w:divBdr>
        <w:top w:val="none" w:sz="0" w:space="0" w:color="auto"/>
        <w:left w:val="none" w:sz="0" w:space="0" w:color="auto"/>
        <w:bottom w:val="none" w:sz="0" w:space="0" w:color="auto"/>
        <w:right w:val="none" w:sz="0" w:space="0" w:color="auto"/>
      </w:divBdr>
      <w:divsChild>
        <w:div w:id="612442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www.cleiss.fr/" TargetMode="Externa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D:\les%20cours\doctorat\soumalie%20university\methodologie\S%20M%20Yasir%20Arafat\donnees_graphiques.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oleObject" Target="file:///D:\les%20cours\doctorat\soumalie%20university\methodologie\S%20M%20Yasir%20Arafat\donnees_graphiques.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'Figure 1'!$B$1</c:f>
              <c:strCache>
                <c:ptCount val="1"/>
                <c:pt idx="0">
                  <c:v>Depenses_Courants</c:v>
                </c:pt>
              </c:strCache>
            </c:strRef>
          </c:tx>
          <c:spPr>
            <a:ln w="38100" cap="rnd">
              <a:solidFill>
                <a:schemeClr val="accent1"/>
              </a:solidFill>
              <a:round/>
            </a:ln>
            <a:effectLst/>
          </c:spPr>
          <c:marker>
            <c:symbol val="none"/>
          </c:marker>
          <c:cat>
            <c:numRef>
              <c:f>'Figure 1'!$A$2:$A$26</c:f>
              <c:numCache>
                <c:formatCode>General</c:formatCode>
                <c:ptCount val="2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2016</c:v>
                </c:pt>
              </c:numCache>
            </c:numRef>
          </c:cat>
          <c:val>
            <c:numRef>
              <c:f>'Figure 1'!$B$2:$B$26</c:f>
              <c:numCache>
                <c:formatCode>General</c:formatCode>
                <c:ptCount val="25"/>
                <c:pt idx="0">
                  <c:v>2000</c:v>
                </c:pt>
                <c:pt idx="1">
                  <c:v>2500</c:v>
                </c:pt>
                <c:pt idx="2">
                  <c:v>3000</c:v>
                </c:pt>
                <c:pt idx="3">
                  <c:v>4000</c:v>
                </c:pt>
                <c:pt idx="4">
                  <c:v>5000</c:v>
                </c:pt>
                <c:pt idx="5">
                  <c:v>6000</c:v>
                </c:pt>
                <c:pt idx="6">
                  <c:v>7000</c:v>
                </c:pt>
                <c:pt idx="7">
                  <c:v>8000</c:v>
                </c:pt>
                <c:pt idx="8">
                  <c:v>9000</c:v>
                </c:pt>
                <c:pt idx="9">
                  <c:v>10000</c:v>
                </c:pt>
                <c:pt idx="10">
                  <c:v>12000</c:v>
                </c:pt>
                <c:pt idx="11">
                  <c:v>15000</c:v>
                </c:pt>
                <c:pt idx="12">
                  <c:v>20000</c:v>
                </c:pt>
                <c:pt idx="13">
                  <c:v>25000</c:v>
                </c:pt>
                <c:pt idx="14">
                  <c:v>35000</c:v>
                </c:pt>
                <c:pt idx="15">
                  <c:v>45000</c:v>
                </c:pt>
                <c:pt idx="16">
                  <c:v>60000</c:v>
                </c:pt>
                <c:pt idx="17">
                  <c:v>80000</c:v>
                </c:pt>
                <c:pt idx="18">
                  <c:v>90000</c:v>
                </c:pt>
                <c:pt idx="19">
                  <c:v>100000</c:v>
                </c:pt>
                <c:pt idx="20">
                  <c:v>110000</c:v>
                </c:pt>
                <c:pt idx="21">
                  <c:v>120000</c:v>
                </c:pt>
                <c:pt idx="22">
                  <c:v>150000</c:v>
                </c:pt>
                <c:pt idx="23">
                  <c:v>200000</c:v>
                </c:pt>
                <c:pt idx="24">
                  <c:v>220000</c:v>
                </c:pt>
              </c:numCache>
            </c:numRef>
          </c:val>
          <c:smooth val="0"/>
          <c:extLst xmlns:c16r2="http://schemas.microsoft.com/office/drawing/2015/06/chart">
            <c:ext xmlns:c16="http://schemas.microsoft.com/office/drawing/2014/chart" uri="{C3380CC4-5D6E-409C-BE32-E72D297353CC}">
              <c16:uniqueId val="{00000000-330E-495F-A229-CD89B195E04C}"/>
            </c:ext>
          </c:extLst>
        </c:ser>
        <c:ser>
          <c:idx val="1"/>
          <c:order val="1"/>
          <c:tx>
            <c:strRef>
              <c:f>'Figure 1'!$C$1</c:f>
              <c:strCache>
                <c:ptCount val="1"/>
                <c:pt idx="0">
                  <c:v>Depenses_Constants</c:v>
                </c:pt>
              </c:strCache>
            </c:strRef>
          </c:tx>
          <c:spPr>
            <a:ln w="38100" cap="rnd">
              <a:solidFill>
                <a:schemeClr val="accent2"/>
              </a:solidFill>
              <a:round/>
            </a:ln>
            <a:effectLst/>
          </c:spPr>
          <c:marker>
            <c:symbol val="none"/>
          </c:marker>
          <c:cat>
            <c:numRef>
              <c:f>'Figure 1'!$A$2:$A$26</c:f>
              <c:numCache>
                <c:formatCode>General</c:formatCode>
                <c:ptCount val="2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2016</c:v>
                </c:pt>
              </c:numCache>
            </c:numRef>
          </c:cat>
          <c:val>
            <c:numRef>
              <c:f>'Figure 1'!$C$2:$C$26</c:f>
              <c:numCache>
                <c:formatCode>General</c:formatCode>
                <c:ptCount val="25"/>
                <c:pt idx="0">
                  <c:v>2000</c:v>
                </c:pt>
                <c:pt idx="1">
                  <c:v>2500</c:v>
                </c:pt>
                <c:pt idx="2">
                  <c:v>3000</c:v>
                </c:pt>
                <c:pt idx="3">
                  <c:v>4000</c:v>
                </c:pt>
                <c:pt idx="4">
                  <c:v>5000</c:v>
                </c:pt>
                <c:pt idx="5">
                  <c:v>6000</c:v>
                </c:pt>
                <c:pt idx="6">
                  <c:v>7000</c:v>
                </c:pt>
                <c:pt idx="7">
                  <c:v>8000</c:v>
                </c:pt>
                <c:pt idx="8">
                  <c:v>9000</c:v>
                </c:pt>
                <c:pt idx="9">
                  <c:v>10000</c:v>
                </c:pt>
                <c:pt idx="10">
                  <c:v>12000</c:v>
                </c:pt>
                <c:pt idx="11">
                  <c:v>15000</c:v>
                </c:pt>
                <c:pt idx="12">
                  <c:v>20000</c:v>
                </c:pt>
                <c:pt idx="13">
                  <c:v>25000</c:v>
                </c:pt>
                <c:pt idx="14">
                  <c:v>35000</c:v>
                </c:pt>
                <c:pt idx="15">
                  <c:v>45000</c:v>
                </c:pt>
                <c:pt idx="16">
                  <c:v>60000</c:v>
                </c:pt>
                <c:pt idx="17">
                  <c:v>80000</c:v>
                </c:pt>
                <c:pt idx="18">
                  <c:v>90000</c:v>
                </c:pt>
                <c:pt idx="19">
                  <c:v>100000</c:v>
                </c:pt>
                <c:pt idx="20">
                  <c:v>110000</c:v>
                </c:pt>
                <c:pt idx="21">
                  <c:v>120000</c:v>
                </c:pt>
                <c:pt idx="22">
                  <c:v>150000</c:v>
                </c:pt>
                <c:pt idx="23">
                  <c:v>50000</c:v>
                </c:pt>
                <c:pt idx="24">
                  <c:v>60000</c:v>
                </c:pt>
              </c:numCache>
            </c:numRef>
          </c:val>
          <c:smooth val="0"/>
          <c:extLst xmlns:c16r2="http://schemas.microsoft.com/office/drawing/2015/06/chart">
            <c:ext xmlns:c16="http://schemas.microsoft.com/office/drawing/2014/chart" uri="{C3380CC4-5D6E-409C-BE32-E72D297353CC}">
              <c16:uniqueId val="{00000001-330E-495F-A229-CD89B195E04C}"/>
            </c:ext>
          </c:extLst>
        </c:ser>
        <c:dLbls>
          <c:showLegendKey val="0"/>
          <c:showVal val="0"/>
          <c:showCatName val="0"/>
          <c:showSerName val="0"/>
          <c:showPercent val="0"/>
          <c:showBubbleSize val="0"/>
        </c:dLbls>
        <c:marker val="1"/>
        <c:smooth val="0"/>
        <c:axId val="357921792"/>
        <c:axId val="164004416"/>
      </c:lineChart>
      <c:catAx>
        <c:axId val="35792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64004416"/>
        <c:crosses val="autoZero"/>
        <c:auto val="1"/>
        <c:lblAlgn val="ctr"/>
        <c:lblOffset val="100"/>
        <c:noMultiLvlLbl val="0"/>
      </c:catAx>
      <c:valAx>
        <c:axId val="16400441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9217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2'!$B$1</c:f>
              <c:strCache>
                <c:ptCount val="1"/>
                <c:pt idx="0">
                  <c:v>Remboursements</c:v>
                </c:pt>
              </c:strCache>
            </c:strRef>
          </c:tx>
          <c:spPr>
            <a:solidFill>
              <a:schemeClr val="accent1"/>
            </a:solidFill>
            <a:ln>
              <a:noFill/>
            </a:ln>
            <a:effectLst/>
          </c:spPr>
          <c:invertIfNegative val="0"/>
          <c:cat>
            <c:numRef>
              <c:f>'Figure 2'!$A$2:$A$28</c:f>
              <c:numCache>
                <c:formatCode>General</c:formatCode>
                <c:ptCount val="27"/>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numCache>
            </c:numRef>
          </c:cat>
          <c:val>
            <c:numRef>
              <c:f>'Figure 2'!$B$2:$B$28</c:f>
              <c:numCache>
                <c:formatCode>General</c:formatCode>
                <c:ptCount val="27"/>
                <c:pt idx="0">
                  <c:v>5</c:v>
                </c:pt>
                <c:pt idx="1">
                  <c:v>6</c:v>
                </c:pt>
                <c:pt idx="2">
                  <c:v>7</c:v>
                </c:pt>
                <c:pt idx="3">
                  <c:v>8</c:v>
                </c:pt>
                <c:pt idx="4">
                  <c:v>10</c:v>
                </c:pt>
                <c:pt idx="5">
                  <c:v>12</c:v>
                </c:pt>
                <c:pt idx="6">
                  <c:v>14</c:v>
                </c:pt>
                <c:pt idx="7">
                  <c:v>15</c:v>
                </c:pt>
                <c:pt idx="8">
                  <c:v>18</c:v>
                </c:pt>
                <c:pt idx="9">
                  <c:v>20</c:v>
                </c:pt>
                <c:pt idx="10">
                  <c:v>25</c:v>
                </c:pt>
                <c:pt idx="11">
                  <c:v>30</c:v>
                </c:pt>
                <c:pt idx="12">
                  <c:v>40</c:v>
                </c:pt>
                <c:pt idx="13">
                  <c:v>50</c:v>
                </c:pt>
                <c:pt idx="14">
                  <c:v>60</c:v>
                </c:pt>
                <c:pt idx="15">
                  <c:v>70</c:v>
                </c:pt>
                <c:pt idx="16">
                  <c:v>80</c:v>
                </c:pt>
                <c:pt idx="17">
                  <c:v>90</c:v>
                </c:pt>
                <c:pt idx="18">
                  <c:v>100</c:v>
                </c:pt>
                <c:pt idx="19">
                  <c:v>105</c:v>
                </c:pt>
                <c:pt idx="20">
                  <c:v>110</c:v>
                </c:pt>
                <c:pt idx="21">
                  <c:v>120</c:v>
                </c:pt>
                <c:pt idx="22">
                  <c:v>160</c:v>
                </c:pt>
                <c:pt idx="23">
                  <c:v>170</c:v>
                </c:pt>
                <c:pt idx="24">
                  <c:v>175</c:v>
                </c:pt>
                <c:pt idx="25">
                  <c:v>170</c:v>
                </c:pt>
                <c:pt idx="26">
                  <c:v>180</c:v>
                </c:pt>
              </c:numCache>
            </c:numRef>
          </c:val>
          <c:extLst xmlns:c16r2="http://schemas.microsoft.com/office/drawing/2015/06/chart">
            <c:ext xmlns:c16="http://schemas.microsoft.com/office/drawing/2014/chart" uri="{C3380CC4-5D6E-409C-BE32-E72D297353CC}">
              <c16:uniqueId val="{00000000-8E8D-45C4-BFBA-34A573C158DC}"/>
            </c:ext>
          </c:extLst>
        </c:ser>
        <c:dLbls>
          <c:showLegendKey val="0"/>
          <c:showVal val="0"/>
          <c:showCatName val="0"/>
          <c:showSerName val="0"/>
          <c:showPercent val="0"/>
          <c:showBubbleSize val="0"/>
        </c:dLbls>
        <c:gapWidth val="267"/>
        <c:overlap val="-43"/>
        <c:axId val="147308544"/>
        <c:axId val="164006144"/>
      </c:barChart>
      <c:catAx>
        <c:axId val="14730854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64006144"/>
        <c:crosses val="autoZero"/>
        <c:auto val="1"/>
        <c:lblAlgn val="ctr"/>
        <c:lblOffset val="100"/>
        <c:noMultiLvlLbl val="0"/>
      </c:catAx>
      <c:valAx>
        <c:axId val="16400614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4730854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 3'!$B$1</c:f>
              <c:strCache>
                <c:ptCount val="1"/>
                <c:pt idx="0">
                  <c:v>Nombre_Malades</c:v>
                </c:pt>
              </c:strCache>
            </c:strRef>
          </c:tx>
          <c:spPr>
            <a:ln w="22225" cap="rnd" cmpd="sng" algn="ctr">
              <a:solidFill>
                <a:schemeClr val="accent1"/>
              </a:solidFill>
              <a:round/>
            </a:ln>
            <a:effectLst/>
          </c:spPr>
          <c:marker>
            <c:symbol val="none"/>
          </c:marker>
          <c:cat>
            <c:numRef>
              <c:f>'Figure 3'!$A$2:$A$33</c:f>
              <c:numCache>
                <c:formatCode>General</c:formatCode>
                <c:ptCount val="32"/>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numCache>
            </c:numRef>
          </c:cat>
          <c:val>
            <c:numRef>
              <c:f>'Figure 3'!$B$2:$B$33</c:f>
              <c:numCache>
                <c:formatCode>General</c:formatCode>
                <c:ptCount val="32"/>
                <c:pt idx="0">
                  <c:v>5000</c:v>
                </c:pt>
                <c:pt idx="1">
                  <c:v>6000</c:v>
                </c:pt>
                <c:pt idx="2">
                  <c:v>7000</c:v>
                </c:pt>
                <c:pt idx="3">
                  <c:v>6000</c:v>
                </c:pt>
                <c:pt idx="4">
                  <c:v>4000</c:v>
                </c:pt>
                <c:pt idx="5">
                  <c:v>3000</c:v>
                </c:pt>
                <c:pt idx="6">
                  <c:v>3500</c:v>
                </c:pt>
                <c:pt idx="7">
                  <c:v>4000</c:v>
                </c:pt>
                <c:pt idx="8">
                  <c:v>5000</c:v>
                </c:pt>
                <c:pt idx="9">
                  <c:v>4500</c:v>
                </c:pt>
                <c:pt idx="10">
                  <c:v>3000</c:v>
                </c:pt>
                <c:pt idx="11">
                  <c:v>2000</c:v>
                </c:pt>
                <c:pt idx="12">
                  <c:v>1500</c:v>
                </c:pt>
                <c:pt idx="13">
                  <c:v>1000</c:v>
                </c:pt>
                <c:pt idx="14">
                  <c:v>1500</c:v>
                </c:pt>
                <c:pt idx="15">
                  <c:v>2000</c:v>
                </c:pt>
                <c:pt idx="16">
                  <c:v>2500</c:v>
                </c:pt>
                <c:pt idx="17">
                  <c:v>2000</c:v>
                </c:pt>
                <c:pt idx="18">
                  <c:v>1500</c:v>
                </c:pt>
                <c:pt idx="19">
                  <c:v>1000</c:v>
                </c:pt>
                <c:pt idx="20">
                  <c:v>500</c:v>
                </c:pt>
                <c:pt idx="21">
                  <c:v>1000</c:v>
                </c:pt>
                <c:pt idx="22">
                  <c:v>1500</c:v>
                </c:pt>
                <c:pt idx="23">
                  <c:v>1000</c:v>
                </c:pt>
                <c:pt idx="24">
                  <c:v>500</c:v>
                </c:pt>
                <c:pt idx="25">
                  <c:v>1000</c:v>
                </c:pt>
                <c:pt idx="26">
                  <c:v>500</c:v>
                </c:pt>
                <c:pt idx="27">
                  <c:v>1000</c:v>
                </c:pt>
                <c:pt idx="28">
                  <c:v>500</c:v>
                </c:pt>
                <c:pt idx="29">
                  <c:v>500</c:v>
                </c:pt>
                <c:pt idx="30">
                  <c:v>500</c:v>
                </c:pt>
                <c:pt idx="31">
                  <c:v>500</c:v>
                </c:pt>
              </c:numCache>
            </c:numRef>
          </c:val>
          <c:smooth val="0"/>
          <c:extLst xmlns:c16r2="http://schemas.microsoft.com/office/drawing/2015/06/chart">
            <c:ext xmlns:c16="http://schemas.microsoft.com/office/drawing/2014/chart" uri="{C3380CC4-5D6E-409C-BE32-E72D297353CC}">
              <c16:uniqueId val="{00000000-4289-4AAD-81B1-27D2BDF4CF75}"/>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357922304"/>
        <c:axId val="164007872"/>
      </c:lineChart>
      <c:catAx>
        <c:axId val="35792230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64007872"/>
        <c:crosses val="autoZero"/>
        <c:auto val="1"/>
        <c:lblAlgn val="ctr"/>
        <c:lblOffset val="100"/>
        <c:noMultiLvlLbl val="0"/>
      </c:catAx>
      <c:valAx>
        <c:axId val="1640078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57922304"/>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'Figure 4'!$B$1</c:f>
              <c:strCache>
                <c:ptCount val="1"/>
                <c:pt idx="0">
                  <c:v>Forfait_Hopitaux</c:v>
                </c:pt>
              </c:strCache>
            </c:strRef>
          </c:tx>
          <c:spPr>
            <a:solidFill>
              <a:schemeClr val="accent1"/>
            </a:solidFill>
            <a:ln>
              <a:noFill/>
            </a:ln>
            <a:effectLst/>
          </c:spPr>
          <c:invertIfNegative val="0"/>
          <c:cat>
            <c:numRef>
              <c:f>'Figure 4'!$A$2:$A$44</c:f>
              <c:numCache>
                <c:formatCode>General</c:formatCode>
                <c:ptCount val="43"/>
                <c:pt idx="0">
                  <c:v>1974</c:v>
                </c:pt>
                <c:pt idx="1">
                  <c:v>1975</c:v>
                </c:pt>
                <c:pt idx="2">
                  <c:v>1976</c:v>
                </c:pt>
                <c:pt idx="3">
                  <c:v>1977</c:v>
                </c:pt>
                <c:pt idx="4">
                  <c:v>1978</c:v>
                </c:pt>
                <c:pt idx="5">
                  <c:v>1979</c:v>
                </c:pt>
                <c:pt idx="6">
                  <c:v>1980</c:v>
                </c:pt>
                <c:pt idx="7">
                  <c:v>1981</c:v>
                </c:pt>
                <c:pt idx="8">
                  <c:v>1982</c:v>
                </c:pt>
                <c:pt idx="9">
                  <c:v>1983</c:v>
                </c:pt>
                <c:pt idx="10">
                  <c:v>1984</c:v>
                </c:pt>
                <c:pt idx="11">
                  <c:v>1985</c:v>
                </c:pt>
                <c:pt idx="12">
                  <c:v>1986</c:v>
                </c:pt>
                <c:pt idx="13">
                  <c:v>1987</c:v>
                </c:pt>
                <c:pt idx="14">
                  <c:v>1988</c:v>
                </c:pt>
                <c:pt idx="15">
                  <c:v>1989</c:v>
                </c:pt>
                <c:pt idx="16">
                  <c:v>1990</c:v>
                </c:pt>
                <c:pt idx="17">
                  <c:v>1991</c:v>
                </c:pt>
                <c:pt idx="18">
                  <c:v>1992</c:v>
                </c:pt>
                <c:pt idx="19">
                  <c:v>1993</c:v>
                </c:pt>
                <c:pt idx="20">
                  <c:v>1994</c:v>
                </c:pt>
                <c:pt idx="21">
                  <c:v>1995</c:v>
                </c:pt>
                <c:pt idx="22">
                  <c:v>1996</c:v>
                </c:pt>
                <c:pt idx="23">
                  <c:v>1997</c:v>
                </c:pt>
                <c:pt idx="24">
                  <c:v>1998</c:v>
                </c:pt>
                <c:pt idx="25">
                  <c:v>1999</c:v>
                </c:pt>
                <c:pt idx="26">
                  <c:v>2000</c:v>
                </c:pt>
                <c:pt idx="27">
                  <c:v>2001</c:v>
                </c:pt>
                <c:pt idx="28">
                  <c:v>2002</c:v>
                </c:pt>
                <c:pt idx="29">
                  <c:v>2003</c:v>
                </c:pt>
                <c:pt idx="30">
                  <c:v>2004</c:v>
                </c:pt>
                <c:pt idx="31">
                  <c:v>2005</c:v>
                </c:pt>
                <c:pt idx="32">
                  <c:v>2006</c:v>
                </c:pt>
                <c:pt idx="33">
                  <c:v>2007</c:v>
                </c:pt>
                <c:pt idx="34">
                  <c:v>2008</c:v>
                </c:pt>
                <c:pt idx="35">
                  <c:v>2009</c:v>
                </c:pt>
                <c:pt idx="36">
                  <c:v>2010</c:v>
                </c:pt>
                <c:pt idx="37">
                  <c:v>2011</c:v>
                </c:pt>
                <c:pt idx="38">
                  <c:v>2012</c:v>
                </c:pt>
                <c:pt idx="39">
                  <c:v>2013</c:v>
                </c:pt>
                <c:pt idx="40">
                  <c:v>2014</c:v>
                </c:pt>
                <c:pt idx="41">
                  <c:v>2015</c:v>
                </c:pt>
                <c:pt idx="42">
                  <c:v>2016</c:v>
                </c:pt>
              </c:numCache>
            </c:numRef>
          </c:cat>
          <c:val>
            <c:numRef>
              <c:f>'Figure 4'!$B$2:$B$44</c:f>
              <c:numCache>
                <c:formatCode>General</c:formatCode>
                <c:ptCount val="43"/>
                <c:pt idx="0">
                  <c:v>10000</c:v>
                </c:pt>
                <c:pt idx="1">
                  <c:v>10000</c:v>
                </c:pt>
                <c:pt idx="2">
                  <c:v>10000</c:v>
                </c:pt>
                <c:pt idx="3">
                  <c:v>10000</c:v>
                </c:pt>
                <c:pt idx="4">
                  <c:v>10000</c:v>
                </c:pt>
                <c:pt idx="5">
                  <c:v>10000</c:v>
                </c:pt>
                <c:pt idx="6">
                  <c:v>10000</c:v>
                </c:pt>
                <c:pt idx="7">
                  <c:v>10000</c:v>
                </c:pt>
                <c:pt idx="8">
                  <c:v>10000</c:v>
                </c:pt>
                <c:pt idx="9">
                  <c:v>10000</c:v>
                </c:pt>
                <c:pt idx="10">
                  <c:v>10000</c:v>
                </c:pt>
                <c:pt idx="11">
                  <c:v>10000</c:v>
                </c:pt>
                <c:pt idx="12">
                  <c:v>10000</c:v>
                </c:pt>
                <c:pt idx="13">
                  <c:v>10000</c:v>
                </c:pt>
                <c:pt idx="14">
                  <c:v>12000</c:v>
                </c:pt>
                <c:pt idx="15">
                  <c:v>14000</c:v>
                </c:pt>
                <c:pt idx="16">
                  <c:v>15000</c:v>
                </c:pt>
                <c:pt idx="17">
                  <c:v>16000</c:v>
                </c:pt>
                <c:pt idx="18">
                  <c:v>17000</c:v>
                </c:pt>
                <c:pt idx="19">
                  <c:v>18000</c:v>
                </c:pt>
                <c:pt idx="20">
                  <c:v>20000</c:v>
                </c:pt>
                <c:pt idx="21">
                  <c:v>20000</c:v>
                </c:pt>
                <c:pt idx="22">
                  <c:v>20000</c:v>
                </c:pt>
                <c:pt idx="23">
                  <c:v>20000</c:v>
                </c:pt>
                <c:pt idx="24">
                  <c:v>20000</c:v>
                </c:pt>
                <c:pt idx="25">
                  <c:v>20000</c:v>
                </c:pt>
                <c:pt idx="26">
                  <c:v>20000</c:v>
                </c:pt>
                <c:pt idx="27">
                  <c:v>20000</c:v>
                </c:pt>
                <c:pt idx="28">
                  <c:v>20000</c:v>
                </c:pt>
                <c:pt idx="29">
                  <c:v>20000</c:v>
                </c:pt>
                <c:pt idx="30">
                  <c:v>20000</c:v>
                </c:pt>
                <c:pt idx="31">
                  <c:v>20000</c:v>
                </c:pt>
                <c:pt idx="32">
                  <c:v>25000</c:v>
                </c:pt>
                <c:pt idx="33">
                  <c:v>30000</c:v>
                </c:pt>
                <c:pt idx="34">
                  <c:v>35000</c:v>
                </c:pt>
                <c:pt idx="35">
                  <c:v>38000</c:v>
                </c:pt>
                <c:pt idx="36">
                  <c:v>40000</c:v>
                </c:pt>
                <c:pt idx="37">
                  <c:v>40000</c:v>
                </c:pt>
                <c:pt idx="38">
                  <c:v>40000</c:v>
                </c:pt>
                <c:pt idx="39">
                  <c:v>40000</c:v>
                </c:pt>
                <c:pt idx="40">
                  <c:v>40000</c:v>
                </c:pt>
                <c:pt idx="41">
                  <c:v>45000</c:v>
                </c:pt>
                <c:pt idx="42">
                  <c:v>65000</c:v>
                </c:pt>
              </c:numCache>
            </c:numRef>
          </c:val>
          <c:extLst xmlns:c16r2="http://schemas.microsoft.com/office/drawing/2015/06/chart">
            <c:ext xmlns:c16="http://schemas.microsoft.com/office/drawing/2014/chart" uri="{C3380CC4-5D6E-409C-BE32-E72D297353CC}">
              <c16:uniqueId val="{00000000-03DC-4A61-9045-E555E25FE079}"/>
            </c:ext>
          </c:extLst>
        </c:ser>
        <c:dLbls>
          <c:showLegendKey val="0"/>
          <c:showVal val="0"/>
          <c:showCatName val="0"/>
          <c:showSerName val="0"/>
          <c:showPercent val="0"/>
          <c:showBubbleSize val="0"/>
        </c:dLbls>
        <c:gapWidth val="267"/>
        <c:overlap val="-43"/>
        <c:axId val="358798336"/>
        <c:axId val="164009600"/>
      </c:barChart>
      <c:catAx>
        <c:axId val="35879833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64009600"/>
        <c:crosses val="autoZero"/>
        <c:auto val="1"/>
        <c:lblAlgn val="ctr"/>
        <c:lblOffset val="100"/>
        <c:noMultiLvlLbl val="0"/>
      </c:catAx>
      <c:valAx>
        <c:axId val="16400960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5879833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 5'!$B$1</c:f>
              <c:strCache>
                <c:ptCount val="1"/>
                <c:pt idx="0">
                  <c:v>Depenses_Journalieres</c:v>
                </c:pt>
              </c:strCache>
            </c:strRef>
          </c:tx>
          <c:spPr>
            <a:ln w="22225" cap="rnd">
              <a:solidFill>
                <a:schemeClr val="accent1"/>
              </a:solidFill>
              <a:round/>
            </a:ln>
            <a:effectLst/>
          </c:spPr>
          <c:marker>
            <c:symbol val="none"/>
          </c:marker>
          <c:cat>
            <c:numRef>
              <c:f>'Figure 5'!$A$2:$A$28</c:f>
              <c:numCache>
                <c:formatCode>General</c:formatCode>
                <c:ptCount val="27"/>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numCache>
            </c:numRef>
          </c:cat>
          <c:val>
            <c:numRef>
              <c:f>'Figure 5'!$B$2:$B$28</c:f>
              <c:numCache>
                <c:formatCode>General</c:formatCode>
                <c:ptCount val="27"/>
                <c:pt idx="0">
                  <c:v>1</c:v>
                </c:pt>
                <c:pt idx="1">
                  <c:v>1</c:v>
                </c:pt>
                <c:pt idx="2">
                  <c:v>1</c:v>
                </c:pt>
                <c:pt idx="3">
                  <c:v>2</c:v>
                </c:pt>
                <c:pt idx="4">
                  <c:v>2</c:v>
                </c:pt>
                <c:pt idx="5">
                  <c:v>3</c:v>
                </c:pt>
                <c:pt idx="6">
                  <c:v>3</c:v>
                </c:pt>
                <c:pt idx="7">
                  <c:v>3</c:v>
                </c:pt>
                <c:pt idx="8">
                  <c:v>3</c:v>
                </c:pt>
                <c:pt idx="9">
                  <c:v>3</c:v>
                </c:pt>
                <c:pt idx="10">
                  <c:v>4</c:v>
                </c:pt>
                <c:pt idx="11">
                  <c:v>4</c:v>
                </c:pt>
                <c:pt idx="12">
                  <c:v>4</c:v>
                </c:pt>
                <c:pt idx="13">
                  <c:v>4</c:v>
                </c:pt>
                <c:pt idx="14">
                  <c:v>5</c:v>
                </c:pt>
                <c:pt idx="15">
                  <c:v>5</c:v>
                </c:pt>
                <c:pt idx="16">
                  <c:v>6</c:v>
                </c:pt>
                <c:pt idx="17">
                  <c:v>7</c:v>
                </c:pt>
                <c:pt idx="18">
                  <c:v>7</c:v>
                </c:pt>
                <c:pt idx="19">
                  <c:v>8</c:v>
                </c:pt>
                <c:pt idx="20">
                  <c:v>8</c:v>
                </c:pt>
                <c:pt idx="21">
                  <c:v>9</c:v>
                </c:pt>
                <c:pt idx="22">
                  <c:v>18</c:v>
                </c:pt>
                <c:pt idx="23">
                  <c:v>18</c:v>
                </c:pt>
                <c:pt idx="24">
                  <c:v>18</c:v>
                </c:pt>
                <c:pt idx="25">
                  <c:v>17</c:v>
                </c:pt>
                <c:pt idx="26">
                  <c:v>17</c:v>
                </c:pt>
              </c:numCache>
            </c:numRef>
          </c:val>
          <c:smooth val="0"/>
          <c:extLst xmlns:c16r2="http://schemas.microsoft.com/office/drawing/2015/06/chart">
            <c:ext xmlns:c16="http://schemas.microsoft.com/office/drawing/2014/chart" uri="{C3380CC4-5D6E-409C-BE32-E72D297353CC}">
              <c16:uniqueId val="{00000000-BBD9-4EAB-8133-04134B34C7CD}"/>
            </c:ext>
          </c:extLst>
        </c:ser>
        <c:dLbls>
          <c:showLegendKey val="0"/>
          <c:showVal val="0"/>
          <c:showCatName val="0"/>
          <c:showSerName val="0"/>
          <c:showPercent val="0"/>
          <c:showBubbleSize val="0"/>
        </c:dLbls>
        <c:marker val="1"/>
        <c:smooth val="0"/>
        <c:axId val="357922816"/>
        <c:axId val="164011328"/>
      </c:lineChart>
      <c:catAx>
        <c:axId val="35792281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64011328"/>
        <c:crosses val="autoZero"/>
        <c:auto val="1"/>
        <c:lblAlgn val="ctr"/>
        <c:lblOffset val="100"/>
        <c:noMultiLvlLbl val="0"/>
      </c:catAx>
      <c:valAx>
        <c:axId val="164011328"/>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5792281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6'!$B$1</c:f>
              <c:strCache>
                <c:ptCount val="1"/>
                <c:pt idx="0">
                  <c:v>Recettes_Courants</c:v>
                </c:pt>
              </c:strCache>
            </c:strRef>
          </c:tx>
          <c:spPr>
            <a:solidFill>
              <a:schemeClr val="accent1"/>
            </a:solidFill>
            <a:ln>
              <a:noFill/>
            </a:ln>
            <a:effectLst/>
          </c:spPr>
          <c:invertIfNegative val="0"/>
          <c:cat>
            <c:numRef>
              <c:f>'Figure 6'!$A$2:$A$23</c:f>
              <c:numCache>
                <c:formatCode>General</c:formatCode>
                <c:ptCount val="2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2016</c:v>
                </c:pt>
              </c:numCache>
            </c:numRef>
          </c:cat>
          <c:val>
            <c:numRef>
              <c:f>'Figure 6'!$B$2:$B$23</c:f>
              <c:numCache>
                <c:formatCode>General</c:formatCode>
                <c:ptCount val="22"/>
                <c:pt idx="0">
                  <c:v>5000</c:v>
                </c:pt>
                <c:pt idx="1">
                  <c:v>10000</c:v>
                </c:pt>
                <c:pt idx="2">
                  <c:v>15000</c:v>
                </c:pt>
                <c:pt idx="3">
                  <c:v>20000</c:v>
                </c:pt>
                <c:pt idx="4">
                  <c:v>25000</c:v>
                </c:pt>
                <c:pt idx="5">
                  <c:v>30000</c:v>
                </c:pt>
                <c:pt idx="6">
                  <c:v>35000</c:v>
                </c:pt>
                <c:pt idx="7">
                  <c:v>40000</c:v>
                </c:pt>
                <c:pt idx="8">
                  <c:v>45000</c:v>
                </c:pt>
                <c:pt idx="9">
                  <c:v>50000</c:v>
                </c:pt>
                <c:pt idx="10">
                  <c:v>60000</c:v>
                </c:pt>
                <c:pt idx="11">
                  <c:v>70000</c:v>
                </c:pt>
                <c:pt idx="12">
                  <c:v>80000</c:v>
                </c:pt>
                <c:pt idx="13">
                  <c:v>90000</c:v>
                </c:pt>
                <c:pt idx="14">
                  <c:v>100000</c:v>
                </c:pt>
                <c:pt idx="15">
                  <c:v>120000</c:v>
                </c:pt>
                <c:pt idx="16">
                  <c:v>140000</c:v>
                </c:pt>
                <c:pt idx="17">
                  <c:v>160000</c:v>
                </c:pt>
                <c:pt idx="18">
                  <c:v>180000</c:v>
                </c:pt>
                <c:pt idx="19">
                  <c:v>200000</c:v>
                </c:pt>
                <c:pt idx="20">
                  <c:v>220000</c:v>
                </c:pt>
                <c:pt idx="21">
                  <c:v>280000</c:v>
                </c:pt>
              </c:numCache>
            </c:numRef>
          </c:val>
          <c:extLst xmlns:c16r2="http://schemas.microsoft.com/office/drawing/2015/06/chart">
            <c:ext xmlns:c16="http://schemas.microsoft.com/office/drawing/2014/chart" uri="{C3380CC4-5D6E-409C-BE32-E72D297353CC}">
              <c16:uniqueId val="{00000000-815F-40B4-AFC8-BF5D7BCC583A}"/>
            </c:ext>
          </c:extLst>
        </c:ser>
        <c:ser>
          <c:idx val="1"/>
          <c:order val="1"/>
          <c:tx>
            <c:strRef>
              <c:f>'Figure 6'!$C$1</c:f>
              <c:strCache>
                <c:ptCount val="1"/>
                <c:pt idx="0">
                  <c:v>Recettes_Constants</c:v>
                </c:pt>
              </c:strCache>
            </c:strRef>
          </c:tx>
          <c:spPr>
            <a:solidFill>
              <a:schemeClr val="accent2"/>
            </a:solidFill>
            <a:ln>
              <a:noFill/>
            </a:ln>
            <a:effectLst/>
          </c:spPr>
          <c:invertIfNegative val="0"/>
          <c:cat>
            <c:numRef>
              <c:f>'Figure 6'!$A$2:$A$23</c:f>
              <c:numCache>
                <c:formatCode>General</c:formatCode>
                <c:ptCount val="2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2016</c:v>
                </c:pt>
              </c:numCache>
            </c:numRef>
          </c:cat>
          <c:val>
            <c:numRef>
              <c:f>'Figure 6'!$C$2:$C$23</c:f>
              <c:numCache>
                <c:formatCode>General</c:formatCode>
                <c:ptCount val="22"/>
                <c:pt idx="0">
                  <c:v>5000</c:v>
                </c:pt>
                <c:pt idx="1">
                  <c:v>10000</c:v>
                </c:pt>
                <c:pt idx="2">
                  <c:v>15000</c:v>
                </c:pt>
                <c:pt idx="3">
                  <c:v>20000</c:v>
                </c:pt>
                <c:pt idx="4">
                  <c:v>25000</c:v>
                </c:pt>
                <c:pt idx="5">
                  <c:v>30000</c:v>
                </c:pt>
                <c:pt idx="6">
                  <c:v>35000</c:v>
                </c:pt>
                <c:pt idx="7">
                  <c:v>40000</c:v>
                </c:pt>
                <c:pt idx="8">
                  <c:v>45000</c:v>
                </c:pt>
                <c:pt idx="9">
                  <c:v>50000</c:v>
                </c:pt>
                <c:pt idx="10">
                  <c:v>60000</c:v>
                </c:pt>
                <c:pt idx="11">
                  <c:v>70000</c:v>
                </c:pt>
                <c:pt idx="12">
                  <c:v>80000</c:v>
                </c:pt>
                <c:pt idx="13">
                  <c:v>90000</c:v>
                </c:pt>
                <c:pt idx="14">
                  <c:v>100000</c:v>
                </c:pt>
                <c:pt idx="15">
                  <c:v>120000</c:v>
                </c:pt>
                <c:pt idx="16">
                  <c:v>140000</c:v>
                </c:pt>
                <c:pt idx="17">
                  <c:v>160000</c:v>
                </c:pt>
                <c:pt idx="18">
                  <c:v>180000</c:v>
                </c:pt>
                <c:pt idx="19">
                  <c:v>200000</c:v>
                </c:pt>
                <c:pt idx="20">
                  <c:v>220000</c:v>
                </c:pt>
                <c:pt idx="21">
                  <c:v>250000</c:v>
                </c:pt>
              </c:numCache>
            </c:numRef>
          </c:val>
          <c:extLst xmlns:c16r2="http://schemas.microsoft.com/office/drawing/2015/06/chart">
            <c:ext xmlns:c16="http://schemas.microsoft.com/office/drawing/2014/chart" uri="{C3380CC4-5D6E-409C-BE32-E72D297353CC}">
              <c16:uniqueId val="{00000001-815F-40B4-AFC8-BF5D7BCC583A}"/>
            </c:ext>
          </c:extLst>
        </c:ser>
        <c:dLbls>
          <c:showLegendKey val="0"/>
          <c:showVal val="0"/>
          <c:showCatName val="0"/>
          <c:showSerName val="0"/>
          <c:showPercent val="0"/>
          <c:showBubbleSize val="0"/>
        </c:dLbls>
        <c:gapWidth val="150"/>
        <c:overlap val="100"/>
        <c:axId val="357923328"/>
        <c:axId val="358739328"/>
      </c:barChart>
      <c:catAx>
        <c:axId val="35792332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58739328"/>
        <c:crosses val="autoZero"/>
        <c:auto val="1"/>
        <c:lblAlgn val="ctr"/>
        <c:lblOffset val="100"/>
        <c:noMultiLvlLbl val="0"/>
      </c:catAx>
      <c:valAx>
        <c:axId val="35873932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5792332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7'!$B$1</c:f>
              <c:strCache>
                <c:ptCount val="1"/>
                <c:pt idx="0">
                  <c:v>Entreprises_Publiques</c:v>
                </c:pt>
              </c:strCache>
            </c:strRef>
          </c:tx>
          <c:spPr>
            <a:solidFill>
              <a:schemeClr val="accent1"/>
            </a:solidFill>
            <a:ln>
              <a:noFill/>
            </a:ln>
            <a:effectLst/>
          </c:spPr>
          <c:invertIfNegative val="0"/>
          <c:cat>
            <c:numRef>
              <c:f>'Figure 7'!$A$2:$A$13</c:f>
              <c:numCache>
                <c:formatCode>General</c:formatCode>
                <c:ptCount val="12"/>
                <c:pt idx="0">
                  <c:v>2000</c:v>
                </c:pt>
                <c:pt idx="1">
                  <c:v>2001</c:v>
                </c:pt>
                <c:pt idx="2">
                  <c:v>2002</c:v>
                </c:pt>
                <c:pt idx="3">
                  <c:v>2003</c:v>
                </c:pt>
                <c:pt idx="4">
                  <c:v>2004</c:v>
                </c:pt>
                <c:pt idx="5">
                  <c:v>2005</c:v>
                </c:pt>
                <c:pt idx="6">
                  <c:v>2006</c:v>
                </c:pt>
                <c:pt idx="7">
                  <c:v>2012</c:v>
                </c:pt>
                <c:pt idx="8">
                  <c:v>2013</c:v>
                </c:pt>
                <c:pt idx="9">
                  <c:v>2014</c:v>
                </c:pt>
                <c:pt idx="10">
                  <c:v>2015</c:v>
                </c:pt>
                <c:pt idx="11">
                  <c:v>2016</c:v>
                </c:pt>
              </c:numCache>
            </c:numRef>
          </c:cat>
          <c:val>
            <c:numRef>
              <c:f>'Figure 7'!$B$2:$B$13</c:f>
              <c:numCache>
                <c:formatCode>0%</c:formatCode>
                <c:ptCount val="12"/>
                <c:pt idx="0">
                  <c:v>0.3</c:v>
                </c:pt>
                <c:pt idx="1">
                  <c:v>0.4</c:v>
                </c:pt>
                <c:pt idx="2">
                  <c:v>0.3</c:v>
                </c:pt>
                <c:pt idx="3">
                  <c:v>0.4</c:v>
                </c:pt>
                <c:pt idx="4">
                  <c:v>0.3</c:v>
                </c:pt>
                <c:pt idx="5">
                  <c:v>0.4</c:v>
                </c:pt>
                <c:pt idx="6">
                  <c:v>0.3</c:v>
                </c:pt>
                <c:pt idx="7">
                  <c:v>0.4</c:v>
                </c:pt>
                <c:pt idx="8">
                  <c:v>0.3</c:v>
                </c:pt>
                <c:pt idx="9">
                  <c:v>0.4</c:v>
                </c:pt>
                <c:pt idx="10">
                  <c:v>0.3</c:v>
                </c:pt>
                <c:pt idx="11">
                  <c:v>0.3</c:v>
                </c:pt>
              </c:numCache>
            </c:numRef>
          </c:val>
          <c:extLst xmlns:c16r2="http://schemas.microsoft.com/office/drawing/2015/06/chart">
            <c:ext xmlns:c16="http://schemas.microsoft.com/office/drawing/2014/chart" uri="{C3380CC4-5D6E-409C-BE32-E72D297353CC}">
              <c16:uniqueId val="{00000000-ED8F-477A-B10E-83EF17A2F8E6}"/>
            </c:ext>
          </c:extLst>
        </c:ser>
        <c:ser>
          <c:idx val="1"/>
          <c:order val="1"/>
          <c:tx>
            <c:strRef>
              <c:f>'Figure 7'!$C$1</c:f>
              <c:strCache>
                <c:ptCount val="1"/>
                <c:pt idx="0">
                  <c:v>Entreprises_Privees</c:v>
                </c:pt>
              </c:strCache>
            </c:strRef>
          </c:tx>
          <c:spPr>
            <a:solidFill>
              <a:schemeClr val="accent2"/>
            </a:solidFill>
            <a:ln>
              <a:noFill/>
            </a:ln>
            <a:effectLst/>
          </c:spPr>
          <c:invertIfNegative val="0"/>
          <c:cat>
            <c:numRef>
              <c:f>'Figure 7'!$A$2:$A$13</c:f>
              <c:numCache>
                <c:formatCode>General</c:formatCode>
                <c:ptCount val="12"/>
                <c:pt idx="0">
                  <c:v>2000</c:v>
                </c:pt>
                <c:pt idx="1">
                  <c:v>2001</c:v>
                </c:pt>
                <c:pt idx="2">
                  <c:v>2002</c:v>
                </c:pt>
                <c:pt idx="3">
                  <c:v>2003</c:v>
                </c:pt>
                <c:pt idx="4">
                  <c:v>2004</c:v>
                </c:pt>
                <c:pt idx="5">
                  <c:v>2005</c:v>
                </c:pt>
                <c:pt idx="6">
                  <c:v>2006</c:v>
                </c:pt>
                <c:pt idx="7">
                  <c:v>2012</c:v>
                </c:pt>
                <c:pt idx="8">
                  <c:v>2013</c:v>
                </c:pt>
                <c:pt idx="9">
                  <c:v>2014</c:v>
                </c:pt>
                <c:pt idx="10">
                  <c:v>2015</c:v>
                </c:pt>
                <c:pt idx="11">
                  <c:v>2016</c:v>
                </c:pt>
              </c:numCache>
            </c:numRef>
          </c:cat>
          <c:val>
            <c:numRef>
              <c:f>'Figure 7'!$C$2:$C$13</c:f>
              <c:numCache>
                <c:formatCode>0%</c:formatCode>
                <c:ptCount val="12"/>
                <c:pt idx="0">
                  <c:v>0.2</c:v>
                </c:pt>
                <c:pt idx="1">
                  <c:v>0.25</c:v>
                </c:pt>
                <c:pt idx="2">
                  <c:v>0.2</c:v>
                </c:pt>
                <c:pt idx="3">
                  <c:v>0.25</c:v>
                </c:pt>
                <c:pt idx="4">
                  <c:v>0.2</c:v>
                </c:pt>
                <c:pt idx="5">
                  <c:v>0.25</c:v>
                </c:pt>
                <c:pt idx="6">
                  <c:v>0.2</c:v>
                </c:pt>
                <c:pt idx="7">
                  <c:v>0.25</c:v>
                </c:pt>
                <c:pt idx="8">
                  <c:v>0.2</c:v>
                </c:pt>
                <c:pt idx="9">
                  <c:v>0.25</c:v>
                </c:pt>
                <c:pt idx="10">
                  <c:v>0.2</c:v>
                </c:pt>
                <c:pt idx="11">
                  <c:v>0.2</c:v>
                </c:pt>
              </c:numCache>
            </c:numRef>
          </c:val>
          <c:extLst xmlns:c16r2="http://schemas.microsoft.com/office/drawing/2015/06/chart">
            <c:ext xmlns:c16="http://schemas.microsoft.com/office/drawing/2014/chart" uri="{C3380CC4-5D6E-409C-BE32-E72D297353CC}">
              <c16:uniqueId val="{00000001-ED8F-477A-B10E-83EF17A2F8E6}"/>
            </c:ext>
          </c:extLst>
        </c:ser>
        <c:ser>
          <c:idx val="2"/>
          <c:order val="2"/>
          <c:tx>
            <c:strRef>
              <c:f>'Figure 7'!$D$1</c:f>
              <c:strCache>
                <c:ptCount val="1"/>
                <c:pt idx="0">
                  <c:v>Administrations</c:v>
                </c:pt>
              </c:strCache>
            </c:strRef>
          </c:tx>
          <c:spPr>
            <a:solidFill>
              <a:schemeClr val="accent3"/>
            </a:solidFill>
            <a:ln>
              <a:noFill/>
            </a:ln>
            <a:effectLst/>
          </c:spPr>
          <c:invertIfNegative val="0"/>
          <c:cat>
            <c:numRef>
              <c:f>'Figure 7'!$A$2:$A$13</c:f>
              <c:numCache>
                <c:formatCode>General</c:formatCode>
                <c:ptCount val="12"/>
                <c:pt idx="0">
                  <c:v>2000</c:v>
                </c:pt>
                <c:pt idx="1">
                  <c:v>2001</c:v>
                </c:pt>
                <c:pt idx="2">
                  <c:v>2002</c:v>
                </c:pt>
                <c:pt idx="3">
                  <c:v>2003</c:v>
                </c:pt>
                <c:pt idx="4">
                  <c:v>2004</c:v>
                </c:pt>
                <c:pt idx="5">
                  <c:v>2005</c:v>
                </c:pt>
                <c:pt idx="6">
                  <c:v>2006</c:v>
                </c:pt>
                <c:pt idx="7">
                  <c:v>2012</c:v>
                </c:pt>
                <c:pt idx="8">
                  <c:v>2013</c:v>
                </c:pt>
                <c:pt idx="9">
                  <c:v>2014</c:v>
                </c:pt>
                <c:pt idx="10">
                  <c:v>2015</c:v>
                </c:pt>
                <c:pt idx="11">
                  <c:v>2016</c:v>
                </c:pt>
              </c:numCache>
            </c:numRef>
          </c:cat>
          <c:val>
            <c:numRef>
              <c:f>'Figure 7'!$D$2:$D$13</c:f>
              <c:numCache>
                <c:formatCode>0%</c:formatCode>
                <c:ptCount val="12"/>
                <c:pt idx="0">
                  <c:v>0.5</c:v>
                </c:pt>
                <c:pt idx="1">
                  <c:v>0.35</c:v>
                </c:pt>
                <c:pt idx="2">
                  <c:v>0.5</c:v>
                </c:pt>
                <c:pt idx="3">
                  <c:v>0.35</c:v>
                </c:pt>
                <c:pt idx="4">
                  <c:v>0.5</c:v>
                </c:pt>
                <c:pt idx="5">
                  <c:v>0.35</c:v>
                </c:pt>
                <c:pt idx="6">
                  <c:v>0.5</c:v>
                </c:pt>
                <c:pt idx="7">
                  <c:v>0.35</c:v>
                </c:pt>
                <c:pt idx="8">
                  <c:v>0.5</c:v>
                </c:pt>
                <c:pt idx="9">
                  <c:v>0.35</c:v>
                </c:pt>
                <c:pt idx="10">
                  <c:v>0.5</c:v>
                </c:pt>
                <c:pt idx="11">
                  <c:v>0.5</c:v>
                </c:pt>
              </c:numCache>
            </c:numRef>
          </c:val>
          <c:extLst xmlns:c16r2="http://schemas.microsoft.com/office/drawing/2015/06/chart">
            <c:ext xmlns:c16="http://schemas.microsoft.com/office/drawing/2014/chart" uri="{C3380CC4-5D6E-409C-BE32-E72D297353CC}">
              <c16:uniqueId val="{00000002-ED8F-477A-B10E-83EF17A2F8E6}"/>
            </c:ext>
          </c:extLst>
        </c:ser>
        <c:dLbls>
          <c:showLegendKey val="0"/>
          <c:showVal val="0"/>
          <c:showCatName val="0"/>
          <c:showSerName val="0"/>
          <c:showPercent val="0"/>
          <c:showBubbleSize val="0"/>
        </c:dLbls>
        <c:gapWidth val="267"/>
        <c:overlap val="-43"/>
        <c:axId val="358798848"/>
        <c:axId val="358741056"/>
      </c:barChart>
      <c:catAx>
        <c:axId val="35879884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58741056"/>
        <c:crosses val="autoZero"/>
        <c:auto val="1"/>
        <c:lblAlgn val="ctr"/>
        <c:lblOffset val="100"/>
        <c:noMultiLvlLbl val="0"/>
      </c:catAx>
      <c:valAx>
        <c:axId val="358741056"/>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5879884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Espace_réservé3</b:Tag>
    <b:SourceType>InternetSite</b:SourceType>
    <b:Guid>{D2F81600-7042-4867-BE6C-8032B2E6C9A3}</b:Guid>
    <b:Author>
      <b:Author>
        <b:NameList>
          <b:Person>
            <b:Last>WHO</b:Last>
          </b:Person>
        </b:NameList>
      </b:Author>
    </b:Author>
    <b:Title>Universal Health Coverage (UHC)</b:Title>
    <b:InternetSiteTitle>https://www.who.int</b:InternetSiteTitle>
    <b:Year>2019</b:Year>
    <b:URL>https://www.who.int/news-room/fact-sheets/detail/universal-health-coverage-(uhc)</b:URL>
    <b:RefOrder>4</b:RefOrder>
  </b:Source>
  <b:Source>
    <b:Tag>Mme20</b:Tag>
    <b:SourceType>ElectronicSource</b:SourceType>
    <b:Guid>{377E34B6-133E-4DD2-95F8-60BD94769073}</b:Guid>
    <b:Title>Analyse d'efficacité des programmes de protection sociale en Algérie : Acquis et Défis</b:Title>
    <b:Year>2020</b:Year>
    <b:Author>
      <b:Writer>
        <b:NameList>
          <b:Person>
            <b:Last>DJAMILA</b:Last>
            <b:First>Mme</b:First>
            <b:Middle>MENDIL</b:Middle>
          </b:Person>
        </b:NameList>
      </b:Writer>
      <b:Author>
        <b:NameList>
          <b:Person>
            <b:Last>MENDIL,D</b:Last>
          </b:Person>
        </b:NameList>
      </b:Author>
    </b:Author>
    <b:StateProvince>Université de Bejaia</b:StateProvince>
    <b:CountryRegion>Algérie</b:CountryRegion>
    <b:RefOrder>2</b:RefOrder>
  </b:Source>
  <b:Source>
    <b:Tag>Ser21</b:Tag>
    <b:SourceType>Misc</b:SourceType>
    <b:Guid>{0ACAEADF-32F7-44B5-ABF4-2387732A88D5}</b:Guid>
    <b:Title>Plan de relance economique 2020-2024</b:Title>
    <b:CountryRegion>Algérie</b:CountryRegion>
    <b:Year>2021</b:Year>
    <b:Month>juin</b:Month>
    <b:Publisher>république algérienne</b:Publisher>
    <b:Author>
      <b:Author>
        <b:NameList>
          <b:Person>
            <b:Last>Ministres</b:Last>
            <b:First>Service</b:First>
            <b:Middle>de premier</b:Middle>
          </b:Person>
        </b:NameList>
      </b:Author>
    </b:Author>
    <b:RefOrder>5</b:RefOrder>
  </b:Source>
  <b:Source>
    <b:Tag>Espace_réservé4</b:Tag>
    <b:SourceType>Misc</b:SourceType>
    <b:Guid>{B8435033-5F15-4241-8CAB-CA6AF8E03971}</b:Guid>
    <b:Title>Economie de la santé, évolution et tendances des systèmes de santé OCDE- Europe de l’Est-Maghreb</b:Title>
    <b:Year>2010a</b:Year>
    <b:CountryRegion>Alger</b:CountryRegion>
    <b:Publisher>Bahaeddine Editions</b:Publisher>
    <b:Author>
      <b:Author>
        <b:NameList>
          <b:Person>
            <b:Last>Brahamia,B</b:Last>
          </b:Person>
        </b:NameList>
      </b:Author>
    </b:Author>
    <b:RefOrder>6</b:RefOrder>
  </b:Source>
  <b:Source>
    <b:Tag>Kut13</b:Tag>
    <b:SourceType>JournalArticle</b:SourceType>
    <b:Guid>{5E85B0F4-885B-44D4-B4C6-653D7B070D93}</b:Guid>
    <b:Author>
      <b:Author>
        <b:NameList>
          <b:Person>
            <b:Last>Kutzin</b:Last>
            <b:First>J</b:First>
          </b:Person>
        </b:NameList>
      </b:Author>
    </b:Author>
    <b:Title>Health financing for universal coverage and health system performance: Concepts and implications for policy</b:Title>
    <b:JournalName>Bulletin of the World Health Organization</b:JournalName>
    <b:Year>2013</b:Year>
    <b:Pages>91(8), 602-611</b:Pages>
    <b:RefOrder>7</b:RefOrder>
  </b:Source>
  <b:Source>
    <b:Tag>Rei16</b:Tag>
    <b:SourceType>ArticleInAPeriodical</b:SourceType>
    <b:Guid>{A6A974D2-B71A-4A48-9445-8F148266803C}</b:Guid>
    <b:Title>Moving towards universal health coverage: Lessons from 11 country studies</b:Title>
    <b:Year>2016</b:Year>
    <b:PeriodicalTitle>The Lancet</b:PeriodicalTitle>
    <b:Pages>387(10020), 811-816</b:Pages>
    <b:Author>
      <b:Author>
        <b:NameList>
          <b:Person>
            <b:Last>Reich, M. R</b:Last>
          </b:Person>
          <b:Person>
            <b:Last> Harris, J </b:Last>
          </b:Person>
          <b:Person>
            <b:Last>Ikegami, N</b:Last>
          </b:Person>
          <b:Person>
            <b:Last> Maeda, A</b:Last>
          </b:Person>
          <b:Person>
            <b:Last>Cashin,C</b:Last>
          </b:Person>
          <b:Person>
            <b:Last>Arauho,E.C</b:Last>
          </b:Person>
        </b:NameList>
      </b:Author>
    </b:Author>
    <b:RefOrder>8</b:RefOrder>
  </b:Source>
  <b:Source>
    <b:Tag>Sav12</b:Tag>
    <b:SourceType>ArticleInAPeriodical</b:SourceType>
    <b:Guid>{8E43EB9B-C6CB-444D-803C-CF028EC0E0D1}</b:Guid>
    <b:Title>Political and economic aspects of the transition to universal health coverage</b:Title>
    <b:PeriodicalTitle>The Lancet</b:PeriodicalTitle>
    <b:Year>2012</b:Year>
    <b:Pages>380(9845), 924-932</b:Pages>
    <b:Author>
      <b:Author>
        <b:NameList>
          <b:Person>
            <b:Last>Savedoff, W. D</b:Last>
          </b:Person>
          <b:Person>
            <b:Last>de Ferranti, D</b:Last>
          </b:Person>
          <b:Person>
            <b:Last>Smith, A. L</b:Last>
          </b:Person>
          <b:Person>
            <b:Last>Fan,V</b:Last>
          </b:Person>
        </b:NameList>
      </b:Author>
    </b:Author>
    <b:RefOrder>9</b:RefOrder>
  </b:Source>
  <b:Source>
    <b:Tag>Hei20</b:Tag>
    <b:SourceType>DocumentFromInternetSite</b:SourceType>
    <b:Guid>{37146AD5-76DB-485B-8AD1-58A7041236EF}</b:Guid>
    <b:Title>Évaluation des effets de la couverture sanitaire universelle (CSU) sur l’utilisation effective des services de santé au Maroc</b:Title>
    <b:Year>2020</b:Year>
    <b:Author>
      <b:Author>
        <b:NameList>
          <b:Person>
            <b:Last>Heikel</b:Last>
            <b:First>Jaafer</b:First>
          </b:Person>
        </b:NameList>
      </b:Author>
    </b:Author>
    <b:PublicationTitle>Évaluation des effets de la couverture sanitaire universelle (CSU)</b:PublicationTitle>
    <b:StateProvince>Université Paris-Nord</b:StateProvince>
    <b:CountryRegion>paris</b:CountryRegion>
    <b:InternetSiteTitle>https://shs.hal.science.fr</b:InternetSiteTitle>
    <b:URL>https://shs.hal.science/tel-03357656/</b:URL>
    <b:RefOrder>10</b:RefOrder>
  </b:Source>
  <b:Source>
    <b:Tag>BEL24</b:Tag>
    <b:SourceType>JournalArticle</b:SourceType>
    <b:Guid>{47E11B8E-D3CA-48FC-BCF5-2D8928C22457}</b:Guid>
    <b:Title>The Successful Models of Universal Health Coverage and the Case of Morocco</b:Title>
    <b:JournalName>Management Control, Auditing and Finance Review (MCAFR)</b:JournalName>
    <b:Year>2024</b:Year>
    <b:Pages>101-125</b:Pages>
    <b:Author>
      <b:Author>
        <b:NameList>
          <b:Person>
            <b:Last>Belyagou,Y </b:Last>
          </b:Person>
          <b:Person>
            <b:Last>Benabdallah,H</b:Last>
          </b:Person>
        </b:NameList>
      </b:Author>
    </b:Author>
    <b:RefOrder>11</b:RefOrder>
  </b:Source>
  <b:Source>
    <b:Tag>Mec22</b:Tag>
    <b:SourceType>ArticleInAPeriodical</b:SourceType>
    <b:Guid>{605AA941-AD3E-466F-9330-DEE01F8808F3}</b:Guid>
    <b:Title>Maladies professionnelles indemnisées dans le secteur public tunisien</b:Title>
    <b:PeriodicalTitle>Tunisie Médicale</b:PeriodicalTitle>
    <b:Year>2022</b:Year>
    <b:Pages>603-609</b:Pages>
    <b:Author>
      <b:Author>
        <b:NameList>
          <b:Person>
            <b:Last>Mechergui,N</b:Last>
          </b:Person>
          <b:Person>
            <b:Last>Bahri,G</b:Last>
          </b:Person>
          <b:Person>
            <b:Last>Youssef,I</b:Last>
          </b:Person>
          <b:Person>
            <b:Last>Ben Rhouma,N</b:Last>
          </b:Person>
          <b:Person>
            <b:Last>Youssfi,I</b:Last>
          </b:Person>
          <b:Person>
            <b:Last>Ladhari,N</b:Last>
          </b:Person>
        </b:NameList>
      </b:Author>
    </b:Author>
    <b:RefOrder>12</b:RefOrder>
  </b:Source>
  <b:Source>
    <b:Tag>Lam14</b:Tag>
    <b:SourceType>JournalArticle</b:SourceType>
    <b:Guid>{99640586-D90E-4C10-A8FB-5EACFF16B473}</b:Guid>
    <b:Author>
      <b:Author>
        <b:NameList>
          <b:Person>
            <b:Last>Lamri</b:Last>
            <b:First>L</b:First>
          </b:Person>
        </b:NameList>
      </b:Author>
    </b:Author>
    <b:Title>Évolution du système de santé algérien depuis l'indépendance : bilan et perspectives. </b:Title>
    <b:JournalName>Revue Algérienne des Sciences Sociales</b:JournalName>
    <b:Year>2014</b:Year>
    <b:Pages>8(2), 112-128.</b:Pages>
    <b:RefOrder>13</b:RefOrder>
  </b:Source>
  <b:Source>
    <b:Tag>Zia20</b:Tag>
    <b:SourceType>ArticleInAPeriodical</b:SourceType>
    <b:Guid>{1C46A643-9822-4E16-A074-224048749313}</b:Guid>
    <b:Title>Analysis of the Performance of Social Health Insurance Schemes in the Maghreb</b:Title>
    <b:Year>2020</b:Year>
    <b:Author>
      <b:Author>
        <b:NameList>
          <b:Person>
            <b:Last>Ziani,L</b:Last>
          </b:Person>
        </b:NameList>
      </b:Author>
    </b:Author>
    <b:PeriodicalTitle>Industrial Economics Review</b:PeriodicalTitle>
    <b:Pages>402-420</b:Pages>
    <b:RefOrder>14</b:RefOrder>
  </b:Source>
  <b:Source>
    <b:Tag>Oua25</b:Tag>
    <b:SourceType>JournalArticle</b:SourceType>
    <b:Guid>{D02DE8C6-7832-4859-97BF-57736567F033}</b:Guid>
    <b:Title>LE SYSTÈME DE SANTÉ ALGÉRIEN : ENTRE UNIVERSALITÉS DES SOINS ET MAITRISE DES COUTS</b:Title>
    <b:Year>2025</b:Year>
    <b:JournalName>Revue d’Economie et de Statistique Appliquée</b:JournalName>
    <b:Pages>195-209</b:Pages>
    <b:Author>
      <b:Author>
        <b:NameList>
          <b:Person>
            <b:Last>Ouadah</b:Last>
            <b:First>S</b:First>
          </b:Person>
          <b:Person>
            <b:Last>Madani</b:Last>
            <b:First>H</b:First>
          </b:Person>
        </b:NameList>
      </b:Author>
    </b:Author>
    <b:RefOrder>3</b:RefOrder>
  </b:Source>
  <b:Source>
    <b:Tag>Err24</b:Tag>
    <b:SourceType>ArticleInAPeriodical</b:SourceType>
    <b:Guid>{1491EB29-7C94-45F5-9400-969E48E101D9}</b:Guid>
    <b:Author>
      <b:Author>
        <b:NameList>
          <b:Person>
            <b:Last>Errabih</b:Last>
            <b:First>S</b:First>
          </b:Person>
        </b:NameList>
      </b:Author>
    </b:Author>
    <b:Year>2024</b:Year>
    <b:Title>La Loi 06-22: Un pas vers une couverture sanitaire universelle au Maroc, ou un rêve difficile à atteindre? </b:Title>
    <b:PeriodicalTitle>Revue marocaine de comptabilité, finance et gestion, 2(1)</b:PeriodicalTitle>
    <b:RefOrder>15</b:RefOrder>
  </b:Source>
  <b:Source>
    <b:Tag>Azr23</b:Tag>
    <b:SourceType>JournalArticle</b:SourceType>
    <b:Guid>{5595C2DE-E072-443A-9088-234DC4F1403F}</b:Guid>
    <b:Title>Impact de la transition épidémiologique sur les dépenses de l’assurance maladie en Algérie</b:Title>
    <b:JournalName>Revue Forum d'études et de recherches économiques</b:JournalName>
    <b:Year>2023</b:Year>
    <b:Pages>600 - 617</b:Pages>
    <b:Author>
      <b:Author>
        <b:NameList>
          <b:Person>
            <b:Last>Azri,K</b:Last>
          </b:Person>
          <b:Person>
            <b:Last>Brahamia,B</b:Last>
          </b:Person>
        </b:NameList>
      </b:Author>
    </b:Author>
    <b:RefOrder>16</b:RefOrder>
  </b:Source>
  <b:Source>
    <b:Tag>Lij71</b:Tag>
    <b:SourceType>JournalArticle</b:SourceType>
    <b:Guid>{C7A99BE0-3BA0-44E0-87E5-8CC42371C18E}</b:Guid>
    <b:Author>
      <b:Author>
        <b:NameList>
          <b:Person>
            <b:Last>Lijphart</b:Last>
            <b:First>A</b:First>
          </b:Person>
        </b:NameList>
      </b:Author>
    </b:Author>
    <b:Title>Comparative politics and the comparative method</b:Title>
    <b:JournalName>American Political Science Review</b:JournalName>
    <b:Year>1971</b:Year>
    <b:Pages>65(3), 682-693</b:Pages>
    <b:RefOrder>19</b:RefOrder>
  </b:Source>
  <b:Source>
    <b:Tag>10</b:Tag>
    <b:SourceType>Misc</b:SourceType>
    <b:Guid>{9E526C4D-EFED-4D72-ABA1-0626C0467D80}</b:Guid>
    <b:Year>2010</b:Year>
    <b:Author>
      <b:Author>
        <b:NameList>
          <b:Person>
            <b:Last>Kara Terki</b:Last>
            <b:First>A.</b:First>
          </b:Person>
        </b:NameList>
      </b:Author>
    </b:Author>
    <b:Title>La régulation de l’offre dans le nouveau système de soin public »</b:Title>
    <b:PublicationTitle>Thèse de doctorat En sciences économiques</b:PublicationTitle>
    <b:StateProvince>sciences économiques</b:StateProvince>
    <b:Publisher>Université de Tlemcen.</b:Publisher>
    <b:RefOrder>20</b:RefOrder>
  </b:Source>
  <b:Source>
    <b:Tag>Zeh08</b:Tag>
    <b:SourceType>Misc</b:SourceType>
    <b:Guid>{5B667BB9-7ED7-48F3-BF19-9EA4D9B4DBA5}</b:Guid>
    <b:Title>La crise du système de financement de la santé en Algérie», , Poitiers, 26-28 </b:Title>
    <b:Year>2008</b:Year>
    <b:Author>
      <b:Author>
        <b:NameList>
          <b:Person>
            <b:Last>Zehnati</b:Last>
            <b:First>A</b:First>
          </b:Person>
        </b:NameList>
      </b:Author>
    </b:Author>
    <b:PublicationTitle>Communication présentée au colloque international : Services, innovation et développement durable</b:PublicationTitle>
    <b:Month>mars</b:Month>
    <b:CountryRegion>Poitiers</b:CountryRegion>
    <b:RefOrder>21</b:RefOrder>
  </b:Source>
  <b:Source>
    <b:Tag>Lam01</b:Tag>
    <b:SourceType>Misc</b:SourceType>
    <b:Guid>{D7C8DEB9-540D-44A4-AB2E-E1D7DE3C935C}</b:Guid>
    <b:Title>Monographie de l’assurance maladie en Algérie</b:Title>
    <b:Year>2001</b:Year>
    <b:StateProvince>Tunis, Hammamet</b:StateProvince>
    <b:Author>
      <b:Author>
        <b:NameList>
          <b:Person>
            <b:Last>Lamri,L</b:Last>
          </b:Person>
        </b:NameList>
      </b:Author>
    </b:Author>
    <b:PublicationTitle>Séminaire RESSMA</b:PublicationTitle>
    <b:RefOrder>23</b:RefOrder>
  </b:Source>
  <b:Source>
    <b:Tag>Lam04</b:Tag>
    <b:SourceType>Book</b:SourceType>
    <b:Guid>{E4169C75-0438-4E29-A86A-A50419599B88}</b:Guid>
    <b:Title>Le système de sécurité sociale en Algérie, une approche économique</b:Title>
    <b:Year>2004</b:Year>
    <b:Author>
      <b:Author>
        <b:NameList>
          <b:Person>
            <b:Last>Lamri, L</b:Last>
          </b:Person>
        </b:NameList>
      </b:Author>
    </b:Author>
    <b:Publisher>OPU</b:Publisher>
    <b:RefOrder>24</b:RefOrder>
  </b:Source>
  <b:Source>
    <b:Tag>Mer14</b:Tag>
    <b:SourceType>Book</b:SourceType>
    <b:Guid>{0F32EACA-EE4F-4A96-B5B7-D10214115458}</b:Guid>
    <b:Title>Le système algérien de protection sociale : entre bismarckien et beveridgien</b:Title>
    <b:Year>2014</b:Year>
    <b:Publisher>Les cahiers du CREAD</b:Publisher>
    <b:Author>
      <b:Author>
        <b:NameList>
          <b:Person>
            <b:Last>Merouani ,W</b:Last>
          </b:Person>
          <b:Person>
            <b:Last>El Moudden ,C</b:Last>
          </b:Person>
          <b:Person>
            <b:Last>Hammoudi,N</b:Last>
          </b:Person>
        </b:NameList>
      </b:Author>
    </b:Author>
    <b:RefOrder>25</b:RefOrder>
  </b:Source>
  <b:Source>
    <b:Tag>Mis25</b:Tag>
    <b:SourceType>JournalArticle</b:SourceType>
    <b:Guid>{D74DD22A-F66A-407E-A638-F36A8C240112}</b:Guid>
    <b:Title>Les Tunisiens soutiennent l'accès universel aux soins et soulignent des difficultés persistantes</b:Title>
    <b:JournalName>Dépêche No. 976</b:JournalName>
    <b:Year>2025</b:Year>
    <b:Pages>1-17</b:Pages>
    <b:Author>
      <b:Author>
        <b:NameList>
          <b:Person>
            <b:Last>Missaoui,A</b:Last>
          </b:Person>
          <b:Person>
            <b:Last>Mezlini,I</b:Last>
          </b:Person>
          <b:Person>
            <b:Last>Meddeb,Y</b:Last>
          </b:Person>
        </b:NameList>
      </b:Author>
    </b:Author>
    <b:RefOrder>26</b:RefOrder>
  </b:Source>
</b:Sources>
</file>

<file path=customXml/itemProps1.xml><?xml version="1.0" encoding="utf-8"?>
<ds:datastoreItem xmlns:ds="http://schemas.openxmlformats.org/officeDocument/2006/customXml" ds:itemID="{06F4CA8B-C964-43BD-8801-BCF2F2C9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7905</Words>
  <Characters>45062</Characters>
  <Application>Microsoft Office Word</Application>
  <DocSecurity>0</DocSecurity>
  <Lines>375</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 dekdouk</dc:creator>
  <cp:keywords/>
  <dc:description/>
  <cp:lastModifiedBy>qwert</cp:lastModifiedBy>
  <cp:revision>3</cp:revision>
  <cp:lastPrinted>2025-10-30T10:22:00Z</cp:lastPrinted>
  <dcterms:created xsi:type="dcterms:W3CDTF">2026-05-20T10:38:00Z</dcterms:created>
  <dcterms:modified xsi:type="dcterms:W3CDTF">2026-05-21T09:10:00Z</dcterms:modified>
</cp:coreProperties>
</file>