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245" w:rsidRPr="0097287A" w:rsidRDefault="005E6F25" w:rsidP="0097287A">
      <w:pPr>
        <w:pStyle w:val="Title"/>
        <w:spacing w:after="0"/>
        <w:rPr>
          <w:rFonts w:ascii="Times New Roman" w:hAnsi="Times New Roman" w:cs="Times New Roman"/>
          <w:b/>
          <w:bCs/>
          <w:sz w:val="36"/>
          <w:szCs w:val="36"/>
        </w:rPr>
      </w:pPr>
      <w:r w:rsidRPr="0097287A">
        <w:rPr>
          <w:rFonts w:ascii="Times New Roman" w:hAnsi="Times New Roman" w:cs="Times New Roman"/>
          <w:b/>
          <w:bCs/>
          <w:sz w:val="36"/>
          <w:szCs w:val="36"/>
        </w:rPr>
        <w:t>Asymptotics for Backlog Probabilities in a Bidimensional Caseload Model with Randomly Delayed Cases in Kenya’s Magistrates’ Court</w:t>
      </w:r>
    </w:p>
    <w:p w:rsidR="0097287A" w:rsidRPr="0097287A" w:rsidRDefault="0097287A" w:rsidP="0097287A">
      <w:pPr>
        <w:pStyle w:val="BodyText"/>
        <w:spacing w:before="0" w:after="0"/>
        <w:rPr>
          <w:rFonts w:ascii="Times New Roman" w:hAnsi="Times New Roman" w:cs="Times New Roman"/>
        </w:rPr>
      </w:pPr>
    </w:p>
    <w:p w:rsidR="00504345" w:rsidRPr="0097287A" w:rsidRDefault="00504345" w:rsidP="0097287A">
      <w:pPr>
        <w:pStyle w:val="Heading1"/>
        <w:numPr>
          <w:ilvl w:val="0"/>
          <w:numId w:val="0"/>
        </w:numPr>
        <w:spacing w:before="0" w:after="0"/>
        <w:ind w:left="432"/>
        <w:jc w:val="both"/>
        <w:rPr>
          <w:rFonts w:ascii="Times New Roman" w:hAnsi="Times New Roman" w:cs="Times New Roman"/>
          <w:sz w:val="24"/>
          <w:szCs w:val="24"/>
        </w:rPr>
      </w:pPr>
      <w:bookmarkStart w:id="0" w:name="highlights"/>
      <w:bookmarkStart w:id="1" w:name="_GoBack"/>
      <w:bookmarkEnd w:id="1"/>
    </w:p>
    <w:p w:rsidR="00AF2245" w:rsidRPr="0097287A" w:rsidRDefault="0097287A" w:rsidP="0097287A">
      <w:pPr>
        <w:pStyle w:val="Heading1"/>
        <w:numPr>
          <w:ilvl w:val="0"/>
          <w:numId w:val="0"/>
        </w:numPr>
        <w:spacing w:before="0" w:after="0"/>
        <w:ind w:left="432" w:hanging="432"/>
        <w:jc w:val="both"/>
        <w:rPr>
          <w:rFonts w:ascii="Times New Roman" w:hAnsi="Times New Roman" w:cs="Times New Roman"/>
          <w:b/>
          <w:bCs/>
          <w:sz w:val="28"/>
          <w:szCs w:val="28"/>
        </w:rPr>
      </w:pPr>
      <w:r w:rsidRPr="0097287A">
        <w:rPr>
          <w:rFonts w:ascii="Times New Roman" w:hAnsi="Times New Roman" w:cs="Times New Roman"/>
          <w:b/>
          <w:bCs/>
          <w:sz w:val="28"/>
          <w:szCs w:val="28"/>
        </w:rPr>
        <w:t>HIGHLIGHTS</w:t>
      </w:r>
    </w:p>
    <w:p w:rsidR="0097287A" w:rsidRDefault="005E6F25"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First bidimensional surplus model for criminal–civil judicial backlog with randomly delayed proceedings.</w:t>
      </w:r>
    </w:p>
    <w:p w:rsidR="0097287A" w:rsidRDefault="005E6F25"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 xml:space="preserve">Civil adjournments exceed 365 days in 1.18% of matters; criminal in 0.07%; Hill tail indices confirm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w:t>
      </w:r>
    </w:p>
    <w:p w:rsidR="0097287A" w:rsidRDefault="005E6F25"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 xml:space="preserve">Explicit asymptotic constant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derived: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both estimates satisfy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rPr>
        <w:t>.</w:t>
      </w:r>
    </w:p>
    <w:p w:rsidR="0097287A" w:rsidRDefault="005E6F25"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 xml:space="preserve">Tail heaviness dominates risk: unit shift in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rPr>
        <w:t xml:space="preserve"> outweighs doubling capacity by factor of 180.</w:t>
      </w:r>
    </w:p>
    <w:p w:rsidR="00AF2245" w:rsidRPr="0097287A" w:rsidRDefault="005E6F25" w:rsidP="0097287A">
      <w:pPr>
        <w:pStyle w:val="ListParagraph"/>
        <w:numPr>
          <w:ilvl w:val="0"/>
          <w:numId w:val="8"/>
        </w:numPr>
        <w:spacing w:after="0"/>
        <w:jc w:val="both"/>
        <w:rPr>
          <w:rFonts w:ascii="Times New Roman" w:hAnsi="Times New Roman" w:cs="Times New Roman"/>
        </w:rPr>
      </w:pPr>
      <w:r w:rsidRPr="0097287A">
        <w:rPr>
          <w:rFonts w:ascii="Times New Roman" w:hAnsi="Times New Roman" w:cs="Times New Roman"/>
        </w:rPr>
        <w:t>Findings inform dynamic judicial resource allocation and bac</w:t>
      </w:r>
      <w:r w:rsidRPr="0097287A">
        <w:rPr>
          <w:rFonts w:ascii="Times New Roman" w:hAnsi="Times New Roman" w:cs="Times New Roman"/>
        </w:rPr>
        <w:t>klog mitigation.</w:t>
      </w:r>
    </w:p>
    <w:p w:rsidR="00504345" w:rsidRPr="0097287A" w:rsidRDefault="00504345" w:rsidP="0097287A">
      <w:pPr>
        <w:pStyle w:val="Heading1"/>
        <w:numPr>
          <w:ilvl w:val="0"/>
          <w:numId w:val="0"/>
        </w:numPr>
        <w:spacing w:before="0" w:after="0"/>
        <w:ind w:left="432"/>
        <w:jc w:val="both"/>
        <w:rPr>
          <w:rFonts w:ascii="Times New Roman" w:hAnsi="Times New Roman" w:cs="Times New Roman"/>
          <w:b/>
          <w:bCs/>
          <w:sz w:val="24"/>
          <w:szCs w:val="24"/>
        </w:rPr>
      </w:pPr>
      <w:bookmarkStart w:id="2" w:name="abstract"/>
      <w:bookmarkEnd w:id="0"/>
    </w:p>
    <w:p w:rsidR="00504345" w:rsidRPr="0097287A" w:rsidRDefault="0097287A" w:rsidP="0097287A">
      <w:pPr>
        <w:pStyle w:val="Heading1"/>
        <w:numPr>
          <w:ilvl w:val="0"/>
          <w:numId w:val="0"/>
        </w:numPr>
        <w:spacing w:before="0" w:after="0"/>
        <w:ind w:left="431" w:hanging="431"/>
        <w:contextualSpacing/>
        <w:jc w:val="both"/>
        <w:rPr>
          <w:rFonts w:ascii="Times New Roman" w:hAnsi="Times New Roman" w:cs="Times New Roman"/>
          <w:b/>
          <w:bCs/>
          <w:sz w:val="28"/>
          <w:szCs w:val="28"/>
        </w:rPr>
      </w:pPr>
      <w:r w:rsidRPr="0097287A">
        <w:rPr>
          <w:rFonts w:ascii="Times New Roman" w:hAnsi="Times New Roman" w:cs="Times New Roman"/>
          <w:b/>
          <w:bCs/>
          <w:sz w:val="28"/>
          <w:szCs w:val="28"/>
        </w:rPr>
        <w:t>ABSTRACT</w:t>
      </w:r>
    </w:p>
    <w:p w:rsidR="00AF2245" w:rsidRPr="0097287A" w:rsidRDefault="005E6F25" w:rsidP="0097287A">
      <w:pPr>
        <w:pStyle w:val="FirstParagraph"/>
        <w:spacing w:before="0" w:after="0"/>
        <w:contextualSpacing/>
        <w:jc w:val="both"/>
        <w:rPr>
          <w:rFonts w:ascii="Times New Roman" w:hAnsi="Times New Roman" w:cs="Times New Roman"/>
        </w:rPr>
      </w:pPr>
      <w:r w:rsidRPr="0097287A">
        <w:rPr>
          <w:rFonts w:ascii="Times New Roman" w:hAnsi="Times New Roman" w:cs="Times New Roman"/>
        </w:rPr>
        <w:t xml:space="preserve">Persistent case backlogs in Kenya’s Magistrates’ Courts undermined timely access to justice, with these courts handling over 79% of pending cases nationwide. Criminal cases resolved with a median duration of 275 days, yet civil </w:t>
      </w:r>
      <w:r w:rsidRPr="0097287A">
        <w:rPr>
          <w:rFonts w:ascii="Times New Roman" w:hAnsi="Times New Roman" w:cs="Times New Roman"/>
        </w:rPr>
        <w:t>cases persisted for a median of 631 days, with adjournments exceeding 365 days occurring in 1.18% of civil matters compared to 0.07% of criminal matters, a disparity that average-based performance metrics failed to capture. This study developed a bidimensi</w:t>
      </w:r>
      <w:r w:rsidRPr="0097287A">
        <w:rPr>
          <w:rFonts w:ascii="Times New Roman" w:hAnsi="Times New Roman" w:cs="Times New Roman"/>
        </w:rPr>
        <w:t>onal stochastic surplus model to analyse backlog dynamics by jointly incorporating criminal and civil case streams with randomly delayed proceedings. Drawing on actuarial risk theory, the research extended the Cramér–Lundberg framework to a bidimensional c</w:t>
      </w:r>
      <w:r w:rsidRPr="0097287A">
        <w:rPr>
          <w:rFonts w:ascii="Times New Roman" w:hAnsi="Times New Roman" w:cs="Times New Roman"/>
        </w:rPr>
        <w:t>ontext, integrating Poisson case arrivals, heavy-tailed distributions for workload complexity, and stochastic adjournment delays. Backlog probabilities, joint (simultaneous congestion across streams) and marginal (congestion in at least one stream), were d</w:t>
      </w:r>
      <w:r w:rsidRPr="0097287A">
        <w:rPr>
          <w:rFonts w:ascii="Times New Roman" w:hAnsi="Times New Roman" w:cs="Times New Roman"/>
        </w:rPr>
        <w:t>erived using asymptotic analysis and large deviations theory. Distributional fitting confirmed heavier-than-exponential tail behavior in adjournment durations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xml:space="preserve">), with both estimates satisfying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rPr>
        <w:t>, validating the polynomial</w:t>
      </w:r>
      <w:r w:rsidRPr="0097287A">
        <w:rPr>
          <w:rFonts w:ascii="Times New Roman" w:hAnsi="Times New Roman" w:cs="Times New Roman"/>
        </w:rPr>
        <w:t xml:space="preserve"> decay result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as an operative empirical estimate for the civil stream and a stress-testing benchmark for the criminal stream. Scenario-based simulations revealed a clear hierarchy of risk drivers: the tail index of adjournment dur</w:t>
      </w:r>
      <w:r w:rsidRPr="0097287A">
        <w:rPr>
          <w:rFonts w:ascii="Times New Roman" w:hAnsi="Times New Roman" w:cs="Times New Roman"/>
        </w:rPr>
        <w:t xml:space="preserve">ations was the dominant influence, with a shift from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3.5</m:t>
        </m:r>
      </m:oMath>
      <w:r w:rsidRPr="0097287A">
        <w:rPr>
          <w:rFonts w:ascii="Times New Roman" w:hAnsi="Times New Roman" w:cs="Times New Roman"/>
        </w:rPr>
        <w:t xml:space="preserve"> to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rPr>
        <w:t xml:space="preserve"> increasing marginal backlog probability by 1,678%, far exceeding the effect of doubling processing capacity (</w:t>
      </w:r>
      <m:oMath>
        <m:r>
          <m:rPr>
            <m:sty m:val="p"/>
          </m:rPr>
          <w:rPr>
            <w:rFonts w:ascii="Cambria Math" w:hAnsi="Cambria Math" w:cs="Times New Roman"/>
          </w:rPr>
          <m:t>-</m:t>
        </m:r>
        <m:r>
          <w:rPr>
            <w:rFonts w:ascii="Cambria Math" w:hAnsi="Cambria Math" w:cs="Times New Roman"/>
          </w:rPr>
          <m:t>9.3</m:t>
        </m:r>
        <m:r>
          <m:rPr>
            <m:sty m:val="p"/>
          </m:rPr>
          <w:rPr>
            <w:rFonts w:ascii="Cambria Math" w:hAnsi="Cambria Math" w:cs="Times New Roman"/>
          </w:rPr>
          <m:t>%</m:t>
        </m:r>
      </m:oMath>
      <w:r w:rsidRPr="0097287A">
        <w:rPr>
          <w:rFonts w:ascii="Times New Roman" w:hAnsi="Times New Roman" w:cs="Times New Roman"/>
        </w:rPr>
        <w:t>) or more than doubling arrival intensity (</w:t>
      </w:r>
      <m:oMath>
        <m:r>
          <m:rPr>
            <m:sty m:val="p"/>
          </m:rPr>
          <w:rPr>
            <w:rFonts w:ascii="Cambria Math" w:hAnsi="Cambria Math" w:cs="Times New Roman"/>
          </w:rPr>
          <m:t>+</m:t>
        </m:r>
        <m:r>
          <w:rPr>
            <w:rFonts w:ascii="Cambria Math" w:hAnsi="Cambria Math" w:cs="Times New Roman"/>
          </w:rPr>
          <m:t>13.9</m:t>
        </m:r>
        <m:r>
          <m:rPr>
            <m:sty m:val="p"/>
          </m:rPr>
          <w:rPr>
            <w:rFonts w:ascii="Cambria Math" w:hAnsi="Cambria Math" w:cs="Times New Roman"/>
          </w:rPr>
          <m:t>%</m:t>
        </m:r>
      </m:oMath>
      <w:r w:rsidRPr="0097287A">
        <w:rPr>
          <w:rFonts w:ascii="Times New Roman" w:hAnsi="Times New Roman" w:cs="Times New Roman"/>
        </w:rPr>
        <w:t>). These findings e</w:t>
      </w:r>
      <w:r w:rsidRPr="0097287A">
        <w:rPr>
          <w:rFonts w:ascii="Times New Roman" w:hAnsi="Times New Roman" w:cs="Times New Roman"/>
        </w:rPr>
        <w:t>stablished that effective backlog mitigation required prioritising adjournment control over demand management or capacity expansion alone, providing evidence-based tools for identifying congestion thresholds, optimising resource allocation, and informing b</w:t>
      </w:r>
      <w:r w:rsidRPr="0097287A">
        <w:rPr>
          <w:rFonts w:ascii="Times New Roman" w:hAnsi="Times New Roman" w:cs="Times New Roman"/>
        </w:rPr>
        <w:t>acklog reduction strategies through dynamic capacity allocation, targeted adjournment reform, and scenario-based stress testing.</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b/>
          <w:bCs/>
        </w:rPr>
        <w:t>Keywords:</w:t>
      </w:r>
      <w:r w:rsidRPr="0097287A">
        <w:rPr>
          <w:rFonts w:ascii="Times New Roman" w:hAnsi="Times New Roman" w:cs="Times New Roman"/>
        </w:rPr>
        <w:t xml:space="preserve"> Judicial Backlog, Bidimensional Surplus Model, Heavy-Tailed Distributions, Large Deviations Theory, Asymptotic Analysis.</w:t>
      </w:r>
    </w:p>
    <w:bookmarkEnd w:id="2"/>
    <w:p w:rsidR="00AF2245" w:rsidRPr="0097287A" w:rsidRDefault="005E6F25" w:rsidP="0097287A">
      <w:pPr>
        <w:spacing w:after="0"/>
        <w:jc w:val="both"/>
        <w:rPr>
          <w:rFonts w:ascii="Times New Roman" w:hAnsi="Times New Roman" w:cs="Times New Roman"/>
        </w:rPr>
      </w:pPr>
      <w:r>
        <w:rPr>
          <w:rFonts w:ascii="Times New Roman" w:hAnsi="Times New Roman" w:cs="Times New Roman"/>
          <w:noProof/>
        </w:rPr>
        <w:pict>
          <v:rect id="_x0000_i1025" alt="" style="width:451.3pt;height:.05pt;mso-width-percent:0;mso-height-percent:0;mso-width-percent:0;mso-height-percent:0" o:hralign="center" o:hrstd="t" o:hr="t"/>
        </w:pict>
      </w:r>
    </w:p>
    <w:p w:rsidR="00504345" w:rsidRPr="0097287A" w:rsidRDefault="00504345" w:rsidP="0097287A">
      <w:pPr>
        <w:pStyle w:val="Heading1"/>
        <w:numPr>
          <w:ilvl w:val="0"/>
          <w:numId w:val="0"/>
        </w:numPr>
        <w:spacing w:before="0" w:after="0"/>
        <w:ind w:left="432"/>
        <w:jc w:val="both"/>
        <w:rPr>
          <w:rFonts w:ascii="Times New Roman" w:hAnsi="Times New Roman" w:cs="Times New Roman"/>
          <w:sz w:val="24"/>
          <w:szCs w:val="24"/>
        </w:rPr>
      </w:pPr>
      <w:bookmarkStart w:id="3" w:name="introduction"/>
    </w:p>
    <w:p w:rsidR="00AF2245" w:rsidRPr="0097287A" w:rsidRDefault="0097287A" w:rsidP="0097287A">
      <w:pPr>
        <w:pStyle w:val="Heading1"/>
        <w:numPr>
          <w:ilvl w:val="0"/>
          <w:numId w:val="0"/>
        </w:numPr>
        <w:spacing w:before="0" w:after="0"/>
        <w:ind w:left="432" w:hanging="432"/>
        <w:rPr>
          <w:rFonts w:ascii="Times New Roman" w:hAnsi="Times New Roman" w:cs="Times New Roman"/>
          <w:b/>
          <w:bCs/>
          <w:sz w:val="24"/>
          <w:szCs w:val="24"/>
        </w:rPr>
      </w:pPr>
      <w:r w:rsidRPr="0097287A">
        <w:rPr>
          <w:rFonts w:ascii="Times New Roman" w:hAnsi="Times New Roman" w:cs="Times New Roman"/>
          <w:b/>
          <w:bCs/>
          <w:sz w:val="24"/>
          <w:szCs w:val="24"/>
        </w:rPr>
        <w:t>INTRODUCTION</w:t>
      </w:r>
    </w:p>
    <w:p w:rsidR="005043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The efficient administration of justice is a foundational requirement for upholding the rule of law and sustaining public confidence in legal institutions. However, judicial systems globally are plagued by persistent backlogs that erode timely access to ju</w:t>
      </w:r>
      <w:r w:rsidRPr="0097287A">
        <w:rPr>
          <w:rFonts w:ascii="Times New Roman" w:hAnsi="Times New Roman" w:cs="Times New Roman"/>
        </w:rPr>
        <w:t>stice (Melcarne, Ramello, and Spruk 2021). In the Kenyan context, the Magistrates’ Courts bear the primary burden of the national caseload; as of the financial year 2023/24, these courts accounted for over 79% of unresolved matters, totalling approximately</w:t>
      </w:r>
      <w:r w:rsidRPr="0097287A">
        <w:rPr>
          <w:rFonts w:ascii="Times New Roman" w:hAnsi="Times New Roman" w:cs="Times New Roman"/>
        </w:rPr>
        <w:t xml:space="preserve"> 470,558 pending cases (SOJAR 2024). Such delays create uncertainty for litigants and strain institutional capacity, highlighting the need for robust analytical frameworks to understand and mitigate backlog formation. While traditional performance metrics </w:t>
      </w:r>
      <w:r w:rsidRPr="0097287A">
        <w:rPr>
          <w:rFonts w:ascii="Times New Roman" w:hAnsi="Times New Roman" w:cs="Times New Roman"/>
        </w:rPr>
        <w:t xml:space="preserve">focus on average disposition times, they fail to account for the stochastic volatility inherent in judicial proceedings, where a few </w:t>
      </w:r>
      <w:r w:rsidRPr="0097287A">
        <w:rPr>
          <w:rFonts w:ascii="Times New Roman" w:hAnsi="Times New Roman" w:cs="Times New Roman"/>
          <w:i/>
          <w:iCs/>
        </w:rPr>
        <w:t>“mega-cases”</w:t>
      </w:r>
      <w:r w:rsidRPr="0097287A">
        <w:rPr>
          <w:rFonts w:ascii="Times New Roman" w:hAnsi="Times New Roman" w:cs="Times New Roman"/>
        </w:rPr>
        <w:t xml:space="preserve"> and extreme adjournments disproportionately drive systemic congestion.</w:t>
      </w:r>
    </w:p>
    <w:p w:rsidR="004F7EAB"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lastRenderedPageBreak/>
        <w:br/>
        <w:t>Empirical studies demonstrate that cas</w:t>
      </w:r>
      <w:r w:rsidRPr="0097287A">
        <w:rPr>
          <w:rFonts w:ascii="Times New Roman" w:hAnsi="Times New Roman" w:cs="Times New Roman"/>
        </w:rPr>
        <w:t>e durations rarely follow the memoryless assumptions underlying classical Poisson or exponential queueing models (Mukherjee 2018; Barabási 2005). Instead, most cases are resolved relatively quickly, while a minority experience extreme delays, reflecting mo</w:t>
      </w:r>
      <w:r w:rsidRPr="0097287A">
        <w:rPr>
          <w:rFonts w:ascii="Times New Roman" w:hAnsi="Times New Roman" w:cs="Times New Roman"/>
        </w:rPr>
        <w:t>derately heavy-tailed or bursty dynamics driven by clustered adjournments, procedural rework, administrative bottlenecks, and resource constraints (Mukherjee 2018; Oghenekevwe 2021). International evidence from Australia, Canada, and asylum tribunals furth</w:t>
      </w:r>
      <w:r w:rsidRPr="0097287A">
        <w:rPr>
          <w:rFonts w:ascii="Times New Roman" w:hAnsi="Times New Roman" w:cs="Times New Roman"/>
        </w:rPr>
        <w:t>er confirms that judicial delays exhibit right-skewed, long-tailed distributions that standard average-based models fail to capture (Thorburn 2017). Within Africa, judicial systems in Nigeria and South Africa show comparable stochastic delay patterns, ofte</w:t>
      </w:r>
      <w:r w:rsidRPr="0097287A">
        <w:rPr>
          <w:rFonts w:ascii="Times New Roman" w:hAnsi="Times New Roman" w:cs="Times New Roman"/>
        </w:rPr>
        <w:t>n intensified by staffing shortages, procedural inefficiencies, and resource limitations.</w:t>
      </w:r>
    </w:p>
    <w:p w:rsidR="005043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Kenyan Magistrates’ Courts display similar moderately heavy-tailed and bursty behavior, consistent with both regional and global observations, indicating that rare bu</w:t>
      </w:r>
      <w:r w:rsidRPr="0097287A">
        <w:rPr>
          <w:rFonts w:ascii="Times New Roman" w:hAnsi="Times New Roman" w:cs="Times New Roman"/>
        </w:rPr>
        <w:t xml:space="preserve">t extreme delays disproportionately influence systemic congestion. In Kenya, the interplay of witness unavailability, interlocutory applications, and administrative bottlenecks creates </w:t>
      </w:r>
      <w:r w:rsidRPr="0097287A">
        <w:rPr>
          <w:rFonts w:ascii="Times New Roman" w:hAnsi="Times New Roman" w:cs="Times New Roman"/>
          <w:i/>
          <w:iCs/>
        </w:rPr>
        <w:t>“bursty”</w:t>
      </w:r>
      <w:r w:rsidRPr="0097287A">
        <w:rPr>
          <w:rFonts w:ascii="Times New Roman" w:hAnsi="Times New Roman" w:cs="Times New Roman"/>
        </w:rPr>
        <w:t xml:space="preserve"> dynamics. From an actuarial perspective, these are analogous t</w:t>
      </w:r>
      <w:r w:rsidRPr="0097287A">
        <w:rPr>
          <w:rFonts w:ascii="Times New Roman" w:hAnsi="Times New Roman" w:cs="Times New Roman"/>
        </w:rPr>
        <w:t xml:space="preserve">o claims with </w:t>
      </w:r>
      <w:r w:rsidRPr="0097287A">
        <w:rPr>
          <w:rFonts w:ascii="Times New Roman" w:hAnsi="Times New Roman" w:cs="Times New Roman"/>
          <w:i/>
          <w:iCs/>
        </w:rPr>
        <w:t>“reporting lags”</w:t>
      </w:r>
      <w:r w:rsidRPr="0097287A">
        <w:rPr>
          <w:rFonts w:ascii="Times New Roman" w:hAnsi="Times New Roman" w:cs="Times New Roman"/>
        </w:rPr>
        <w:t xml:space="preserve"> or </w:t>
      </w:r>
      <w:r w:rsidRPr="0097287A">
        <w:rPr>
          <w:rFonts w:ascii="Times New Roman" w:hAnsi="Times New Roman" w:cs="Times New Roman"/>
          <w:i/>
          <w:iCs/>
        </w:rPr>
        <w:t>Incurred But Not Yet Adjudicated</w:t>
      </w:r>
      <w:r w:rsidRPr="0097287A">
        <w:rPr>
          <w:rFonts w:ascii="Times New Roman" w:hAnsi="Times New Roman" w:cs="Times New Roman"/>
        </w:rPr>
        <w:t xml:space="preserve"> (IBNYA) losses in insurance risk management. Standard average-based models are insufficient to capture these extreme tail events, necessitating a transition toward surplus-type stochastic p</w:t>
      </w:r>
      <w:r w:rsidRPr="0097287A">
        <w:rPr>
          <w:rFonts w:ascii="Times New Roman" w:hAnsi="Times New Roman" w:cs="Times New Roman"/>
        </w:rPr>
        <w:t>rocesses with empirically calibrated tail behavior.</w:t>
      </w:r>
    </w:p>
    <w:p w:rsidR="004F7EAB"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br/>
        <w:t>Recent analyses using survival and stochastic-process models on Kenyan High Court data confirm that non-exponential distributions provide a superior representation of case-duration data compared to class</w:t>
      </w:r>
      <w:r w:rsidRPr="0097287A">
        <w:rPr>
          <w:rFonts w:ascii="Times New Roman" w:hAnsi="Times New Roman" w:cs="Times New Roman"/>
        </w:rPr>
        <w:t>ical Poisson or exponential assumptions (Kandie, Atitwa, and Nyaluke 2025). These findings complement earlier studies by (Makau 2014) and (Mulwa 2020), which identify key administrative drivers of backlog, including staffing constraints, magistrate transfe</w:t>
      </w:r>
      <w:r w:rsidRPr="0097287A">
        <w:rPr>
          <w:rFonts w:ascii="Times New Roman" w:hAnsi="Times New Roman" w:cs="Times New Roman"/>
        </w:rPr>
        <w:t>rs, and resource limitations, as primary contributors to systemic volatility. Together, these empirical realities underscore the necessity of the probabilistic framework proposed in this study.</w:t>
      </w:r>
    </w:p>
    <w:p w:rsidR="004F7EAB" w:rsidRDefault="005E6F25" w:rsidP="004F7EAB">
      <w:pPr>
        <w:pStyle w:val="FirstParagraph"/>
        <w:spacing w:after="0"/>
        <w:jc w:val="both"/>
        <w:rPr>
          <w:rFonts w:ascii="Times New Roman" w:hAnsi="Times New Roman" w:cs="Times New Roman"/>
        </w:rPr>
      </w:pPr>
      <w:r w:rsidRPr="0097287A">
        <w:rPr>
          <w:rFonts w:ascii="Times New Roman" w:hAnsi="Times New Roman" w:cs="Times New Roman"/>
        </w:rPr>
        <w:t>These dynamics are naturally modeled using moderately heavy-ta</w:t>
      </w:r>
      <w:r w:rsidRPr="0097287A">
        <w:rPr>
          <w:rFonts w:ascii="Times New Roman" w:hAnsi="Times New Roman" w:cs="Times New Roman"/>
        </w:rPr>
        <w:t xml:space="preserve">iled distributions and delayed-claim structures, successfully applied in insurance risk and reinsurance modeling (Embrechts, Klüppelberg, and Mikosch 1997; Foss, Korshunov, and Zachary 2013). However, the application of such frameworks to African judicial </w:t>
      </w:r>
      <w:r w:rsidRPr="0097287A">
        <w:rPr>
          <w:rFonts w:ascii="Times New Roman" w:hAnsi="Times New Roman" w:cs="Times New Roman"/>
        </w:rPr>
        <w:t>systems, where adjournment dynamics and resource constraints create ruin-type vulnerabilities, remains nascent.</w:t>
      </w:r>
    </w:p>
    <w:p w:rsidR="00AF2245" w:rsidRPr="0097287A" w:rsidRDefault="005E6F25" w:rsidP="004F7EAB">
      <w:pPr>
        <w:pStyle w:val="FirstParagraph"/>
        <w:spacing w:after="0"/>
        <w:jc w:val="both"/>
        <w:rPr>
          <w:rFonts w:ascii="Times New Roman" w:hAnsi="Times New Roman" w:cs="Times New Roman"/>
        </w:rPr>
      </w:pPr>
      <w:r w:rsidRPr="0097287A">
        <w:rPr>
          <w:rFonts w:ascii="Times New Roman" w:hAnsi="Times New Roman" w:cs="Times New Roman"/>
        </w:rPr>
        <w:t>This research transposes large deviations theory and asymptotic probability techniques to the judicial domain, providing a quantitative foundati</w:t>
      </w:r>
      <w:r w:rsidRPr="0097287A">
        <w:rPr>
          <w:rFonts w:ascii="Times New Roman" w:hAnsi="Times New Roman" w:cs="Times New Roman"/>
        </w:rPr>
        <w:t>on for evaluating systemic vulnerabilities. The specific objectives are to:</w:t>
      </w:r>
    </w:p>
    <w:p w:rsidR="00AF2245" w:rsidRPr="0097287A" w:rsidRDefault="005E6F25" w:rsidP="0097287A">
      <w:pPr>
        <w:numPr>
          <w:ilvl w:val="0"/>
          <w:numId w:val="3"/>
        </w:numPr>
        <w:spacing w:after="0"/>
        <w:jc w:val="both"/>
        <w:rPr>
          <w:rFonts w:ascii="Times New Roman" w:hAnsi="Times New Roman" w:cs="Times New Roman"/>
        </w:rPr>
      </w:pPr>
      <w:r w:rsidRPr="0097287A">
        <w:rPr>
          <w:rFonts w:ascii="Times New Roman" w:hAnsi="Times New Roman" w:cs="Times New Roman"/>
          <w:i/>
          <w:iCs/>
        </w:rPr>
        <w:t xml:space="preserve">Develop a bidimensional caseload surplus model, </w:t>
      </w:r>
      <m:oMath>
        <m:r>
          <m:rPr>
            <m:sty m:val="b"/>
          </m:rP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i/>
          <w:iCs/>
        </w:rPr>
        <w:t>, integrating criminal and civil case streams under stochastic random delay.</w:t>
      </w:r>
    </w:p>
    <w:p w:rsidR="00AF2245" w:rsidRPr="0097287A" w:rsidRDefault="005E6F25" w:rsidP="0097287A">
      <w:pPr>
        <w:numPr>
          <w:ilvl w:val="0"/>
          <w:numId w:val="3"/>
        </w:numPr>
        <w:spacing w:after="0"/>
        <w:jc w:val="both"/>
        <w:rPr>
          <w:rFonts w:ascii="Times New Roman" w:hAnsi="Times New Roman" w:cs="Times New Roman"/>
        </w:rPr>
      </w:pPr>
      <w:r w:rsidRPr="0097287A">
        <w:rPr>
          <w:rFonts w:ascii="Times New Roman" w:hAnsi="Times New Roman" w:cs="Times New Roman"/>
          <w:i/>
          <w:iCs/>
        </w:rPr>
        <w:t>Derive asymptotic backlog probabilities using emp</w:t>
      </w:r>
      <w:r w:rsidRPr="0097287A">
        <w:rPr>
          <w:rFonts w:ascii="Times New Roman" w:hAnsi="Times New Roman" w:cs="Times New Roman"/>
          <w:i/>
          <w:iCs/>
        </w:rPr>
        <w:t>irically validated tail indices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i/>
          <w:iCs/>
        </w:rPr>
        <w:t xml:space="preserv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i/>
          <w:iCs/>
        </w:rPr>
        <w:t>) estimated via the Hill estimator.</w:t>
      </w:r>
    </w:p>
    <w:p w:rsidR="00AF2245" w:rsidRPr="0097287A" w:rsidRDefault="005E6F25" w:rsidP="0097287A">
      <w:pPr>
        <w:numPr>
          <w:ilvl w:val="0"/>
          <w:numId w:val="3"/>
        </w:numPr>
        <w:spacing w:after="0"/>
        <w:jc w:val="both"/>
        <w:rPr>
          <w:rFonts w:ascii="Times New Roman" w:hAnsi="Times New Roman" w:cs="Times New Roman"/>
        </w:rPr>
      </w:pPr>
      <w:r w:rsidRPr="0097287A">
        <w:rPr>
          <w:rFonts w:ascii="Times New Roman" w:hAnsi="Times New Roman" w:cs="Times New Roman"/>
          <w:i/>
          <w:iCs/>
        </w:rPr>
        <w:t>Evaluate the sensitivity of backlog formation to case arrival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i/>
          <w:iCs/>
        </w:rPr>
        <w:t>), productivity growth (</w:t>
      </w:r>
      <m:oMath>
        <m:r>
          <w:rPr>
            <w:rFonts w:ascii="Cambria Math" w:hAnsi="Cambria Math" w:cs="Times New Roman"/>
          </w:rPr>
          <m:t>r</m:t>
        </m:r>
      </m:oMath>
      <w:r w:rsidRPr="0097287A">
        <w:rPr>
          <w:rFonts w:ascii="Times New Roman" w:hAnsi="Times New Roman" w:cs="Times New Roman"/>
          <w:i/>
          <w:iCs/>
        </w:rPr>
        <w:t>), and adjournment tail behavior.</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The significance of this study is twofold. Practically, it supports judicial administrators through a </w:t>
      </w:r>
      <w:r w:rsidRPr="0097287A">
        <w:rPr>
          <w:rFonts w:ascii="Times New Roman" w:hAnsi="Times New Roman" w:cs="Times New Roman"/>
          <w:i/>
          <w:iCs/>
        </w:rPr>
        <w:t>“solvency-based”</w:t>
      </w:r>
      <w:r w:rsidRPr="0097287A">
        <w:rPr>
          <w:rFonts w:ascii="Times New Roman" w:hAnsi="Times New Roman" w:cs="Times New Roman"/>
        </w:rPr>
        <w:t xml:space="preserve"> approach to resource allocation. Theoretically, it extends surplus modeling to the judicial domain, offering a novel methodology for asse</w:t>
      </w:r>
      <w:r w:rsidRPr="0097287A">
        <w:rPr>
          <w:rFonts w:ascii="Times New Roman" w:hAnsi="Times New Roman" w:cs="Times New Roman"/>
        </w:rPr>
        <w:t>ssing institutional resilience.</w:t>
      </w:r>
    </w:p>
    <w:p w:rsidR="00AF2245" w:rsidRPr="0097287A" w:rsidRDefault="004F7EAB" w:rsidP="0097287A">
      <w:pPr>
        <w:pStyle w:val="Heading2"/>
        <w:numPr>
          <w:ilvl w:val="0"/>
          <w:numId w:val="0"/>
        </w:numPr>
        <w:spacing w:after="0"/>
        <w:ind w:left="576" w:hanging="576"/>
        <w:jc w:val="both"/>
        <w:rPr>
          <w:rFonts w:ascii="Times New Roman" w:hAnsi="Times New Roman" w:cs="Times New Roman"/>
          <w:b/>
          <w:bCs/>
          <w:sz w:val="24"/>
          <w:szCs w:val="24"/>
        </w:rPr>
      </w:pPr>
      <w:bookmarkStart w:id="4" w:name="structure-of-the-paper"/>
      <w:r w:rsidRPr="0097287A">
        <w:rPr>
          <w:rFonts w:ascii="Times New Roman" w:hAnsi="Times New Roman" w:cs="Times New Roman"/>
          <w:b/>
          <w:bCs/>
          <w:sz w:val="24"/>
          <w:szCs w:val="24"/>
        </w:rPr>
        <w:t>STRUCTURE OF THE PAPER</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This paper is </w:t>
      </w:r>
      <w:proofErr w:type="spellStart"/>
      <w:r w:rsidRPr="0097287A">
        <w:rPr>
          <w:rFonts w:ascii="Times New Roman" w:hAnsi="Times New Roman" w:cs="Times New Roman"/>
        </w:rPr>
        <w:t>organised</w:t>
      </w:r>
      <w:proofErr w:type="spellEnd"/>
      <w:r w:rsidRPr="0097287A">
        <w:rPr>
          <w:rFonts w:ascii="Times New Roman" w:hAnsi="Times New Roman" w:cs="Times New Roman"/>
        </w:rPr>
        <w:t xml:space="preserve"> into five sections. Section 2 reviews theoretical and empirical literature on judicial delays and stochastic modeling. Section 3 presents the bidimensional surplus model with de</w:t>
      </w:r>
      <w:r w:rsidRPr="0097287A">
        <w:rPr>
          <w:rFonts w:ascii="Times New Roman" w:hAnsi="Times New Roman" w:cs="Times New Roman"/>
        </w:rPr>
        <w:t>layed claims, including model specification, assumptions, distributional choices, and the mapping of actuarial concepts to judicial backlog dynamics. Section 4 presents empirical results and derives asymptotic backlog probabilities using large deviations t</w:t>
      </w:r>
      <w:r w:rsidRPr="0097287A">
        <w:rPr>
          <w:rFonts w:ascii="Times New Roman" w:hAnsi="Times New Roman" w:cs="Times New Roman"/>
        </w:rPr>
        <w:t xml:space="preserve">heory, with simulation results under various scenarios. Section 5 translates findings into </w:t>
      </w:r>
      <w:r w:rsidRPr="0097287A">
        <w:rPr>
          <w:rFonts w:ascii="Times New Roman" w:hAnsi="Times New Roman" w:cs="Times New Roman"/>
        </w:rPr>
        <w:lastRenderedPageBreak/>
        <w:t>policy recommendations and concludes the study, summarising contributions, acknowledging limitations, and suggesting directions for future research.</w:t>
      </w:r>
    </w:p>
    <w:p w:rsidR="00AF2245" w:rsidRPr="004F7EAB" w:rsidRDefault="004F7EAB" w:rsidP="004F7EAB">
      <w:pPr>
        <w:pStyle w:val="Heading1"/>
        <w:numPr>
          <w:ilvl w:val="0"/>
          <w:numId w:val="0"/>
        </w:numPr>
        <w:spacing w:after="0"/>
        <w:ind w:left="432" w:hanging="432"/>
        <w:jc w:val="both"/>
        <w:rPr>
          <w:rFonts w:ascii="Times New Roman" w:hAnsi="Times New Roman" w:cs="Times New Roman"/>
          <w:b/>
          <w:bCs/>
          <w:sz w:val="28"/>
          <w:szCs w:val="28"/>
        </w:rPr>
      </w:pPr>
      <w:bookmarkStart w:id="5" w:name="literature-review"/>
      <w:bookmarkEnd w:id="3"/>
      <w:bookmarkEnd w:id="4"/>
      <w:r w:rsidRPr="004F7EAB">
        <w:rPr>
          <w:rFonts w:ascii="Times New Roman" w:hAnsi="Times New Roman" w:cs="Times New Roman"/>
          <w:b/>
          <w:bCs/>
          <w:sz w:val="28"/>
          <w:szCs w:val="28"/>
        </w:rPr>
        <w:t>LITERATURE REVIEW</w:t>
      </w:r>
    </w:p>
    <w:p w:rsidR="005043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Actuarial risk theory provides the foundational framework for this study, specifically through models incorporating randomly delayed claims. Originally developed by (Waters and Papatriandafylou 1985) and extended by (Yuen, Guo, and Ng 2001), these m</w:t>
      </w:r>
      <w:r w:rsidRPr="0097287A">
        <w:rPr>
          <w:rFonts w:ascii="Times New Roman" w:hAnsi="Times New Roman" w:cs="Times New Roman"/>
        </w:rPr>
        <w:t>odels capture delayed claims in discrete and continuous-time settings; subsequent enhancements by (Yuen, Guo, and Wu 2005) and (Xiao, Yuen, and Zhang 2007) introduced flexible delay distributions under independence assumptions. This study adapts the framew</w:t>
      </w:r>
      <w:r w:rsidRPr="0097287A">
        <w:rPr>
          <w:rFonts w:ascii="Times New Roman" w:hAnsi="Times New Roman" w:cs="Times New Roman"/>
        </w:rPr>
        <w:t xml:space="preserve">ork to the judicial context, where primary case filings analogise main claims and adjournments represent delayed claims. Judicial backlog is formalised through a surplus process in which inflows are filed cases, outflows are concluded cases, and </w:t>
      </w:r>
      <w:r w:rsidRPr="0097287A">
        <w:rPr>
          <w:rFonts w:ascii="Times New Roman" w:hAnsi="Times New Roman" w:cs="Times New Roman"/>
          <w:i/>
          <w:iCs/>
        </w:rPr>
        <w:t>“ruin”</w:t>
      </w:r>
      <w:r w:rsidRPr="0097287A">
        <w:rPr>
          <w:rFonts w:ascii="Times New Roman" w:hAnsi="Times New Roman" w:cs="Times New Roman"/>
        </w:rPr>
        <w:t xml:space="preserve"> occ</w:t>
      </w:r>
      <w:r w:rsidRPr="0097287A">
        <w:rPr>
          <w:rFonts w:ascii="Times New Roman" w:hAnsi="Times New Roman" w:cs="Times New Roman"/>
        </w:rPr>
        <w:t>urs when workload exceeds capacity (Asmussen and Albrecher 2010). The bidimensional extension accounts for the simultaneous processing of criminal and civil matters as interdependent surplus processes: congestion in one stream withdraws capacity from the o</w:t>
      </w:r>
      <w:r w:rsidRPr="0097287A">
        <w:rPr>
          <w:rFonts w:ascii="Times New Roman" w:hAnsi="Times New Roman" w:cs="Times New Roman"/>
        </w:rPr>
        <w:t>ther, an interaction effect invisible to two independent unidimensional analyses but central to the present framework. This structure is motivated by (Li 2013), who proposed random delayed-claim multiplicities in unidimensional settings, and by (H. Yang, G</w:t>
      </w:r>
      <w:r w:rsidRPr="0097287A">
        <w:rPr>
          <w:rFonts w:ascii="Times New Roman" w:hAnsi="Times New Roman" w:cs="Times New Roman"/>
        </w:rPr>
        <w:t>eng, and Wang 2014), (F. Lu and Yuan 2015), and (Zhang and Wang 2016), who extended multivariate surplus models to incorporate joint dependencies.</w:t>
      </w:r>
    </w:p>
    <w:p w:rsidR="005043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Heavy-tailed and subexponential distributions are essential for capturing low-frequency, high-impact events s</w:t>
      </w:r>
      <w:r w:rsidRPr="0097287A">
        <w:rPr>
          <w:rFonts w:ascii="Times New Roman" w:hAnsi="Times New Roman" w:cs="Times New Roman"/>
        </w:rPr>
        <w:t>uch as extreme adjournments (Ganesh and Torrisi 2016; Jiang 2009). Models incorporating dependent main and delayed claims provide conceptual parallels to cascading adjournments and backlog accumulation (Y. Yang, Wang, and Zhang 2021; Shen, Yao, and Zhang 2</w:t>
      </w:r>
      <w:r w:rsidRPr="0097287A">
        <w:rPr>
          <w:rFonts w:ascii="Times New Roman" w:hAnsi="Times New Roman" w:cs="Times New Roman"/>
        </w:rPr>
        <w:t xml:space="preserve">024). Finite-time ruin probabilities (Xu, Wang, and Wu 2024; Gao, Zhuang, and Huang 2014) inform short-term congestion assessment, while large deviations theory strengthens modelling of rare systemic delays: (Da and She 2022) established a Large Deviation </w:t>
      </w:r>
      <w:r w:rsidRPr="0097287A">
        <w:rPr>
          <w:rFonts w:ascii="Times New Roman" w:hAnsi="Times New Roman" w:cs="Times New Roman"/>
        </w:rPr>
        <w:t>Principle for systems with multiplicative noise, directly relevant to abrupt caseload spikes. Bidimensional risk models with dependent claims (D. Lu and Yuan 2022; Yuan, Jiang, and Xiao 2024; Shen, Yao, and Zhang 2024) capture interactions between case typ</w:t>
      </w:r>
      <w:r w:rsidRPr="0097287A">
        <w:rPr>
          <w:rFonts w:ascii="Times New Roman" w:hAnsi="Times New Roman" w:cs="Times New Roman"/>
        </w:rPr>
        <w:t>es, and renewal risk theory accommodates seasonal variation and non-stationary arrivals (Fu and Li 2015).</w:t>
      </w:r>
    </w:p>
    <w:p w:rsidR="005043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Empirically, deterministic models consistently underperform stochastic alternatives for judicial delay modelling (Niemeijer and Spruit 2012; Vermeulen</w:t>
      </w:r>
      <w:r w:rsidRPr="0097287A">
        <w:rPr>
          <w:rFonts w:ascii="Times New Roman" w:hAnsi="Times New Roman" w:cs="Times New Roman"/>
        </w:rPr>
        <w:t xml:space="preserve"> 2014). Case disposition times exhibit heavy-tailed distributions in which few cases experience extreme delays (Mukherjee 2018), consistent with bursty human dynamics (Barabási 2005) and right-skewed processing times documented across Australian (Thorburn </w:t>
      </w:r>
      <w:r w:rsidRPr="0097287A">
        <w:rPr>
          <w:rFonts w:ascii="Times New Roman" w:hAnsi="Times New Roman" w:cs="Times New Roman"/>
        </w:rPr>
        <w:t>2017) and European (Melcarne, Ramello, and Spruk 2021) jurisdictions. Kenyan evidence aligns with these patterns. Persistent backlogs are documented in State of the Judiciary Reports (SOJAR 2024); repeated adjournments cumulatively increase delay likelihoo</w:t>
      </w:r>
      <w:r w:rsidRPr="0097287A">
        <w:rPr>
          <w:rFonts w:ascii="Times New Roman" w:hAnsi="Times New Roman" w:cs="Times New Roman"/>
        </w:rPr>
        <w:t>d (Okoth and Muli 2018); seasonal and long-memory effects shape backlog trends (Gichuhi 2019); and court utilisation above 90% has been recorded in specialised Employment and Labour Relations Court (Gindicha 2025). Structural contributors include inadequat</w:t>
      </w:r>
      <w:r w:rsidRPr="0097287A">
        <w:rPr>
          <w:rFonts w:ascii="Times New Roman" w:hAnsi="Times New Roman" w:cs="Times New Roman"/>
        </w:rPr>
        <w:t>e staffing (Makau 2014), procedural inefficiencies (Gikonyo 2019), and judicial officer turnover (Mulwa 2020). External shocks demonstrated further vulnerability: case resolutions plummeted by nearly 40% during COVID-19, from 469,359 to 289,728 in a single</w:t>
      </w:r>
      <w:r w:rsidRPr="0097287A">
        <w:rPr>
          <w:rFonts w:ascii="Times New Roman" w:hAnsi="Times New Roman" w:cs="Times New Roman"/>
        </w:rPr>
        <w:t xml:space="preserve"> financial year (M. Marang’a, Kimalu, and Ochieng 2021). Judicial congestion also has broader macroeconomic effects, deterring private investment (M. W. </w:t>
      </w:r>
      <w:proofErr w:type="spellStart"/>
      <w:r w:rsidRPr="0097287A">
        <w:rPr>
          <w:rFonts w:ascii="Times New Roman" w:hAnsi="Times New Roman" w:cs="Times New Roman"/>
        </w:rPr>
        <w:t>Marang’a</w:t>
      </w:r>
      <w:proofErr w:type="spellEnd"/>
      <w:r w:rsidRPr="0097287A">
        <w:rPr>
          <w:rFonts w:ascii="Times New Roman" w:hAnsi="Times New Roman" w:cs="Times New Roman"/>
        </w:rPr>
        <w:t xml:space="preserve">, </w:t>
      </w:r>
      <w:proofErr w:type="spellStart"/>
      <w:r w:rsidRPr="0097287A">
        <w:rPr>
          <w:rFonts w:ascii="Times New Roman" w:hAnsi="Times New Roman" w:cs="Times New Roman"/>
        </w:rPr>
        <w:t>Ouma</w:t>
      </w:r>
      <w:proofErr w:type="spellEnd"/>
      <w:r w:rsidRPr="0097287A">
        <w:rPr>
          <w:rFonts w:ascii="Times New Roman" w:hAnsi="Times New Roman" w:cs="Times New Roman"/>
        </w:rPr>
        <w:t xml:space="preserve">, and </w:t>
      </w:r>
      <w:proofErr w:type="spellStart"/>
      <w:r w:rsidRPr="0097287A">
        <w:rPr>
          <w:rFonts w:ascii="Times New Roman" w:hAnsi="Times New Roman" w:cs="Times New Roman"/>
        </w:rPr>
        <w:t>Kosimbei</w:t>
      </w:r>
      <w:proofErr w:type="spellEnd"/>
      <w:r w:rsidRPr="0097287A">
        <w:rPr>
          <w:rFonts w:ascii="Times New Roman" w:hAnsi="Times New Roman" w:cs="Times New Roman"/>
        </w:rPr>
        <w:t xml:space="preserve"> 2018).</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Several gaps motivate this study. While actuarial surplus models wi</w:t>
      </w:r>
      <w:r w:rsidRPr="0097287A">
        <w:rPr>
          <w:rFonts w:ascii="Times New Roman" w:hAnsi="Times New Roman" w:cs="Times New Roman"/>
        </w:rPr>
        <w:t>th delayed claims are well-developed in insurance, their application to judicial systems remains unexplored. Bidimensional extensions capturing criminal–civil interdependencies have not been empirically calibrated to court data, and asymptotic estimates fo</w:t>
      </w:r>
      <w:r w:rsidRPr="0097287A">
        <w:rPr>
          <w:rFonts w:ascii="Times New Roman" w:hAnsi="Times New Roman" w:cs="Times New Roman"/>
        </w:rPr>
        <w:t>r extreme backlog probabilities under heavy-tailed delays have not been derived for judicial contexts. This study addresses these gaps by integrating bidimensional delayed-claim surplus theory with empirical evidence from Kenya’s Magistrates’ Courts.</w:t>
      </w:r>
    </w:p>
    <w:p w:rsidR="00AF2245" w:rsidRPr="004F7EAB" w:rsidRDefault="004F7EAB" w:rsidP="004F7EAB">
      <w:pPr>
        <w:pStyle w:val="Heading1"/>
        <w:numPr>
          <w:ilvl w:val="0"/>
          <w:numId w:val="0"/>
        </w:numPr>
        <w:spacing w:after="0"/>
        <w:ind w:left="432" w:hanging="432"/>
        <w:jc w:val="both"/>
        <w:rPr>
          <w:rFonts w:ascii="Times New Roman" w:hAnsi="Times New Roman" w:cs="Times New Roman"/>
          <w:b/>
          <w:bCs/>
          <w:sz w:val="28"/>
          <w:szCs w:val="28"/>
        </w:rPr>
      </w:pPr>
      <w:bookmarkStart w:id="6" w:name="methodology"/>
      <w:bookmarkEnd w:id="5"/>
      <w:r w:rsidRPr="004F7EAB">
        <w:rPr>
          <w:rFonts w:ascii="Times New Roman" w:hAnsi="Times New Roman" w:cs="Times New Roman"/>
          <w:b/>
          <w:bCs/>
          <w:sz w:val="28"/>
          <w:szCs w:val="28"/>
        </w:rPr>
        <w:lastRenderedPageBreak/>
        <w:t>METHODOLOGY</w:t>
      </w:r>
    </w:p>
    <w:p w:rsidR="00AF2245" w:rsidRPr="004F7EAB" w:rsidRDefault="005E6F25" w:rsidP="004F7EAB">
      <w:pPr>
        <w:pStyle w:val="Heading2"/>
        <w:numPr>
          <w:ilvl w:val="0"/>
          <w:numId w:val="0"/>
        </w:numPr>
        <w:spacing w:after="0"/>
        <w:ind w:left="576" w:hanging="576"/>
        <w:jc w:val="both"/>
        <w:rPr>
          <w:rFonts w:ascii="Times New Roman" w:hAnsi="Times New Roman" w:cs="Times New Roman"/>
          <w:b/>
          <w:bCs/>
          <w:sz w:val="24"/>
          <w:szCs w:val="24"/>
        </w:rPr>
      </w:pPr>
      <w:bookmarkStart w:id="7" w:name="stochastic-modelling-framework"/>
      <w:r w:rsidRPr="004F7EAB">
        <w:rPr>
          <w:rFonts w:ascii="Times New Roman" w:hAnsi="Times New Roman" w:cs="Times New Roman"/>
          <w:b/>
          <w:bCs/>
          <w:sz w:val="24"/>
          <w:szCs w:val="24"/>
        </w:rPr>
        <w:t>Stochastic Modelling Framework</w:t>
      </w:r>
    </w:p>
    <w:p w:rsidR="00AF2245" w:rsidRPr="004F7EAB" w:rsidRDefault="005E6F25" w:rsidP="004F7EAB">
      <w:pPr>
        <w:pStyle w:val="Heading3"/>
        <w:numPr>
          <w:ilvl w:val="0"/>
          <w:numId w:val="0"/>
        </w:numPr>
        <w:spacing w:after="0"/>
        <w:ind w:left="720" w:hanging="720"/>
        <w:jc w:val="both"/>
        <w:rPr>
          <w:rFonts w:ascii="Times New Roman" w:hAnsi="Times New Roman" w:cs="Times New Roman"/>
          <w:sz w:val="24"/>
          <w:szCs w:val="24"/>
        </w:rPr>
      </w:pPr>
      <w:bookmarkStart w:id="8" w:name="X859b44ee8da018ae2b38eee4d3a6dbca7384b76"/>
      <w:r w:rsidRPr="004F7EAB">
        <w:rPr>
          <w:rFonts w:ascii="Times New Roman" w:hAnsi="Times New Roman" w:cs="Times New Roman"/>
          <w:sz w:val="24"/>
          <w:szCs w:val="24"/>
        </w:rPr>
        <w:t>Extended Cramér–Lundberg Framework for Judicial Backlog Analysis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This study employs a continuous-time stochastic analytical approach to model judicial backlog dynamics. The court system was conceptualised as an extended Cramér–Lundberg (CL) surplus process, traditionally used in actuarial science to evaluate insurer sol</w:t>
      </w:r>
      <w:r w:rsidRPr="0097287A">
        <w:rPr>
          <w:rFonts w:ascii="Times New Roman" w:hAnsi="Times New Roman" w:cs="Times New Roman"/>
        </w:rPr>
        <w:t xml:space="preserve">vency (Lundberg 1903; Cramér 1930; Asmussen 2003). In this adaptation, the “surplus”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represents the net balance between institutional adjudication capacity and cumulative workload. The classical CL model is defined as:</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ct</m:t>
          </m:r>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e>
          </m:nary>
        </m:oMath>
      </m:oMathPara>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r>
          <w:rPr>
            <w:rFonts w:ascii="Cambria Math" w:hAnsi="Cambria Math" w:cs="Times New Roman"/>
          </w:rPr>
          <m:t>u</m:t>
        </m:r>
      </m:oMath>
      <w:r w:rsidRPr="0097287A">
        <w:rPr>
          <w:rFonts w:ascii="Times New Roman" w:hAnsi="Times New Roman" w:cs="Times New Roman"/>
        </w:rPr>
        <w:t xml:space="preserve"> is the initial capacity, </w:t>
      </w:r>
      <m:oMath>
        <m:r>
          <w:rPr>
            <w:rFonts w:ascii="Cambria Math" w:hAnsi="Cambria Math" w:cs="Times New Roman"/>
          </w:rPr>
          <m:t>c</m:t>
        </m:r>
      </m:oMath>
      <w:r w:rsidRPr="0097287A">
        <w:rPr>
          <w:rFonts w:ascii="Times New Roman" w:hAnsi="Times New Roman" w:cs="Times New Roman"/>
        </w:rPr>
        <w:t xml:space="preserve"> is the adjudication rate,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is a Poisson arrival process of cases, and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oMath>
      <w:r w:rsidRPr="0097287A">
        <w:rPr>
          <w:rFonts w:ascii="Times New Roman" w:hAnsi="Times New Roman" w:cs="Times New Roman"/>
        </w:rPr>
        <w:t xml:space="preserve"> represents the stochastic workload of each case. Systemic backlog, analogous to “ruin”, occurs when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oMath>
      <w:r w:rsidRPr="0097287A">
        <w:rPr>
          <w:rFonts w:ascii="Times New Roman" w:hAnsi="Times New Roman" w:cs="Times New Roman"/>
        </w:rPr>
        <w:t>.</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In this judicial reinterpret</w:t>
      </w:r>
      <w:r w:rsidRPr="0097287A">
        <w:rPr>
          <w:rFonts w:ascii="Times New Roman" w:hAnsi="Times New Roman" w:cs="Times New Roman"/>
        </w:rPr>
        <w:t xml:space="preserve">ation: </w:t>
      </w:r>
      <w:r w:rsidRPr="0097287A">
        <w:rPr>
          <w:rFonts w:ascii="Times New Roman" w:hAnsi="Times New Roman" w:cs="Times New Roman"/>
          <w:i/>
          <w:iCs/>
        </w:rPr>
        <w:t>Surplus</w:t>
      </w:r>
      <w:r w:rsidRPr="0097287A">
        <w:rPr>
          <w:rFonts w:ascii="Times New Roman" w:hAnsi="Times New Roman" w:cs="Times New Roman"/>
        </w:rPr>
        <w:t xml:space="preserve"> is the balance between effective processing capacity and accumulated workload; </w:t>
      </w:r>
      <w:r w:rsidRPr="0097287A">
        <w:rPr>
          <w:rFonts w:ascii="Times New Roman" w:hAnsi="Times New Roman" w:cs="Times New Roman"/>
          <w:i/>
          <w:iCs/>
        </w:rPr>
        <w:t>Claims</w:t>
      </w:r>
      <w:r w:rsidRPr="0097287A">
        <w:rPr>
          <w:rFonts w:ascii="Times New Roman" w:hAnsi="Times New Roman" w:cs="Times New Roman"/>
        </w:rPr>
        <w:t xml:space="preserve"> are incoming cases consuming judicial resources; </w:t>
      </w:r>
      <w:r w:rsidRPr="0097287A">
        <w:rPr>
          <w:rFonts w:ascii="Times New Roman" w:hAnsi="Times New Roman" w:cs="Times New Roman"/>
          <w:i/>
          <w:iCs/>
        </w:rPr>
        <w:t>Premium inflow</w:t>
      </w:r>
      <w:r w:rsidRPr="0097287A">
        <w:rPr>
          <w:rFonts w:ascii="Times New Roman" w:hAnsi="Times New Roman" w:cs="Times New Roman"/>
        </w:rPr>
        <w:t xml:space="preserve"> is adjudication capacity from judges, courtrooms, and sitting days; and </w:t>
      </w:r>
      <w:r w:rsidRPr="0097287A">
        <w:rPr>
          <w:rFonts w:ascii="Times New Roman" w:hAnsi="Times New Roman" w:cs="Times New Roman"/>
          <w:i/>
          <w:iCs/>
        </w:rPr>
        <w:t>Ruin</w:t>
      </w:r>
      <w:r w:rsidRPr="0097287A">
        <w:rPr>
          <w:rFonts w:ascii="Times New Roman" w:hAnsi="Times New Roman" w:cs="Times New Roman"/>
        </w:rPr>
        <w:t xml:space="preserve"> represents per</w:t>
      </w:r>
      <w:r w:rsidRPr="0097287A">
        <w:rPr>
          <w:rFonts w:ascii="Times New Roman" w:hAnsi="Times New Roman" w:cs="Times New Roman"/>
        </w:rPr>
        <w:t>iods of severe congestion during which cases cannot be resolved within acceptable timelines.</w:t>
      </w:r>
    </w:p>
    <w:p w:rsidR="00AF2245" w:rsidRPr="0097287A" w:rsidRDefault="005E6F25" w:rsidP="004F7EAB">
      <w:pPr>
        <w:pStyle w:val="Heading3"/>
        <w:numPr>
          <w:ilvl w:val="0"/>
          <w:numId w:val="0"/>
        </w:numPr>
        <w:spacing w:after="0"/>
        <w:ind w:left="720" w:hanging="720"/>
        <w:jc w:val="both"/>
        <w:rPr>
          <w:rFonts w:ascii="Times New Roman" w:hAnsi="Times New Roman" w:cs="Times New Roman"/>
          <w:sz w:val="24"/>
          <w:szCs w:val="24"/>
        </w:rPr>
      </w:pPr>
      <w:bookmarkStart w:id="9" w:name="X7a025083f15a298be96f4edf53e4fb0abf6f7cd"/>
      <w:bookmarkEnd w:id="8"/>
      <w:r w:rsidRPr="0097287A">
        <w:rPr>
          <w:rFonts w:ascii="Times New Roman" w:hAnsi="Times New Roman" w:cs="Times New Roman"/>
          <w:sz w:val="24"/>
          <w:szCs w:val="24"/>
        </w:rPr>
        <w:t>Bidimensional Backlog Surplus Model with Randomly Delayed Cases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To capture the structural realities of Kenya’s Magistrates’ Courts, the classical Cram’er–Lundberg </w:t>
      </w:r>
      <w:r w:rsidRPr="0097287A">
        <w:rPr>
          <w:rFonts w:ascii="Times New Roman" w:hAnsi="Times New Roman" w:cs="Times New Roman"/>
        </w:rPr>
        <w:t>framework is extended to a bidimensional structure distinguishing criminal (</w:t>
      </w:r>
      <m:oMath>
        <m:r>
          <w:rPr>
            <w:rFonts w:ascii="Cambria Math" w:hAnsi="Cambria Math" w:cs="Times New Roman"/>
          </w:rPr>
          <m:t>κ</m:t>
        </m:r>
        <m:r>
          <m:rPr>
            <m:sty m:val="p"/>
          </m:rPr>
          <w:rPr>
            <w:rFonts w:ascii="Cambria Math" w:hAnsi="Cambria Math" w:cs="Times New Roman"/>
          </w:rPr>
          <m:t>=</m:t>
        </m:r>
        <m:r>
          <w:rPr>
            <w:rFonts w:ascii="Cambria Math" w:hAnsi="Cambria Math" w:cs="Times New Roman"/>
          </w:rPr>
          <m:t>1</m:t>
        </m:r>
      </m:oMath>
      <w:r w:rsidRPr="0097287A">
        <w:rPr>
          <w:rFonts w:ascii="Times New Roman" w:hAnsi="Times New Roman" w:cs="Times New Roman"/>
        </w:rPr>
        <w:t>) and civil (</w:t>
      </w:r>
      <m:oMath>
        <m:r>
          <w:rPr>
            <w:rFonts w:ascii="Cambria Math" w:hAnsi="Cambria Math" w:cs="Times New Roman"/>
          </w:rPr>
          <m:t>κ</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xml:space="preserve">) case streams. While procedurally distinct, both streams compete for a shared pool of judicial resources, creating interdependencies in backlog accumulation. </w:t>
      </w:r>
      <w:r w:rsidRPr="0097287A">
        <w:rPr>
          <w:rFonts w:ascii="Times New Roman" w:hAnsi="Times New Roman" w:cs="Times New Roman"/>
        </w:rPr>
        <w:t>This formulation accounts for three critical features: interaction effects between streams; workload heterogeneity; and the heavy-tailed behavior typical of resource-intensive cases. Adjournments and follow-up proceedings are modeled as secondary workloads</w:t>
      </w:r>
      <w:r w:rsidRPr="0097287A">
        <w:rPr>
          <w:rFonts w:ascii="Times New Roman" w:hAnsi="Times New Roman" w:cs="Times New Roman"/>
        </w:rPr>
        <w:t xml:space="preserve"> that materialize after stochastic time lags </w:t>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These </w:t>
      </w:r>
      <w:r w:rsidRPr="0097287A">
        <w:rPr>
          <w:rFonts w:ascii="Times New Roman" w:hAnsi="Times New Roman" w:cs="Times New Roman"/>
          <w:i/>
          <w:iCs/>
        </w:rPr>
        <w:t>"delayed claims"</w:t>
      </w:r>
      <w:r w:rsidRPr="0097287A">
        <w:rPr>
          <w:rFonts w:ascii="Times New Roman" w:hAnsi="Times New Roman" w:cs="Times New Roman"/>
        </w:rPr>
        <w:t xml:space="preserve"> explicitly account for deferred judicial effort and compounding delay effects. The bidimensional backlog surplus process is formulated as:</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sup>
              </m:sSup>
            </m:e>
          </m:nary>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ds</m:t>
          </m:r>
          <m:r>
            <m:rPr>
              <m:sty m:val="p"/>
            </m:rPr>
            <w:rPr>
              <w:rFonts w:ascii="Cambria Math" w:hAnsi="Cambria Math" w:cs="Times New Roman"/>
            </w:rPr>
            <m:t>)-</m:t>
          </m:r>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up>
                <m:e>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e>
              </m:nary>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up>
                <m:e>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sub>
                    <m:sup>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sup>
                    <m:e>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e>
                  </m:nary>
                </m:e>
              </m:nary>
              <m:r>
                <m:rPr>
                  <m:sty m:val="b"/>
                </m:rPr>
                <w:rPr>
                  <w:rFonts w:ascii="Cambria Math" w:hAnsi="Cambria Math" w:cs="Times New Roman"/>
                </w:rPr>
                <m:t>1</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e>
          </m:d>
        </m:oMath>
      </m:oMathPara>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oMath>
      <w:r w:rsidRPr="0097287A">
        <w:rPr>
          <w:rFonts w:ascii="Times New Roman" w:hAnsi="Times New Roman" w:cs="Times New Roman"/>
        </w:rPr>
        <w:t xml:space="preserve"> is the initial backlog;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ds</m:t>
        </m:r>
        <m:r>
          <m:rPr>
            <m:sty m:val="p"/>
          </m:rPr>
          <w:rPr>
            <w:rFonts w:ascii="Cambria Math" w:hAnsi="Cambria Math" w:cs="Times New Roman"/>
          </w:rPr>
          <m:t>)</m:t>
        </m:r>
      </m:oMath>
      <w:r w:rsidRPr="0097287A">
        <w:rPr>
          <w:rFonts w:ascii="Times New Roman" w:hAnsi="Times New Roman" w:cs="Times New Roman"/>
        </w:rPr>
        <w:t xml:space="preserve"> is the judicial capacity allocated over </w:t>
      </w:r>
      <m:oMath>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ds</m:t>
        </m:r>
        <m:r>
          <m:rPr>
            <m:sty m:val="p"/>
          </m:rPr>
          <w:rPr>
            <w:rFonts w:ascii="Cambria Math" w:hAnsi="Cambria Math" w:cs="Times New Roman"/>
          </w:rPr>
          <m:t>)</m:t>
        </m:r>
      </m:oMath>
      <w:r w:rsidRPr="0097287A">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is a Poisson process with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rPr>
        <w:t xml:space="preserve"> governing case arrivals at times </w:t>
      </w:r>
      <m:oMath>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is the immediate workload; and </w:t>
      </w:r>
      <m:oMath>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denotes the number of delayed proceedings (geometrically distributed with parameter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oMath>
      <w:r w:rsidRPr="0097287A">
        <w:rPr>
          <w:rFonts w:ascii="Times New Roman" w:hAnsi="Times New Roman" w:cs="Times New Roman"/>
        </w:rPr>
        <w:t xml:space="preserve">) with associated workloads </w:t>
      </w:r>
      <m:oMath>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w:t>
      </w:r>
    </w:p>
    <w:p w:rsidR="004F7EAB" w:rsidRDefault="005E6F25" w:rsidP="004F7EAB">
      <w:pPr>
        <w:pStyle w:val="BodyText"/>
        <w:spacing w:after="0"/>
        <w:jc w:val="both"/>
        <w:rPr>
          <w:rFonts w:ascii="Times New Roman" w:hAnsi="Times New Roman" w:cs="Times New Roman"/>
        </w:rPr>
      </w:pPr>
      <w:r w:rsidRPr="0097287A">
        <w:rPr>
          <w:rFonts w:ascii="Times New Roman" w:hAnsi="Times New Roman" w:cs="Times New Roman"/>
        </w:rPr>
        <w:t xml:space="preserve">The indicator </w:t>
      </w:r>
      <m:oMath>
        <m:r>
          <m:rPr>
            <m:sty m:val="b"/>
          </m:rPr>
          <w:rPr>
            <w:rFonts w:ascii="Cambria Math" w:hAnsi="Cambria Math" w:cs="Times New Roman"/>
          </w:rPr>
          <m:t>1</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ensures delayed workloads contribute only upon realisation. The factor </w:t>
      </w:r>
      <m:oMath>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sup>
        </m:sSup>
      </m:oMath>
      <w:r w:rsidRPr="0097287A">
        <w:rPr>
          <w:rFonts w:ascii="Times New Roman" w:hAnsi="Times New Roman" w:cs="Times New Roman"/>
        </w:rPr>
        <w:t xml:space="preserve"> represents institutional urgency (</w:t>
      </w:r>
      <m:oMath>
        <m:r>
          <w:rPr>
            <w:rFonts w:ascii="Cambria Math" w:hAnsi="Cambria Math" w:cs="Times New Roman"/>
          </w:rPr>
          <m:t>r</m:t>
        </m:r>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rPr>
        <w:t xml:space="preserve">) rather than financial discounting; it reflects the increasing pressure of unresolved cases driven by statutory and constitutional timelines. This exponential weight assigns higher effective value to capacity deployed closer to the evaluation horizon </w:t>
      </w:r>
      <m:oMath>
        <m:r>
          <w:rPr>
            <w:rFonts w:ascii="Cambria Math" w:hAnsi="Cambria Math" w:cs="Times New Roman"/>
          </w:rPr>
          <m:t>t</m:t>
        </m:r>
      </m:oMath>
      <w:r w:rsidRPr="0097287A">
        <w:rPr>
          <w:rFonts w:ascii="Times New Roman" w:hAnsi="Times New Roman" w:cs="Times New Roman"/>
        </w:rPr>
        <w:t xml:space="preserve">, </w:t>
      </w:r>
      <w:r w:rsidRPr="0097287A">
        <w:rPr>
          <w:rFonts w:ascii="Times New Roman" w:hAnsi="Times New Roman" w:cs="Times New Roman"/>
        </w:rPr>
        <w:t>capturing the compounding social and institutional cost of delayed justice.</w:t>
      </w:r>
      <w:bookmarkStart w:id="10" w:name="model-and-distributional-assumptions"/>
      <w:bookmarkEnd w:id="9"/>
    </w:p>
    <w:p w:rsidR="00AF2245" w:rsidRPr="004F7EAB" w:rsidRDefault="005E6F25" w:rsidP="004F7EAB">
      <w:pPr>
        <w:pStyle w:val="Heading3"/>
        <w:numPr>
          <w:ilvl w:val="0"/>
          <w:numId w:val="0"/>
        </w:numPr>
        <w:spacing w:after="0"/>
        <w:ind w:left="720" w:hanging="720"/>
        <w:jc w:val="both"/>
        <w:rPr>
          <w:rFonts w:ascii="Times New Roman" w:hAnsi="Times New Roman" w:cs="Times New Roman"/>
          <w:b/>
          <w:bCs/>
          <w:sz w:val="24"/>
          <w:szCs w:val="24"/>
        </w:rPr>
      </w:pPr>
      <w:r w:rsidRPr="004F7EAB">
        <w:rPr>
          <w:rFonts w:ascii="Times New Roman" w:hAnsi="Times New Roman" w:cs="Times New Roman"/>
          <w:b/>
          <w:bCs/>
          <w:sz w:val="24"/>
          <w:szCs w:val="24"/>
        </w:rPr>
        <w:t>Model and Distributional Assumptions</w:t>
      </w:r>
    </w:p>
    <w:p w:rsidR="00AF2245" w:rsidRPr="0097287A" w:rsidRDefault="005E6F25" w:rsidP="0097287A">
      <w:pPr>
        <w:pStyle w:val="FirstParagraph"/>
        <w:spacing w:after="0"/>
        <w:jc w:val="both"/>
        <w:rPr>
          <w:rFonts w:ascii="Times New Roman" w:hAnsi="Times New Roman" w:cs="Times New Roman"/>
        </w:rPr>
      </w:pPr>
      <w:bookmarkStart w:id="11" w:name="ass:case_arrival"/>
      <w:r w:rsidRPr="0097287A">
        <w:rPr>
          <w:rFonts w:ascii="Times New Roman" w:hAnsi="Times New Roman" w:cs="Times New Roman"/>
          <w:b/>
          <w:bCs/>
        </w:rPr>
        <w:t>Assumption 1</w:t>
      </w:r>
      <w:r w:rsidRPr="0097287A">
        <w:rPr>
          <w:rFonts w:ascii="Times New Roman" w:hAnsi="Times New Roman" w:cs="Times New Roman"/>
        </w:rPr>
        <w:t xml:space="preserve"> (Case Arrivals and Arrival Times).  </w:t>
      </w:r>
      <w:r w:rsidRPr="0097287A">
        <w:rPr>
          <w:rFonts w:ascii="Times New Roman" w:hAnsi="Times New Roman" w:cs="Times New Roman"/>
          <w:i/>
          <w:iCs/>
        </w:rPr>
        <w:t xml:space="preserve">For each stream </w:t>
      </w:r>
      <m:oMath>
        <m:r>
          <w:rPr>
            <w:rFonts w:ascii="Cambria Math" w:hAnsi="Cambria Math" w:cs="Times New Roman"/>
          </w:rPr>
          <m:t>κ</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oMath>
      <w:r w:rsidRPr="0097287A">
        <w:rPr>
          <w:rFonts w:ascii="Times New Roman" w:hAnsi="Times New Roman" w:cs="Times New Roman"/>
          <w:i/>
          <w:iCs/>
        </w:rPr>
        <w:t xml:space="preserve">, cases arrive according to a homogeneous Poisson process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i/>
          <w:iCs/>
        </w:rPr>
        <w:t xml:space="preserve"> with constant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i/>
          <w:iCs/>
        </w:rPr>
        <w:t xml:space="preserve">. The successive arrival times satisfy </w:t>
      </w:r>
      <m:oMath>
        <m:r>
          <w:rPr>
            <w:rFonts w:ascii="Cambria Math" w:hAnsi="Cambria Math" w:cs="Times New Roman"/>
          </w:rPr>
          <w:lastRenderedPageBreak/>
          <m:t>0</m:t>
        </m:r>
        <m:r>
          <m:rPr>
            <m:sty m:val="p"/>
          </m:rPr>
          <w:rPr>
            <w:rFonts w:ascii="Cambria Math" w:hAnsi="Cambria Math" w:cs="Times New Roman"/>
          </w:rPr>
          <m:t>&lt;</m:t>
        </m:r>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1</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&lt;</m:t>
        </m:r>
        <m:sSubSup>
          <m:sSubSupPr>
            <m:ctrlPr>
              <w:rPr>
                <w:rFonts w:ascii="Cambria Math" w:hAnsi="Cambria Math" w:cs="Times New Roman"/>
              </w:rPr>
            </m:ctrlPr>
          </m:sSubSupPr>
          <m:e>
            <m:r>
              <w:rPr>
                <w:rFonts w:ascii="Cambria Math" w:hAnsi="Cambria Math" w:cs="Times New Roman"/>
              </w:rPr>
              <m:t>τ</m:t>
            </m:r>
          </m:e>
          <m:sub>
            <m:r>
              <w:rPr>
                <w:rFonts w:ascii="Cambria Math" w:hAnsi="Cambria Math" w:cs="Times New Roman"/>
              </w:rPr>
              <m:t>2</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&lt;⋯</m:t>
        </m:r>
      </m:oMath>
      <w:r w:rsidRPr="0097287A">
        <w:rPr>
          <w:rFonts w:ascii="Times New Roman" w:hAnsi="Times New Roman" w:cs="Times New Roman"/>
          <w:i/>
          <w:iCs/>
        </w:rPr>
        <w:t xml:space="preserve"> almost surely, with i.i.d. inter-arrival gaps </w:t>
      </w:r>
      <m:oMath>
        <m:r>
          <m:rPr>
            <m:sty m:val="p"/>
          </m:rPr>
          <w:rPr>
            <w:rFonts w:ascii="Cambria Math" w:hAnsi="Cambria Math" w:cs="Times New Roman"/>
          </w:rPr>
          <m:t>∼Exp(</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i/>
          <w:iCs/>
        </w:rPr>
        <w:t>, independent of all workload and delay sequences. The two streams are driven by independent Poisson processes</w:t>
      </w:r>
      <w:r w:rsidRPr="0097287A">
        <w:rPr>
          <w:rFonts w:ascii="Times New Roman" w:hAnsi="Times New Roman" w:cs="Times New Roman"/>
          <w:i/>
          <w:iCs/>
        </w:rPr>
        <w:t>.</w:t>
      </w:r>
    </w:p>
    <w:p w:rsidR="00AF2245" w:rsidRPr="0097287A" w:rsidRDefault="005E6F25" w:rsidP="0097287A">
      <w:pPr>
        <w:pStyle w:val="BodyText"/>
        <w:spacing w:after="0"/>
        <w:jc w:val="both"/>
        <w:rPr>
          <w:rFonts w:ascii="Times New Roman" w:hAnsi="Times New Roman" w:cs="Times New Roman"/>
        </w:rPr>
      </w:pPr>
      <w:bookmarkStart w:id="12" w:name="ass:main_workload"/>
      <w:bookmarkEnd w:id="11"/>
      <w:r w:rsidRPr="0097287A">
        <w:rPr>
          <w:rFonts w:ascii="Times New Roman" w:hAnsi="Times New Roman" w:cs="Times New Roman"/>
          <w:b/>
          <w:bCs/>
        </w:rPr>
        <w:t>Assumption 2</w:t>
      </w:r>
      <w:r w:rsidRPr="0097287A">
        <w:rPr>
          <w:rFonts w:ascii="Times New Roman" w:hAnsi="Times New Roman" w:cs="Times New Roman"/>
        </w:rPr>
        <w:t xml:space="preserve"> (Main Case Workload).  </w:t>
      </w:r>
      <w:r w:rsidRPr="0097287A">
        <w:rPr>
          <w:rFonts w:ascii="Times New Roman" w:hAnsi="Times New Roman" w:cs="Times New Roman"/>
          <w:i/>
          <w:iCs/>
        </w:rPr>
        <w:t xml:space="preserve">The workload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i/>
          <w:iCs/>
        </w:rPr>
        <w:t xml:space="preserve"> of the </w:t>
      </w:r>
      <m:oMath>
        <m:r>
          <w:rPr>
            <w:rFonts w:ascii="Cambria Math" w:hAnsi="Cambria Math" w:cs="Times New Roman"/>
          </w:rPr>
          <m:t>i</m:t>
        </m:r>
      </m:oMath>
      <w:r w:rsidRPr="0097287A">
        <w:rPr>
          <w:rFonts w:ascii="Times New Roman" w:hAnsi="Times New Roman" w:cs="Times New Roman"/>
          <w:i/>
          <w:iCs/>
        </w:rPr>
        <w:t xml:space="preserve">-th newly filed case in stream </w:t>
      </w:r>
      <m:oMath>
        <m:r>
          <w:rPr>
            <w:rFonts w:ascii="Cambria Math" w:hAnsi="Cambria Math" w:cs="Times New Roman"/>
          </w:rPr>
          <m:t>κ</m:t>
        </m:r>
      </m:oMath>
      <w:r w:rsidRPr="0097287A">
        <w:rPr>
          <w:rFonts w:ascii="Times New Roman" w:hAnsi="Times New Roman" w:cs="Times New Roman"/>
          <w:i/>
          <w:iCs/>
        </w:rPr>
        <w:t xml:space="preserve"> follows a moderately heavy-tailed distribution from one of three candidate families: </w:t>
      </w:r>
      <m:oMath>
        <m:r>
          <m:rPr>
            <m:sty m:val="p"/>
          </m:rPr>
          <w:rPr>
            <w:rFonts w:ascii="Cambria Math" w:hAnsi="Cambria Math" w:cs="Times New Roman"/>
          </w:rPr>
          <m:t>Pareto(</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i/>
          <w:iCs/>
        </w:rPr>
        <w:t xml:space="preserve">, </w:t>
      </w:r>
      <m:oMath>
        <m:r>
          <m:rPr>
            <m:sty m:val="p"/>
          </m:rPr>
          <w:rPr>
            <w:rFonts w:ascii="Cambria Math" w:hAnsi="Cambria Math" w:cs="Times New Roman"/>
          </w:rPr>
          <m:t>Log</m:t>
        </m:r>
        <m:r>
          <m:rPr>
            <m:nor/>
          </m:rPr>
          <w:rPr>
            <w:rFonts w:ascii="Times New Roman" w:hAnsi="Times New Roman" w:cs="Times New Roman"/>
          </w:rPr>
          <m:t>-</m:t>
        </m:r>
        <m:r>
          <m:rPr>
            <m:sty m:val="p"/>
          </m:rPr>
          <w:rPr>
            <w:rFonts w:ascii="Cambria Math" w:hAnsi="Cambria Math" w:cs="Times New Roman"/>
          </w:rPr>
          <m:t>Normal(</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i/>
          <w:iCs/>
        </w:rPr>
        <w:t xml:space="preserve">, or </w:t>
      </w:r>
      <m:oMath>
        <m:r>
          <m:rPr>
            <m:sty m:val="p"/>
          </m:rPr>
          <w:rPr>
            <w:rFonts w:ascii="Cambria Math" w:hAnsi="Cambria Math" w:cs="Times New Roman"/>
          </w:rPr>
          <m:t>Weibull(</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λ</m:t>
            </m:r>
          </m:e>
          <m:sub>
            <m:r>
              <w:rPr>
                <w:rFonts w:ascii="Cambria Math" w:hAnsi="Cambria Math" w:cs="Times New Roman"/>
              </w:rPr>
              <m:t>κ</m:t>
            </m:r>
          </m:sub>
          <m:sup>
            <m:r>
              <w:rPr>
                <w:rFonts w:ascii="Cambria Math" w:hAnsi="Cambria Math" w:cs="Times New Roman"/>
              </w:rPr>
              <m:t>X</m:t>
            </m:r>
          </m:sup>
        </m:sSubSup>
        <m:r>
          <m:rPr>
            <m:sty m:val="p"/>
          </m:rPr>
          <w:rPr>
            <w:rFonts w:ascii="Cambria Math" w:hAnsi="Cambria Math" w:cs="Times New Roman"/>
          </w:rPr>
          <m:t>)</m:t>
        </m:r>
      </m:oMath>
      <w:r w:rsidRPr="0097287A">
        <w:rPr>
          <w:rFonts w:ascii="Times New Roman" w:hAnsi="Times New Roman" w:cs="Times New Roman"/>
          <w:i/>
          <w:iCs/>
        </w:rPr>
        <w:t xml:space="preserve">, </w:t>
      </w:r>
      <w:r w:rsidRPr="0097287A">
        <w:rPr>
          <w:rFonts w:ascii="Times New Roman" w:hAnsi="Times New Roman" w:cs="Times New Roman"/>
          <w:i/>
          <w:iCs/>
        </w:rPr>
        <w:t>reflecting heterogeneity in case complexity and judicial effort.</w:t>
      </w:r>
    </w:p>
    <w:p w:rsidR="00AF2245" w:rsidRPr="0097287A" w:rsidRDefault="005E6F25" w:rsidP="0097287A">
      <w:pPr>
        <w:pStyle w:val="BodyText"/>
        <w:spacing w:after="0"/>
        <w:jc w:val="both"/>
        <w:rPr>
          <w:rFonts w:ascii="Times New Roman" w:hAnsi="Times New Roman" w:cs="Times New Roman"/>
        </w:rPr>
      </w:pPr>
      <w:bookmarkStart w:id="13" w:name="ass:delayed_proceedings"/>
      <w:bookmarkEnd w:id="12"/>
      <w:r w:rsidRPr="0097287A">
        <w:rPr>
          <w:rFonts w:ascii="Times New Roman" w:hAnsi="Times New Roman" w:cs="Times New Roman"/>
          <w:b/>
          <w:bCs/>
        </w:rPr>
        <w:t>Assumption 3</w:t>
      </w:r>
      <w:r w:rsidRPr="0097287A">
        <w:rPr>
          <w:rFonts w:ascii="Times New Roman" w:hAnsi="Times New Roman" w:cs="Times New Roman"/>
        </w:rPr>
        <w:t xml:space="preserve"> (Number of Delayed Proceedings).  </w:t>
      </w:r>
      <w:r w:rsidRPr="0097287A">
        <w:rPr>
          <w:rFonts w:ascii="Times New Roman" w:hAnsi="Times New Roman" w:cs="Times New Roman"/>
          <w:i/>
          <w:iCs/>
        </w:rPr>
        <w:t xml:space="preserve">The number of delayed proceedings associated with case </w:t>
      </w:r>
      <m:oMath>
        <m:r>
          <w:rPr>
            <w:rFonts w:ascii="Cambria Math" w:hAnsi="Cambria Math" w:cs="Times New Roman"/>
          </w:rPr>
          <m:t>i</m:t>
        </m:r>
      </m:oMath>
      <w:r w:rsidRPr="0097287A">
        <w:rPr>
          <w:rFonts w:ascii="Times New Roman" w:hAnsi="Times New Roman" w:cs="Times New Roman"/>
          <w:i/>
          <w:iCs/>
        </w:rPr>
        <w:t xml:space="preserve"> in stream </w:t>
      </w:r>
      <m:oMath>
        <m:r>
          <w:rPr>
            <w:rFonts w:ascii="Cambria Math" w:hAnsi="Cambria Math" w:cs="Times New Roman"/>
          </w:rPr>
          <m:t>κ</m:t>
        </m:r>
      </m:oMath>
      <w:r w:rsidRPr="0097287A">
        <w:rPr>
          <w:rFonts w:ascii="Times New Roman" w:hAnsi="Times New Roman" w:cs="Times New Roman"/>
          <w:i/>
          <w:iCs/>
        </w:rPr>
        <w:t xml:space="preserve">, denoted </w:t>
      </w:r>
      <m:oMath>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i/>
          <w:iCs/>
        </w:rPr>
        <w:t xml:space="preserve">, follows a geometric distribution with parameter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97287A">
        <w:rPr>
          <w:rFonts w:ascii="Times New Roman" w:hAnsi="Times New Roman" w:cs="Times New Roman"/>
          <w:i/>
          <w:iCs/>
        </w:rPr>
        <w:t>, whereby each successive hearing has a fixed probability of being the last.</w:t>
      </w:r>
    </w:p>
    <w:p w:rsidR="00AF2245" w:rsidRPr="0097287A" w:rsidRDefault="005E6F25" w:rsidP="0097287A">
      <w:pPr>
        <w:pStyle w:val="BodyText"/>
        <w:spacing w:after="0"/>
        <w:jc w:val="both"/>
        <w:rPr>
          <w:rFonts w:ascii="Times New Roman" w:hAnsi="Times New Roman" w:cs="Times New Roman"/>
        </w:rPr>
      </w:pPr>
      <w:bookmarkStart w:id="14" w:name="ass:delay_times"/>
      <w:bookmarkEnd w:id="13"/>
      <w:r w:rsidRPr="0097287A">
        <w:rPr>
          <w:rFonts w:ascii="Times New Roman" w:hAnsi="Times New Roman" w:cs="Times New Roman"/>
          <w:b/>
          <w:bCs/>
        </w:rPr>
        <w:t>Assumption 4</w:t>
      </w:r>
      <w:r w:rsidRPr="0097287A">
        <w:rPr>
          <w:rFonts w:ascii="Times New Roman" w:hAnsi="Times New Roman" w:cs="Times New Roman"/>
        </w:rPr>
        <w:t xml:space="preserve"> (Delay Times).  </w:t>
      </w:r>
      <w:r w:rsidRPr="0097287A">
        <w:rPr>
          <w:rFonts w:ascii="Times New Roman" w:hAnsi="Times New Roman" w:cs="Times New Roman"/>
          <w:i/>
          <w:iCs/>
        </w:rPr>
        <w:t xml:space="preserve">The delay duration </w:t>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i/>
          <w:iCs/>
        </w:rPr>
        <w:t xml:space="preserve"> follows either an </w:t>
      </w:r>
      <m:oMath>
        <m:r>
          <m:rPr>
            <m:sty m:val="p"/>
          </m:rPr>
          <w:rPr>
            <w:rFonts w:ascii="Cambria Math" w:hAnsi="Cambria Math" w:cs="Times New Roman"/>
          </w:rPr>
          <m:t>Exp(</m:t>
        </m:r>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κ</m:t>
            </m:r>
          </m:sub>
          <m:sup>
            <m:r>
              <w:rPr>
                <w:rFonts w:ascii="Cambria Math" w:hAnsi="Cambria Math" w:cs="Times New Roman"/>
              </w:rPr>
              <m:t>D</m:t>
            </m:r>
          </m:sup>
        </m:sSubSup>
        <m:r>
          <m:rPr>
            <m:sty m:val="p"/>
          </m:rPr>
          <w:rPr>
            <w:rFonts w:ascii="Cambria Math" w:hAnsi="Cambria Math" w:cs="Times New Roman"/>
          </w:rPr>
          <m:t>)</m:t>
        </m:r>
      </m:oMath>
      <w:r w:rsidRPr="0097287A">
        <w:rPr>
          <w:rFonts w:ascii="Times New Roman" w:hAnsi="Times New Roman" w:cs="Times New Roman"/>
          <w:i/>
          <w:iCs/>
        </w:rPr>
        <w:t xml:space="preserve"> distribution, capturing memoryless postponement, or a </w:t>
      </w:r>
      <m:oMath>
        <m:r>
          <m:rPr>
            <m:sty m:val="p"/>
          </m:rPr>
          <w:rPr>
            <w:rFonts w:ascii="Cambria Math" w:hAnsi="Cambria Math" w:cs="Times New Roman"/>
          </w:rPr>
          <m:t>Log</m:t>
        </m:r>
        <m:r>
          <m:rPr>
            <m:nor/>
          </m:rPr>
          <w:rPr>
            <w:rFonts w:ascii="Times New Roman" w:hAnsi="Times New Roman" w:cs="Times New Roman"/>
          </w:rPr>
          <m:t>-</m:t>
        </m:r>
        <m:r>
          <m:rPr>
            <m:sty m:val="p"/>
          </m:rPr>
          <w:rPr>
            <w:rFonts w:ascii="Cambria Math" w:hAnsi="Cambria Math" w:cs="Times New Roman"/>
          </w:rPr>
          <m:t>Normal(</m:t>
        </m:r>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κ</m:t>
            </m:r>
          </m:sub>
          <m:sup>
            <m:r>
              <w:rPr>
                <w:rFonts w:ascii="Cambria Math" w:hAnsi="Cambria Math" w:cs="Times New Roman"/>
              </w:rPr>
              <m:t>D</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κ</m:t>
            </m:r>
          </m:sub>
          <m:sup>
            <m:r>
              <w:rPr>
                <w:rFonts w:ascii="Cambria Math" w:hAnsi="Cambria Math" w:cs="Times New Roman"/>
              </w:rPr>
              <m:t>D</m:t>
            </m:r>
          </m:sup>
        </m:sSubSup>
        <m:r>
          <m:rPr>
            <m:sty m:val="p"/>
          </m:rPr>
          <w:rPr>
            <w:rFonts w:ascii="Cambria Math" w:hAnsi="Cambria Math" w:cs="Times New Roman"/>
          </w:rPr>
          <m:t>)</m:t>
        </m:r>
      </m:oMath>
      <w:r w:rsidRPr="0097287A">
        <w:rPr>
          <w:rFonts w:ascii="Times New Roman" w:hAnsi="Times New Roman" w:cs="Times New Roman"/>
          <w:i/>
          <w:iCs/>
        </w:rPr>
        <w:t xml:space="preserve"> distri</w:t>
      </w:r>
      <w:r w:rsidRPr="0097287A">
        <w:rPr>
          <w:rFonts w:ascii="Times New Roman" w:hAnsi="Times New Roman" w:cs="Times New Roman"/>
          <w:i/>
          <w:iCs/>
        </w:rPr>
        <w:t>bution, capturing persistent and skewed adjournment patterns.</w:t>
      </w:r>
    </w:p>
    <w:p w:rsidR="00AF2245" w:rsidRPr="0097287A" w:rsidRDefault="005E6F25" w:rsidP="0097287A">
      <w:pPr>
        <w:pStyle w:val="BodyText"/>
        <w:spacing w:after="0"/>
        <w:jc w:val="both"/>
        <w:rPr>
          <w:rFonts w:ascii="Times New Roman" w:hAnsi="Times New Roman" w:cs="Times New Roman"/>
        </w:rPr>
      </w:pPr>
      <w:bookmarkStart w:id="15" w:name="ass:delayed_workload"/>
      <w:bookmarkEnd w:id="14"/>
      <w:r w:rsidRPr="0097287A">
        <w:rPr>
          <w:rFonts w:ascii="Times New Roman" w:hAnsi="Times New Roman" w:cs="Times New Roman"/>
          <w:b/>
          <w:bCs/>
        </w:rPr>
        <w:t>Assumption 5</w:t>
      </w:r>
      <w:r w:rsidRPr="0097287A">
        <w:rPr>
          <w:rFonts w:ascii="Times New Roman" w:hAnsi="Times New Roman" w:cs="Times New Roman"/>
        </w:rPr>
        <w:t xml:space="preserve"> (Delayed Workload).  </w:t>
      </w:r>
      <w:r w:rsidRPr="0097287A">
        <w:rPr>
          <w:rFonts w:ascii="Times New Roman" w:hAnsi="Times New Roman" w:cs="Times New Roman"/>
          <w:i/>
          <w:iCs/>
        </w:rPr>
        <w:t xml:space="preserve">The workload </w:t>
      </w:r>
      <m:oMath>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i/>
          <w:iCs/>
        </w:rPr>
        <w:t xml:space="preserve"> generated by the </w:t>
      </w:r>
      <m:oMath>
        <m:r>
          <w:rPr>
            <w:rFonts w:ascii="Cambria Math" w:hAnsi="Cambria Math" w:cs="Times New Roman"/>
          </w:rPr>
          <m:t>j</m:t>
        </m:r>
      </m:oMath>
      <w:r w:rsidRPr="0097287A">
        <w:rPr>
          <w:rFonts w:ascii="Times New Roman" w:hAnsi="Times New Roman" w:cs="Times New Roman"/>
          <w:i/>
          <w:iCs/>
        </w:rPr>
        <w:t>-th delayed proceeding follows a heavy-tailed distribution from Assumption </w:t>
      </w:r>
      <w:hyperlink w:anchor="ass:main_workload">
        <w:r w:rsidRPr="0097287A">
          <w:rPr>
            <w:rStyle w:val="Hyperlink"/>
            <w:rFonts w:ascii="Times New Roman" w:hAnsi="Times New Roman" w:cs="Times New Roman"/>
            <w:i/>
            <w:iCs/>
          </w:rPr>
          <w:t>2</w:t>
        </w:r>
      </w:hyperlink>
      <w:r w:rsidRPr="0097287A">
        <w:rPr>
          <w:rFonts w:ascii="Times New Roman" w:hAnsi="Times New Roman" w:cs="Times New Roman"/>
          <w:i/>
          <w:iCs/>
        </w:rPr>
        <w:t xml:space="preserve">. </w:t>
      </w:r>
      <m:oMath>
        <m:r>
          <m:rPr>
            <m:sty m:val="p"/>
          </m:rPr>
          <w:rPr>
            <w:rFonts w:ascii="Cambria Math" w:hAnsi="Cambria Math" w:cs="Times New Roman"/>
          </w:rPr>
          <m:t>Pareto(</m:t>
        </m:r>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oMath>
      <w:r w:rsidRPr="0097287A">
        <w:rPr>
          <w:rFonts w:ascii="Times New Roman" w:hAnsi="Times New Roman" w:cs="Times New Roman"/>
          <w:i/>
          <w:iCs/>
        </w:rPr>
        <w:t xml:space="preserve">, </w:t>
      </w:r>
      <m:oMath>
        <m:r>
          <m:rPr>
            <m:sty m:val="p"/>
          </m:rPr>
          <w:rPr>
            <w:rFonts w:ascii="Cambria Math" w:hAnsi="Cambria Math" w:cs="Times New Roman"/>
          </w:rPr>
          <m:t>Log</m:t>
        </m:r>
        <m:r>
          <m:rPr>
            <m:nor/>
          </m:rPr>
          <w:rPr>
            <w:rFonts w:ascii="Times New Roman" w:hAnsi="Times New Roman" w:cs="Times New Roman"/>
          </w:rPr>
          <m:t>-</m:t>
        </m:r>
        <m:r>
          <m:rPr>
            <m:sty m:val="p"/>
          </m:rPr>
          <w:rPr>
            <w:rFonts w:ascii="Cambria Math" w:hAnsi="Cambria Math" w:cs="Times New Roman"/>
          </w:rPr>
          <m:t>Normal(</m:t>
        </m:r>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oMath>
      <w:r w:rsidRPr="0097287A">
        <w:rPr>
          <w:rFonts w:ascii="Times New Roman" w:hAnsi="Times New Roman" w:cs="Times New Roman"/>
          <w:i/>
          <w:iCs/>
        </w:rPr>
        <w:t xml:space="preserve">, or </w:t>
      </w:r>
      <m:oMath>
        <m:r>
          <m:rPr>
            <m:sty m:val="p"/>
          </m:rPr>
          <w:rPr>
            <w:rFonts w:ascii="Cambria Math" w:hAnsi="Cambria Math" w:cs="Times New Roman"/>
          </w:rPr>
          <m:t>Weibull(</m:t>
        </m:r>
        <m:sSubSup>
          <m:sSubSupPr>
            <m:ctrlPr>
              <w:rPr>
                <w:rFonts w:ascii="Cambria Math" w:hAnsi="Cambria Math" w:cs="Times New Roman"/>
              </w:rPr>
            </m:ctrlPr>
          </m:sSubSupPr>
          <m:e>
            <m:r>
              <w:rPr>
                <w:rFonts w:ascii="Cambria Math" w:hAnsi="Cambria Math" w:cs="Times New Roman"/>
              </w:rPr>
              <m:t>k</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λ</m:t>
            </m:r>
          </m:e>
          <m:sub>
            <m:r>
              <w:rPr>
                <w:rFonts w:ascii="Cambria Math" w:hAnsi="Cambria Math" w:cs="Times New Roman"/>
              </w:rPr>
              <m:t>κ</m:t>
            </m:r>
          </m:sub>
          <m:sup>
            <m:r>
              <w:rPr>
                <w:rFonts w:ascii="Cambria Math" w:hAnsi="Cambria Math" w:cs="Times New Roman"/>
              </w:rPr>
              <m:t>Y</m:t>
            </m:r>
          </m:sup>
        </m:sSubSup>
        <m:r>
          <m:rPr>
            <m:sty m:val="p"/>
          </m:rPr>
          <w:rPr>
            <w:rFonts w:ascii="Cambria Math" w:hAnsi="Cambria Math" w:cs="Times New Roman"/>
          </w:rPr>
          <m:t>)</m:t>
        </m:r>
      </m:oMath>
      <w:r w:rsidRPr="0097287A">
        <w:rPr>
          <w:rFonts w:ascii="Times New Roman" w:hAnsi="Times New Roman" w:cs="Times New Roman"/>
          <w:i/>
          <w:iCs/>
        </w:rPr>
        <w:t>.</w:t>
      </w:r>
    </w:p>
    <w:p w:rsidR="00AF2245" w:rsidRPr="0097287A" w:rsidRDefault="005E6F25" w:rsidP="0097287A">
      <w:pPr>
        <w:pStyle w:val="BodyText"/>
        <w:spacing w:after="0"/>
        <w:jc w:val="both"/>
        <w:rPr>
          <w:rFonts w:ascii="Times New Roman" w:hAnsi="Times New Roman" w:cs="Times New Roman"/>
        </w:rPr>
      </w:pPr>
      <w:bookmarkStart w:id="16" w:name="ass:independence"/>
      <w:bookmarkEnd w:id="15"/>
      <w:r w:rsidRPr="0097287A">
        <w:rPr>
          <w:rFonts w:ascii="Times New Roman" w:hAnsi="Times New Roman" w:cs="Times New Roman"/>
          <w:b/>
          <w:bCs/>
        </w:rPr>
        <w:t>Assumption 6</w:t>
      </w:r>
      <w:r w:rsidRPr="0097287A">
        <w:rPr>
          <w:rFonts w:ascii="Times New Roman" w:hAnsi="Times New Roman" w:cs="Times New Roman"/>
        </w:rPr>
        <w:t xml:space="preserve"> (Independence).  </w:t>
      </w:r>
      <w:r w:rsidRPr="0097287A">
        <w:rPr>
          <w:rFonts w:ascii="Times New Roman" w:hAnsi="Times New Roman" w:cs="Times New Roman"/>
          <w:i/>
          <w:iCs/>
        </w:rPr>
        <w:t xml:space="preserve">The sequences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i/>
          <w:iCs/>
        </w:rPr>
        <w:t xml:space="preserve">,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i/>
          <w:iCs/>
        </w:rPr>
        <w:t xml:space="preserve">,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i/>
          <w:iCs/>
        </w:rPr>
        <w:t xml:space="preserve">, and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i/>
          <w:iCs/>
        </w:rPr>
        <w:t xml:space="preserve"> are mutually independent within each stream and independent across streams </w:t>
      </w:r>
      <m:oMath>
        <m:r>
          <w:rPr>
            <w:rFonts w:ascii="Cambria Math" w:hAnsi="Cambria Math" w:cs="Times New Roman"/>
          </w:rPr>
          <m:t>κ</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oMath>
      <w:r w:rsidRPr="0097287A">
        <w:rPr>
          <w:rFonts w:ascii="Times New Roman" w:hAnsi="Times New Roman" w:cs="Times New Roman"/>
          <w:i/>
          <w:iCs/>
        </w:rPr>
        <w:t xml:space="preserve">, </w:t>
      </w:r>
      <w:r w:rsidRPr="0097287A">
        <w:rPr>
          <w:rFonts w:ascii="Times New Roman" w:hAnsi="Times New Roman" w:cs="Times New Roman"/>
          <w:i/>
          <w:iCs/>
        </w:rPr>
        <w:t>with the exception of specified dependence structures for sensitivity analysis.</w:t>
      </w:r>
    </w:p>
    <w:bookmarkEnd w:id="16"/>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b/>
          <w:bCs/>
        </w:rPr>
        <w:t>Remark 7</w:t>
      </w:r>
      <w:r w:rsidRPr="0097287A">
        <w:rPr>
          <w:rFonts w:ascii="Times New Roman" w:hAnsi="Times New Roman" w:cs="Times New Roman"/>
        </w:rPr>
        <w:t>.  Under Assumption </w:t>
      </w:r>
      <w:hyperlink w:anchor="ass:independence">
        <w:r w:rsidRPr="0097287A">
          <w:rPr>
            <w:rStyle w:val="Hyperlink"/>
            <w:rFonts w:ascii="Times New Roman" w:hAnsi="Times New Roman" w:cs="Times New Roman"/>
          </w:rPr>
          <w:t>6</w:t>
        </w:r>
      </w:hyperlink>
      <w:r w:rsidRPr="0097287A">
        <w:rPr>
          <w:rFonts w:ascii="Times New Roman" w:hAnsi="Times New Roman" w:cs="Times New Roman"/>
        </w:rPr>
        <w:t>, the joint and marginal backlog probabilities factorise as:</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eqArr>
            <m:eqArrPr>
              <m:ctrlPr>
                <w:rPr>
                  <w:rFonts w:ascii="Cambria Math" w:hAnsi="Cambria Math" w:cs="Times New Roman"/>
                </w:rPr>
              </m:ctrlPr>
            </m:eqArrPr>
            <m:e>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joint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&amp;</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e>
            <m:e>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&amp;</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e>
          </m:eqArr>
        </m:oMath>
      </m:oMathPara>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cr m:val="double-struck"/>
            <m:sty m:val="p"/>
          </m:rPr>
          <w:rPr>
            <w:rFonts w:ascii="Cambria Math" w:hAnsi="Cambria Math" w:cs="Times New Roman"/>
          </w:rPr>
          <m:t>)=P(</m:t>
        </m:r>
        <m:sSub>
          <m:sSubPr>
            <m:ctrlPr>
              <w:rPr>
                <w:rFonts w:ascii="Cambria Math" w:hAnsi="Cambria Math" w:cs="Times New Roman"/>
              </w:rPr>
            </m:ctrlPr>
          </m:sSubPr>
          <m:e>
            <m:r>
              <m:rPr>
                <m:sty m:val="p"/>
              </m:rPr>
              <w:rPr>
                <w:rFonts w:ascii="Cambria Math" w:hAnsi="Cambria Math" w:cs="Times New Roman"/>
              </w:rPr>
              <m:t>inf</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T</m:t>
            </m:r>
          </m:sub>
        </m:sSub>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This factorisation is used in Section </w:t>
      </w:r>
      <w:hyperlink w:anchor="subsec:scenario">
        <w:r w:rsidRPr="0097287A">
          <w:rPr>
            <w:rStyle w:val="Hyperlink"/>
            <w:rFonts w:ascii="Times New Roman" w:hAnsi="Times New Roman" w:cs="Times New Roman"/>
          </w:rPr>
          <w:t>4.5</w:t>
        </w:r>
      </w:hyperlink>
      <w:r w:rsidRPr="0097287A">
        <w:rPr>
          <w:rFonts w:ascii="Times New Roman" w:hAnsi="Times New Roman" w:cs="Times New Roman"/>
        </w:rPr>
        <w:t xml:space="preserve"> to compute joint congestion probabilities from stream-specific simulation outputs.</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These assumptions jointly support both finite-sample estimation and asymptotic analysis of backlog probabilities. The regular variation conditions in Assumption </w:t>
      </w:r>
      <w:hyperlink w:anchor="ass:main_workload">
        <w:r w:rsidRPr="0097287A">
          <w:rPr>
            <w:rStyle w:val="Hyperlink"/>
            <w:rFonts w:ascii="Times New Roman" w:hAnsi="Times New Roman" w:cs="Times New Roman"/>
          </w:rPr>
          <w:t>2</w:t>
        </w:r>
      </w:hyperlink>
      <w:r w:rsidRPr="0097287A">
        <w:rPr>
          <w:rFonts w:ascii="Times New Roman" w:hAnsi="Times New Roman" w:cs="Times New Roman"/>
        </w:rPr>
        <w:t xml:space="preserve"> and  </w:t>
      </w:r>
      <w:hyperlink w:anchor="ass:delayed_workload">
        <w:r w:rsidRPr="0097287A">
          <w:rPr>
            <w:rStyle w:val="Hyperlink"/>
            <w:rFonts w:ascii="Times New Roman" w:hAnsi="Times New Roman" w:cs="Times New Roman"/>
          </w:rPr>
          <w:t>5</w:t>
        </w:r>
      </w:hyperlink>
      <w:r w:rsidRPr="0097287A">
        <w:rPr>
          <w:rFonts w:ascii="Times New Roman" w:hAnsi="Times New Roman" w:cs="Times New Roman"/>
        </w:rPr>
        <w:t xml:space="preserve"> are the key structural requirements underpinning the polynomial decay result derived in Section 4, namely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as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The geometric multiplicity in As</w:t>
      </w:r>
      <w:r w:rsidRPr="0097287A">
        <w:rPr>
          <w:rFonts w:ascii="Times New Roman" w:hAnsi="Times New Roman" w:cs="Times New Roman"/>
        </w:rPr>
        <w:t>sumption </w:t>
      </w:r>
      <w:hyperlink w:anchor="ass:delayed_proceedings">
        <w:r w:rsidRPr="0097287A">
          <w:rPr>
            <w:rStyle w:val="Hyperlink"/>
            <w:rFonts w:ascii="Times New Roman" w:hAnsi="Times New Roman" w:cs="Times New Roman"/>
          </w:rPr>
          <w:t>3</w:t>
        </w:r>
      </w:hyperlink>
      <w:r w:rsidRPr="0097287A">
        <w:rPr>
          <w:rFonts w:ascii="Times New Roman" w:hAnsi="Times New Roman" w:cs="Times New Roman"/>
        </w:rPr>
        <w:t xml:space="preserve"> ensures that the total delayed workload per case has a finite compounding structure, while the independence in Assumption </w:t>
      </w:r>
      <w:hyperlink w:anchor="ass:independence">
        <w:r w:rsidRPr="0097287A">
          <w:rPr>
            <w:rStyle w:val="Hyperlink"/>
            <w:rFonts w:ascii="Times New Roman" w:hAnsi="Times New Roman" w:cs="Times New Roman"/>
          </w:rPr>
          <w:t>6</w:t>
        </w:r>
      </w:hyperlink>
      <w:r w:rsidRPr="0097287A">
        <w:rPr>
          <w:rFonts w:ascii="Times New Roman" w:hAnsi="Times New Roman" w:cs="Times New Roman"/>
        </w:rPr>
        <w:t xml:space="preserve"> permits the marginal and joint backl</w:t>
      </w:r>
      <w:r w:rsidRPr="0097287A">
        <w:rPr>
          <w:rFonts w:ascii="Times New Roman" w:hAnsi="Times New Roman" w:cs="Times New Roman"/>
        </w:rPr>
        <w:t>og probabilities to be analysed using standard results from multivariate subexponential theory.</w:t>
      </w:r>
    </w:p>
    <w:p w:rsidR="00AF2245" w:rsidRPr="004F7EAB" w:rsidRDefault="005E6F25" w:rsidP="004F7EAB">
      <w:pPr>
        <w:pStyle w:val="Heading3"/>
        <w:numPr>
          <w:ilvl w:val="0"/>
          <w:numId w:val="0"/>
        </w:numPr>
        <w:spacing w:after="0"/>
        <w:ind w:left="720" w:hanging="720"/>
        <w:jc w:val="both"/>
        <w:rPr>
          <w:rFonts w:ascii="Times New Roman" w:hAnsi="Times New Roman" w:cs="Times New Roman"/>
          <w:b/>
          <w:bCs/>
          <w:sz w:val="24"/>
          <w:szCs w:val="24"/>
        </w:rPr>
      </w:pPr>
      <w:bookmarkStart w:id="17" w:name="backlog-probability"/>
      <w:bookmarkEnd w:id="10"/>
      <w:r w:rsidRPr="004F7EAB">
        <w:rPr>
          <w:rFonts w:ascii="Times New Roman" w:hAnsi="Times New Roman" w:cs="Times New Roman"/>
          <w:b/>
          <w:bCs/>
          <w:sz w:val="24"/>
          <w:szCs w:val="24"/>
        </w:rPr>
        <w:t>Backlog Probability</w:t>
      </w:r>
    </w:p>
    <w:p w:rsidR="004F7EAB"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Backlog probabilities quantify the risk that judicial processing capacity is exceeded, analogous to ruin probabilities in actuarial risk the</w:t>
      </w:r>
      <w:r w:rsidRPr="0097287A">
        <w:rPr>
          <w:rFonts w:ascii="Times New Roman" w:hAnsi="Times New Roman" w:cs="Times New Roman"/>
        </w:rPr>
        <w:t xml:space="preserve">ory. Judicial ruin occurs when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oMath>
      <w:r w:rsidRPr="0097287A">
        <w:rPr>
          <w:rFonts w:ascii="Times New Roman" w:hAnsi="Times New Roman" w:cs="Times New Roman"/>
        </w:rPr>
        <w:t xml:space="preserve">, indicating that accumulated workload exceeds effective adjudicative capacity within a finite time horizon </w:t>
      </w:r>
      <m:oMath>
        <m:r>
          <w:rPr>
            <w:rFonts w:ascii="Cambria Math" w:hAnsi="Cambria Math" w:cs="Times New Roman"/>
          </w:rPr>
          <m:t>T</m:t>
        </m:r>
      </m:oMath>
      <w:r w:rsidRPr="0097287A">
        <w:rPr>
          <w:rFonts w:ascii="Times New Roman" w:hAnsi="Times New Roman" w:cs="Times New Roman"/>
        </w:rPr>
        <w:t>.</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The joint backlog probability captures the risk of system-wide congestion, where both criminal and civi</w:t>
      </w:r>
      <w:r w:rsidRPr="0097287A">
        <w:rPr>
          <w:rFonts w:ascii="Times New Roman" w:hAnsi="Times New Roman" w:cs="Times New Roman"/>
        </w:rPr>
        <w:t xml:space="preserve">l case streams simultaneously experience capacity failure within a finite time horizon </w:t>
      </w:r>
      <m:oMath>
        <m:r>
          <w:rPr>
            <w:rFonts w:ascii="Cambria Math" w:hAnsi="Cambria Math" w:cs="Times New Roman"/>
          </w:rPr>
          <m:t>T</m:t>
        </m:r>
      </m:oMath>
      <w:r w:rsidRPr="0097287A">
        <w:rPr>
          <w:rFonts w:ascii="Times New Roman" w:hAnsi="Times New Roman" w:cs="Times New Roman"/>
        </w:rPr>
        <w:t>. This represents a severe institutional strain in which neither stream can be processed within acceptable timelines. The joint backlog probability is defined as:</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joint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cr m:val="double-struck"/>
              <m:sty m:val="p"/>
            </m:rPr>
            <w:rPr>
              <w:rFonts w:ascii="Cambria Math" w:hAnsi="Cambria Math" w:cs="Times New Roman"/>
            </w:rPr>
            <m:t>)=P(∃</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oMath>
      </m:oMathPara>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oMath>
      <w:r w:rsidRPr="0097287A">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oMath>
      <w:r w:rsidRPr="0097287A">
        <w:rPr>
          <w:rFonts w:ascii="Times New Roman" w:hAnsi="Times New Roman" w:cs="Times New Roman"/>
        </w:rPr>
        <w:t xml:space="preserve"> denote the initial backlog positions in the criminal and civil streams, respectively.</w:t>
      </w:r>
      <w:r w:rsidRPr="0097287A">
        <w:rPr>
          <w:rFonts w:ascii="Times New Roman" w:hAnsi="Times New Roman" w:cs="Times New Roman"/>
        </w:rPr>
        <w:br/>
        <w:t>The marginal backlog probability captures early warning signals of congestion by measuring the risk tha</w:t>
      </w:r>
      <w:r w:rsidRPr="0097287A">
        <w:rPr>
          <w:rFonts w:ascii="Times New Roman" w:hAnsi="Times New Roman" w:cs="Times New Roman"/>
        </w:rPr>
        <w:t xml:space="preserve">t at </w:t>
      </w:r>
      <w:r w:rsidRPr="0097287A">
        <w:rPr>
          <w:rFonts w:ascii="Times New Roman" w:hAnsi="Times New Roman" w:cs="Times New Roman"/>
        </w:rPr>
        <w:lastRenderedPageBreak/>
        <w:t xml:space="preserve">least one case stream exceeds judicial capacity within the time horizon </w:t>
      </w:r>
      <m:oMath>
        <m:r>
          <w:rPr>
            <w:rFonts w:ascii="Cambria Math" w:hAnsi="Cambria Math" w:cs="Times New Roman"/>
          </w:rPr>
          <m:t>T</m:t>
        </m:r>
      </m:oMath>
      <w:r w:rsidRPr="0097287A">
        <w:rPr>
          <w:rFonts w:ascii="Times New Roman" w:hAnsi="Times New Roman" w:cs="Times New Roman"/>
        </w:rPr>
        <w:t>. Unlike the joint probability, this measure identifies localized or emerging stress before system-wide failure occurs. It is defined as:</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cr m:val="double-struck"/>
              <m:sty m:val="p"/>
            </m:rPr>
            <w:rPr>
              <w:rFonts w:ascii="Cambria Math" w:hAnsi="Cambria Math" w:cs="Times New Roman"/>
            </w:rPr>
            <m:t>)=P(∃</m:t>
          </m:r>
          <m:r>
            <w:rPr>
              <w:rFonts w:ascii="Cambria Math" w:hAnsi="Cambria Math" w:cs="Times New Roman"/>
            </w:rPr>
            <m:t>t</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oMath>
      </m:oMathPara>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For infinite-time horizon, the backlog probability is defined as:</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cr m:val="double-struck"/>
              <m:sty m:val="p"/>
            </m:rPr>
            <w:rPr>
              <w:rFonts w:ascii="Cambria Math" w:hAnsi="Cambria Math" w:cs="Times New Roman"/>
            </w:rPr>
            <m:t>)=P</m:t>
          </m:r>
          <m:d>
            <m:dPr>
              <m:ctrlPr>
                <w:rPr>
                  <w:rFonts w:ascii="Cambria Math" w:hAnsi="Cambria Math" w:cs="Times New Roman"/>
                </w:rPr>
              </m:ctrlPr>
            </m:dPr>
            <m:e>
              <m:limLow>
                <m:limLowPr>
                  <m:ctrlPr>
                    <w:rPr>
                      <w:rFonts w:ascii="Cambria Math" w:hAnsi="Cambria Math" w:cs="Times New Roman"/>
                    </w:rPr>
                  </m:ctrlPr>
                </m:limLowPr>
                <m:e>
                  <m:r>
                    <m:rPr>
                      <m:sty m:val="p"/>
                    </m:rPr>
                    <w:rPr>
                      <w:rFonts w:ascii="Cambria Math" w:hAnsi="Cambria Math" w:cs="Times New Roman"/>
                    </w:rPr>
                    <m:t>inf</m:t>
                  </m:r>
                </m:e>
                <m:lim>
                  <m:r>
                    <w:rPr>
                      <w:rFonts w:ascii="Cambria Math" w:hAnsi="Cambria Math" w:cs="Times New Roman"/>
                    </w:rPr>
                    <m:t>t</m:t>
                  </m:r>
                  <m:r>
                    <m:rPr>
                      <m:sty m:val="p"/>
                    </m:rPr>
                    <w:rPr>
                      <w:rFonts w:ascii="Cambria Math" w:hAnsi="Cambria Math" w:cs="Times New Roman"/>
                    </w:rPr>
                    <m:t>≥</m:t>
                  </m:r>
                  <m:r>
                    <w:rPr>
                      <w:rFonts w:ascii="Cambria Math" w:hAnsi="Cambria Math" w:cs="Times New Roman"/>
                    </w:rPr>
                    <m:t>0</m:t>
                  </m:r>
                </m:lim>
              </m:limLow>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)&lt;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e>
          </m:d>
          <m:r>
            <m:rPr>
              <m:sty m:val="p"/>
            </m:rPr>
            <w:rPr>
              <w:rFonts w:ascii="Cambria Math" w:hAnsi="Cambria Math" w:cs="Times New Roman"/>
            </w:rPr>
            <m:t>.</m:t>
          </m:r>
        </m:oMath>
      </m:oMathPara>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b/>
          <w:bCs/>
        </w:rPr>
        <w:t>Remark 8</w:t>
      </w:r>
      <w:r w:rsidRPr="0097287A">
        <w:rPr>
          <w:rFonts w:ascii="Times New Roman" w:hAnsi="Times New Roman" w:cs="Times New Roman"/>
        </w:rPr>
        <w:t>.  The infinite-time backlog probability admits the equivalent characterisation:</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cr m:val="double-struck"/>
              <m:sty m:val="p"/>
            </m:rPr>
            <w:rPr>
              <w:rFonts w:ascii="Cambria Math" w:hAnsi="Cambria Math" w:cs="Times New Roman"/>
            </w:rPr>
            <m:t>)=P</m:t>
          </m:r>
          <m:r>
            <w:rPr>
              <w:rFonts w:ascii="Cambria Math" w:hAnsi="Cambria Math" w:cs="Times New Roman"/>
            </w:rPr>
            <m:t>​</m:t>
          </m:r>
          <m:d>
            <m:dPr>
              <m:ctrlPr>
                <w:rPr>
                  <w:rFonts w:ascii="Cambria Math" w:hAnsi="Cambria Math" w:cs="Times New Roman"/>
                </w:rPr>
              </m:ctrlPr>
            </m:dPr>
            <m:e>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0</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&lt;∞</m:t>
                  </m:r>
                </m:lim>
              </m:limLow>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s</m:t>
                      </m:r>
                    </m:sup>
                    <m:e>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r</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sup>
                      </m:sSup>
                    </m:e>
                  </m:nary>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du</m:t>
                  </m:r>
                  <m:r>
                    <m:rPr>
                      <m:sty m:val="p"/>
                    </m:rPr>
                    <w:rPr>
                      <w:rFonts w:ascii="Cambria Math" w:hAnsi="Cambria Math" w:cs="Times New Roman"/>
                    </w:rPr>
                    <m:t>)</m:t>
                  </m:r>
                </m:e>
              </m:d>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e>
          </m:d>
        </m:oMath>
      </m:oMathPara>
    </w:p>
    <w:p w:rsidR="00AF2245"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connecting the surplus framework to the classical running-maximum representation of ruin (</w:t>
      </w:r>
      <w:proofErr w:type="spellStart"/>
      <w:r w:rsidRPr="0097287A">
        <w:rPr>
          <w:rFonts w:ascii="Times New Roman" w:hAnsi="Times New Roman" w:cs="Times New Roman"/>
        </w:rPr>
        <w:t>Asmussen</w:t>
      </w:r>
      <w:proofErr w:type="spellEnd"/>
      <w:r w:rsidRPr="0097287A">
        <w:rPr>
          <w:rFonts w:ascii="Times New Roman" w:hAnsi="Times New Roman" w:cs="Times New Roman"/>
        </w:rPr>
        <w:t xml:space="preserve"> and </w:t>
      </w:r>
      <w:proofErr w:type="spellStart"/>
      <w:r w:rsidRPr="0097287A">
        <w:rPr>
          <w:rFonts w:ascii="Times New Roman" w:hAnsi="Times New Roman" w:cs="Times New Roman"/>
        </w:rPr>
        <w:t>Albrecher</w:t>
      </w:r>
      <w:proofErr w:type="spellEnd"/>
      <w:r w:rsidRPr="0097287A">
        <w:rPr>
          <w:rFonts w:ascii="Times New Roman" w:hAnsi="Times New Roman" w:cs="Times New Roman"/>
        </w:rPr>
        <w:t xml:space="preserve"> 2010).</w:t>
      </w:r>
    </w:p>
    <w:p w:rsidR="004F7EAB" w:rsidRPr="004F7EAB" w:rsidRDefault="004F7EAB" w:rsidP="004F7EAB">
      <w:pPr>
        <w:pStyle w:val="BodyText"/>
      </w:pPr>
    </w:p>
    <w:p w:rsidR="00AF2245" w:rsidRPr="004F7EAB" w:rsidRDefault="005E6F25" w:rsidP="004F7EAB">
      <w:pPr>
        <w:pStyle w:val="Heading2"/>
        <w:numPr>
          <w:ilvl w:val="0"/>
          <w:numId w:val="0"/>
        </w:numPr>
        <w:spacing w:after="0"/>
        <w:ind w:left="576" w:hanging="576"/>
        <w:jc w:val="both"/>
        <w:rPr>
          <w:rFonts w:ascii="Times New Roman" w:hAnsi="Times New Roman" w:cs="Times New Roman"/>
          <w:b/>
          <w:bCs/>
          <w:sz w:val="24"/>
          <w:szCs w:val="24"/>
        </w:rPr>
      </w:pPr>
      <w:bookmarkStart w:id="18" w:name="analytical-techniques"/>
      <w:bookmarkEnd w:id="7"/>
      <w:bookmarkEnd w:id="17"/>
      <w:r w:rsidRPr="004F7EAB">
        <w:rPr>
          <w:rFonts w:ascii="Times New Roman" w:hAnsi="Times New Roman" w:cs="Times New Roman"/>
          <w:b/>
          <w:bCs/>
          <w:sz w:val="24"/>
          <w:szCs w:val="24"/>
        </w:rPr>
        <w:t>Analytical Techniques</w:t>
      </w:r>
    </w:p>
    <w:p w:rsidR="00AF2245" w:rsidRPr="004F7EAB" w:rsidRDefault="005E6F25" w:rsidP="004F7EAB">
      <w:pPr>
        <w:pStyle w:val="Heading3"/>
        <w:numPr>
          <w:ilvl w:val="0"/>
          <w:numId w:val="0"/>
        </w:numPr>
        <w:spacing w:after="0"/>
        <w:ind w:left="720" w:hanging="720"/>
        <w:jc w:val="both"/>
        <w:rPr>
          <w:rFonts w:ascii="Times New Roman" w:hAnsi="Times New Roman" w:cs="Times New Roman"/>
          <w:b/>
          <w:bCs/>
          <w:sz w:val="24"/>
          <w:szCs w:val="24"/>
        </w:rPr>
      </w:pPr>
      <w:bookmarkStart w:id="19" w:name="data-description-and-source"/>
      <w:r w:rsidRPr="004F7EAB">
        <w:rPr>
          <w:rFonts w:ascii="Times New Roman" w:hAnsi="Times New Roman" w:cs="Times New Roman"/>
          <w:b/>
          <w:bCs/>
          <w:sz w:val="24"/>
          <w:szCs w:val="24"/>
        </w:rPr>
        <w:t>Data Description and Source</w:t>
      </w:r>
    </w:p>
    <w:p w:rsidR="00AF2245"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The analysis used Judiciary Case Tracking System (CTS) data from </w:t>
      </w:r>
      <w:r w:rsidRPr="0097287A">
        <w:rPr>
          <w:rFonts w:ascii="Times New Roman" w:hAnsi="Times New Roman" w:cs="Times New Roman"/>
        </w:rPr>
        <w:t>Financial Year 2020/21 to 2024/25 across Magistrates’ Courts, comprising filing and hearing dates, adjournment frequencies and reasons, conclusion dates, case types (criminal vs. civil), and courtroom and judge availability. A hybrid analytical approach wa</w:t>
      </w:r>
      <w:r w:rsidRPr="0097287A">
        <w:rPr>
          <w:rFonts w:ascii="Times New Roman" w:hAnsi="Times New Roman" w:cs="Times New Roman"/>
        </w:rPr>
        <w:t>s employed, integrating stochastic modelling, statistical estimation, simulation, and asymptotic theory.</w:t>
      </w:r>
    </w:p>
    <w:p w:rsidR="004F7EAB" w:rsidRDefault="004F7EAB" w:rsidP="004F7EAB">
      <w:pPr>
        <w:pStyle w:val="Heading3"/>
        <w:numPr>
          <w:ilvl w:val="0"/>
          <w:numId w:val="0"/>
        </w:numPr>
        <w:spacing w:after="0"/>
        <w:ind w:left="720" w:hanging="720"/>
        <w:jc w:val="both"/>
        <w:rPr>
          <w:rFonts w:ascii="Times New Roman" w:hAnsi="Times New Roman" w:cs="Times New Roman"/>
          <w:b/>
          <w:bCs/>
          <w:sz w:val="24"/>
          <w:szCs w:val="24"/>
        </w:rPr>
      </w:pPr>
      <w:bookmarkStart w:id="20" w:name="model-estimation"/>
      <w:bookmarkEnd w:id="19"/>
    </w:p>
    <w:p w:rsidR="00AF2245" w:rsidRPr="004F7EAB" w:rsidRDefault="005E6F25" w:rsidP="004F7EAB">
      <w:pPr>
        <w:pStyle w:val="Heading3"/>
        <w:numPr>
          <w:ilvl w:val="0"/>
          <w:numId w:val="0"/>
        </w:numPr>
        <w:spacing w:before="0" w:after="0"/>
        <w:ind w:left="720" w:hanging="720"/>
        <w:jc w:val="both"/>
        <w:rPr>
          <w:rFonts w:ascii="Times New Roman" w:hAnsi="Times New Roman" w:cs="Times New Roman"/>
          <w:b/>
          <w:bCs/>
          <w:sz w:val="24"/>
          <w:szCs w:val="24"/>
        </w:rPr>
      </w:pPr>
      <w:r w:rsidRPr="004F7EAB">
        <w:rPr>
          <w:rFonts w:ascii="Times New Roman" w:hAnsi="Times New Roman" w:cs="Times New Roman"/>
          <w:b/>
          <w:bCs/>
          <w:sz w:val="24"/>
          <w:szCs w:val="24"/>
        </w:rPr>
        <w:t>Model Estimation</w:t>
      </w:r>
    </w:p>
    <w:p w:rsidR="00AF2245" w:rsidRPr="0097287A" w:rsidRDefault="005E6F25" w:rsidP="004F7EAB">
      <w:pPr>
        <w:pStyle w:val="FirstParagraph"/>
        <w:spacing w:before="0" w:after="0"/>
        <w:jc w:val="both"/>
        <w:rPr>
          <w:rFonts w:ascii="Times New Roman" w:hAnsi="Times New Roman" w:cs="Times New Roman"/>
        </w:rPr>
      </w:pPr>
      <w:r w:rsidRPr="0097287A">
        <w:rPr>
          <w:rFonts w:ascii="Times New Roman" w:hAnsi="Times New Roman" w:cs="Times New Roman"/>
        </w:rPr>
        <w:t xml:space="preserve">The core model components of workload complexity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delayed rework burdens </w:t>
      </w:r>
      <m:oMath>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and adjournment durations </w:t>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are statistically modeled using heavy-tailed distributions.</w:t>
      </w:r>
    </w:p>
    <w:p w:rsidR="00AF2245" w:rsidRPr="0097287A" w:rsidRDefault="005E6F25" w:rsidP="004F7EAB">
      <w:pPr>
        <w:numPr>
          <w:ilvl w:val="0"/>
          <w:numId w:val="9"/>
        </w:numPr>
        <w:spacing w:after="0"/>
        <w:jc w:val="both"/>
        <w:rPr>
          <w:rFonts w:ascii="Times New Roman" w:hAnsi="Times New Roman" w:cs="Times New Roman"/>
        </w:rPr>
      </w:pPr>
      <w:r w:rsidRPr="0097287A">
        <w:rPr>
          <w:rFonts w:ascii="Times New Roman" w:hAnsi="Times New Roman" w:cs="Times New Roman"/>
          <w:b/>
          <w:bCs/>
        </w:rPr>
        <w:t>Maximum Likelihood Estimation (MLE)</w:t>
      </w:r>
      <w:r w:rsidRPr="0097287A">
        <w:rPr>
          <w:rFonts w:ascii="Times New Roman" w:hAnsi="Times New Roman" w:cs="Times New Roman"/>
        </w:rPr>
        <w:t xml:space="preserve">: Candidate distributions such as </w:t>
      </w:r>
      <w:proofErr w:type="gramStart"/>
      <w:r w:rsidRPr="0097287A">
        <w:rPr>
          <w:rFonts w:ascii="Times New Roman" w:hAnsi="Times New Roman" w:cs="Times New Roman"/>
        </w:rPr>
        <w:t>Pareto(</w:t>
      </w:r>
      <w:proofErr w:type="gramEnd"/>
      <m:oMath>
        <m:r>
          <w:rPr>
            <w:rFonts w:ascii="Cambria Math" w:hAnsi="Cambria Math" w:cs="Times New Roman"/>
          </w:rPr>
          <m:t>α</m:t>
        </m:r>
      </m:oMath>
      <w:r w:rsidRPr="0097287A">
        <w:rPr>
          <w:rFonts w:ascii="Times New Roman" w:hAnsi="Times New Roman" w:cs="Times New Roman"/>
        </w:rPr>
        <w:t>), Log-Normal(</w:t>
      </w:r>
      <m:oMath>
        <m:r>
          <w:rPr>
            <w:rFonts w:ascii="Cambria Math" w:hAnsi="Cambria Math" w:cs="Times New Roman"/>
          </w:rPr>
          <m:t>μ</m:t>
        </m:r>
        <m:r>
          <m:rPr>
            <m:sty m:val="p"/>
          </m:rPr>
          <w:rPr>
            <w:rFonts w:ascii="Cambria Math" w:hAnsi="Cambria Math" w:cs="Times New Roman"/>
          </w:rPr>
          <m:t>,</m:t>
        </m:r>
        <m:r>
          <w:rPr>
            <w:rFonts w:ascii="Cambria Math" w:hAnsi="Cambria Math" w:cs="Times New Roman"/>
          </w:rPr>
          <m:t>σ</m:t>
        </m:r>
      </m:oMath>
      <w:r w:rsidRPr="0097287A">
        <w:rPr>
          <w:rFonts w:ascii="Times New Roman" w:hAnsi="Times New Roman" w:cs="Times New Roman"/>
        </w:rPr>
        <w:t>), or Weibull(</w:t>
      </w:r>
      <m:oMath>
        <m:r>
          <w:rPr>
            <w:rFonts w:ascii="Cambria Math" w:hAnsi="Cambria Math" w:cs="Times New Roman"/>
          </w:rPr>
          <m:t>k</m:t>
        </m:r>
        <m:r>
          <m:rPr>
            <m:sty m:val="p"/>
          </m:rPr>
          <w:rPr>
            <w:rFonts w:ascii="Cambria Math" w:hAnsi="Cambria Math" w:cs="Times New Roman"/>
          </w:rPr>
          <m:t>,</m:t>
        </m:r>
        <m:r>
          <w:rPr>
            <w:rFonts w:ascii="Cambria Math" w:hAnsi="Cambria Math" w:cs="Times New Roman"/>
          </w:rPr>
          <m:t>λ</m:t>
        </m:r>
      </m:oMath>
      <w:r w:rsidRPr="0097287A">
        <w:rPr>
          <w:rFonts w:ascii="Times New Roman" w:hAnsi="Times New Roman" w:cs="Times New Roman"/>
        </w:rPr>
        <w:t xml:space="preserve">) were fitted to the empirical data. Weibull likelihood for </w:t>
      </w:r>
      <m:oMath>
        <m:r>
          <w:rPr>
            <w:rFonts w:ascii="Cambria Math" w:hAnsi="Cambria Math" w:cs="Times New Roman"/>
          </w:rPr>
          <m:t>n</m:t>
        </m:r>
      </m:oMath>
      <w:r w:rsidRPr="0097287A">
        <w:rPr>
          <w:rFonts w:ascii="Times New Roman" w:hAnsi="Times New Roman" w:cs="Times New Roman"/>
        </w:rPr>
        <w:t xml:space="preserve"> delay observatio</w:t>
      </w:r>
      <w:r w:rsidRPr="0097287A">
        <w:rPr>
          <w:rFonts w:ascii="Times New Roman" w:hAnsi="Times New Roman" w:cs="Times New Roman"/>
        </w:rPr>
        <w:t xml:space="preserve">ns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n</m:t>
            </m:r>
          </m:sub>
        </m:sSub>
      </m:oMath>
      <w:r w:rsidRPr="0097287A">
        <w:rPr>
          <w:rFonts w:ascii="Times New Roman" w:hAnsi="Times New Roman" w:cs="Times New Roman"/>
        </w:rPr>
        <w:t xml:space="preserve"> with shape </w:t>
      </w:r>
      <m:oMath>
        <m:r>
          <w:rPr>
            <w:rFonts w:ascii="Cambria Math" w:hAnsi="Cambria Math" w:cs="Times New Roman"/>
          </w:rPr>
          <m:t>k</m:t>
        </m:r>
      </m:oMath>
      <w:r w:rsidRPr="0097287A">
        <w:rPr>
          <w:rFonts w:ascii="Times New Roman" w:hAnsi="Times New Roman" w:cs="Times New Roman"/>
        </w:rPr>
        <w:t xml:space="preserve"> and scale </w:t>
      </w:r>
      <m:oMath>
        <m:r>
          <w:rPr>
            <w:rFonts w:ascii="Cambria Math" w:hAnsi="Cambria Math" w:cs="Times New Roman"/>
          </w:rPr>
          <m:t>λ</m:t>
        </m:r>
      </m:oMath>
      <w:r w:rsidRPr="0097287A">
        <w:rPr>
          <w:rFonts w:ascii="Times New Roman" w:hAnsi="Times New Roman" w:cs="Times New Roman"/>
        </w:rPr>
        <w:t xml:space="preserve"> is defined as:</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f>
                <m:fPr>
                  <m:ctrlPr>
                    <w:rPr>
                      <w:rFonts w:ascii="Cambria Math" w:hAnsi="Cambria Math" w:cs="Times New Roman"/>
                    </w:rPr>
                  </m:ctrlPr>
                </m:fPr>
                <m:num>
                  <m:r>
                    <w:rPr>
                      <w:rFonts w:ascii="Cambria Math" w:hAnsi="Cambria Math" w:cs="Times New Roman"/>
                    </w:rPr>
                    <m:t>k</m:t>
                  </m:r>
                </m:num>
                <m:den>
                  <m:r>
                    <w:rPr>
                      <w:rFonts w:ascii="Cambria Math" w:hAnsi="Cambria Math" w:cs="Times New Roman"/>
                    </w:rPr>
                    <m:t>λ</m:t>
                  </m:r>
                </m:den>
              </m:f>
            </m:e>
          </m:nary>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num>
                    <m:den>
                      <m:r>
                        <w:rPr>
                          <w:rFonts w:ascii="Cambria Math" w:hAnsi="Cambria Math" w:cs="Times New Roman"/>
                        </w:rPr>
                        <m:t>λ</m:t>
                      </m:r>
                    </m:den>
                  </m:f>
                </m:e>
              </m:d>
            </m:e>
            <m:sup>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exp</m:t>
          </m:r>
          <m:d>
            <m:dPr>
              <m:begChr m:val="["/>
              <m:endChr m:val="]"/>
              <m:ctrlPr>
                <w:rPr>
                  <w:rFonts w:ascii="Cambria Math" w:hAnsi="Cambria Math" w:cs="Times New Roman"/>
                </w:rPr>
              </m:ctrlPr>
            </m:dPr>
            <m:e>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num>
                        <m:den>
                          <m:r>
                            <w:rPr>
                              <w:rFonts w:ascii="Cambria Math" w:hAnsi="Cambria Math" w:cs="Times New Roman"/>
                            </w:rPr>
                            <m:t>λ</m:t>
                          </m:r>
                        </m:den>
                      </m:f>
                    </m:e>
                  </m:d>
                </m:e>
                <m:sup>
                  <m:r>
                    <w:rPr>
                      <w:rFonts w:ascii="Cambria Math" w:hAnsi="Cambria Math" w:cs="Times New Roman"/>
                    </w:rPr>
                    <m:t>k</m:t>
                  </m:r>
                </m:sup>
              </m:sSup>
            </m:e>
          </m:d>
          <m:r>
            <m:rPr>
              <m:sty m:val="p"/>
            </m:rPr>
            <w:rPr>
              <w:rFonts w:ascii="Cambria Math" w:hAnsi="Cambria Math" w:cs="Times New Roman"/>
            </w:rPr>
            <m:t>.</m:t>
          </m:r>
        </m:oMath>
      </m:oMathPara>
    </w:p>
    <w:p w:rsidR="00AF2245" w:rsidRDefault="005E6F25" w:rsidP="0097287A">
      <w:pPr>
        <w:numPr>
          <w:ilvl w:val="0"/>
          <w:numId w:val="1"/>
        </w:numPr>
        <w:spacing w:after="0"/>
        <w:jc w:val="both"/>
        <w:rPr>
          <w:rFonts w:ascii="Times New Roman" w:hAnsi="Times New Roman" w:cs="Times New Roman"/>
        </w:rPr>
      </w:pPr>
      <w:r w:rsidRPr="0097287A">
        <w:rPr>
          <w:rFonts w:ascii="Times New Roman" w:hAnsi="Times New Roman" w:cs="Times New Roman"/>
        </w:rPr>
        <w:t>Numerical optimization was applied to maximize the log-likelihood, providing the parameter estimates necessary for backlog probability computation.</w:t>
      </w:r>
    </w:p>
    <w:p w:rsidR="004F7EAB" w:rsidRPr="0097287A" w:rsidRDefault="004F7EAB" w:rsidP="0097287A">
      <w:pPr>
        <w:numPr>
          <w:ilvl w:val="0"/>
          <w:numId w:val="1"/>
        </w:numPr>
        <w:spacing w:after="0"/>
        <w:jc w:val="both"/>
        <w:rPr>
          <w:rFonts w:ascii="Times New Roman" w:hAnsi="Times New Roman" w:cs="Times New Roman"/>
        </w:rPr>
      </w:pPr>
    </w:p>
    <w:p w:rsidR="00AF2245" w:rsidRPr="0097287A" w:rsidRDefault="005E6F25" w:rsidP="004F7EAB">
      <w:pPr>
        <w:numPr>
          <w:ilvl w:val="0"/>
          <w:numId w:val="9"/>
        </w:numPr>
        <w:spacing w:after="0"/>
        <w:jc w:val="both"/>
        <w:rPr>
          <w:rFonts w:ascii="Times New Roman" w:hAnsi="Times New Roman" w:cs="Times New Roman"/>
        </w:rPr>
      </w:pPr>
      <w:r w:rsidRPr="0097287A">
        <w:rPr>
          <w:rFonts w:ascii="Times New Roman" w:hAnsi="Times New Roman" w:cs="Times New Roman"/>
          <w:b/>
          <w:bCs/>
        </w:rPr>
        <w:t>Goodnes</w:t>
      </w:r>
      <w:r w:rsidRPr="0097287A">
        <w:rPr>
          <w:rFonts w:ascii="Times New Roman" w:hAnsi="Times New Roman" w:cs="Times New Roman"/>
          <w:b/>
          <w:bCs/>
        </w:rPr>
        <w:t>s-of-Fit Testing: Distributional</w:t>
      </w:r>
      <w:r w:rsidRPr="0097287A">
        <w:rPr>
          <w:rFonts w:ascii="Times New Roman" w:hAnsi="Times New Roman" w:cs="Times New Roman"/>
        </w:rPr>
        <w:t xml:space="preserve"> adequacy was assessed using the Kolmogorov–Smirnov (</w:t>
      </w:r>
      <m:oMath>
        <m:r>
          <w:rPr>
            <w:rFonts w:ascii="Cambria Math" w:hAnsi="Cambria Math" w:cs="Times New Roman"/>
          </w:rPr>
          <m:t>D</m:t>
        </m:r>
      </m:oMath>
      <w:r w:rsidRPr="0097287A">
        <w:rPr>
          <w:rFonts w:ascii="Times New Roman" w:hAnsi="Times New Roman" w:cs="Times New Roman"/>
        </w:rPr>
        <w:t>) and Anderson-Darling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rPr>
        <w:t>) statistics. These statistics are calculated as:</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eqArr>
            <m:eqArrPr>
              <m:ctrlPr>
                <w:rPr>
                  <w:rFonts w:ascii="Cambria Math" w:hAnsi="Cambria Math" w:cs="Times New Roman"/>
                </w:rPr>
              </m:ctrlPr>
            </m:eqArrPr>
            <m:e>
              <m:r>
                <w:rPr>
                  <w:rFonts w:ascii="Cambria Math" w:hAnsi="Cambria Math" w:cs="Times New Roman"/>
                </w:rPr>
                <m:t>D</m:t>
              </m:r>
              <m:r>
                <w:rPr>
                  <w:rFonts w:ascii="Cambria Math" w:hAnsi="Cambria Math" w:cs="Times New Roman"/>
                </w:rPr>
                <m:t>&amp;</m:t>
              </m:r>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sup</m:t>
                  </m:r>
                </m:e>
                <m:lim>
                  <m:r>
                    <w:rPr>
                      <w:rFonts w:ascii="Cambria Math" w:hAnsi="Cambria Math" w:cs="Times New Roman"/>
                    </w:rPr>
                    <m:t>x</m:t>
                  </m:r>
                </m:lim>
              </m:limLow>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n</m:t>
                      </m:r>
                    </m:sub>
                  </m:sSub>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e>
              </m:d>
              <m:r>
                <m:rPr>
                  <m:sty m:val="p"/>
                </m:rPr>
                <w:rPr>
                  <w:rFonts w:ascii="Cambria Math" w:hAnsi="Cambria Math" w:cs="Times New Roman"/>
                </w:rPr>
                <m:t>,</m:t>
              </m:r>
            </m:e>
            <m:e>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&amp;</m:t>
              </m:r>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d>
                    <m:dPr>
                      <m:begChr m:val="["/>
                      <m:endChr m:val="]"/>
                      <m:ctrlPr>
                        <w:rPr>
                          <w:rFonts w:ascii="Cambria Math" w:hAnsi="Cambria Math" w:cs="Times New Roman"/>
                        </w:rPr>
                      </m:ctrlPr>
                    </m:dPr>
                    <m:e>
                      <m:r>
                        <m:rPr>
                          <m:sty m:val="p"/>
                        </m:rPr>
                        <w:rPr>
                          <w:rFonts w:ascii="Cambria Math" w:hAnsi="Cambria Math" w:cs="Times New Roman"/>
                        </w:rPr>
                        <m:t>(</m:t>
                      </m:r>
                      <m:r>
                        <w:rPr>
                          <w:rFonts w:ascii="Cambria Math" w:hAnsi="Cambria Math" w:cs="Times New Roman"/>
                        </w:rPr>
                        <m:t>2</m:t>
                      </m:r>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)ln</m:t>
                      </m:r>
                      <m: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2</m:t>
                      </m:r>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w:rPr>
                          <w:rFonts w:ascii="Cambria Math" w:hAnsi="Cambria Math" w:cs="Times New Roman"/>
                        </w:rPr>
                        <m:t>i</m:t>
                      </m:r>
                      <m:r>
                        <m:rPr>
                          <m:sty m:val="p"/>
                        </m:rPr>
                        <w:rPr>
                          <w:rFonts w:ascii="Cambria Math" w:hAnsi="Cambria Math" w:cs="Times New Roman"/>
                        </w:rPr>
                        <m:t>)ln(</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r>
                        <m:rPr>
                          <m:sty m:val="p"/>
                        </m:rPr>
                        <w:rPr>
                          <w:rFonts w:ascii="Cambria Math" w:hAnsi="Cambria Math" w:cs="Times New Roman"/>
                        </w:rPr>
                        <m:t>))</m:t>
                      </m:r>
                    </m:e>
                  </m:d>
                </m:e>
              </m:nary>
              <m:r>
                <m:rPr>
                  <m:sty m:val="p"/>
                </m:rPr>
                <w:rPr>
                  <w:rFonts w:ascii="Cambria Math" w:hAnsi="Cambria Math" w:cs="Times New Roman"/>
                </w:rPr>
                <m:t>.</m:t>
              </m:r>
            </m:e>
          </m:eqArr>
        </m:oMath>
      </m:oMathPara>
    </w:p>
    <w:p w:rsidR="00AF2245" w:rsidRDefault="005E6F25" w:rsidP="0097287A">
      <w:pPr>
        <w:numPr>
          <w:ilvl w:val="0"/>
          <w:numId w:val="1"/>
        </w:numPr>
        <w:spacing w:after="0"/>
        <w:jc w:val="both"/>
        <w:rPr>
          <w:rFonts w:ascii="Times New Roman" w:hAnsi="Times New Roman" w:cs="Times New Roman"/>
        </w:rPr>
      </w:pPr>
      <w:r w:rsidRPr="0097287A">
        <w:rPr>
          <w:rFonts w:ascii="Times New Roman" w:hAnsi="Times New Roman" w:cs="Times New Roman"/>
        </w:rPr>
        <w:t xml:space="preserve">This dual-test approach ensures that the fitted models capture both the central tendency (via </w:t>
      </w:r>
      <m:oMath>
        <m:r>
          <w:rPr>
            <w:rFonts w:ascii="Cambria Math" w:hAnsi="Cambria Math" w:cs="Times New Roman"/>
          </w:rPr>
          <m:t>D</m:t>
        </m:r>
      </m:oMath>
      <w:r w:rsidRPr="0097287A">
        <w:rPr>
          <w:rFonts w:ascii="Times New Roman" w:hAnsi="Times New Roman" w:cs="Times New Roman"/>
        </w:rPr>
        <w:t xml:space="preserve">) and the extreme tail behavior (via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rPr>
        <w:t>) critical for backlog risk analysis.</w:t>
      </w:r>
    </w:p>
    <w:p w:rsidR="004F7EAB" w:rsidRPr="0097287A" w:rsidRDefault="004F7EAB" w:rsidP="0097287A">
      <w:pPr>
        <w:numPr>
          <w:ilvl w:val="0"/>
          <w:numId w:val="1"/>
        </w:numPr>
        <w:spacing w:after="0"/>
        <w:jc w:val="both"/>
        <w:rPr>
          <w:rFonts w:ascii="Times New Roman" w:hAnsi="Times New Roman" w:cs="Times New Roman"/>
        </w:rPr>
      </w:pPr>
    </w:p>
    <w:p w:rsidR="00AF2245" w:rsidRPr="0097287A" w:rsidRDefault="005E6F25" w:rsidP="004F7EAB">
      <w:pPr>
        <w:numPr>
          <w:ilvl w:val="0"/>
          <w:numId w:val="9"/>
        </w:numPr>
        <w:spacing w:after="0"/>
        <w:jc w:val="both"/>
        <w:rPr>
          <w:rFonts w:ascii="Times New Roman" w:hAnsi="Times New Roman" w:cs="Times New Roman"/>
        </w:rPr>
      </w:pPr>
      <w:r w:rsidRPr="0097287A">
        <w:rPr>
          <w:rFonts w:ascii="Times New Roman" w:hAnsi="Times New Roman" w:cs="Times New Roman"/>
          <w:b/>
          <w:bCs/>
        </w:rPr>
        <w:lastRenderedPageBreak/>
        <w:t>Tail Index Estimation:</w:t>
      </w:r>
      <w:r w:rsidRPr="0097287A">
        <w:rPr>
          <w:rFonts w:ascii="Times New Roman" w:hAnsi="Times New Roman" w:cs="Times New Roman"/>
        </w:rPr>
        <w:t xml:space="preserve"> For subexponential distributions, the Hill Estimator was u</w:t>
      </w:r>
      <w:r w:rsidRPr="0097287A">
        <w:rPr>
          <w:rFonts w:ascii="Times New Roman" w:hAnsi="Times New Roman" w:cs="Times New Roman"/>
        </w:rPr>
        <w:t xml:space="preserve">sed to quantify the thickness of the tail </w:t>
      </w:r>
      <m:oMath>
        <m:r>
          <w:rPr>
            <w:rFonts w:ascii="Cambria Math" w:hAnsi="Cambria Math" w:cs="Times New Roman"/>
          </w:rPr>
          <m:t>α</m:t>
        </m:r>
      </m:oMath>
      <w:r w:rsidRPr="0097287A">
        <w:rPr>
          <w:rFonts w:ascii="Times New Roman" w:hAnsi="Times New Roman" w:cs="Times New Roman"/>
        </w:rPr>
        <w:t xml:space="preserve">, which quantifies the heaviness of the distribution tails and is a critical input for asymptotic backlog risk analysis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Sub>
      </m:oMath>
      <w:r w:rsidRPr="0097287A">
        <w:rPr>
          <w:rFonts w:ascii="Times New Roman" w:hAnsi="Times New Roman" w:cs="Times New Roman"/>
        </w:rPr>
        <w:t>:</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acc>
            <m:accPr>
              <m:ctrlPr>
                <w:rPr>
                  <w:rFonts w:ascii="Cambria Math" w:hAnsi="Cambria Math" w:cs="Times New Roman"/>
                </w:rPr>
              </m:ctrlPr>
            </m:accPr>
            <m:e>
              <m:r>
                <w:rPr>
                  <w:rFonts w:ascii="Cambria Math" w:hAnsi="Cambria Math" w:cs="Times New Roman"/>
                </w:rPr>
                <m:t>α</m:t>
              </m:r>
            </m:e>
          </m:acc>
          <m:r>
            <m:rPr>
              <m:sty m:val="p"/>
            </m:rP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k</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k</m:t>
                      </m:r>
                    </m:sup>
                    <m:e>
                      <m:r>
                        <m:rPr>
                          <m:sty m:val="p"/>
                        </m:rPr>
                        <w:rPr>
                          <w:rFonts w:ascii="Cambria Math" w:hAnsi="Cambria Math" w:cs="Times New Roman"/>
                        </w:rPr>
                        <m:t>ln</m:t>
                      </m:r>
                    </m:e>
                  </m:nary>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Sub>
                    </m:den>
                  </m:f>
                </m:e>
              </m:d>
            </m:e>
            <m:sup>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oMath>
      </m:oMathPara>
    </w:p>
    <w:p w:rsidR="00AF2245" w:rsidRDefault="005E6F25" w:rsidP="0097287A">
      <w:pPr>
        <w:numPr>
          <w:ilvl w:val="0"/>
          <w:numId w:val="1"/>
        </w:numPr>
        <w:spacing w:after="0"/>
        <w:jc w:val="both"/>
        <w:rPr>
          <w:rFonts w:ascii="Times New Roman" w:hAnsi="Times New Roman" w:cs="Times New Roman"/>
        </w:rPr>
      </w:pPr>
      <w:r w:rsidRPr="0097287A">
        <w:rPr>
          <w:rFonts w:ascii="Times New Roman" w:hAnsi="Times New Roman" w:cs="Times New Roman"/>
        </w:rPr>
        <w:t xml:space="preserve">typically using the upper 5% of observations to </w:t>
      </w:r>
      <w:r w:rsidRPr="0097287A">
        <w:rPr>
          <w:rFonts w:ascii="Times New Roman" w:hAnsi="Times New Roman" w:cs="Times New Roman"/>
        </w:rPr>
        <w:t>balance bias and variance. The Hill estimator is adopted as the primary tail index estimator because judicial workload distributions are unlikely to conform to a pure Pareto form across the full range of observations; when the body of the distribution depa</w:t>
      </w:r>
      <w:r w:rsidRPr="0097287A">
        <w:rPr>
          <w:rFonts w:ascii="Times New Roman" w:hAnsi="Times New Roman" w:cs="Times New Roman"/>
        </w:rPr>
        <w:t>rts from Pareto, as is common in mixed-origin administrative data, Hill has been shown to yield lower bias in the tail region than MLE-based alternatives (Beirlant et al. 2004). MLE estimates are retained for distributional fitting in items (i) and (ii) ab</w:t>
      </w:r>
      <w:r w:rsidRPr="0097287A">
        <w:rPr>
          <w:rFonts w:ascii="Times New Roman" w:hAnsi="Times New Roman" w:cs="Times New Roman"/>
        </w:rPr>
        <w:t>ove, but tail index quantification relies exclusively on the Hill estimator.</w:t>
      </w:r>
    </w:p>
    <w:p w:rsidR="004F7EAB" w:rsidRPr="0097287A" w:rsidRDefault="004F7EAB" w:rsidP="0097287A">
      <w:pPr>
        <w:numPr>
          <w:ilvl w:val="0"/>
          <w:numId w:val="1"/>
        </w:numPr>
        <w:spacing w:after="0"/>
        <w:jc w:val="both"/>
        <w:rPr>
          <w:rFonts w:ascii="Times New Roman" w:hAnsi="Times New Roman" w:cs="Times New Roman"/>
        </w:rPr>
      </w:pPr>
    </w:p>
    <w:p w:rsidR="00AF2245" w:rsidRPr="004F7EAB" w:rsidRDefault="005E6F25" w:rsidP="004F7EAB">
      <w:pPr>
        <w:pStyle w:val="Heading3"/>
        <w:numPr>
          <w:ilvl w:val="0"/>
          <w:numId w:val="0"/>
        </w:numPr>
        <w:spacing w:before="0" w:after="0"/>
        <w:ind w:left="720" w:hanging="720"/>
        <w:jc w:val="both"/>
        <w:rPr>
          <w:rFonts w:ascii="Times New Roman" w:hAnsi="Times New Roman" w:cs="Times New Roman"/>
          <w:b/>
          <w:bCs/>
          <w:sz w:val="24"/>
          <w:szCs w:val="24"/>
        </w:rPr>
      </w:pPr>
      <w:bookmarkStart w:id="21" w:name="subsec:asymptotic-analysis"/>
      <w:bookmarkEnd w:id="20"/>
      <w:r w:rsidRPr="004F7EAB">
        <w:rPr>
          <w:rFonts w:ascii="Times New Roman" w:hAnsi="Times New Roman" w:cs="Times New Roman"/>
          <w:b/>
          <w:bCs/>
          <w:sz w:val="24"/>
          <w:szCs w:val="24"/>
        </w:rPr>
        <w:t>Asymptotic Analysis</w:t>
      </w:r>
    </w:p>
    <w:p w:rsidR="004F7EAB" w:rsidRPr="004F7EAB" w:rsidRDefault="004F7EAB" w:rsidP="004F7EAB">
      <w:pPr>
        <w:pStyle w:val="BodyText"/>
        <w:spacing w:before="0" w:after="0"/>
      </w:pPr>
    </w:p>
    <w:p w:rsidR="00AF2245" w:rsidRPr="0097287A" w:rsidRDefault="005E6F25" w:rsidP="004F7EAB">
      <w:pPr>
        <w:pStyle w:val="FirstParagraph"/>
        <w:spacing w:before="0" w:after="0"/>
        <w:jc w:val="both"/>
        <w:rPr>
          <w:rFonts w:ascii="Times New Roman" w:hAnsi="Times New Roman" w:cs="Times New Roman"/>
        </w:rPr>
      </w:pPr>
      <w:r w:rsidRPr="0097287A">
        <w:rPr>
          <w:rFonts w:ascii="Times New Roman" w:hAnsi="Times New Roman" w:cs="Times New Roman"/>
        </w:rPr>
        <w:t xml:space="preserve">To derive interpretable expressions for backlog risk under heavy-tailed dynamics, the study applied asymptotic and large deviations techniques. When workloads follow subexponential distributions, the backlog probability </w:t>
      </w: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xml:space="preserve"> exhibits power-law decay:</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m:oMathPara>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rPr>
        <w:t xml:space="preserve"> is the tail index and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is a constant depending on model parameters. This expression provides theoretical benchmarks for extreme backlog risk without exhaustive simulation. The explicit form of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in </w:t>
      </w:r>
      <w:r w:rsidRPr="0097287A">
        <w:rPr>
          <w:rFonts w:ascii="Times New Roman" w:hAnsi="Times New Roman" w:cs="Times New Roman"/>
        </w:rPr>
        <w:t>terms of the model parameters is established in the following proposition.</w:t>
      </w:r>
    </w:p>
    <w:p w:rsidR="00AF2245" w:rsidRPr="0097287A" w:rsidRDefault="005E6F25" w:rsidP="0097287A">
      <w:pPr>
        <w:pStyle w:val="BodyText"/>
        <w:spacing w:after="0"/>
        <w:jc w:val="both"/>
        <w:rPr>
          <w:rFonts w:ascii="Times New Roman" w:hAnsi="Times New Roman" w:cs="Times New Roman"/>
        </w:rPr>
      </w:pPr>
      <w:bookmarkStart w:id="22" w:name="prop:ckappa"/>
      <w:r w:rsidRPr="0097287A">
        <w:rPr>
          <w:rFonts w:ascii="Times New Roman" w:hAnsi="Times New Roman" w:cs="Times New Roman"/>
          <w:b/>
          <w:bCs/>
        </w:rPr>
        <w:t>Proposition 9</w:t>
      </w:r>
      <w:r w:rsidRPr="0097287A">
        <w:rPr>
          <w:rFonts w:ascii="Times New Roman" w:hAnsi="Times New Roman" w:cs="Times New Roman"/>
        </w:rPr>
        <w:t xml:space="preserve"> (Asymptotic constant).  </w:t>
      </w:r>
      <w:r w:rsidRPr="0097287A">
        <w:rPr>
          <w:rFonts w:ascii="Times New Roman" w:hAnsi="Times New Roman" w:cs="Times New Roman"/>
          <w:i/>
          <w:iCs/>
        </w:rPr>
        <w:t>Let Assumption </w:t>
      </w:r>
      <w:hyperlink w:anchor="ass:case_arrival">
        <w:r w:rsidRPr="0097287A">
          <w:rPr>
            <w:rStyle w:val="Hyperlink"/>
            <w:rFonts w:ascii="Times New Roman" w:hAnsi="Times New Roman" w:cs="Times New Roman"/>
            <w:i/>
            <w:iCs/>
          </w:rPr>
          <w:t>1</w:t>
        </w:r>
      </w:hyperlink>
      <w:r w:rsidRPr="0097287A">
        <w:rPr>
          <w:rFonts w:ascii="Times New Roman" w:hAnsi="Times New Roman" w:cs="Times New Roman"/>
          <w:i/>
          <w:iCs/>
        </w:rPr>
        <w:t xml:space="preserve"> -  </w:t>
      </w:r>
      <w:hyperlink w:anchor="ass:independence">
        <w:r w:rsidRPr="0097287A">
          <w:rPr>
            <w:rStyle w:val="Hyperlink"/>
            <w:rFonts w:ascii="Times New Roman" w:hAnsi="Times New Roman" w:cs="Times New Roman"/>
            <w:i/>
            <w:iCs/>
          </w:rPr>
          <w:t>6</w:t>
        </w:r>
      </w:hyperlink>
      <w:r w:rsidRPr="0097287A">
        <w:rPr>
          <w:rFonts w:ascii="Times New Roman" w:hAnsi="Times New Roman" w:cs="Times New Roman"/>
          <w:i/>
          <w:iCs/>
        </w:rPr>
        <w:t xml:space="preserve"> hold, suppose </w:t>
      </w:r>
      <m:oMath>
        <m:r>
          <m:rPr>
            <m:scr m:val="double-struck"/>
            <m:sty m:val="p"/>
          </m:rPr>
          <w:rPr>
            <w:rFonts w:ascii="Cambria Math" w:hAnsi="Cambria Math" w:cs="Times New Roman"/>
          </w:rPr>
          <m:t>P</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&gt;</m:t>
        </m:r>
        <m:r>
          <w:rPr>
            <w:rFonts w:ascii="Cambria Math" w:hAnsi="Cambria Math" w:cs="Times New Roman"/>
          </w:rPr>
          <m:t>x</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κ</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oMath>
      <w:r w:rsidRPr="0097287A">
        <w:rPr>
          <w:rFonts w:ascii="Times New Roman" w:hAnsi="Times New Roman" w:cs="Times New Roman"/>
          <w:i/>
          <w:iCs/>
        </w:rPr>
        <w:t xml:space="preserve"> with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i/>
          <w:iCs/>
        </w:rPr>
        <w:t xml:space="preserve">, and define the net profit loading: </w:t>
      </w: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κ</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num>
          <m:den>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w:rPr>
                <w:rFonts w:ascii="Cambria Math" w:hAnsi="Cambria Math" w:cs="Times New Roman"/>
              </w:rPr>
              <m:t>​</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X</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μ</m:t>
                    </m:r>
                  </m:e>
                  <m:sub>
                    <m:r>
                      <w:rPr>
                        <w:rFonts w:ascii="Cambria Math" w:hAnsi="Cambria Math" w:cs="Times New Roman"/>
                      </w:rPr>
                      <m:t>Y</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e>
            </m:d>
          </m:den>
        </m:f>
        <m:r>
          <m:rPr>
            <m:sty m:val="p"/>
          </m:rPr>
          <w:rPr>
            <w:rFonts w:ascii="Cambria Math" w:hAnsi="Cambria Math" w:cs="Times New Roman"/>
          </w:rPr>
          <m:t>-</m:t>
        </m:r>
        <m:r>
          <w:rPr>
            <w:rFonts w:ascii="Cambria Math" w:hAnsi="Cambria Math" w:cs="Times New Roman"/>
          </w:rPr>
          <m:t>1 </m:t>
        </m:r>
        <m:r>
          <m:rPr>
            <m:sty m:val="p"/>
          </m:rPr>
          <w:rPr>
            <w:rFonts w:ascii="Cambria Math" w:hAnsi="Cambria Math" w:cs="Times New Roman"/>
          </w:rPr>
          <m:t>&gt;</m:t>
        </m:r>
        <m:r>
          <w:rPr>
            <w:rFonts w:ascii="Cambria Math" w:hAnsi="Cambria Math" w:cs="Times New Roman"/>
          </w:rPr>
          <m:t> </m:t>
        </m:r>
        <m:r>
          <w:rPr>
            <w:rFonts w:ascii="Cambria Math" w:hAnsi="Cambria Math" w:cs="Times New Roman"/>
          </w:rPr>
          <m:t>0</m:t>
        </m:r>
        <m:r>
          <m:rPr>
            <m:sty m:val="p"/>
          </m:rPr>
          <w:rPr>
            <w:rFonts w:ascii="Cambria Math" w:hAnsi="Cambria Math" w:cs="Times New Roman"/>
          </w:rPr>
          <m:t>.</m:t>
        </m:r>
      </m:oMath>
      <w:r w:rsidRPr="0097287A">
        <w:rPr>
          <w:rFonts w:ascii="Times New Roman" w:hAnsi="Times New Roman" w:cs="Times New Roman"/>
          <w:i/>
          <w:iCs/>
        </w:rPr>
        <w:t xml:space="preserve"> Then: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κ</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r>
              <m:rPr>
                <m:sty m:val="p"/>
              </m:rPr>
              <w:rPr>
                <w:rFonts w:ascii="Cambria Math" w:hAnsi="Cambria Math" w:cs="Times New Roman"/>
              </w:rPr>
              <m: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κ</m:t>
                </m:r>
              </m:sub>
            </m:sSub>
          </m:den>
        </m:f>
        <m:r>
          <m:rPr>
            <m:sty m:val="p"/>
          </m:rPr>
          <w:rPr>
            <w:rFonts w:ascii="Cambria Math" w:hAnsi="Cambria Math" w:cs="Times New Roman"/>
          </w:rPr>
          <m:t>.</m:t>
        </m:r>
      </m:oMath>
    </w:p>
    <w:bookmarkEnd w:id="22"/>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i/>
          <w:iCs/>
        </w:rPr>
        <w:t>Proof sketch.</w:t>
      </w:r>
      <w:r w:rsidRPr="0097287A">
        <w:rPr>
          <w:rFonts w:ascii="Times New Roman" w:hAnsi="Times New Roman" w:cs="Times New Roman"/>
        </w:rPr>
        <w:t xml:space="preserve"> The total workload per case is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sub>
          <m:sup>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sup>
          <m:e>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e>
        </m:nary>
      </m:oMath>
      <w:r w:rsidRPr="0097287A">
        <w:rPr>
          <w:rFonts w:ascii="Times New Roman" w:hAnsi="Times New Roman" w:cs="Times New Roman"/>
        </w:rPr>
        <w:t xml:space="preserve">, where </w:t>
      </w:r>
      <m:oMath>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∼Geom(</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xml:space="preserve"> </w:t>
      </w:r>
      <w:r w:rsidRPr="0097287A">
        <w:rPr>
          <w:rFonts w:ascii="Times New Roman" w:hAnsi="Times New Roman" w:cs="Times New Roman"/>
        </w:rPr>
        <w:t xml:space="preserve">by Assumption 3. Since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and </w:t>
      </w:r>
      <m:oMath>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oMath>
      <w:r w:rsidRPr="0097287A">
        <w:rPr>
          <w:rFonts w:ascii="Times New Roman" w:hAnsi="Times New Roman" w:cs="Times New Roman"/>
        </w:rPr>
        <w:t xml:space="preserve"> are regularly varying with index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oMath>
      <w:r w:rsidRPr="0097287A">
        <w:rPr>
          <w:rFonts w:ascii="Times New Roman" w:hAnsi="Times New Roman" w:cs="Times New Roman"/>
        </w:rPr>
        <w:t xml:space="preserve">, the compound geometric sum satisfies </w:t>
      </w:r>
      <m:oMath>
        <m:r>
          <m:rPr>
            <m:scr m:val="double-struck"/>
            <m:sty m:val="p"/>
          </m:rPr>
          <w:rPr>
            <w:rFonts w:ascii="Cambria Math" w:hAnsi="Cambria Math" w:cs="Times New Roman"/>
          </w:rPr>
          <m:t>P</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&gt;</m:t>
        </m:r>
        <m:r>
          <w:rPr>
            <w:rFonts w:ascii="Cambria Math" w:hAnsi="Cambria Math" w:cs="Times New Roman"/>
          </w:rPr>
          <m:t>x</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κ</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κ</m:t>
                </m:r>
              </m:sub>
            </m:sSub>
          </m:den>
        </m:f>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oMath>
      <w:r w:rsidRPr="0097287A">
        <w:rPr>
          <w:rFonts w:ascii="Times New Roman" w:hAnsi="Times New Roman" w:cs="Times New Roman"/>
        </w:rPr>
        <w:t xml:space="preserve"> by the regular variation closure property (Embrechts, Klüppelberg, and Mikosch 1997, Theorem 1.3.9). Applying the heavy-traffic ruin asymptotic (Asmussen and Albrecher 2010) yields the result.0</w:t>
      </w:r>
    </w:p>
    <w:p w:rsidR="00AF2245" w:rsidRPr="0097287A" w:rsidRDefault="005E6F25" w:rsidP="0097287A">
      <w:pPr>
        <w:pStyle w:val="BodyText"/>
        <w:spacing w:after="0"/>
        <w:jc w:val="both"/>
        <w:rPr>
          <w:rFonts w:ascii="Times New Roman" w:hAnsi="Times New Roman" w:cs="Times New Roman"/>
        </w:rPr>
      </w:pPr>
      <w:bookmarkStart w:id="23" w:name="rem:alpha_condition"/>
      <w:r w:rsidRPr="0097287A">
        <w:rPr>
          <w:rFonts w:ascii="Times New Roman" w:hAnsi="Times New Roman" w:cs="Times New Roman"/>
          <w:b/>
          <w:bCs/>
        </w:rPr>
        <w:t>Remark 10</w:t>
      </w:r>
      <w:r w:rsidRPr="0097287A">
        <w:rPr>
          <w:rFonts w:ascii="Times New Roman" w:hAnsi="Times New Roman" w:cs="Times New Roman"/>
        </w:rPr>
        <w:t>.  Proposition </w:t>
      </w:r>
      <w:hyperlink w:anchor="prop:ckappa">
        <w:r w:rsidRPr="0097287A">
          <w:rPr>
            <w:rStyle w:val="Hyperlink"/>
            <w:rFonts w:ascii="Times New Roman" w:hAnsi="Times New Roman" w:cs="Times New Roman"/>
          </w:rPr>
          <w:t>9</w:t>
        </w:r>
      </w:hyperlink>
      <w:r w:rsidRPr="0097287A">
        <w:rPr>
          <w:rFonts w:ascii="Times New Roman" w:hAnsi="Times New Roman" w:cs="Times New Roman"/>
        </w:rPr>
        <w:t xml:space="preserve"> r</w:t>
      </w:r>
      <w:r w:rsidRPr="0097287A">
        <w:rPr>
          <w:rFonts w:ascii="Times New Roman" w:hAnsi="Times New Roman" w:cs="Times New Roman"/>
        </w:rPr>
        <w:t xml:space="preserve">equires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rPr>
        <w:t xml:space="preserve">. The Hill estimates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xml:space="preserve"> and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both satisfy this condition, confirming that </w:t>
      </w:r>
      <m:oMath>
        <m:r>
          <m:rPr>
            <m:scr m:val="double-struck"/>
            <m:sty m:val="p"/>
          </m:rPr>
          <w:rPr>
            <w:rFonts w:ascii="Cambria Math" w:hAnsi="Cambria Math" w:cs="Times New Roman"/>
          </w:rPr>
          <m:t>E</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rPr>
        <w:t xml:space="preserve"> is finite in both streams and the asymptotic constant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is well-defined. The civil stream operates near the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wher</w:t>
      </w:r>
      <w:r w:rsidRPr="0097287A">
        <w:rPr>
          <w:rFonts w:ascii="Times New Roman" w:hAnsi="Times New Roman" w:cs="Times New Roman"/>
        </w:rPr>
        <w:t xml:space="preserve">e variance is theoretically near-infinite, making the polynomial decay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an operative empirical estimate for the civil stream. For the criminal stream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all moments finite), the formula provides an analytically groun</w:t>
      </w:r>
      <w:r w:rsidRPr="0097287A">
        <w:rPr>
          <w:rFonts w:ascii="Times New Roman" w:hAnsi="Times New Roman" w:cs="Times New Roman"/>
        </w:rPr>
        <w:t xml:space="preserve">ded stress-testing benchmark. In either case, the qualitative hierarchy of risk drivers, tail heaviness dominant, capacity secondary, arrival intensity tertiary, holds across the full range of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oMath>
      <w:r w:rsidRPr="0097287A">
        <w:rPr>
          <w:rFonts w:ascii="Times New Roman" w:hAnsi="Times New Roman" w:cs="Times New Roman"/>
        </w:rPr>
        <w:t xml:space="preserve"> values considered in Table </w:t>
      </w:r>
      <w:hyperlink w:anchor="tab:hierarchy">
        <w:r w:rsidRPr="0097287A">
          <w:rPr>
            <w:rStyle w:val="Hyperlink"/>
            <w:rFonts w:ascii="Times New Roman" w:hAnsi="Times New Roman" w:cs="Times New Roman"/>
          </w:rPr>
          <w:t>7</w:t>
        </w:r>
      </w:hyperlink>
      <w:r w:rsidRPr="0097287A">
        <w:rPr>
          <w:rFonts w:ascii="Times New Roman" w:hAnsi="Times New Roman" w:cs="Times New Roman"/>
        </w:rPr>
        <w:t>.</w:t>
      </w:r>
    </w:p>
    <w:p w:rsidR="004F7EAB" w:rsidRDefault="004F7EAB" w:rsidP="004F7EAB">
      <w:pPr>
        <w:pStyle w:val="Heading3"/>
        <w:numPr>
          <w:ilvl w:val="0"/>
          <w:numId w:val="0"/>
        </w:numPr>
        <w:spacing w:after="0"/>
        <w:ind w:left="720" w:hanging="720"/>
        <w:jc w:val="both"/>
        <w:rPr>
          <w:rFonts w:ascii="Times New Roman" w:hAnsi="Times New Roman" w:cs="Times New Roman"/>
          <w:sz w:val="24"/>
          <w:szCs w:val="24"/>
        </w:rPr>
      </w:pPr>
      <w:bookmarkStart w:id="24" w:name="scenario-based-simulation"/>
      <w:bookmarkEnd w:id="21"/>
      <w:bookmarkEnd w:id="23"/>
    </w:p>
    <w:p w:rsidR="00AF2245" w:rsidRPr="004F7EAB" w:rsidRDefault="005E6F25" w:rsidP="004F7EAB">
      <w:pPr>
        <w:pStyle w:val="Heading3"/>
        <w:numPr>
          <w:ilvl w:val="0"/>
          <w:numId w:val="0"/>
        </w:numPr>
        <w:spacing w:after="0"/>
        <w:ind w:left="720" w:hanging="720"/>
        <w:jc w:val="both"/>
        <w:rPr>
          <w:rFonts w:ascii="Times New Roman" w:hAnsi="Times New Roman" w:cs="Times New Roman"/>
          <w:b/>
          <w:bCs/>
          <w:sz w:val="24"/>
          <w:szCs w:val="24"/>
        </w:rPr>
      </w:pPr>
      <w:r w:rsidRPr="004F7EAB">
        <w:rPr>
          <w:rFonts w:ascii="Times New Roman" w:hAnsi="Times New Roman" w:cs="Times New Roman"/>
          <w:b/>
          <w:bCs/>
          <w:sz w:val="24"/>
          <w:szCs w:val="24"/>
        </w:rPr>
        <w:t>Scenario-Based Simulation</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Robustness and policy alternatives were evaluated by systematically varying parameters including arrival rates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rPr>
        <w:t xml:space="preserve"> (case filing intensity), processing capacity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(judicial resources), Expected number of delayed proceedings </w:t>
      </w:r>
      <m:oMath>
        <m:r>
          <m:rPr>
            <m:scr m:val="double-struck"/>
            <m:sty m:val="p"/>
          </m:rPr>
          <w:rPr>
            <w:rFonts w:ascii="Cambria Math" w:hAnsi="Cambria Math" w:cs="Times New Roman"/>
          </w:rPr>
          <w:lastRenderedPageBreak/>
          <m:t>E</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rPr>
        <w:t xml:space="preserve"> and Delay distribution parameters and tail indices. The resulting effects on backlog probabilities, case resolution times, and overall system resilience informed recommendations on </w:t>
      </w:r>
      <w:r w:rsidRPr="0097287A">
        <w:rPr>
          <w:rFonts w:ascii="Times New Roman" w:hAnsi="Times New Roman" w:cs="Times New Roman"/>
        </w:rPr>
        <w:t>judicial resource allocation and adjournment practices.</w:t>
      </w:r>
    </w:p>
    <w:p w:rsidR="00AF2245" w:rsidRPr="004F7EAB" w:rsidRDefault="004F7EAB" w:rsidP="004F7EAB">
      <w:pPr>
        <w:pStyle w:val="Heading1"/>
        <w:numPr>
          <w:ilvl w:val="0"/>
          <w:numId w:val="0"/>
        </w:numPr>
        <w:spacing w:after="0"/>
        <w:ind w:left="432" w:hanging="432"/>
        <w:jc w:val="both"/>
        <w:rPr>
          <w:rFonts w:ascii="Times New Roman" w:hAnsi="Times New Roman" w:cs="Times New Roman"/>
          <w:b/>
          <w:bCs/>
          <w:sz w:val="24"/>
          <w:szCs w:val="24"/>
        </w:rPr>
      </w:pPr>
      <w:bookmarkStart w:id="25" w:name="results-findings-and-discussion"/>
      <w:bookmarkEnd w:id="6"/>
      <w:bookmarkEnd w:id="18"/>
      <w:bookmarkEnd w:id="24"/>
      <w:r w:rsidRPr="004F7EAB">
        <w:rPr>
          <w:rFonts w:ascii="Times New Roman" w:hAnsi="Times New Roman" w:cs="Times New Roman"/>
          <w:b/>
          <w:bCs/>
          <w:sz w:val="24"/>
          <w:szCs w:val="24"/>
        </w:rPr>
        <w:t>RESULTS, FINDINGS, AND DISCUSSION</w:t>
      </w:r>
    </w:p>
    <w:p w:rsidR="00AF2245" w:rsidRPr="004F7EAB" w:rsidRDefault="005E6F25" w:rsidP="004F7EAB">
      <w:pPr>
        <w:pStyle w:val="Heading2"/>
        <w:numPr>
          <w:ilvl w:val="0"/>
          <w:numId w:val="0"/>
        </w:numPr>
        <w:spacing w:after="0"/>
        <w:ind w:left="576" w:hanging="576"/>
        <w:jc w:val="both"/>
        <w:rPr>
          <w:rFonts w:ascii="Times New Roman" w:hAnsi="Times New Roman" w:cs="Times New Roman"/>
          <w:b/>
          <w:bCs/>
          <w:sz w:val="24"/>
          <w:szCs w:val="24"/>
        </w:rPr>
      </w:pPr>
      <w:bookmarkStart w:id="26" w:name="resolution-times-and-adjournment-delays"/>
      <w:r w:rsidRPr="004F7EAB">
        <w:rPr>
          <w:rFonts w:ascii="Times New Roman" w:hAnsi="Times New Roman" w:cs="Times New Roman"/>
          <w:b/>
          <w:bCs/>
          <w:sz w:val="24"/>
          <w:szCs w:val="24"/>
        </w:rPr>
        <w:t>Resolution Times and Adjournment Delays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The empirical analysis is based on a comprehensive dataset of over 9.9 million records, consisting 5.4 million criminal and </w:t>
      </w:r>
      <w:r w:rsidRPr="0097287A">
        <w:rPr>
          <w:rFonts w:ascii="Times New Roman" w:hAnsi="Times New Roman" w:cs="Times New Roman"/>
        </w:rPr>
        <w:t>4.4 million civil matters. Criminal cases show a median resolution time of 275 days (mean 471.4), while civil litigation exhibits substantially higher latency with a median of 631 days (mean 966.9). Adjournment delays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act as primary drivers of this </w:t>
      </w:r>
      <w:r w:rsidRPr="0097287A">
        <w:rPr>
          <w:rFonts w:ascii="Times New Roman" w:hAnsi="Times New Roman" w:cs="Times New Roman"/>
        </w:rPr>
        <w:t>inertia. Civil interruptions are notably more protracted and volatile, with a skewness of 4.98 compared to 2.37 in criminal cases. In both streams, extreme outliers, delays reaching up to 1,455 days, underscore a long-tail distribution where infrequent but</w:t>
      </w:r>
      <w:r w:rsidRPr="0097287A">
        <w:rPr>
          <w:rFonts w:ascii="Times New Roman" w:hAnsi="Times New Roman" w:cs="Times New Roman"/>
        </w:rPr>
        <w:t xml:space="preserve"> severe postponements contribute disproportionately to systemic backlog.</w:t>
      </w:r>
    </w:p>
    <w:p w:rsidR="00AF2245" w:rsidRPr="0097287A" w:rsidRDefault="00AF2245" w:rsidP="0097287A">
      <w:pPr>
        <w:pStyle w:val="BodyText"/>
        <w:spacing w:after="0"/>
        <w:jc w:val="both"/>
        <w:rPr>
          <w:rFonts w:ascii="Times New Roman" w:hAnsi="Times New Roman" w:cs="Times New Roman"/>
        </w:rPr>
      </w:pPr>
    </w:p>
    <w:p w:rsidR="00AF2245" w:rsidRPr="0097287A" w:rsidRDefault="005E6F25" w:rsidP="0097287A">
      <w:pPr>
        <w:pStyle w:val="TableCaption"/>
        <w:spacing w:after="0"/>
        <w:jc w:val="both"/>
        <w:rPr>
          <w:rFonts w:ascii="Times New Roman" w:hAnsi="Times New Roman" w:cs="Times New Roman"/>
        </w:rPr>
      </w:pPr>
      <w:bookmarkStart w:id="27" w:name="tab:summary_stats"/>
      <w:r w:rsidRPr="0097287A">
        <w:rPr>
          <w:rFonts w:ascii="Times New Roman" w:hAnsi="Times New Roman" w:cs="Times New Roman"/>
        </w:rPr>
        <w:t>Descriptive Statistics for Criminal and Civil Case Streams</w:t>
      </w:r>
    </w:p>
    <w:tbl>
      <w:tblPr>
        <w:tblStyle w:val="Table"/>
        <w:tblW w:w="5000" w:type="pct"/>
        <w:tblLook w:val="0020" w:firstRow="1" w:lastRow="0" w:firstColumn="0" w:lastColumn="0" w:noHBand="0" w:noVBand="0"/>
        <w:tblCaption w:val="Descriptive Statistics for Criminal and Civil Case Streams"/>
      </w:tblPr>
      <w:tblGrid>
        <w:gridCol w:w="2956"/>
        <w:gridCol w:w="1033"/>
        <w:gridCol w:w="928"/>
        <w:gridCol w:w="1157"/>
        <w:gridCol w:w="912"/>
        <w:gridCol w:w="1033"/>
        <w:gridCol w:w="928"/>
        <w:gridCol w:w="1157"/>
        <w:gridCol w:w="912"/>
      </w:tblGrid>
      <w:tr w:rsidR="00AF2245" w:rsidRPr="0097287A" w:rsidTr="004F7EAB">
        <w:trPr>
          <w:cnfStyle w:val="100000000000" w:firstRow="1" w:lastRow="0" w:firstColumn="0" w:lastColumn="0" w:oddVBand="0" w:evenVBand="0" w:oddHBand="0" w:evenHBand="0" w:firstRowFirstColumn="0" w:firstRowLastColumn="0" w:lastRowFirstColumn="0" w:lastRowLastColumn="0"/>
          <w:tblHeader/>
        </w:trPr>
        <w:tc>
          <w:tcPr>
            <w:tcW w:w="1342" w:type="pct"/>
          </w:tcPr>
          <w:p w:rsidR="00AF2245" w:rsidRPr="0097287A" w:rsidRDefault="00AF2245" w:rsidP="0097287A">
            <w:pPr>
              <w:pStyle w:val="Compact"/>
              <w:spacing w:after="0"/>
              <w:jc w:val="both"/>
              <w:rPr>
                <w:rFonts w:ascii="Times New Roman" w:hAnsi="Times New Roman" w:cs="Times New Roman"/>
              </w:rPr>
            </w:pPr>
          </w:p>
        </w:tc>
        <w:tc>
          <w:tcPr>
            <w:tcW w:w="1829" w:type="pct"/>
            <w:gridSpan w:val="4"/>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b/>
                <w:bCs/>
              </w:rPr>
              <w:t>Criminal Stream</w:t>
            </w:r>
          </w:p>
        </w:tc>
        <w:tc>
          <w:tcPr>
            <w:tcW w:w="1829" w:type="pct"/>
            <w:gridSpan w:val="4"/>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b/>
                <w:bCs/>
              </w:rPr>
              <w:t>Civil Stream</w:t>
            </w:r>
          </w:p>
        </w:tc>
      </w:tr>
      <w:tr w:rsidR="00AF2245" w:rsidRPr="0097287A" w:rsidTr="004F7EAB">
        <w:tc>
          <w:tcPr>
            <w:tcW w:w="134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b/>
                <w:bCs/>
              </w:rPr>
              <w:t>Variable</w:t>
            </w:r>
          </w:p>
        </w:tc>
        <w:tc>
          <w:tcPr>
            <w:tcW w:w="469" w:type="pct"/>
          </w:tcPr>
          <w:p w:rsidR="00AF2245" w:rsidRPr="0097287A" w:rsidRDefault="005E6F25" w:rsidP="0097287A">
            <w:pPr>
              <w:pStyle w:val="Compact"/>
              <w:spacing w:after="0"/>
              <w:jc w:val="both"/>
              <w:rPr>
                <w:rFonts w:ascii="Times New Roman" w:hAnsi="Times New Roman" w:cs="Times New Roman"/>
              </w:rPr>
            </w:pPr>
            <m:oMathPara>
              <m:oMath>
                <m:r>
                  <w:rPr>
                    <w:rFonts w:ascii="Cambria Math" w:hAnsi="Cambria Math" w:cs="Times New Roman"/>
                  </w:rPr>
                  <m:t>N</m:t>
                </m:r>
              </m:oMath>
            </m:oMathPara>
          </w:p>
        </w:tc>
        <w:tc>
          <w:tcPr>
            <w:tcW w:w="4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Mean</w:t>
            </w:r>
          </w:p>
        </w:tc>
        <w:tc>
          <w:tcPr>
            <w:tcW w:w="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Median</w:t>
            </w:r>
          </w:p>
        </w:tc>
        <w:tc>
          <w:tcPr>
            <w:tcW w:w="41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Skew</w:t>
            </w:r>
          </w:p>
        </w:tc>
        <w:tc>
          <w:tcPr>
            <w:tcW w:w="469" w:type="pct"/>
          </w:tcPr>
          <w:p w:rsidR="00AF2245" w:rsidRPr="0097287A" w:rsidRDefault="005E6F25" w:rsidP="0097287A">
            <w:pPr>
              <w:pStyle w:val="Compact"/>
              <w:spacing w:after="0"/>
              <w:jc w:val="both"/>
              <w:rPr>
                <w:rFonts w:ascii="Times New Roman" w:hAnsi="Times New Roman" w:cs="Times New Roman"/>
              </w:rPr>
            </w:pPr>
            <m:oMathPara>
              <m:oMath>
                <m:r>
                  <w:rPr>
                    <w:rFonts w:ascii="Cambria Math" w:hAnsi="Cambria Math" w:cs="Times New Roman"/>
                  </w:rPr>
                  <m:t>N</m:t>
                </m:r>
              </m:oMath>
            </m:oMathPara>
          </w:p>
        </w:tc>
        <w:tc>
          <w:tcPr>
            <w:tcW w:w="4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Mean</w:t>
            </w:r>
          </w:p>
        </w:tc>
        <w:tc>
          <w:tcPr>
            <w:tcW w:w="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Median</w:t>
            </w:r>
          </w:p>
        </w:tc>
        <w:tc>
          <w:tcPr>
            <w:tcW w:w="41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Skew</w:t>
            </w:r>
          </w:p>
        </w:tc>
      </w:tr>
      <w:tr w:rsidR="00AF2245" w:rsidRPr="0097287A" w:rsidTr="004F7EAB">
        <w:tc>
          <w:tcPr>
            <w:tcW w:w="134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Duration (Days)</w:t>
            </w:r>
          </w:p>
        </w:tc>
        <w:tc>
          <w:tcPr>
            <w:tcW w:w="46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3.08M</w:t>
            </w:r>
          </w:p>
        </w:tc>
        <w:tc>
          <w:tcPr>
            <w:tcW w:w="4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471.4</w:t>
            </w:r>
          </w:p>
        </w:tc>
        <w:tc>
          <w:tcPr>
            <w:tcW w:w="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275.0</w:t>
            </w:r>
          </w:p>
        </w:tc>
        <w:tc>
          <w:tcPr>
            <w:tcW w:w="41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2.28</w:t>
            </w:r>
          </w:p>
        </w:tc>
        <w:tc>
          <w:tcPr>
            <w:tcW w:w="46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2.31M</w:t>
            </w:r>
          </w:p>
        </w:tc>
        <w:tc>
          <w:tcPr>
            <w:tcW w:w="4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966.9</w:t>
            </w:r>
          </w:p>
        </w:tc>
        <w:tc>
          <w:tcPr>
            <w:tcW w:w="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631.0</w:t>
            </w:r>
          </w:p>
        </w:tc>
        <w:tc>
          <w:tcPr>
            <w:tcW w:w="41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4.18</w:t>
            </w:r>
          </w:p>
        </w:tc>
      </w:tr>
      <w:tr w:rsidR="00AF2245" w:rsidRPr="0097287A" w:rsidTr="004F7EAB">
        <w:tc>
          <w:tcPr>
            <w:tcW w:w="134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 xml:space="preserve">Delay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(Days)</w:t>
            </w:r>
          </w:p>
        </w:tc>
        <w:tc>
          <w:tcPr>
            <w:tcW w:w="46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0.37M</w:t>
            </w:r>
          </w:p>
        </w:tc>
        <w:tc>
          <w:tcPr>
            <w:tcW w:w="4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52.1</w:t>
            </w:r>
          </w:p>
        </w:tc>
        <w:tc>
          <w:tcPr>
            <w:tcW w:w="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36.0</w:t>
            </w:r>
          </w:p>
        </w:tc>
        <w:tc>
          <w:tcPr>
            <w:tcW w:w="41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2.37</w:t>
            </w:r>
          </w:p>
        </w:tc>
        <w:tc>
          <w:tcPr>
            <w:tcW w:w="46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0.28M</w:t>
            </w:r>
          </w:p>
        </w:tc>
        <w:tc>
          <w:tcPr>
            <w:tcW w:w="4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67.7</w:t>
            </w:r>
          </w:p>
        </w:tc>
        <w:tc>
          <w:tcPr>
            <w:tcW w:w="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49.0</w:t>
            </w:r>
          </w:p>
        </w:tc>
        <w:tc>
          <w:tcPr>
            <w:tcW w:w="41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4.98</w:t>
            </w:r>
          </w:p>
        </w:tc>
      </w:tr>
      <w:tr w:rsidR="00AF2245" w:rsidRPr="0097287A" w:rsidTr="004F7EAB">
        <w:tc>
          <w:tcPr>
            <w:tcW w:w="134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 xml:space="preserve">Workload </w:t>
            </w:r>
            <m:oMath>
              <m:r>
                <w:rPr>
                  <w:rFonts w:ascii="Cambria Math" w:hAnsi="Cambria Math" w:cs="Times New Roman"/>
                </w:rPr>
                <m:t>X</m:t>
              </m:r>
            </m:oMath>
            <w:r w:rsidRPr="0097287A">
              <w:rPr>
                <w:rFonts w:ascii="Times New Roman" w:hAnsi="Times New Roman" w:cs="Times New Roman"/>
              </w:rPr>
              <w:t xml:space="preserve"> (hearings)</w:t>
            </w:r>
          </w:p>
        </w:tc>
        <w:tc>
          <w:tcPr>
            <w:tcW w:w="46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5.47M</w:t>
            </w:r>
          </w:p>
        </w:tc>
        <w:tc>
          <w:tcPr>
            <w:tcW w:w="4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11.7</w:t>
            </w:r>
          </w:p>
        </w:tc>
        <w:tc>
          <w:tcPr>
            <w:tcW w:w="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9.0</w:t>
            </w:r>
          </w:p>
        </w:tc>
        <w:tc>
          <w:tcPr>
            <w:tcW w:w="41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1.89</w:t>
            </w:r>
          </w:p>
        </w:tc>
        <w:tc>
          <w:tcPr>
            <w:tcW w:w="46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4.45M</w:t>
            </w:r>
          </w:p>
        </w:tc>
        <w:tc>
          <w:tcPr>
            <w:tcW w:w="4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10.7</w:t>
            </w:r>
          </w:p>
        </w:tc>
        <w:tc>
          <w:tcPr>
            <w:tcW w:w="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9.0</w:t>
            </w:r>
          </w:p>
        </w:tc>
        <w:tc>
          <w:tcPr>
            <w:tcW w:w="41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1.67</w:t>
            </w:r>
          </w:p>
        </w:tc>
      </w:tr>
    </w:tbl>
    <w:p w:rsidR="004F7EAB" w:rsidRDefault="004F7EAB" w:rsidP="004F7EAB">
      <w:pPr>
        <w:pStyle w:val="Heading3"/>
        <w:numPr>
          <w:ilvl w:val="0"/>
          <w:numId w:val="0"/>
        </w:numPr>
        <w:spacing w:after="0"/>
        <w:ind w:left="720" w:hanging="720"/>
        <w:jc w:val="both"/>
        <w:rPr>
          <w:rFonts w:ascii="Times New Roman" w:hAnsi="Times New Roman" w:cs="Times New Roman"/>
          <w:sz w:val="24"/>
          <w:szCs w:val="24"/>
        </w:rPr>
      </w:pPr>
      <w:bookmarkStart w:id="28" w:name="sec:backlog_trends"/>
      <w:bookmarkEnd w:id="27"/>
    </w:p>
    <w:p w:rsidR="00AF2245" w:rsidRPr="004F7EAB" w:rsidRDefault="005E6F25" w:rsidP="004F7EAB">
      <w:pPr>
        <w:pStyle w:val="Heading3"/>
        <w:numPr>
          <w:ilvl w:val="0"/>
          <w:numId w:val="0"/>
        </w:numPr>
        <w:spacing w:after="0"/>
        <w:ind w:left="720" w:hanging="720"/>
        <w:jc w:val="both"/>
        <w:rPr>
          <w:rFonts w:ascii="Times New Roman" w:hAnsi="Times New Roman" w:cs="Times New Roman"/>
          <w:b/>
          <w:bCs/>
          <w:sz w:val="24"/>
          <w:szCs w:val="24"/>
        </w:rPr>
      </w:pPr>
      <w:r w:rsidRPr="004F7EAB">
        <w:rPr>
          <w:rFonts w:ascii="Times New Roman" w:hAnsi="Times New Roman" w:cs="Times New Roman"/>
          <w:b/>
          <w:bCs/>
          <w:sz w:val="24"/>
          <w:szCs w:val="24"/>
        </w:rPr>
        <w:t>Backlog and Adjournment Trends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Caseloads in Kenya’s Magistrates’ Courts surged from 187,000 in mid-2021 to</w:t>
      </w:r>
      <w:r w:rsidRPr="0097287A">
        <w:rPr>
          <w:rFonts w:ascii="Times New Roman" w:hAnsi="Times New Roman" w:cs="Times New Roman"/>
        </w:rPr>
        <w:t xml:space="preserve"> over 250,000 by 2024. Seasonal dips occur in December but are invariably followed by sharp rebounds, suggesting that reduced court activity defers rather than eliminates pressure. Adjournments remain structurally high, fluctuating between 8,500 and 20,600</w:t>
      </w:r>
      <w:r w:rsidRPr="0097287A">
        <w:rPr>
          <w:rFonts w:ascii="Times New Roman" w:hAnsi="Times New Roman" w:cs="Times New Roman"/>
        </w:rPr>
        <w:t xml:space="preserve"> cases per month; adjournment levels do not decline proportionately with caseload reductions, indicating persistent congestion effects that reinforce the case for a bidimensional stochastic model Figure </w:t>
      </w:r>
      <w:hyperlink w:anchor="fig:backlog_trends">
        <w:r w:rsidRPr="0097287A">
          <w:rPr>
            <w:rStyle w:val="Hyperlink"/>
            <w:rFonts w:ascii="Times New Roman" w:hAnsi="Times New Roman" w:cs="Times New Roman"/>
          </w:rPr>
          <w:t>1</w:t>
        </w:r>
      </w:hyperlink>
      <w:r w:rsidRPr="0097287A">
        <w:rPr>
          <w:rFonts w:ascii="Times New Roman" w:hAnsi="Times New Roman" w:cs="Times New Roman"/>
        </w:rPr>
        <w:t>.</w:t>
      </w:r>
    </w:p>
    <w:p w:rsidR="00AF2245" w:rsidRPr="0097287A" w:rsidRDefault="005E6F25" w:rsidP="0097287A">
      <w:pPr>
        <w:pStyle w:val="CaptionedFigure"/>
        <w:spacing w:after="0"/>
        <w:jc w:val="both"/>
        <w:rPr>
          <w:rFonts w:ascii="Times New Roman" w:hAnsi="Times New Roman" w:cs="Times New Roman"/>
        </w:rPr>
      </w:pPr>
      <w:bookmarkStart w:id="29" w:name="fig:backlog_trends"/>
      <w:r w:rsidRPr="0097287A">
        <w:rPr>
          <w:rFonts w:ascii="Times New Roman" w:hAnsi="Times New Roman" w:cs="Times New Roman"/>
          <w:noProof/>
          <w:lang w:val="en-IN" w:eastAsia="en-IN"/>
        </w:rPr>
        <w:drawing>
          <wp:inline distT="0" distB="0" distL="0" distR="0">
            <wp:extent cx="5067300" cy="225926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1" name="Picture" descr="fig_combined_trends.png"/>
                    <pic:cNvPicPr>
                      <a:picLocks noChangeAspect="1" noChangeArrowheads="1"/>
                    </pic:cNvPicPr>
                  </pic:nvPicPr>
                  <pic:blipFill>
                    <a:blip r:embed="rId9"/>
                    <a:stretch>
                      <a:fillRect/>
                    </a:stretch>
                  </pic:blipFill>
                  <pic:spPr bwMode="auto">
                    <a:xfrm>
                      <a:off x="0" y="0"/>
                      <a:ext cx="5067300" cy="2259260"/>
                    </a:xfrm>
                    <a:prstGeom prst="rect">
                      <a:avLst/>
                    </a:prstGeom>
                    <a:noFill/>
                    <a:ln w="9525">
                      <a:noFill/>
                      <a:headEnd/>
                      <a:tailEnd/>
                    </a:ln>
                  </pic:spPr>
                </pic:pic>
              </a:graphicData>
            </a:graphic>
          </wp:inline>
        </w:drawing>
      </w:r>
    </w:p>
    <w:p w:rsidR="00AF2245" w:rsidRPr="0097287A" w:rsidRDefault="005E6F25" w:rsidP="0097287A">
      <w:pPr>
        <w:pStyle w:val="ImageCaption"/>
        <w:spacing w:after="0"/>
        <w:jc w:val="both"/>
        <w:rPr>
          <w:rFonts w:ascii="Times New Roman" w:hAnsi="Times New Roman" w:cs="Times New Roman"/>
        </w:rPr>
      </w:pPr>
      <w:r w:rsidRPr="0097287A">
        <w:rPr>
          <w:rFonts w:ascii="Times New Roman" w:hAnsi="Times New Roman" w:cs="Times New Roman"/>
        </w:rPr>
        <w:t>Evoluti</w:t>
      </w:r>
      <w:r w:rsidRPr="0097287A">
        <w:rPr>
          <w:rFonts w:ascii="Times New Roman" w:hAnsi="Times New Roman" w:cs="Times New Roman"/>
        </w:rPr>
        <w:t>on of case backlogs (top) and adjournment frequencies (bottom) in Kenya’s Magistrates’ Courts, FY 2020/21–2024/25. Seasonal December dips are consistently followed by sharp rebounds; adjournment levels remain structurally elevated and do not decline propor</w:t>
      </w:r>
      <w:r w:rsidRPr="0097287A">
        <w:rPr>
          <w:rFonts w:ascii="Times New Roman" w:hAnsi="Times New Roman" w:cs="Times New Roman"/>
        </w:rPr>
        <w:t>tionately with caseload reductions</w:t>
      </w:r>
    </w:p>
    <w:p w:rsidR="004F7EAB" w:rsidRDefault="004F7EAB" w:rsidP="004F7EAB">
      <w:pPr>
        <w:pStyle w:val="Heading2"/>
        <w:numPr>
          <w:ilvl w:val="0"/>
          <w:numId w:val="0"/>
        </w:numPr>
        <w:spacing w:after="0"/>
        <w:ind w:left="576" w:hanging="576"/>
        <w:jc w:val="both"/>
        <w:rPr>
          <w:rFonts w:ascii="Times New Roman" w:hAnsi="Times New Roman" w:cs="Times New Roman"/>
          <w:sz w:val="24"/>
          <w:szCs w:val="24"/>
        </w:rPr>
      </w:pPr>
      <w:bookmarkStart w:id="30" w:name="sec:tail_behavior"/>
      <w:bookmarkEnd w:id="26"/>
      <w:bookmarkEnd w:id="28"/>
      <w:bookmarkEnd w:id="29"/>
    </w:p>
    <w:p w:rsidR="00AF2245" w:rsidRPr="004F7EAB" w:rsidRDefault="005E6F25" w:rsidP="004F7EAB">
      <w:pPr>
        <w:pStyle w:val="Heading2"/>
        <w:numPr>
          <w:ilvl w:val="0"/>
          <w:numId w:val="0"/>
        </w:numPr>
        <w:spacing w:after="0"/>
        <w:ind w:left="576" w:hanging="576"/>
        <w:jc w:val="both"/>
        <w:rPr>
          <w:rFonts w:ascii="Times New Roman" w:hAnsi="Times New Roman" w:cs="Times New Roman"/>
          <w:b/>
          <w:bCs/>
          <w:sz w:val="24"/>
          <w:szCs w:val="24"/>
        </w:rPr>
      </w:pPr>
      <w:r w:rsidRPr="004F7EAB">
        <w:rPr>
          <w:rFonts w:ascii="Times New Roman" w:hAnsi="Times New Roman" w:cs="Times New Roman"/>
          <w:b/>
          <w:bCs/>
          <w:sz w:val="24"/>
          <w:szCs w:val="24"/>
        </w:rPr>
        <w:t xml:space="preserve">Tail Behavior and Distributional </w:t>
      </w:r>
      <w:proofErr w:type="spellStart"/>
      <w:r w:rsidRPr="004F7EAB">
        <w:rPr>
          <w:rFonts w:ascii="Times New Roman" w:hAnsi="Times New Roman" w:cs="Times New Roman"/>
          <w:b/>
          <w:bCs/>
          <w:sz w:val="24"/>
          <w:szCs w:val="24"/>
        </w:rPr>
        <w:t>Characterisation</w:t>
      </w:r>
      <w:proofErr w:type="spellEnd"/>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An empirical tail decay analysis of adjournment delays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and workload complexity (</w:t>
      </w:r>
      <m:oMath>
        <m:r>
          <w:rPr>
            <w:rFonts w:ascii="Cambria Math" w:hAnsi="Cambria Math" w:cs="Times New Roman"/>
          </w:rPr>
          <m:t>X</m:t>
        </m:r>
      </m:oMath>
      <w:r w:rsidRPr="0097287A">
        <w:rPr>
          <w:rFonts w:ascii="Times New Roman" w:hAnsi="Times New Roman" w:cs="Times New Roman"/>
        </w:rPr>
        <w:t>) guided the selection of heavy-tailed distributions. Figure </w:t>
      </w:r>
      <w:hyperlink w:anchor="fig:loglog_survival">
        <w:r w:rsidRPr="0097287A">
          <w:rPr>
            <w:rStyle w:val="Hyperlink"/>
            <w:rFonts w:ascii="Times New Roman" w:hAnsi="Times New Roman" w:cs="Times New Roman"/>
          </w:rPr>
          <w:t>2</w:t>
        </w:r>
      </w:hyperlink>
      <w:r w:rsidRPr="0097287A">
        <w:rPr>
          <w:rFonts w:ascii="Times New Roman" w:hAnsi="Times New Roman" w:cs="Times New Roman"/>
        </w:rPr>
        <w:t xml:space="preserve"> plots the log-log empirical survival functions </w:t>
      </w:r>
      <m:oMath>
        <m:acc>
          <m:accPr>
            <m:ctrlPr>
              <w:rPr>
                <w:rFonts w:ascii="Cambria Math" w:hAnsi="Cambria Math" w:cs="Times New Roman"/>
              </w:rPr>
            </m:ctrlPr>
          </m:accPr>
          <m:e>
            <m:r>
              <w:rPr>
                <w:rFonts w:ascii="Cambria Math" w:hAnsi="Cambria Math" w:cs="Times New Roman"/>
              </w:rPr>
              <m:t>P</m:t>
            </m:r>
          </m:e>
        </m:acc>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&gt;</m:t>
        </m:r>
        <m:r>
          <w:rPr>
            <w:rFonts w:ascii="Cambria Math" w:hAnsi="Cambria Math" w:cs="Times New Roman"/>
          </w:rPr>
          <m:t>x</m:t>
        </m:r>
        <m:r>
          <m:rPr>
            <m:sty m:val="p"/>
          </m:rPr>
          <w:rPr>
            <w:rFonts w:ascii="Cambria Math" w:hAnsi="Cambria Math" w:cs="Times New Roman"/>
          </w:rPr>
          <m:t>)</m:t>
        </m:r>
      </m:oMath>
      <w:r w:rsidRPr="0097287A">
        <w:rPr>
          <w:rFonts w:ascii="Times New Roman" w:hAnsi="Times New Roman" w:cs="Times New Roman"/>
        </w:rPr>
        <w:t>.</w:t>
      </w:r>
    </w:p>
    <w:p w:rsidR="00AF2245" w:rsidRPr="0097287A" w:rsidRDefault="005E6F25" w:rsidP="0097287A">
      <w:pPr>
        <w:pStyle w:val="CaptionedFigure"/>
        <w:spacing w:after="0"/>
        <w:jc w:val="both"/>
        <w:rPr>
          <w:rFonts w:ascii="Times New Roman" w:hAnsi="Times New Roman" w:cs="Times New Roman"/>
        </w:rPr>
      </w:pPr>
      <w:bookmarkStart w:id="31" w:name="fig:loglog_survival"/>
      <w:r w:rsidRPr="0097287A">
        <w:rPr>
          <w:rFonts w:ascii="Times New Roman" w:hAnsi="Times New Roman" w:cs="Times New Roman"/>
          <w:noProof/>
          <w:lang w:val="en-IN" w:eastAsia="en-IN"/>
        </w:rPr>
        <w:drawing>
          <wp:inline distT="0" distB="0" distL="0" distR="0">
            <wp:extent cx="5067300" cy="2626856"/>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7" name="Picture" descr="loglog_survival3.png"/>
                    <pic:cNvPicPr>
                      <a:picLocks noChangeAspect="1" noChangeArrowheads="1"/>
                    </pic:cNvPicPr>
                  </pic:nvPicPr>
                  <pic:blipFill>
                    <a:blip r:embed="rId10"/>
                    <a:stretch>
                      <a:fillRect/>
                    </a:stretch>
                  </pic:blipFill>
                  <pic:spPr bwMode="auto">
                    <a:xfrm>
                      <a:off x="0" y="0"/>
                      <a:ext cx="5067300" cy="2626856"/>
                    </a:xfrm>
                    <a:prstGeom prst="rect">
                      <a:avLst/>
                    </a:prstGeom>
                    <a:noFill/>
                    <a:ln w="9525">
                      <a:noFill/>
                      <a:headEnd/>
                      <a:tailEnd/>
                    </a:ln>
                  </pic:spPr>
                </pic:pic>
              </a:graphicData>
            </a:graphic>
          </wp:inline>
        </w:drawing>
      </w:r>
    </w:p>
    <w:p w:rsidR="00AF2245" w:rsidRPr="0097287A" w:rsidRDefault="005E6F25" w:rsidP="0097287A">
      <w:pPr>
        <w:pStyle w:val="ImageCaption"/>
        <w:spacing w:after="0"/>
        <w:jc w:val="both"/>
        <w:rPr>
          <w:rFonts w:ascii="Times New Roman" w:hAnsi="Times New Roman" w:cs="Times New Roman"/>
        </w:rPr>
      </w:pPr>
      <w:r w:rsidRPr="0097287A">
        <w:rPr>
          <w:rFonts w:ascii="Times New Roman" w:hAnsi="Times New Roman" w:cs="Times New Roman"/>
        </w:rPr>
        <w:t xml:space="preserve">Empirical log–log survival functions </w:t>
      </w:r>
      <m:oMath>
        <m:acc>
          <m:accPr>
            <m:ctrlPr>
              <w:rPr>
                <w:rFonts w:ascii="Cambria Math" w:hAnsi="Cambria Math" w:cs="Times New Roman"/>
              </w:rPr>
            </m:ctrlPr>
          </m:accPr>
          <m:e>
            <m:r>
              <w:rPr>
                <w:rFonts w:ascii="Cambria Math" w:hAnsi="Cambria Math" w:cs="Times New Roman"/>
              </w:rPr>
              <m:t>P</m:t>
            </m:r>
          </m:e>
        </m:acc>
        <m:r>
          <w:rPr>
            <w:rFonts w:ascii="Cambria Math" w:hAnsi="Cambria Math" w:cs="Times New Roman"/>
          </w:rPr>
          <m:t>(</m:t>
        </m:r>
        <m:r>
          <w:rPr>
            <w:rFonts w:ascii="Cambria Math" w:hAnsi="Cambria Math" w:cs="Times New Roman"/>
          </w:rPr>
          <m:t>X</m:t>
        </m:r>
        <m:r>
          <w:rPr>
            <w:rFonts w:ascii="Cambria Math" w:hAnsi="Cambria Math" w:cs="Times New Roman"/>
          </w:rPr>
          <m:t>&gt;</m:t>
        </m:r>
        <m:r>
          <w:rPr>
            <w:rFonts w:ascii="Cambria Math" w:hAnsi="Cambria Math" w:cs="Times New Roman"/>
          </w:rPr>
          <m:t>x</m:t>
        </m:r>
        <m:r>
          <w:rPr>
            <w:rFonts w:ascii="Cambria Math" w:hAnsi="Cambria Math" w:cs="Times New Roman"/>
          </w:rPr>
          <m:t>)</m:t>
        </m:r>
      </m:oMath>
      <w:r w:rsidRPr="0097287A">
        <w:rPr>
          <w:rFonts w:ascii="Times New Roman" w:hAnsi="Times New Roman" w:cs="Times New Roman"/>
        </w:rPr>
        <w:t xml:space="preserve"> for adjournment delay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(left, </w:t>
      </w:r>
      <m:oMath>
        <m:r>
          <w:rPr>
            <w:rFonts w:ascii="Cambria Math" w:hAnsi="Cambria Math" w:cs="Times New Roman"/>
          </w:rPr>
          <m:t>n</m:t>
        </m:r>
        <m:r>
          <w:rPr>
            <w:rFonts w:ascii="Cambria Math" w:hAnsi="Cambria Math" w:cs="Times New Roman"/>
          </w:rPr>
          <m:t>=650,687</m:t>
        </m:r>
      </m:oMath>
      <w:r w:rsidRPr="0097287A">
        <w:rPr>
          <w:rFonts w:ascii="Times New Roman" w:hAnsi="Times New Roman" w:cs="Times New Roman"/>
        </w:rPr>
        <w:t xml:space="preserve">) and workload complexity </w:t>
      </w:r>
      <m:oMath>
        <m:r>
          <w:rPr>
            <w:rFonts w:ascii="Cambria Math" w:hAnsi="Cambria Math" w:cs="Times New Roman"/>
          </w:rPr>
          <m:t>X</m:t>
        </m:r>
      </m:oMath>
      <w:r w:rsidRPr="0097287A">
        <w:rPr>
          <w:rFonts w:ascii="Times New Roman" w:hAnsi="Times New Roman" w:cs="Times New Roman"/>
        </w:rPr>
        <w:t xml:space="preserve"> (right, </w:t>
      </w:r>
      <m:oMath>
        <m:r>
          <w:rPr>
            <w:rFonts w:ascii="Cambria Math" w:hAnsi="Cambria Math" w:cs="Times New Roman"/>
          </w:rPr>
          <m:t>n</m:t>
        </m:r>
        <m:r>
          <w:rPr>
            <w:rFonts w:ascii="Cambria Math" w:hAnsi="Cambria Math" w:cs="Times New Roman"/>
          </w:rPr>
          <m:t>=9,921,305</m:t>
        </m:r>
      </m:oMath>
      <w:r w:rsidRPr="0097287A">
        <w:rPr>
          <w:rFonts w:ascii="Times New Roman" w:hAnsi="Times New Roman" w:cs="Times New Roman"/>
        </w:rPr>
        <w:t xml:space="preserve">), stratified </w:t>
      </w:r>
      <w:r w:rsidRPr="0097287A">
        <w:rPr>
          <w:rFonts w:ascii="Times New Roman" w:hAnsi="Times New Roman" w:cs="Times New Roman"/>
        </w:rPr>
        <w:t>by stream. Summary statistics shown inset. The dashed reference line (slope </w:t>
      </w:r>
      <m:oMath>
        <m:r>
          <w:rPr>
            <w:rFonts w:ascii="Cambria Math" w:hAnsi="Cambria Math" w:cs="Times New Roman"/>
          </w:rPr>
          <m:t>-</m:t>
        </m:r>
        <m:r>
          <w:rPr>
            <w:rFonts w:ascii="Cambria Math" w:hAnsi="Cambria Math" w:cs="Times New Roman"/>
          </w:rPr>
          <m:t>1</m:t>
        </m:r>
      </m:oMath>
      <w:r w:rsidRPr="0097287A">
        <w:rPr>
          <w:rFonts w:ascii="Times New Roman" w:hAnsi="Times New Roman" w:cs="Times New Roman"/>
        </w:rPr>
        <w:t xml:space="preserve">) corresponds to a power-law tail with </w:t>
      </w:r>
      <m:oMath>
        <m:r>
          <w:rPr>
            <w:rFonts w:ascii="Cambria Math" w:hAnsi="Cambria Math" w:cs="Times New Roman"/>
          </w:rPr>
          <m:t>α</m:t>
        </m:r>
        <m:r>
          <w:rPr>
            <w:rFonts w:ascii="Cambria Math" w:hAnsi="Cambria Math" w:cs="Times New Roman"/>
          </w:rPr>
          <m:t>=1</m:t>
        </m:r>
      </m:oMath>
      <w:r w:rsidRPr="0097287A">
        <w:rPr>
          <w:rFonts w:ascii="Times New Roman" w:hAnsi="Times New Roman" w:cs="Times New Roman"/>
        </w:rPr>
        <w:t xml:space="preserve">. Both empirical curves are consistently </w:t>
      </w:r>
      <w:r w:rsidRPr="0097287A">
        <w:rPr>
          <w:rFonts w:ascii="Times New Roman" w:hAnsi="Times New Roman" w:cs="Times New Roman"/>
          <w:iCs/>
        </w:rPr>
        <w:t>concave</w:t>
      </w:r>
      <w:r w:rsidRPr="0097287A">
        <w:rPr>
          <w:rFonts w:ascii="Times New Roman" w:hAnsi="Times New Roman" w:cs="Times New Roman"/>
        </w:rPr>
        <w:t xml:space="preserve"> and decay faster than this benchmark, ruling out strict regular variation in the far tail and indicating moderately heavy-tailed behavior consistent with the Pareto (criminal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and Log-Normal (civil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specifications in Table </w:t>
      </w:r>
      <w:hyperlink w:anchor="tab:distribution_results">
        <w:r w:rsidRPr="0097287A">
          <w:rPr>
            <w:rStyle w:val="Hyperlink"/>
            <w:rFonts w:ascii="Times New Roman" w:hAnsi="Times New Roman" w:cs="Times New Roman"/>
          </w:rPr>
          <w:t>[tab:</w:t>
        </w:r>
        <w:r w:rsidR="004F7EAB">
          <w:rPr>
            <w:rStyle w:val="Hyperlink"/>
            <w:rFonts w:ascii="Times New Roman" w:hAnsi="Times New Roman" w:cs="Times New Roman"/>
          </w:rPr>
          <w:t xml:space="preserve"> </w:t>
        </w:r>
        <w:r w:rsidRPr="0097287A">
          <w:rPr>
            <w:rStyle w:val="Hyperlink"/>
            <w:rFonts w:ascii="Times New Roman" w:hAnsi="Times New Roman" w:cs="Times New Roman"/>
          </w:rPr>
          <w:t>distribution</w:t>
        </w:r>
        <w:r w:rsidR="004F7EAB">
          <w:rPr>
            <w:rStyle w:val="Hyperlink"/>
            <w:rFonts w:ascii="Times New Roman" w:hAnsi="Times New Roman" w:cs="Times New Roman"/>
          </w:rPr>
          <w:t xml:space="preserve"> </w:t>
        </w:r>
        <w:r w:rsidRPr="0097287A">
          <w:rPr>
            <w:rStyle w:val="Hyperlink"/>
            <w:rFonts w:ascii="Times New Roman" w:hAnsi="Times New Roman" w:cs="Times New Roman"/>
          </w:rPr>
          <w:t>results]</w:t>
        </w:r>
      </w:hyperlink>
      <w:r w:rsidRPr="0097287A">
        <w:rPr>
          <w:rFonts w:ascii="Times New Roman" w:hAnsi="Times New Roman" w:cs="Times New Roman"/>
        </w:rPr>
        <w:t>. Civil adjournments (orange) maintain higher survival probabilities than criminal (blue) through the mid-range (30–300 days), with adjournments exceeding 365 days in 1.18% of civil matters versus 0.07% o</w:t>
      </w:r>
      <w:r w:rsidRPr="0097287A">
        <w:rPr>
          <w:rFonts w:ascii="Times New Roman" w:hAnsi="Times New Roman" w:cs="Times New Roman"/>
        </w:rPr>
        <w:t>f criminal matters.</w:t>
      </w:r>
    </w:p>
    <w:bookmarkEnd w:id="31"/>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The log-log survival plots display concave curves that decay </w:t>
      </w:r>
      <w:r w:rsidRPr="0097287A">
        <w:rPr>
          <w:rFonts w:ascii="Times New Roman" w:hAnsi="Times New Roman" w:cs="Times New Roman"/>
          <w:i/>
          <w:iCs/>
        </w:rPr>
        <w:t>faster</w:t>
      </w:r>
      <w:r w:rsidRPr="0097287A">
        <w:rPr>
          <w:rFonts w:ascii="Times New Roman" w:hAnsi="Times New Roman" w:cs="Times New Roman"/>
        </w:rPr>
        <w:t xml:space="preserve"> than the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m:t>
        </m:r>
      </m:oMath>
      <w:r w:rsidRPr="0097287A">
        <w:rPr>
          <w:rFonts w:ascii="Times New Roman" w:hAnsi="Times New Roman" w:cs="Times New Roman"/>
        </w:rPr>
        <w:t xml:space="preserve"> reference benchmark across the observable range. A perfectly linear log-log decay would indicate a strict power-law tail; the observed concavity is the vi</w:t>
      </w:r>
      <w:r w:rsidRPr="0097287A">
        <w:rPr>
          <w:rFonts w:ascii="Times New Roman" w:hAnsi="Times New Roman" w:cs="Times New Roman"/>
        </w:rPr>
        <w:t>sual signature of Pareto or Log-Normal distributions in the body of the data transitioning to faster decay in the far tail. Civil adjournments exhibit a heavier mid-range tail than criminal adjournments: adjournments exceeding 365 days occurred in 1.18% of</w:t>
      </w:r>
      <w:r w:rsidRPr="0097287A">
        <w:rPr>
          <w:rFonts w:ascii="Times New Roman" w:hAnsi="Times New Roman" w:cs="Times New Roman"/>
        </w:rPr>
        <w:t xml:space="preserve"> civil matters compared to 0.07% of criminal matters Table </w:t>
      </w:r>
      <w:hyperlink w:anchor="tab:hill_by_stream">
        <w:r w:rsidRPr="0097287A">
          <w:rPr>
            <w:rStyle w:val="Hyperlink"/>
            <w:rFonts w:ascii="Times New Roman" w:hAnsi="Times New Roman" w:cs="Times New Roman"/>
          </w:rPr>
          <w:t>2</w:t>
        </w:r>
      </w:hyperlink>
      <w:r w:rsidRPr="0097287A">
        <w:rPr>
          <w:rFonts w:ascii="Times New Roman" w:hAnsi="Times New Roman" w:cs="Times New Roman"/>
        </w:rPr>
        <w:t>, a disparity invisible to mean-based metrics.</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The workload complexity panel displays the staircase pattern characteristic of discrete integer-valued heari</w:t>
      </w:r>
      <w:r w:rsidRPr="0097287A">
        <w:rPr>
          <w:rFonts w:ascii="Times New Roman" w:hAnsi="Times New Roman" w:cs="Times New Roman"/>
        </w:rPr>
        <w:t>ng counts, with the bulk of cases concentrated at one to nine hearings. The tail beyond 20 hearings decays rapidly but remains non-exponential, with criminal cases exhibiting slightly higher survival at extreme complexity levels than civil cases.</w:t>
      </w:r>
    </w:p>
    <w:p w:rsidR="00AF2245" w:rsidRPr="004F7EAB" w:rsidRDefault="005E6F25" w:rsidP="004F7EAB">
      <w:pPr>
        <w:pStyle w:val="Heading3"/>
        <w:numPr>
          <w:ilvl w:val="0"/>
          <w:numId w:val="0"/>
        </w:numPr>
        <w:spacing w:after="0"/>
        <w:ind w:left="720" w:hanging="720"/>
        <w:jc w:val="both"/>
        <w:rPr>
          <w:rFonts w:ascii="Times New Roman" w:hAnsi="Times New Roman" w:cs="Times New Roman"/>
          <w:b/>
          <w:bCs/>
          <w:sz w:val="24"/>
          <w:szCs w:val="24"/>
        </w:rPr>
      </w:pPr>
      <w:bookmarkStart w:id="32" w:name="evidence-of-moderately-heavy-tails"/>
      <w:r w:rsidRPr="004F7EAB">
        <w:rPr>
          <w:rFonts w:ascii="Times New Roman" w:hAnsi="Times New Roman" w:cs="Times New Roman"/>
          <w:b/>
          <w:bCs/>
          <w:sz w:val="24"/>
          <w:szCs w:val="24"/>
        </w:rPr>
        <w:t xml:space="preserve">Evidence </w:t>
      </w:r>
      <w:r w:rsidRPr="004F7EAB">
        <w:rPr>
          <w:rFonts w:ascii="Times New Roman" w:hAnsi="Times New Roman" w:cs="Times New Roman"/>
          <w:b/>
          <w:bCs/>
          <w:sz w:val="24"/>
          <w:szCs w:val="24"/>
        </w:rPr>
        <w:t>of Moderately Heavy Tails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The empirical survival curves deviate significantly from exponential decay, confirming the necessity of heavy-tailed modeling. The observed behavior, heavier than exponential but lighter than a strict power law, is characterised p</w:t>
      </w:r>
      <w:r w:rsidRPr="0097287A">
        <w:rPr>
          <w:rFonts w:ascii="Times New Roman" w:hAnsi="Times New Roman" w:cs="Times New Roman"/>
        </w:rPr>
        <w:t>recisely by the Pareto (criminal stream) and Log-Normal (civil stream) best-fit distributions established below, providing the empirical foundation for using asymptotic ruin-theoretic approximations to estimate judicial backlog risk.</w:t>
      </w:r>
    </w:p>
    <w:p w:rsidR="00AF2245" w:rsidRPr="004F7EAB" w:rsidRDefault="005E6F25" w:rsidP="004F7EAB">
      <w:pPr>
        <w:pStyle w:val="Heading2"/>
        <w:numPr>
          <w:ilvl w:val="0"/>
          <w:numId w:val="0"/>
        </w:numPr>
        <w:spacing w:after="0"/>
        <w:ind w:left="576" w:hanging="576"/>
        <w:jc w:val="both"/>
        <w:rPr>
          <w:rFonts w:ascii="Times New Roman" w:hAnsi="Times New Roman" w:cs="Times New Roman"/>
          <w:b/>
          <w:bCs/>
          <w:sz w:val="24"/>
          <w:szCs w:val="24"/>
        </w:rPr>
      </w:pPr>
      <w:bookmarkStart w:id="33" w:name="subsec:model_diagnostics"/>
      <w:bookmarkEnd w:id="30"/>
      <w:bookmarkEnd w:id="32"/>
      <w:r w:rsidRPr="004F7EAB">
        <w:rPr>
          <w:rFonts w:ascii="Times New Roman" w:hAnsi="Times New Roman" w:cs="Times New Roman"/>
          <w:b/>
          <w:bCs/>
          <w:sz w:val="24"/>
          <w:szCs w:val="24"/>
        </w:rPr>
        <w:t>Model Estimation and D</w:t>
      </w:r>
      <w:r w:rsidRPr="004F7EAB">
        <w:rPr>
          <w:rFonts w:ascii="Times New Roman" w:hAnsi="Times New Roman" w:cs="Times New Roman"/>
          <w:b/>
          <w:bCs/>
          <w:sz w:val="24"/>
          <w:szCs w:val="24"/>
        </w:rPr>
        <w:t>istributional Diagnostics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Maximum Likelihood Estimation (MLE) was applied independently to adjournment durations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and workload complexity (</w:t>
      </w:r>
      <m:oMath>
        <m:r>
          <w:rPr>
            <w:rFonts w:ascii="Cambria Math" w:hAnsi="Cambria Math" w:cs="Times New Roman"/>
          </w:rPr>
          <m:t>X</m:t>
        </m:r>
      </m:oMath>
      <w:r w:rsidRPr="0097287A">
        <w:rPr>
          <w:rFonts w:ascii="Times New Roman" w:hAnsi="Times New Roman" w:cs="Times New Roman"/>
        </w:rPr>
        <w:t xml:space="preserve">) using three candidate heavy-tailed families. The two variables were estimated from </w:t>
      </w:r>
      <w:r w:rsidRPr="0097287A">
        <w:rPr>
          <w:rFonts w:ascii="Times New Roman" w:hAnsi="Times New Roman" w:cs="Times New Roman"/>
        </w:rPr>
        <w:lastRenderedPageBreak/>
        <w:t>distinct CTS data fields</w:t>
      </w:r>
      <w:r w:rsidRPr="0097287A">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was constructed as elapsed calendar days between successive hearing dates for the same case, while </w:t>
      </w:r>
      <m:oMath>
        <m:r>
          <w:rPr>
            <w:rFonts w:ascii="Cambria Math" w:hAnsi="Cambria Math" w:cs="Times New Roman"/>
          </w:rPr>
          <m:t>X</m:t>
        </m:r>
      </m:oMath>
      <w:r w:rsidRPr="0097287A">
        <w:rPr>
          <w:rFonts w:ascii="Times New Roman" w:hAnsi="Times New Roman" w:cs="Times New Roman"/>
        </w:rPr>
        <w:t xml:space="preserve"> was operationalised as the total number of hearing sessions consumed per case from filing to conclusion. Estimation was conducted after removing sa</w:t>
      </w:r>
      <w:r w:rsidRPr="0097287A">
        <w:rPr>
          <w:rFonts w:ascii="Times New Roman" w:hAnsi="Times New Roman" w:cs="Times New Roman"/>
        </w:rPr>
        <w:t>me-day scheduling entries, administrative resets, and date-coding inconsistencies across court stations.</w:t>
      </w:r>
    </w:p>
    <w:p w:rsidR="00AF2245" w:rsidRPr="004F7EAB" w:rsidRDefault="005E6F25" w:rsidP="004F7EAB">
      <w:pPr>
        <w:pStyle w:val="Heading3"/>
        <w:numPr>
          <w:ilvl w:val="0"/>
          <w:numId w:val="0"/>
        </w:numPr>
        <w:spacing w:after="0"/>
        <w:ind w:left="720" w:hanging="720"/>
        <w:jc w:val="both"/>
        <w:rPr>
          <w:rFonts w:ascii="Times New Roman" w:hAnsi="Times New Roman" w:cs="Times New Roman"/>
          <w:b/>
          <w:bCs/>
          <w:sz w:val="24"/>
          <w:szCs w:val="24"/>
        </w:rPr>
      </w:pPr>
      <w:bookmarkStart w:id="34" w:name="comparative-distributional-diagnostics"/>
      <w:r w:rsidRPr="004F7EAB">
        <w:rPr>
          <w:rFonts w:ascii="Times New Roman" w:hAnsi="Times New Roman" w:cs="Times New Roman"/>
          <w:b/>
          <w:bCs/>
          <w:sz w:val="24"/>
          <w:szCs w:val="24"/>
        </w:rPr>
        <w:t>Comparative Distributional Diagnostics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Table </w:t>
      </w:r>
      <w:hyperlink w:anchor="tab:distribution_results">
        <w:r w:rsidRPr="0097287A">
          <w:rPr>
            <w:rStyle w:val="Hyperlink"/>
            <w:rFonts w:ascii="Times New Roman" w:hAnsi="Times New Roman" w:cs="Times New Roman"/>
          </w:rPr>
          <w:t>[tab</w:t>
        </w:r>
        <w:proofErr w:type="gramStart"/>
        <w:r w:rsidRPr="0097287A">
          <w:rPr>
            <w:rStyle w:val="Hyperlink"/>
            <w:rFonts w:ascii="Times New Roman" w:hAnsi="Times New Roman" w:cs="Times New Roman"/>
          </w:rPr>
          <w:t>:distribution</w:t>
        </w:r>
        <w:proofErr w:type="gramEnd"/>
        <w:r w:rsidRPr="0097287A">
          <w:rPr>
            <w:rStyle w:val="Hyperlink"/>
            <w:rFonts w:ascii="Times New Roman" w:hAnsi="Times New Roman" w:cs="Times New Roman"/>
          </w:rPr>
          <w:t>_results]</w:t>
        </w:r>
      </w:hyperlink>
      <w:r w:rsidRPr="0097287A">
        <w:rPr>
          <w:rFonts w:ascii="Times New Roman" w:hAnsi="Times New Roman" w:cs="Times New Roman"/>
        </w:rPr>
        <w:t xml:space="preserve"> reports the comparative fit across three criteria, Kolmogorov–Smirnov statistic </w:t>
      </w:r>
      <m:oMath>
        <m:r>
          <w:rPr>
            <w:rFonts w:ascii="Cambria Math" w:hAnsi="Cambria Math" w:cs="Times New Roman"/>
          </w:rPr>
          <m:t>D</m:t>
        </m:r>
      </m:oMath>
      <w:r w:rsidRPr="0097287A">
        <w:rPr>
          <w:rFonts w:ascii="Times New Roman" w:hAnsi="Times New Roman" w:cs="Times New Roman"/>
        </w:rPr>
        <w:t xml:space="preserve">, Anderson–Darling statistic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rPr>
        <w:t xml:space="preserve">, and log-likelihood </w:t>
      </w:r>
      <m:oMath>
        <m:r>
          <m:rPr>
            <m:scr m:val="script"/>
          </m:rPr>
          <w:rPr>
            <w:rFonts w:ascii="Cambria Math" w:hAnsi="Cambria Math" w:cs="Times New Roman"/>
          </w:rPr>
          <m:t>l</m:t>
        </m:r>
      </m:oMath>
      <w:r w:rsidRPr="0097287A">
        <w:rPr>
          <w:rFonts w:ascii="Times New Roman" w:hAnsi="Times New Roman" w:cs="Times New Roman"/>
        </w:rPr>
        <w:t xml:space="preserve">, by stream. The two tests serve complementary roles: </w:t>
      </w:r>
      <m:oMath>
        <m:r>
          <w:rPr>
            <w:rFonts w:ascii="Cambria Math" w:hAnsi="Cambria Math" w:cs="Times New Roman"/>
          </w:rPr>
          <m:t>D</m:t>
        </m:r>
      </m:oMath>
      <w:r w:rsidRPr="0097287A">
        <w:rPr>
          <w:rFonts w:ascii="Times New Roman" w:hAnsi="Times New Roman" w:cs="Times New Roman"/>
        </w:rPr>
        <w:t xml:space="preserve"> captures deviations in the bulk of the distribution, while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rPr>
        <w:t xml:space="preserve"> places greater weight on the tails, which is the region of primary concern for backlog risk.</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llccccccc </w:t>
      </w:r>
      <w:r w:rsidRPr="0097287A">
        <w:rPr>
          <w:rFonts w:ascii="Times New Roman" w:hAnsi="Times New Roman" w:cs="Times New Roman"/>
          <w:b/>
          <w:bCs/>
        </w:rPr>
        <w:t>Var.</w:t>
      </w:r>
      <w:r w:rsidRPr="0097287A">
        <w:rPr>
          <w:rFonts w:ascii="Times New Roman" w:hAnsi="Times New Roman" w:cs="Times New Roman"/>
        </w:rPr>
        <w:t xml:space="preserve"> &amp; </w:t>
      </w:r>
      <w:r w:rsidRPr="0097287A">
        <w:rPr>
          <w:rFonts w:ascii="Times New Roman" w:hAnsi="Times New Roman" w:cs="Times New Roman"/>
          <w:b/>
          <w:bCs/>
        </w:rPr>
        <w:t>Stream</w:t>
      </w:r>
      <w:r w:rsidRPr="0097287A">
        <w:rPr>
          <w:rFonts w:ascii="Times New Roman" w:hAnsi="Times New Roman" w:cs="Times New Roman"/>
        </w:rPr>
        <w:t xml:space="preserve"> &amp; </w:t>
      </w:r>
      <w:r w:rsidRPr="0097287A">
        <w:rPr>
          <w:rFonts w:ascii="Times New Roman" w:hAnsi="Times New Roman" w:cs="Times New Roman"/>
          <w:b/>
          <w:bCs/>
        </w:rPr>
        <w:t>Best fit</w:t>
      </w:r>
      <w:r w:rsidRPr="0097287A">
        <w:rPr>
          <w:rFonts w:ascii="Times New Roman" w:hAnsi="Times New Roman" w:cs="Times New Roman"/>
        </w:rPr>
        <w:t xml:space="preserve"> &amp; </w:t>
      </w:r>
      <m:oMath>
        <m:acc>
          <m:accPr>
            <m:ctrlPr>
              <w:rPr>
                <w:rFonts w:ascii="Cambria Math" w:hAnsi="Cambria Math" w:cs="Times New Roman"/>
              </w:rPr>
            </m:ctrlPr>
          </m:accPr>
          <m:e>
            <m:r>
              <w:rPr>
                <w:rFonts w:ascii="Cambria Math" w:hAnsi="Cambria Math" w:cs="Times New Roman"/>
              </w:rPr>
              <m:t>μ</m:t>
            </m:r>
          </m:e>
        </m:acc>
      </m:oMath>
      <w:r w:rsidRPr="0097287A">
        <w:rPr>
          <w:rFonts w:ascii="Times New Roman" w:hAnsi="Times New Roman" w:cs="Times New Roman"/>
        </w:rPr>
        <w:t xml:space="preserve"> &amp; </w:t>
      </w:r>
      <m:oMath>
        <m:acc>
          <m:accPr>
            <m:ctrlPr>
              <w:rPr>
                <w:rFonts w:ascii="Cambria Math" w:hAnsi="Cambria Math" w:cs="Times New Roman"/>
              </w:rPr>
            </m:ctrlPr>
          </m:accPr>
          <m:e>
            <m:r>
              <w:rPr>
                <w:rFonts w:ascii="Cambria Math" w:hAnsi="Cambria Math" w:cs="Times New Roman"/>
              </w:rPr>
              <m:t>σ</m:t>
            </m:r>
          </m:e>
        </m:acc>
      </m:oMath>
      <w:r w:rsidRPr="0097287A">
        <w:rPr>
          <w:rFonts w:ascii="Times New Roman" w:hAnsi="Times New Roman" w:cs="Times New Roman"/>
        </w:rPr>
        <w:t xml:space="preserve"> &amp; </w:t>
      </w:r>
      <m:oMath>
        <m:acc>
          <m:accPr>
            <m:ctrlPr>
              <w:rPr>
                <w:rFonts w:ascii="Cambria Math" w:hAnsi="Cambria Math" w:cs="Times New Roman"/>
              </w:rPr>
            </m:ctrlPr>
          </m:accPr>
          <m:e>
            <m:r>
              <w:rPr>
                <w:rFonts w:ascii="Cambria Math" w:hAnsi="Cambria Math" w:cs="Times New Roman"/>
              </w:rPr>
              <m:t>k</m:t>
            </m:r>
          </m:e>
        </m:acc>
      </m:oMath>
      <w:r w:rsidRPr="0097287A">
        <w:rPr>
          <w:rFonts w:ascii="Times New Roman" w:hAnsi="Times New Roman" w:cs="Times New Roman"/>
        </w:rPr>
        <w:t xml:space="preserve"> &amp; </w:t>
      </w:r>
      <m:oMath>
        <m:acc>
          <m:accPr>
            <m:ctrlPr>
              <w:rPr>
                <w:rFonts w:ascii="Cambria Math" w:hAnsi="Cambria Math" w:cs="Times New Roman"/>
              </w:rPr>
            </m:ctrlPr>
          </m:accPr>
          <m:e>
            <m:r>
              <w:rPr>
                <w:rFonts w:ascii="Cambria Math" w:hAnsi="Cambria Math" w:cs="Times New Roman"/>
              </w:rPr>
              <m:t>λ</m:t>
            </m:r>
          </m:e>
        </m:acc>
      </m:oMath>
      <w:r w:rsidRPr="0097287A">
        <w:rPr>
          <w:rFonts w:ascii="Times New Roman" w:hAnsi="Times New Roman" w:cs="Times New Roman"/>
        </w:rPr>
        <w:t xml:space="preserve"> &amp; </w:t>
      </w:r>
      <m:oMath>
        <m:r>
          <w:rPr>
            <w:rFonts w:ascii="Cambria Math" w:hAnsi="Cambria Math" w:cs="Times New Roman"/>
          </w:rPr>
          <m:t>D</m:t>
        </m:r>
      </m:oMath>
      <w:r w:rsidRPr="0097287A">
        <w:rPr>
          <w:rFonts w:ascii="Times New Roman" w:hAnsi="Times New Roman" w:cs="Times New Roman"/>
        </w:rPr>
        <w:t xml:space="preserve">-stat &amp; Hill </w:t>
      </w:r>
      <m:oMath>
        <m:acc>
          <m:accPr>
            <m:ctrlPr>
              <w:rPr>
                <w:rFonts w:ascii="Cambria Math" w:hAnsi="Cambria Math" w:cs="Times New Roman"/>
              </w:rPr>
            </m:ctrlPr>
          </m:accPr>
          <m:e>
            <m:r>
              <w:rPr>
                <w:rFonts w:ascii="Cambria Math" w:hAnsi="Cambria Math" w:cs="Times New Roman"/>
              </w:rPr>
              <m:t>α</m:t>
            </m:r>
          </m:e>
        </m:acc>
      </m:oMath>
      <w:r w:rsidRPr="0097287A">
        <w:rPr>
          <w:rFonts w:ascii="Times New Roman" w:hAnsi="Times New Roman" w:cs="Times New Roman"/>
        </w:rPr>
        <w:br/>
        <w:t>&amp; Criminal &amp; Pareto (</w:t>
      </w:r>
      <m:oMath>
        <m:acc>
          <m:accPr>
            <m:ctrlPr>
              <w:rPr>
                <w:rFonts w:ascii="Cambria Math" w:hAnsi="Cambria Math" w:cs="Times New Roman"/>
              </w:rPr>
            </m:ctrlPr>
          </m:accPr>
          <m:e>
            <m:r>
              <w:rPr>
                <w:rFonts w:ascii="Cambria Math" w:hAnsi="Cambria Math" w:cs="Times New Roman"/>
              </w:rPr>
              <m:t>α</m:t>
            </m:r>
          </m:e>
        </m:acc>
        <m:r>
          <m:rPr>
            <m:sty m:val="p"/>
          </m:rPr>
          <w:rPr>
            <w:rFonts w:ascii="Cambria Math" w:hAnsi="Cambria Math" w:cs="Times New Roman"/>
          </w:rPr>
          <m:t>=</m:t>
        </m:r>
        <m:r>
          <w:rPr>
            <w:rFonts w:ascii="Cambria Math" w:hAnsi="Cambria Math" w:cs="Times New Roman"/>
          </w:rPr>
          <m:t>0.288</m:t>
        </m:r>
      </m:oMath>
      <w:r w:rsidRPr="0097287A">
        <w:rPr>
          <w:rFonts w:ascii="Times New Roman" w:hAnsi="Times New Roman" w:cs="Times New Roman"/>
        </w:rPr>
        <w:t>) &amp; – &amp; – &amp; – &amp; – &amp; 0.0474 &amp;</w:t>
      </w:r>
      <w:r w:rsidRPr="0097287A">
        <w:rPr>
          <w:rFonts w:ascii="Times New Roman" w:hAnsi="Times New Roman" w:cs="Times New Roman"/>
        </w:rPr>
        <w:br/>
        <w:t xml:space="preserve">&amp; Civil &amp; Log-Normal &amp; 3.707 </w:t>
      </w:r>
      <w:r w:rsidRPr="0097287A">
        <w:rPr>
          <w:rFonts w:ascii="Times New Roman" w:hAnsi="Times New Roman" w:cs="Times New Roman"/>
        </w:rPr>
        <w:t>&amp; 1.111 &amp; – &amp; – &amp; 0.0585 &amp;</w:t>
      </w:r>
      <w:r w:rsidRPr="0097287A">
        <w:rPr>
          <w:rFonts w:ascii="Times New Roman" w:hAnsi="Times New Roman" w:cs="Times New Roman"/>
        </w:rPr>
        <w:br/>
        <w:t>&amp; Criminal &amp; Log-Normal &amp; 2.066 &amp; 0.926 &amp; – &amp; – &amp; 0.0899 &amp; –</w:t>
      </w:r>
      <w:r w:rsidRPr="0097287A">
        <w:rPr>
          <w:rFonts w:ascii="Times New Roman" w:hAnsi="Times New Roman" w:cs="Times New Roman"/>
        </w:rPr>
        <w:br/>
        <w:t>&amp; Civil &amp; Weibull &amp; – &amp; – &amp; 1.368 &amp; 11.783 &amp; 0.0413 &amp; –</w:t>
      </w:r>
      <w:r w:rsidRPr="0097287A">
        <w:rPr>
          <w:rFonts w:ascii="Times New Roman" w:hAnsi="Times New Roman" w:cs="Times New Roman"/>
        </w:rPr>
        <w:br/>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i/>
          <w:iCs/>
        </w:rPr>
        <w:t xml:space="preserve">Best fit selected by lowest </w:t>
      </w:r>
      <m:oMath>
        <m:r>
          <w:rPr>
            <w:rFonts w:ascii="Cambria Math" w:hAnsi="Cambria Math" w:cs="Times New Roman"/>
          </w:rPr>
          <m:t>D</m:t>
        </m:r>
      </m:oMath>
      <w:r w:rsidRPr="0097287A">
        <w:rPr>
          <w:rFonts w:ascii="Times New Roman" w:hAnsi="Times New Roman" w:cs="Times New Roman"/>
          <w:i/>
          <w:iCs/>
        </w:rPr>
        <w:t xml:space="preserve">-stat (KS); confirmed by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oMath>
      <w:r w:rsidRPr="0097287A">
        <w:rPr>
          <w:rFonts w:ascii="Times New Roman" w:hAnsi="Times New Roman" w:cs="Times New Roman"/>
          <w:i/>
          <w:iCs/>
        </w:rPr>
        <w:t xml:space="preserve"> and log-likelihood (criminal: Pareto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139.8</m:t>
        </m:r>
      </m:oMath>
      <w:r w:rsidRPr="0097287A">
        <w:rPr>
          <w:rFonts w:ascii="Times New Roman" w:hAnsi="Times New Roman" w:cs="Times New Roman"/>
          <w:i/>
          <w:iCs/>
        </w:rPr>
        <w:t xml:space="preserve">, </w:t>
      </w:r>
      <m:oMath>
        <m:r>
          <m:rPr>
            <m:scr m:val="script"/>
          </m:rPr>
          <w:rPr>
            <w:rFonts w:ascii="Cambria Math" w:hAnsi="Cambria Math" w:cs="Times New Roman"/>
          </w:rPr>
          <m:t>l</m:t>
        </m:r>
        <m:r>
          <m:rPr>
            <m:sty m:val="p"/>
          </m:rPr>
          <w:rPr>
            <w:rFonts w:ascii="Cambria Math" w:hAnsi="Cambria Math" w:cs="Times New Roman"/>
          </w:rPr>
          <m:t>=-</m:t>
        </m:r>
        <m:r>
          <w:rPr>
            <w:rFonts w:ascii="Cambria Math" w:hAnsi="Cambria Math" w:cs="Times New Roman"/>
          </w:rPr>
          <m:t>246</m:t>
        </m:r>
        <m:r>
          <m:rPr>
            <m:sty m:val="p"/>
          </m:rPr>
          <w:rPr>
            <w:rFonts w:ascii="Cambria Math" w:hAnsi="Cambria Math" w:cs="Times New Roman"/>
          </w:rPr>
          <m:t>,</m:t>
        </m:r>
        <m:r>
          <w:rPr>
            <w:rFonts w:ascii="Cambria Math" w:hAnsi="Cambria Math" w:cs="Times New Roman"/>
          </w:rPr>
          <m:t>771</m:t>
        </m:r>
      </m:oMath>
      <w:r w:rsidRPr="0097287A">
        <w:rPr>
          <w:rFonts w:ascii="Times New Roman" w:hAnsi="Times New Roman" w:cs="Times New Roman"/>
          <w:i/>
          <w:iCs/>
        </w:rPr>
        <w:t xml:space="preserve">; civil: Log-Normal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204.3</m:t>
        </m:r>
      </m:oMath>
      <w:r w:rsidRPr="0097287A">
        <w:rPr>
          <w:rFonts w:ascii="Times New Roman" w:hAnsi="Times New Roman" w:cs="Times New Roman"/>
          <w:i/>
          <w:iCs/>
        </w:rPr>
        <w:t xml:space="preserve">, </w:t>
      </w:r>
      <m:oMath>
        <m:r>
          <m:rPr>
            <m:scr m:val="script"/>
          </m:rPr>
          <w:rPr>
            <w:rFonts w:ascii="Cambria Math" w:hAnsi="Cambria Math" w:cs="Times New Roman"/>
          </w:rPr>
          <m:t>l</m:t>
        </m:r>
        <m:r>
          <m:rPr>
            <m:sty m:val="p"/>
          </m:rPr>
          <w:rPr>
            <w:rFonts w:ascii="Cambria Math" w:hAnsi="Cambria Math" w:cs="Times New Roman"/>
          </w:rPr>
          <m:t>=-</m:t>
        </m:r>
        <m:r>
          <w:rPr>
            <w:rFonts w:ascii="Cambria Math" w:hAnsi="Cambria Math" w:cs="Times New Roman"/>
          </w:rPr>
          <m:t>260</m:t>
        </m:r>
        <m:r>
          <m:rPr>
            <m:sty m:val="p"/>
          </m:rPr>
          <w:rPr>
            <w:rFonts w:ascii="Cambria Math" w:hAnsi="Cambria Math" w:cs="Times New Roman"/>
          </w:rPr>
          <m:t>,</m:t>
        </m:r>
        <m:r>
          <w:rPr>
            <w:rFonts w:ascii="Cambria Math" w:hAnsi="Cambria Math" w:cs="Times New Roman"/>
          </w:rPr>
          <m:t>530</m:t>
        </m:r>
      </m:oMath>
      <w:r w:rsidRPr="0097287A">
        <w:rPr>
          <w:rFonts w:ascii="Times New Roman" w:hAnsi="Times New Roman" w:cs="Times New Roman"/>
          <w:i/>
          <w:iCs/>
        </w:rPr>
        <w:t xml:space="preserve">). Weibull is undefined for criminal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i/>
          <w:iCs/>
        </w:rPr>
        <w:t xml:space="preserve"> (log-lik </w:t>
      </w:r>
      <m:oMath>
        <m:r>
          <m:rPr>
            <m:sty m:val="p"/>
          </m:rPr>
          <w:rPr>
            <w:rFonts w:ascii="Cambria Math" w:hAnsi="Cambria Math" w:cs="Times New Roman"/>
          </w:rPr>
          <m:t>=-∞</m:t>
        </m:r>
      </m:oMath>
      <w:r w:rsidRPr="0097287A">
        <w:rPr>
          <w:rFonts w:ascii="Times New Roman" w:hAnsi="Times New Roman" w:cs="Times New Roman"/>
          <w:i/>
          <w:iCs/>
        </w:rPr>
        <w:t xml:space="preserve">). Hill </w:t>
      </w:r>
      <m:oMath>
        <m:acc>
          <m:accPr>
            <m:ctrlPr>
              <w:rPr>
                <w:rFonts w:ascii="Cambria Math" w:hAnsi="Cambria Math" w:cs="Times New Roman"/>
              </w:rPr>
            </m:ctrlPr>
          </m:accPr>
          <m:e>
            <m:r>
              <w:rPr>
                <w:rFonts w:ascii="Cambria Math" w:hAnsi="Cambria Math" w:cs="Times New Roman"/>
              </w:rPr>
              <m:t>α</m:t>
            </m:r>
          </m:e>
        </m:acc>
      </m:oMath>
      <w:r w:rsidRPr="0097287A">
        <w:rPr>
          <w:rFonts w:ascii="Times New Roman" w:hAnsi="Times New Roman" w:cs="Times New Roman"/>
          <w:i/>
          <w:iCs/>
        </w:rPr>
        <w:t xml:space="preserve"> read from the stable plateau of the Hill plot for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i/>
          <w:iCs/>
        </w:rPr>
        <w:t xml:space="preserve"> only; both estimates satisfy </w:t>
      </w:r>
      <m:oMath>
        <m:acc>
          <m:accPr>
            <m:ctrlPr>
              <w:rPr>
                <w:rFonts w:ascii="Cambria Math" w:hAnsi="Cambria Math" w:cs="Times New Roman"/>
              </w:rPr>
            </m:ctrlPr>
          </m:accPr>
          <m:e>
            <m:r>
              <w:rPr>
                <w:rFonts w:ascii="Cambria Math" w:hAnsi="Cambria Math" w:cs="Times New Roman"/>
              </w:rPr>
              <m:t>α</m:t>
            </m:r>
          </m:e>
        </m:acc>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i/>
          <w:iCs/>
        </w:rPr>
        <w:t>, validating Proposition </w:t>
      </w:r>
      <w:hyperlink w:anchor="prop:ckappa">
        <w:r w:rsidRPr="0097287A">
          <w:rPr>
            <w:rStyle w:val="Hyperlink"/>
            <w:rFonts w:ascii="Times New Roman" w:hAnsi="Times New Roman" w:cs="Times New Roman"/>
            <w:i/>
            <w:iCs/>
          </w:rPr>
          <w:t>9</w:t>
        </w:r>
      </w:hyperlink>
      <w:r w:rsidRPr="0097287A">
        <w:rPr>
          <w:rFonts w:ascii="Times New Roman" w:hAnsi="Times New Roman" w:cs="Times New Roman"/>
          <w:i/>
          <w:iCs/>
        </w:rPr>
        <w:t>. The MLE Pareto shape 0.288 differs from the Hill estimate 4.48 due to known finite-sample bias of parametric Pareto MLE (Embrechts, Klüppelberg, and Mikosch 1997); the Hill plateau estimate is operative.</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Figure </w:t>
      </w:r>
      <w:hyperlink w:anchor="fig:distribution_fits">
        <w:r w:rsidRPr="0097287A">
          <w:rPr>
            <w:rStyle w:val="Hyperlink"/>
            <w:rFonts w:ascii="Times New Roman" w:hAnsi="Times New Roman" w:cs="Times New Roman"/>
          </w:rPr>
          <w:t>3</w:t>
        </w:r>
      </w:hyperlink>
      <w:r w:rsidRPr="0097287A">
        <w:rPr>
          <w:rFonts w:ascii="Times New Roman" w:hAnsi="Times New Roman" w:cs="Times New Roman"/>
        </w:rPr>
        <w:t xml:space="preserve"> illustrates the fitted densities against empirical histograms. The Pareto specification achieves the best fit for criminal adjournments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0.047</m:t>
        </m:r>
      </m:oMath>
      <w:r w:rsidRPr="0097287A">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139.8</m:t>
        </m:r>
      </m:oMath>
      <w:r w:rsidRPr="0097287A">
        <w:rPr>
          <w:rFonts w:ascii="Times New Roman" w:hAnsi="Times New Roman" w:cs="Times New Roman"/>
        </w:rPr>
        <w:t>); the Weibull fit is undefined. Log-Normal best captures civil adjournment dynamics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0.0</m:t>
        </m:r>
        <m:r>
          <w:rPr>
            <w:rFonts w:ascii="Cambria Math" w:hAnsi="Cambria Math" w:cs="Times New Roman"/>
          </w:rPr>
          <m:t>59</m:t>
        </m:r>
      </m:oMath>
      <w:r w:rsidRPr="0097287A">
        <w:rPr>
          <w:rFonts w:ascii="Times New Roman" w:hAnsi="Times New Roman" w:cs="Times New Roman"/>
        </w:rPr>
        <w:t xml:space="preserve">, </w:t>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204.3</m:t>
        </m:r>
      </m:oMath>
      <w:r w:rsidRPr="0097287A">
        <w:rPr>
          <w:rFonts w:ascii="Times New Roman" w:hAnsi="Times New Roman" w:cs="Times New Roman"/>
        </w:rPr>
        <w:t>). Both confirm moderately heavy tails sufficient to validate the asymptotic framework.</w:t>
      </w:r>
    </w:p>
    <w:p w:rsidR="00AF2245" w:rsidRPr="0097287A" w:rsidRDefault="005E6F25" w:rsidP="008B36AB">
      <w:pPr>
        <w:pStyle w:val="CaptionedFigure"/>
        <w:spacing w:after="0"/>
        <w:jc w:val="center"/>
        <w:rPr>
          <w:rFonts w:ascii="Times New Roman" w:hAnsi="Times New Roman" w:cs="Times New Roman"/>
        </w:rPr>
      </w:pPr>
      <w:bookmarkStart w:id="35" w:name="fig:distribution_fits"/>
      <w:r w:rsidRPr="0097287A">
        <w:rPr>
          <w:rFonts w:ascii="Times New Roman" w:hAnsi="Times New Roman" w:cs="Times New Roman"/>
          <w:noProof/>
          <w:lang w:val="en-IN" w:eastAsia="en-IN"/>
        </w:rPr>
        <w:drawing>
          <wp:inline distT="0" distB="0" distL="0" distR="0">
            <wp:extent cx="5067300" cy="2078162"/>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3" name="Picture" descr="distribution_fits.png"/>
                    <pic:cNvPicPr>
                      <a:picLocks noChangeAspect="1" noChangeArrowheads="1"/>
                    </pic:cNvPicPr>
                  </pic:nvPicPr>
                  <pic:blipFill>
                    <a:blip r:embed="rId11"/>
                    <a:stretch>
                      <a:fillRect/>
                    </a:stretch>
                  </pic:blipFill>
                  <pic:spPr bwMode="auto">
                    <a:xfrm>
                      <a:off x="0" y="0"/>
                      <a:ext cx="5067300" cy="2078162"/>
                    </a:xfrm>
                    <a:prstGeom prst="rect">
                      <a:avLst/>
                    </a:prstGeom>
                    <a:noFill/>
                    <a:ln w="9525">
                      <a:noFill/>
                      <a:headEnd/>
                      <a:tailEnd/>
                    </a:ln>
                  </pic:spPr>
                </pic:pic>
              </a:graphicData>
            </a:graphic>
          </wp:inline>
        </w:drawing>
      </w:r>
    </w:p>
    <w:p w:rsidR="00AF2245" w:rsidRDefault="005E6F25" w:rsidP="0097287A">
      <w:pPr>
        <w:pStyle w:val="ImageCaption"/>
        <w:spacing w:after="0"/>
        <w:jc w:val="both"/>
        <w:rPr>
          <w:rFonts w:ascii="Times New Roman" w:hAnsi="Times New Roman" w:cs="Times New Roman"/>
        </w:rPr>
      </w:pPr>
      <w:r w:rsidRPr="0097287A">
        <w:rPr>
          <w:rFonts w:ascii="Times New Roman" w:hAnsi="Times New Roman" w:cs="Times New Roman"/>
        </w:rPr>
        <w:t xml:space="preserve">MLE distributional fits for adjournment delay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by stream. Pareto best fits criminal (</w:t>
      </w:r>
      <m:oMath>
        <m:r>
          <w:rPr>
            <w:rFonts w:ascii="Cambria Math" w:hAnsi="Cambria Math" w:cs="Times New Roman"/>
          </w:rPr>
          <m:t>D</m:t>
        </m:r>
        <m:r>
          <w:rPr>
            <w:rFonts w:ascii="Cambria Math" w:hAnsi="Cambria Math" w:cs="Times New Roman"/>
          </w:rPr>
          <m:t>=0.047</m:t>
        </m:r>
      </m:oMath>
      <w:r w:rsidRPr="0097287A">
        <w:rPr>
          <w:rFonts w:ascii="Times New Roman" w:hAnsi="Times New Roman" w:cs="Times New Roman"/>
        </w:rPr>
        <w:t>); Log-Normal best fits civil (</w:t>
      </w:r>
      <m:oMath>
        <m:r>
          <w:rPr>
            <w:rFonts w:ascii="Cambria Math" w:hAnsi="Cambria Math" w:cs="Times New Roman"/>
          </w:rPr>
          <m:t>D</m:t>
        </m:r>
        <m:r>
          <w:rPr>
            <w:rFonts w:ascii="Cambria Math" w:hAnsi="Cambria Math" w:cs="Times New Roman"/>
          </w:rPr>
          <m:t>=0.059</m:t>
        </m:r>
      </m:oMath>
      <w:r w:rsidRPr="0097287A">
        <w:rPr>
          <w:rFonts w:ascii="Times New Roman" w:hAnsi="Times New Roman" w:cs="Times New Roman"/>
        </w:rPr>
        <w:t xml:space="preserve">). Weibull is </w:t>
      </w:r>
      <w:r w:rsidRPr="0097287A">
        <w:rPr>
          <w:rFonts w:ascii="Times New Roman" w:hAnsi="Times New Roman" w:cs="Times New Roman"/>
        </w:rPr>
        <w:t>undefined for criminal (log-lik</w:t>
      </w:r>
      <m:oMath>
        <m:r>
          <w:rPr>
            <w:rFonts w:ascii="Cambria Math" w:hAnsi="Cambria Math" w:cs="Times New Roman"/>
          </w:rPr>
          <m:t> </m:t>
        </m:r>
        <m:r>
          <w:rPr>
            <w:rFonts w:ascii="Cambria Math" w:hAnsi="Cambria Math" w:cs="Times New Roman"/>
          </w:rPr>
          <m:t>=-∞</m:t>
        </m:r>
      </m:oMath>
      <w:r w:rsidRPr="0097287A">
        <w:rPr>
          <w:rFonts w:ascii="Times New Roman" w:hAnsi="Times New Roman" w:cs="Times New Roman"/>
        </w:rPr>
        <w:t>). Both best-fit distributions confirm moderately heavy, heavier-than-exponential tail behavior.</w:t>
      </w:r>
    </w:p>
    <w:p w:rsidR="008B36AB" w:rsidRPr="0097287A" w:rsidRDefault="008B36AB" w:rsidP="0097287A">
      <w:pPr>
        <w:pStyle w:val="ImageCaption"/>
        <w:spacing w:after="0"/>
        <w:jc w:val="both"/>
        <w:rPr>
          <w:rFonts w:ascii="Times New Roman" w:hAnsi="Times New Roman" w:cs="Times New Roman"/>
        </w:rPr>
      </w:pPr>
    </w:p>
    <w:p w:rsidR="00AF2245" w:rsidRPr="008B36AB" w:rsidRDefault="005E6F25" w:rsidP="008B36AB">
      <w:pPr>
        <w:pStyle w:val="Heading3"/>
        <w:numPr>
          <w:ilvl w:val="0"/>
          <w:numId w:val="0"/>
        </w:numPr>
        <w:spacing w:after="0"/>
        <w:ind w:left="720" w:hanging="720"/>
        <w:jc w:val="both"/>
        <w:rPr>
          <w:rFonts w:ascii="Times New Roman" w:hAnsi="Times New Roman" w:cs="Times New Roman"/>
          <w:b/>
          <w:bCs/>
          <w:sz w:val="24"/>
          <w:szCs w:val="24"/>
        </w:rPr>
      </w:pPr>
      <w:bookmarkStart w:id="36" w:name="sec:tail-estimation"/>
      <w:bookmarkEnd w:id="34"/>
      <w:bookmarkEnd w:id="35"/>
      <w:r w:rsidRPr="008B36AB">
        <w:rPr>
          <w:rFonts w:ascii="Times New Roman" w:hAnsi="Times New Roman" w:cs="Times New Roman"/>
          <w:b/>
          <w:bCs/>
          <w:sz w:val="24"/>
          <w:szCs w:val="24"/>
        </w:rPr>
        <w:t>Tail Index Estimation</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Tail indices were estimated using the Hill estimator applied to the upper order statistics of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w:t>
      </w:r>
    </w:p>
    <w:p w:rsidR="00AF2245" w:rsidRPr="0097287A" w:rsidRDefault="005E6F25" w:rsidP="0097287A">
      <w:pPr>
        <w:pStyle w:val="BodyText"/>
        <w:spacing w:after="0"/>
        <w:jc w:val="both"/>
        <w:rPr>
          <w:rFonts w:ascii="Times New Roman" w:hAnsi="Times New Roman" w:cs="Times New Roman"/>
        </w:rPr>
      </w:pPr>
      <m:oMathPara>
        <m:oMathParaPr>
          <m:jc m:val="center"/>
        </m:oMathParaP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w:rPr>
                  <w:rFonts w:ascii="Cambria Math" w:hAnsi="Cambria Math" w:cs="Times New Roman"/>
                </w:rPr>
                <m:t>k</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k</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k</m:t>
                      </m:r>
                    </m:sup>
                    <m:e>
                      <m:r>
                        <m:rPr>
                          <m:sty m:val="p"/>
                        </m:rPr>
                        <w:rPr>
                          <w:rFonts w:ascii="Cambria Math" w:hAnsi="Cambria Math" w:cs="Times New Roman"/>
                        </w:rPr>
                        <m:t>ln</m:t>
                      </m:r>
                    </m:e>
                  </m:nary>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Sub>
                    </m:den>
                  </m:f>
                </m:e>
              </m:d>
            </m:e>
            <m:sup>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oMath>
      </m:oMathPara>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lastRenderedPageBreak/>
        <w:t xml:space="preserve">The stability of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w:rPr>
                <w:rFonts w:ascii="Cambria Math" w:hAnsi="Cambria Math" w:cs="Times New Roman"/>
              </w:rPr>
              <m:t>k</m:t>
            </m:r>
          </m:sub>
        </m:sSub>
      </m:oMath>
      <w:r w:rsidRPr="0097287A">
        <w:rPr>
          <w:rFonts w:ascii="Times New Roman" w:hAnsi="Times New Roman" w:cs="Times New Roman"/>
        </w:rPr>
        <w:t xml:space="preserve"> across values of </w:t>
      </w:r>
      <m:oMath>
        <m:r>
          <w:rPr>
            <w:rFonts w:ascii="Cambria Math" w:hAnsi="Cambria Math" w:cs="Times New Roman"/>
          </w:rPr>
          <m:t>k</m:t>
        </m:r>
      </m:oMath>
      <w:r w:rsidRPr="0097287A">
        <w:rPr>
          <w:rFonts w:ascii="Times New Roman" w:hAnsi="Times New Roman" w:cs="Times New Roman"/>
        </w:rPr>
        <w:t xml:space="preserve"> was assessed through Hill plots (Figure </w:t>
      </w:r>
      <w:hyperlink w:anchor="fig:hill_plot">
        <w:r w:rsidRPr="0097287A">
          <w:rPr>
            <w:rStyle w:val="Hyperlink"/>
            <w:rFonts w:ascii="Times New Roman" w:hAnsi="Times New Roman" w:cs="Times New Roman"/>
          </w:rPr>
          <w:t>4</w:t>
        </w:r>
      </w:hyperlink>
      <w:r w:rsidRPr="0097287A">
        <w:rPr>
          <w:rFonts w:ascii="Times New Roman" w:hAnsi="Times New Roman" w:cs="Times New Roman"/>
        </w:rPr>
        <w:t xml:space="preserve">), with the reliable estimate read from the plateau region (Embrechts, Klüppelberg, and </w:t>
      </w:r>
      <w:r w:rsidRPr="0097287A">
        <w:rPr>
          <w:rFonts w:ascii="Times New Roman" w:hAnsi="Times New Roman" w:cs="Times New Roman"/>
        </w:rPr>
        <w:t>Mikosch 1997). A Peaks-over-Threshold (POT) robustness check confirmed estimates to two decimal places.</w:t>
      </w:r>
      <w:r w:rsidRPr="0097287A">
        <w:rPr>
          <w:rFonts w:ascii="Times New Roman" w:hAnsi="Times New Roman" w:cs="Times New Roman"/>
        </w:rPr>
        <w:br/>
      </w:r>
    </w:p>
    <w:p w:rsidR="00AF2245" w:rsidRPr="0097287A" w:rsidRDefault="005E6F25" w:rsidP="008B36AB">
      <w:pPr>
        <w:pStyle w:val="CaptionedFigure"/>
        <w:spacing w:after="0"/>
        <w:jc w:val="center"/>
        <w:rPr>
          <w:rFonts w:ascii="Times New Roman" w:hAnsi="Times New Roman" w:cs="Times New Roman"/>
        </w:rPr>
      </w:pPr>
      <w:bookmarkStart w:id="37" w:name="fig:hill_plot"/>
      <w:r w:rsidRPr="0097287A">
        <w:rPr>
          <w:rFonts w:ascii="Times New Roman" w:hAnsi="Times New Roman" w:cs="Times New Roman"/>
          <w:noProof/>
          <w:lang w:val="en-IN" w:eastAsia="en-IN"/>
        </w:rPr>
        <w:drawing>
          <wp:inline distT="0" distB="0" distL="0" distR="0">
            <wp:extent cx="4691269" cy="2856353"/>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8" name="Picture" descr="hill_plot.png"/>
                    <pic:cNvPicPr>
                      <a:picLocks noChangeAspect="1" noChangeArrowheads="1"/>
                    </pic:cNvPicPr>
                  </pic:nvPicPr>
                  <pic:blipFill>
                    <a:blip r:embed="rId12"/>
                    <a:stretch>
                      <a:fillRect/>
                    </a:stretch>
                  </pic:blipFill>
                  <pic:spPr bwMode="auto">
                    <a:xfrm>
                      <a:off x="0" y="0"/>
                      <a:ext cx="4691269" cy="2856353"/>
                    </a:xfrm>
                    <a:prstGeom prst="rect">
                      <a:avLst/>
                    </a:prstGeom>
                    <a:noFill/>
                    <a:ln w="9525">
                      <a:noFill/>
                      <a:headEnd/>
                      <a:tailEnd/>
                    </a:ln>
                  </pic:spPr>
                </pic:pic>
              </a:graphicData>
            </a:graphic>
          </wp:inline>
        </w:drawing>
      </w:r>
    </w:p>
    <w:p w:rsidR="00AF2245" w:rsidRPr="0097287A" w:rsidRDefault="005E6F25" w:rsidP="0097287A">
      <w:pPr>
        <w:pStyle w:val="ImageCaption"/>
        <w:spacing w:after="0"/>
        <w:jc w:val="both"/>
        <w:rPr>
          <w:rFonts w:ascii="Times New Roman" w:hAnsi="Times New Roman" w:cs="Times New Roman"/>
        </w:rPr>
      </w:pPr>
      <w:r w:rsidRPr="0097287A">
        <w:rPr>
          <w:rFonts w:ascii="Times New Roman" w:hAnsi="Times New Roman" w:cs="Times New Roman"/>
        </w:rPr>
        <w:t xml:space="preserve">Hill Estimator Plots </w:t>
      </w:r>
    </w:p>
    <w:bookmarkEnd w:id="37"/>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The stable plateau regions yield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xml:space="preserve"> and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The criminal estimate implies all moments of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are finite</w:t>
      </w:r>
      <w:r w:rsidRPr="0097287A">
        <w:rPr>
          <w:rFonts w:ascii="Times New Roman" w:hAnsi="Times New Roman" w:cs="Times New Roman"/>
        </w:rPr>
        <w:t xml:space="preserve">, reflecting a moderately heavy tail consistent with the Pareto best fit. The civil estimate places adjournment durations near the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xml:space="preserve">: the mean is finite and the variance is theoretically finite (barely, since </w:t>
      </w:r>
      <m:oMath>
        <m:r>
          <w:rPr>
            <w:rFonts w:ascii="Cambria Math" w:hAnsi="Cambria Math" w:cs="Times New Roman"/>
          </w:rPr>
          <m:t>α</m:t>
        </m:r>
        <m:r>
          <m:rPr>
            <m:sty m:val="p"/>
          </m:rPr>
          <w:rPr>
            <w:rFonts w:ascii="Cambria Math" w:hAnsi="Cambria Math" w:cs="Times New Roman"/>
          </w:rPr>
          <m:t>&gt;</m:t>
        </m:r>
        <m:r>
          <w:rPr>
            <w:rFonts w:ascii="Cambria Math" w:hAnsi="Cambria Math" w:cs="Times New Roman"/>
          </w:rPr>
          <m:t>2</m:t>
        </m:r>
      </m:oMath>
      <w:r w:rsidRPr="0097287A">
        <w:rPr>
          <w:rFonts w:ascii="Times New Roman" w:hAnsi="Times New Roman" w:cs="Times New Roman"/>
        </w:rPr>
        <w:t>), but the near-infinite-varian</w:t>
      </w:r>
      <w:r w:rsidRPr="0097287A">
        <w:rPr>
          <w:rFonts w:ascii="Times New Roman" w:hAnsi="Times New Roman" w:cs="Times New Roman"/>
        </w:rPr>
        <w:t>ce behavior means that average-based performance metrics systematically underestimate the probability of extreme delay episodes. These findings are consistent with (Mukherjee 2018), who documents tail indices of approximately 1.2–2.0 for court case duratio</w:t>
      </w:r>
      <w:r w:rsidRPr="0097287A">
        <w:rPr>
          <w:rFonts w:ascii="Times New Roman" w:hAnsi="Times New Roman" w:cs="Times New Roman"/>
        </w:rPr>
        <w:t xml:space="preserve">ns across multiple jurisdictions, and with (Barabási 2005), who reports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1.0</m:t>
        </m:r>
        <m:r>
          <m:rPr>
            <m:sty m:val="p"/>
          </m:rPr>
          <w:rPr>
            <w:rFonts w:ascii="Cambria Math" w:hAnsi="Cambria Math" w:cs="Times New Roman"/>
          </w:rPr>
          <m:t>,</m:t>
        </m:r>
        <m:r>
          <w:rPr>
            <w:rFonts w:ascii="Cambria Math" w:hAnsi="Cambria Math" w:cs="Times New Roman"/>
          </w:rPr>
          <m:t>1.5</m:t>
        </m:r>
        <m:r>
          <m:rPr>
            <m:sty m:val="p"/>
          </m:rPr>
          <w:rPr>
            <w:rFonts w:ascii="Cambria Math" w:hAnsi="Cambria Math" w:cs="Times New Roman"/>
          </w:rPr>
          <m:t>]</m:t>
        </m:r>
      </m:oMath>
      <w:r w:rsidRPr="0097287A">
        <w:rPr>
          <w:rFonts w:ascii="Times New Roman" w:hAnsi="Times New Roman" w:cs="Times New Roman"/>
        </w:rPr>
        <w:t xml:space="preserve"> for human task-completion times. The civil estimate of 2.08 sits at the upper end of this empirically documented range, confirming that Kenya’s Magistrates’ Courts exhibit</w:t>
      </w:r>
      <w:r w:rsidRPr="0097287A">
        <w:rPr>
          <w:rFonts w:ascii="Times New Roman" w:hAnsi="Times New Roman" w:cs="Times New Roman"/>
        </w:rPr>
        <w:t xml:space="preserve"> tail behavior comparable in severity to judicial systems in developed economies.</w:t>
      </w:r>
    </w:p>
    <w:p w:rsidR="00AF2245"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Both estimates satisfy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rPr>
        <w:t xml:space="preserve">, confirming that </w:t>
      </w:r>
      <m:oMath>
        <m:r>
          <m:rPr>
            <m:scr m:val="double-struck"/>
            <m:sty m:val="p"/>
          </m:rPr>
          <w:rPr>
            <w:rFonts w:ascii="Cambria Math" w:hAnsi="Cambria Math" w:cs="Times New Roman"/>
          </w:rPr>
          <m:t>E</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rPr>
        <w:t xml:space="preserve"> is finite and the net profit condition </w:t>
      </w: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0</m:t>
        </m:r>
      </m:oMath>
      <w:r w:rsidRPr="0097287A">
        <w:rPr>
          <w:rFonts w:ascii="Times New Roman" w:hAnsi="Times New Roman" w:cs="Times New Roman"/>
        </w:rPr>
        <w:t xml:space="preserve"> is well-defined in Proposition </w:t>
      </w:r>
      <w:hyperlink w:anchor="prop:ckappa">
        <w:r w:rsidRPr="0097287A">
          <w:rPr>
            <w:rStyle w:val="Hyperlink"/>
            <w:rFonts w:ascii="Times New Roman" w:hAnsi="Times New Roman" w:cs="Times New Roman"/>
          </w:rPr>
          <w:t>9</w:t>
        </w:r>
      </w:hyperlink>
      <w:r w:rsidRPr="0097287A">
        <w:rPr>
          <w:rFonts w:ascii="Times New Roman" w:hAnsi="Times New Roman" w:cs="Times New Roman"/>
        </w:rPr>
        <w:t xml:space="preserve">, </w:t>
      </w:r>
      <w:r w:rsidRPr="0097287A">
        <w:rPr>
          <w:rFonts w:ascii="Times New Roman" w:hAnsi="Times New Roman" w:cs="Times New Roman"/>
        </w:rPr>
        <w:t xml:space="preserve">The asymptotic constant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is therefore an operative empirical quantity rather than a theoretical limiting case. Civil cases exhibit heavier tails than criminal cases, consistent with the longer mean delays and higher extreme-adjournment frequencies docu</w:t>
      </w:r>
      <w:r w:rsidRPr="0097287A">
        <w:rPr>
          <w:rFonts w:ascii="Times New Roman" w:hAnsi="Times New Roman" w:cs="Times New Roman"/>
        </w:rPr>
        <w:t>mented in Table </w:t>
      </w:r>
      <w:hyperlink w:anchor="tab:hill_by_stream">
        <w:r w:rsidRPr="0097287A">
          <w:rPr>
            <w:rStyle w:val="Hyperlink"/>
            <w:rFonts w:ascii="Times New Roman" w:hAnsi="Times New Roman" w:cs="Times New Roman"/>
          </w:rPr>
          <w:t>2</w:t>
        </w:r>
      </w:hyperlink>
      <w:r w:rsidRPr="0097287A">
        <w:rPr>
          <w:rFonts w:ascii="Times New Roman" w:hAnsi="Times New Roman" w:cs="Times New Roman"/>
        </w:rPr>
        <w:t>.</w:t>
      </w:r>
    </w:p>
    <w:p w:rsidR="008B36AB" w:rsidRPr="0097287A" w:rsidRDefault="008B36AB" w:rsidP="0097287A">
      <w:pPr>
        <w:pStyle w:val="BodyText"/>
        <w:spacing w:after="0"/>
        <w:jc w:val="both"/>
        <w:rPr>
          <w:rFonts w:ascii="Times New Roman" w:hAnsi="Times New Roman" w:cs="Times New Roman"/>
        </w:rPr>
      </w:pPr>
    </w:p>
    <w:p w:rsidR="00AF2245" w:rsidRPr="0097287A" w:rsidRDefault="005E6F25" w:rsidP="0097287A">
      <w:pPr>
        <w:pStyle w:val="TableCaption"/>
        <w:spacing w:after="0"/>
        <w:jc w:val="both"/>
        <w:rPr>
          <w:rFonts w:ascii="Times New Roman" w:hAnsi="Times New Roman" w:cs="Times New Roman"/>
        </w:rPr>
      </w:pPr>
      <w:bookmarkStart w:id="38" w:name="tab:hill_by_stream"/>
      <w:r w:rsidRPr="0097287A">
        <w:rPr>
          <w:rFonts w:ascii="Times New Roman" w:hAnsi="Times New Roman" w:cs="Times New Roman"/>
        </w:rPr>
        <w:t>Hill Tail Index Estimates and Adjournment Exceedance Rates by Stream</w:t>
      </w:r>
    </w:p>
    <w:tbl>
      <w:tblPr>
        <w:tblStyle w:val="Table"/>
        <w:tblW w:w="0" w:type="auto"/>
        <w:tblLook w:val="0020" w:firstRow="1" w:lastRow="0" w:firstColumn="0" w:lastColumn="0" w:noHBand="0" w:noVBand="0"/>
        <w:tblCaption w:val="Hill Tail Index Estimates and Adjournment Exceedance Rates by Stream"/>
      </w:tblPr>
      <w:tblGrid>
        <w:gridCol w:w="1969"/>
        <w:gridCol w:w="801"/>
        <w:gridCol w:w="3009"/>
        <w:gridCol w:w="1015"/>
        <w:gridCol w:w="1148"/>
        <w:gridCol w:w="1148"/>
        <w:gridCol w:w="1148"/>
      </w:tblGrid>
      <w:tr w:rsidR="00AF2245" w:rsidRPr="0097287A" w:rsidTr="00AF2245">
        <w:trPr>
          <w:cnfStyle w:val="100000000000" w:firstRow="1" w:lastRow="0" w:firstColumn="0" w:lastColumn="0" w:oddVBand="0" w:evenVBand="0" w:oddHBand="0" w:evenHBand="0" w:firstRowFirstColumn="0" w:firstRowLastColumn="0" w:lastRowFirstColumn="0" w:lastRowLastColumn="0"/>
          <w:tblHeader/>
        </w:trPr>
        <w:tc>
          <w:tcPr>
            <w:tcW w:w="0" w:type="auto"/>
          </w:tcPr>
          <w:p w:rsidR="00AF2245" w:rsidRPr="0097287A" w:rsidRDefault="00AF2245" w:rsidP="0097287A">
            <w:pPr>
              <w:pStyle w:val="Compact"/>
              <w:spacing w:after="0"/>
              <w:jc w:val="both"/>
              <w:rPr>
                <w:rFonts w:ascii="Times New Roman" w:hAnsi="Times New Roman" w:cs="Times New Roman"/>
              </w:rPr>
            </w:pPr>
          </w:p>
        </w:tc>
        <w:tc>
          <w:tcPr>
            <w:tcW w:w="0" w:type="auto"/>
            <w:gridSpan w:val="2"/>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b/>
                <w:bCs/>
              </w:rPr>
              <w:t>Tail index</w:t>
            </w:r>
          </w:p>
        </w:tc>
        <w:tc>
          <w:tcPr>
            <w:tcW w:w="0" w:type="auto"/>
            <w:gridSpan w:val="4"/>
          </w:tcPr>
          <w:p w:rsidR="00AF2245" w:rsidRPr="0097287A" w:rsidRDefault="005E6F25" w:rsidP="0097287A">
            <w:pPr>
              <w:pStyle w:val="Compact"/>
              <w:spacing w:after="0"/>
              <w:jc w:val="both"/>
              <w:rPr>
                <w:rFonts w:ascii="Times New Roman" w:hAnsi="Times New Roman" w:cs="Times New Roman"/>
              </w:rPr>
            </w:pPr>
            <m:oMath>
              <m:r>
                <w:rPr>
                  <w:rFonts w:ascii="Cambria Math" w:hAnsi="Cambria Math" w:cs="Times New Roman"/>
                </w:rPr>
                <m:t>P</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r>
                <m:rPr>
                  <m:sty m:val="p"/>
                </m:rPr>
                <w:rPr>
                  <w:rFonts w:ascii="Cambria Math" w:hAnsi="Cambria Math" w:cs="Times New Roman"/>
                </w:rPr>
                <m:t>&gt;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b/>
                <w:bCs/>
              </w:rPr>
              <w:t xml:space="preserve"> (%)</w:t>
            </w:r>
          </w:p>
        </w:tc>
      </w:tr>
      <w:tr w:rsidR="00AF2245" w:rsidRPr="0097287A">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 xml:space="preserve">2-3(lr)4-7 </w:t>
            </w:r>
            <w:r w:rsidRPr="0097287A">
              <w:rPr>
                <w:rFonts w:ascii="Times New Roman" w:hAnsi="Times New Roman" w:cs="Times New Roman"/>
                <w:b/>
                <w:bCs/>
              </w:rPr>
              <w:t>Stream</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 xml:space="preserve">Hill </w:t>
            </w:r>
            <m:oMath>
              <m:acc>
                <m:accPr>
                  <m:ctrlPr>
                    <w:rPr>
                      <w:rFonts w:ascii="Cambria Math" w:hAnsi="Cambria Math" w:cs="Times New Roman"/>
                    </w:rPr>
                  </m:ctrlPr>
                </m:accPr>
                <m:e>
                  <m:r>
                    <w:rPr>
                      <w:rFonts w:ascii="Cambria Math" w:hAnsi="Cambria Math" w:cs="Times New Roman"/>
                    </w:rPr>
                    <m:t>α</m:t>
                  </m:r>
                </m:e>
              </m:acc>
            </m:oMath>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Regime</w:t>
            </w:r>
          </w:p>
        </w:tc>
        <w:tc>
          <w:tcPr>
            <w:tcW w:w="0" w:type="auto"/>
          </w:tcPr>
          <w:p w:rsidR="00AF2245" w:rsidRPr="0097287A" w:rsidRDefault="005E6F25" w:rsidP="0097287A">
            <w:pPr>
              <w:pStyle w:val="Compact"/>
              <w:spacing w:after="0"/>
              <w:jc w:val="both"/>
              <w:rPr>
                <w:rFonts w:ascii="Times New Roman" w:hAnsi="Times New Roman"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90</m:t>
              </m:r>
            </m:oMath>
            <w:r w:rsidRPr="0097287A">
              <w:rPr>
                <w:rFonts w:ascii="Times New Roman" w:hAnsi="Times New Roman" w:cs="Times New Roman"/>
              </w:rPr>
              <w:t>d</w:t>
            </w:r>
          </w:p>
        </w:tc>
        <w:tc>
          <w:tcPr>
            <w:tcW w:w="0" w:type="auto"/>
          </w:tcPr>
          <w:p w:rsidR="00AF2245" w:rsidRPr="0097287A" w:rsidRDefault="005E6F25" w:rsidP="0097287A">
            <w:pPr>
              <w:pStyle w:val="Compact"/>
              <w:spacing w:after="0"/>
              <w:jc w:val="both"/>
              <w:rPr>
                <w:rFonts w:ascii="Times New Roman" w:hAnsi="Times New Roman"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180</m:t>
              </m:r>
            </m:oMath>
            <w:r w:rsidRPr="0097287A">
              <w:rPr>
                <w:rFonts w:ascii="Times New Roman" w:hAnsi="Times New Roman" w:cs="Times New Roman"/>
              </w:rPr>
              <w:t>d</w:t>
            </w:r>
          </w:p>
        </w:tc>
        <w:tc>
          <w:tcPr>
            <w:tcW w:w="0" w:type="auto"/>
          </w:tcPr>
          <w:p w:rsidR="00AF2245" w:rsidRPr="0097287A" w:rsidRDefault="005E6F25" w:rsidP="0097287A">
            <w:pPr>
              <w:pStyle w:val="Compact"/>
              <w:spacing w:after="0"/>
              <w:jc w:val="both"/>
              <w:rPr>
                <w:rFonts w:ascii="Times New Roman" w:hAnsi="Times New Roman"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365</m:t>
              </m:r>
            </m:oMath>
            <w:r w:rsidRPr="0097287A">
              <w:rPr>
                <w:rFonts w:ascii="Times New Roman" w:hAnsi="Times New Roman" w:cs="Times New Roman"/>
              </w:rPr>
              <w:t>d</w:t>
            </w:r>
          </w:p>
        </w:tc>
        <w:tc>
          <w:tcPr>
            <w:tcW w:w="0" w:type="auto"/>
          </w:tcPr>
          <w:p w:rsidR="00AF2245" w:rsidRPr="0097287A" w:rsidRDefault="005E6F25" w:rsidP="0097287A">
            <w:pPr>
              <w:pStyle w:val="Compact"/>
              <w:spacing w:after="0"/>
              <w:jc w:val="both"/>
              <w:rPr>
                <w:rFonts w:ascii="Times New Roman" w:hAnsi="Times New Roman"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730</m:t>
              </m:r>
            </m:oMath>
            <w:r w:rsidRPr="0097287A">
              <w:rPr>
                <w:rFonts w:ascii="Times New Roman" w:hAnsi="Times New Roman" w:cs="Times New Roman"/>
              </w:rPr>
              <w:t>d</w:t>
            </w:r>
          </w:p>
        </w:tc>
      </w:tr>
      <w:tr w:rsidR="00AF2245" w:rsidRPr="0097287A">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Criminal</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4.48</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 xml:space="preserve">Moderate; all </w:t>
            </w:r>
            <w:r w:rsidRPr="0097287A">
              <w:rPr>
                <w:rFonts w:ascii="Times New Roman" w:hAnsi="Times New Roman" w:cs="Times New Roman"/>
              </w:rPr>
              <w:t>moments finite</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18.54</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2.07</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0.07</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0.01</w:t>
            </w:r>
          </w:p>
        </w:tc>
      </w:tr>
      <w:tr w:rsidR="00AF2245" w:rsidRPr="0097287A">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Civil</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2.08</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Near-infinite variance</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24.36</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4.91</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1.18</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0.21</w:t>
            </w:r>
          </w:p>
        </w:tc>
      </w:tr>
    </w:tbl>
    <w:bookmarkEnd w:id="38"/>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i/>
          <w:iCs/>
        </w:rPr>
        <w:t xml:space="preserve">Both Hill estimates satisfy </w:t>
      </w:r>
      <m:oMath>
        <m:acc>
          <m:accPr>
            <m:ctrlPr>
              <w:rPr>
                <w:rFonts w:ascii="Cambria Math" w:hAnsi="Cambria Math" w:cs="Times New Roman"/>
              </w:rPr>
            </m:ctrlPr>
          </m:accPr>
          <m:e>
            <m:r>
              <w:rPr>
                <w:rFonts w:ascii="Cambria Math" w:hAnsi="Cambria Math" w:cs="Times New Roman"/>
              </w:rPr>
              <m:t>α</m:t>
            </m:r>
          </m:e>
        </m:acc>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i/>
          <w:iCs/>
        </w:rPr>
        <w:t xml:space="preserve">, confirming finite mean workload and a well-defined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i/>
          <w:iCs/>
        </w:rPr>
        <w:t xml:space="preserve"> (Proposition </w:t>
      </w:r>
      <w:hyperlink w:anchor="prop:ckappa">
        <w:r w:rsidRPr="0097287A">
          <w:rPr>
            <w:rStyle w:val="Hyperlink"/>
            <w:rFonts w:ascii="Times New Roman" w:hAnsi="Times New Roman" w:cs="Times New Roman"/>
            <w:i/>
            <w:iCs/>
          </w:rPr>
          <w:t>9</w:t>
        </w:r>
      </w:hyperlink>
      <w:r w:rsidRPr="0097287A">
        <w:rPr>
          <w:rFonts w:ascii="Times New Roman" w:hAnsi="Times New Roman" w:cs="Times New Roman"/>
          <w:i/>
          <w:iCs/>
        </w:rPr>
        <w:t xml:space="preserve">). The civil estimate </w:t>
      </w:r>
      <w:r w:rsidRPr="0097287A">
        <w:rPr>
          <w:rFonts w:ascii="Times New Roman" w:hAnsi="Times New Roman" w:cs="Times New Roman"/>
          <w:i/>
          <w:iCs/>
        </w:rPr>
        <w:t>2.08 is 0.28 units above the infinite-variance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i/>
          <w:iCs/>
        </w:rPr>
        <w:t xml:space="preserve">); the stress scenario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in Table </w:t>
      </w:r>
      <w:hyperlink w:anchor="tab:tail">
        <w:r w:rsidRPr="0097287A">
          <w:rPr>
            <w:rStyle w:val="Hyperlink"/>
            <w:rFonts w:ascii="Times New Roman" w:hAnsi="Times New Roman" w:cs="Times New Roman"/>
            <w:i/>
            <w:iCs/>
          </w:rPr>
          <w:t>5</w:t>
        </w:r>
      </w:hyperlink>
      <w:r w:rsidRPr="0097287A">
        <w:rPr>
          <w:rFonts w:ascii="Times New Roman" w:hAnsi="Times New Roman" w:cs="Times New Roman"/>
          <w:i/>
          <w:iCs/>
        </w:rPr>
        <w:t xml:space="preserve"> represents a plausible 0.28-unit deterioration. Exceedance rates confirm the civil stream’s disproportionate contribution</w:t>
      </w:r>
      <w:r w:rsidRPr="0097287A">
        <w:rPr>
          <w:rFonts w:ascii="Times New Roman" w:hAnsi="Times New Roman" w:cs="Times New Roman"/>
          <w:i/>
          <w:iCs/>
        </w:rPr>
        <w:t xml:space="preserve"> to extreme-delay backlog: the 1.18% vs. 0.07% gap at 365 days is invisible to mean-based metrics.</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Collectively, these findings establish that both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j</m:t>
            </m:r>
          </m:sub>
        </m:sSub>
      </m:oMath>
      <w:r w:rsidRPr="0097287A">
        <w:rPr>
          <w:rFonts w:ascii="Times New Roman" w:hAnsi="Times New Roman" w:cs="Times New Roman"/>
        </w:rPr>
        <w:t xml:space="preserve"> and </w:t>
      </w:r>
      <m:oMath>
        <m:r>
          <w:rPr>
            <w:rFonts w:ascii="Cambria Math" w:hAnsi="Cambria Math" w:cs="Times New Roman"/>
          </w:rPr>
          <m:t>X</m:t>
        </m:r>
      </m:oMath>
      <w:r w:rsidRPr="0097287A">
        <w:rPr>
          <w:rFonts w:ascii="Times New Roman" w:hAnsi="Times New Roman" w:cs="Times New Roman"/>
        </w:rPr>
        <w:t xml:space="preserve"> exhibit moderately heavy-tailed behavior sufficient to validate the regularly varying conditions</w:t>
      </w:r>
      <w:r w:rsidRPr="0097287A">
        <w:rPr>
          <w:rFonts w:ascii="Times New Roman" w:hAnsi="Times New Roman" w:cs="Times New Roman"/>
        </w:rPr>
        <w:t xml:space="preserve"> of Assumptions 2 and 5. Backlog accumulation in Kenya’s </w:t>
      </w:r>
      <w:r w:rsidRPr="0097287A">
        <w:rPr>
          <w:rFonts w:ascii="Times New Roman" w:hAnsi="Times New Roman" w:cs="Times New Roman"/>
        </w:rPr>
        <w:lastRenderedPageBreak/>
        <w:t>Magistrates’ Courts is driven not by typical cases but by the rare, extreme realisations in the upper tails, a finding that fundamentally reframes what constitutes effective judicial performance mana</w:t>
      </w:r>
      <w:r w:rsidRPr="0097287A">
        <w:rPr>
          <w:rFonts w:ascii="Times New Roman" w:hAnsi="Times New Roman" w:cs="Times New Roman"/>
        </w:rPr>
        <w:t>gement.</w:t>
      </w:r>
    </w:p>
    <w:p w:rsidR="00AF2245" w:rsidRPr="008B36AB" w:rsidRDefault="005E6F25" w:rsidP="008B36AB">
      <w:pPr>
        <w:pStyle w:val="Heading2"/>
        <w:numPr>
          <w:ilvl w:val="0"/>
          <w:numId w:val="0"/>
        </w:numPr>
        <w:spacing w:after="0"/>
        <w:ind w:left="576" w:hanging="576"/>
        <w:jc w:val="both"/>
        <w:rPr>
          <w:rFonts w:ascii="Times New Roman" w:hAnsi="Times New Roman" w:cs="Times New Roman"/>
          <w:b/>
          <w:bCs/>
          <w:sz w:val="24"/>
          <w:szCs w:val="24"/>
        </w:rPr>
      </w:pPr>
      <w:bookmarkStart w:id="39" w:name="Xd60807277b63ef4a66688b3e9f53f27ff6e1883"/>
      <w:bookmarkEnd w:id="33"/>
      <w:bookmarkEnd w:id="36"/>
      <w:r w:rsidRPr="008B36AB">
        <w:rPr>
          <w:rFonts w:ascii="Times New Roman" w:hAnsi="Times New Roman" w:cs="Times New Roman"/>
          <w:b/>
          <w:bCs/>
          <w:sz w:val="24"/>
          <w:szCs w:val="24"/>
        </w:rPr>
        <w:t>Asymptotic Results and Simulation Analysis</w:t>
      </w:r>
    </w:p>
    <w:p w:rsidR="00AF2245" w:rsidRPr="008B36AB" w:rsidRDefault="005E6F25" w:rsidP="008B36AB">
      <w:pPr>
        <w:pStyle w:val="Heading3"/>
        <w:numPr>
          <w:ilvl w:val="0"/>
          <w:numId w:val="0"/>
        </w:numPr>
        <w:spacing w:after="0"/>
        <w:ind w:left="720" w:hanging="720"/>
        <w:jc w:val="both"/>
        <w:rPr>
          <w:rFonts w:ascii="Times New Roman" w:hAnsi="Times New Roman" w:cs="Times New Roman"/>
          <w:b/>
          <w:bCs/>
          <w:sz w:val="24"/>
          <w:szCs w:val="24"/>
        </w:rPr>
      </w:pPr>
      <w:bookmarkStart w:id="40" w:name="X62e8a896e9c83f84b1a9fb1b274ba1ebd8d18ec"/>
      <w:r w:rsidRPr="008B36AB">
        <w:rPr>
          <w:rFonts w:ascii="Times New Roman" w:hAnsi="Times New Roman" w:cs="Times New Roman"/>
          <w:b/>
          <w:bCs/>
          <w:sz w:val="24"/>
          <w:szCs w:val="24"/>
        </w:rPr>
        <w:t>Derivation of Asymptotic Backlog Probabilities</w:t>
      </w:r>
    </w:p>
    <w:p w:rsidR="00AF2245" w:rsidRPr="0097287A" w:rsidRDefault="005E6F25" w:rsidP="0097287A">
      <w:pPr>
        <w:pStyle w:val="FirstParagraph"/>
        <w:spacing w:after="0"/>
        <w:jc w:val="both"/>
        <w:rPr>
          <w:rFonts w:ascii="Times New Roman" w:hAnsi="Times New Roman" w:cs="Times New Roman"/>
        </w:rPr>
      </w:pPr>
      <w:bookmarkStart w:id="41" w:name="thm:asymptotic"/>
      <w:r w:rsidRPr="0097287A">
        <w:rPr>
          <w:rFonts w:ascii="Times New Roman" w:hAnsi="Times New Roman" w:cs="Times New Roman"/>
          <w:b/>
          <w:bCs/>
        </w:rPr>
        <w:t>Theorem 11</w:t>
      </w:r>
      <w:r w:rsidRPr="0097287A">
        <w:rPr>
          <w:rFonts w:ascii="Times New Roman" w:hAnsi="Times New Roman" w:cs="Times New Roman"/>
        </w:rPr>
        <w:t xml:space="preserve"> (Asymptotic Backlog Probability).  </w:t>
      </w:r>
      <w:r w:rsidRPr="0097287A">
        <w:rPr>
          <w:rFonts w:ascii="Times New Roman" w:hAnsi="Times New Roman" w:cs="Times New Roman"/>
          <w:i/>
          <w:iCs/>
        </w:rPr>
        <w:t xml:space="preserve">Let the total workload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sub>
          <m:sup>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sup>
          <m:e>
            <m:sSubSup>
              <m:sSubSupPr>
                <m:ctrlPr>
                  <w:rPr>
                    <w:rFonts w:ascii="Cambria Math" w:hAnsi="Cambria Math" w:cs="Times New Roman"/>
                  </w:rPr>
                </m:ctrlPr>
              </m:sSubSupPr>
              <m:e>
                <m:r>
                  <w:rPr>
                    <w:rFonts w:ascii="Cambria Math" w:hAnsi="Cambria Math" w:cs="Times New Roman"/>
                  </w:rPr>
                  <m:t>Y</m:t>
                </m:r>
              </m:e>
              <m:sub>
                <m:r>
                  <w:rPr>
                    <w:rFonts w:ascii="Cambria Math" w:hAnsi="Cambria Math" w:cs="Times New Roman"/>
                  </w:rPr>
                  <m:t>ij</m:t>
                </m:r>
              </m:sub>
              <m:sup>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e>
        </m:nary>
      </m:oMath>
      <w:r w:rsidRPr="0097287A">
        <w:rPr>
          <w:rFonts w:ascii="Times New Roman" w:hAnsi="Times New Roman" w:cs="Times New Roman"/>
          <w:i/>
          <w:iCs/>
        </w:rPr>
        <w:t xml:space="preserve"> follow a distribution with a regularly varying tail </w:t>
      </w:r>
      <m:oMath>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κ</m:t>
                </m:r>
              </m:sub>
            </m:sSub>
          </m:sub>
        </m:sSub>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x</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r>
          <w:rPr>
            <w:rFonts w:ascii="Cambria Math" w:hAnsi="Cambria Math" w:cs="Times New Roman"/>
          </w:rPr>
          <m:t>L</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oMath>
      <w:r w:rsidRPr="0097287A">
        <w:rPr>
          <w:rFonts w:ascii="Times New Roman" w:hAnsi="Times New Roman" w:cs="Times New Roman"/>
          <w:i/>
          <w:iCs/>
        </w:rPr>
        <w:t xml:space="preserve">, where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oMath>
      <w:r w:rsidRPr="0097287A">
        <w:rPr>
          <w:rFonts w:ascii="Times New Roman" w:hAnsi="Times New Roman" w:cs="Times New Roman"/>
          <w:i/>
          <w:iCs/>
        </w:rPr>
        <w:t xml:space="preserve"> is slowly varying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&gt;</m:t>
        </m:r>
        <m:r>
          <w:rPr>
            <w:rFonts w:ascii="Cambria Math" w:hAnsi="Cambria Math" w:cs="Times New Roman"/>
          </w:rPr>
          <m:t>1</m:t>
        </m:r>
      </m:oMath>
      <w:r w:rsidRPr="0097287A">
        <w:rPr>
          <w:rFonts w:ascii="Times New Roman" w:hAnsi="Times New Roman" w:cs="Times New Roman"/>
          <w:i/>
          <w:iCs/>
        </w:rPr>
        <w:t xml:space="preserve">. Under the bidimensional surplus model </w:t>
      </w:r>
      <w:hyperlink w:anchor="eq:bidimensional">
        <w:r w:rsidRPr="0097287A">
          <w:rPr>
            <w:rStyle w:val="Hyperlink"/>
            <w:rFonts w:ascii="Times New Roman" w:hAnsi="Times New Roman" w:cs="Times New Roman"/>
            <w:i/>
            <w:iCs/>
          </w:rPr>
          <w:t>[eq:bidimensional]</w:t>
        </w:r>
      </w:hyperlink>
      <w:r w:rsidRPr="0097287A">
        <w:rPr>
          <w:rFonts w:ascii="Times New Roman" w:hAnsi="Times New Roman" w:cs="Times New Roman"/>
          <w:i/>
          <w:iCs/>
        </w:rPr>
        <w:t>, the marginal backlog probability sa</w:t>
      </w:r>
      <w:r w:rsidRPr="0097287A">
        <w:rPr>
          <w:rFonts w:ascii="Times New Roman" w:hAnsi="Times New Roman" w:cs="Times New Roman"/>
          <w:i/>
          <w:iCs/>
        </w:rPr>
        <w:t xml:space="preserve">tisfies: </w:t>
      </w:r>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i/>
          <w:iCs/>
        </w:rPr>
        <w:t xml:space="preserve"> where: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w:rPr>
                <w:rFonts w:ascii="Cambria Math" w:hAnsi="Cambria Math" w:cs="Times New Roman"/>
              </w:rPr>
              <m:t> </m:t>
            </m:r>
            <m:r>
              <m:rPr>
                <m:scr m:val="double-struck"/>
                <m:sty m:val="p"/>
              </m:rP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num>
          <m:den>
            <m:r>
              <w:rPr>
                <w:rFonts w:ascii="Cambria Math" w:hAnsi="Cambria Math" w:cs="Times New Roman"/>
              </w:rPr>
              <m: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den>
        </m:f>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c</m:t>
                        </m:r>
                      </m:e>
                    </m:acc>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cr m:val="double-struck"/>
                    <m:sty m:val="p"/>
                  </m:rP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κ</m:t>
                    </m:r>
                  </m:sub>
                </m:sSub>
                <m:r>
                  <m:rPr>
                    <m:sty m:val="p"/>
                  </m:rPr>
                  <w:rPr>
                    <w:rFonts w:ascii="Cambria Math" w:hAnsi="Cambria Math" w:cs="Times New Roman"/>
                  </w:rPr>
                  <m:t>]</m:t>
                </m:r>
              </m:den>
            </m:f>
          </m:e>
        </m:d>
        <m:r>
          <m:rPr>
            <m:sty m:val="p"/>
          </m:rPr>
          <w:rPr>
            <w:rFonts w:ascii="Cambria Math" w:hAnsi="Cambria Math" w:cs="Times New Roman"/>
          </w:rPr>
          <m:t>.</m:t>
        </m:r>
      </m:oMath>
    </w:p>
    <w:bookmarkEnd w:id="41"/>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i/>
          <w:iCs/>
        </w:rPr>
        <w:t>Proof Sketch.</w:t>
      </w:r>
      <w:r w:rsidRPr="0097287A">
        <w:rPr>
          <w:rFonts w:ascii="Times New Roman" w:hAnsi="Times New Roman" w:cs="Times New Roman"/>
        </w:rPr>
        <w:t xml:space="preserve"> The proof applies the Large Deviation Principle for heavy-tailed processes. Transforming the surplus process into an integrated tail representation and applying the subexponential property (the tail of a sum is asymptotic to the sum of the tails) isolates</w:t>
      </w:r>
      <w:r w:rsidRPr="0097287A">
        <w:rPr>
          <w:rFonts w:ascii="Times New Roman" w:hAnsi="Times New Roman" w:cs="Times New Roman"/>
        </w:rPr>
        <w:t xml:space="preserve"> the polynomial decay factor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bSup>
      </m:oMath>
      <w:r w:rsidRPr="0097287A">
        <w:rPr>
          <w:rFonts w:ascii="Times New Roman" w:hAnsi="Times New Roman" w:cs="Times New Roman"/>
        </w:rPr>
        <w:t xml:space="preserve">. The urgency factor </w:t>
      </w:r>
      <m:oMath>
        <m:r>
          <w:rPr>
            <w:rFonts w:ascii="Cambria Math" w:hAnsi="Cambria Math" w:cs="Times New Roman"/>
          </w:rPr>
          <m:t>r</m:t>
        </m:r>
      </m:oMath>
      <w:r w:rsidRPr="0097287A">
        <w:rPr>
          <w:rFonts w:ascii="Times New Roman" w:hAnsi="Times New Roman" w:cs="Times New Roman"/>
        </w:rPr>
        <w:t xml:space="preserve"> shifts the effective safety loading </w:t>
      </w:r>
      <w:r w:rsidRPr="0097287A">
        <w:rPr>
          <w:rFonts w:ascii="Apple Color Emoji" w:hAnsi="Apple Color Emoji" w:cs="Apple Color Emoji"/>
        </w:rPr>
        <w:t>◻</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With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the polynomial asymptotic </w:t>
      </w:r>
      <w:hyperlink w:anchor="eq:asymptotic_result">
        <w:r w:rsidRPr="0097287A">
          <w:rPr>
            <w:rStyle w:val="Hyperlink"/>
            <w:rFonts w:ascii="Times New Roman" w:hAnsi="Times New Roman" w:cs="Times New Roman"/>
          </w:rPr>
          <w:t>[eq</w:t>
        </w:r>
        <w:proofErr w:type="gramStart"/>
        <w:r w:rsidRPr="0097287A">
          <w:rPr>
            <w:rStyle w:val="Hyperlink"/>
            <w:rFonts w:ascii="Times New Roman" w:hAnsi="Times New Roman" w:cs="Times New Roman"/>
          </w:rPr>
          <w:t>:asymptotic</w:t>
        </w:r>
        <w:proofErr w:type="gramEnd"/>
        <w:r w:rsidRPr="0097287A">
          <w:rPr>
            <w:rStyle w:val="Hyperlink"/>
            <w:rFonts w:ascii="Times New Roman" w:hAnsi="Times New Roman" w:cs="Times New Roman"/>
          </w:rPr>
          <w:t>_result]</w:t>
        </w:r>
      </w:hyperlink>
      <w:r w:rsidRPr="0097287A">
        <w:rPr>
          <w:rFonts w:ascii="Times New Roman" w:hAnsi="Times New Roman" w:cs="Times New Roman"/>
        </w:rPr>
        <w:t xml:space="preserve"> is an operative empirical estimate for the ci</w:t>
      </w:r>
      <w:r w:rsidRPr="0097287A">
        <w:rPr>
          <w:rFonts w:ascii="Times New Roman" w:hAnsi="Times New Roman" w:cs="Times New Roman"/>
        </w:rPr>
        <w:t xml:space="preserve">vil stream: the corresponding </w:t>
      </w:r>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civil</m:t>
            </m:r>
          </m:sub>
        </m:sSub>
      </m:oMath>
      <w:r w:rsidRPr="0097287A">
        <w:rPr>
          <w:rFonts w:ascii="Times New Roman" w:hAnsi="Times New Roman" w:cs="Times New Roman"/>
        </w:rPr>
        <w:t xml:space="preserve"> can be computed directly from the estimated parameters. For the criminal stream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the decay is faster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r>
              <w:rPr>
                <w:rFonts w:ascii="Cambria Math" w:hAnsi="Cambria Math" w:cs="Times New Roman"/>
              </w:rPr>
              <m:t>4.48</m:t>
            </m:r>
          </m:sup>
        </m:sSubSup>
      </m:oMath>
      <w:r w:rsidRPr="0097287A">
        <w:rPr>
          <w:rFonts w:ascii="Times New Roman" w:hAnsi="Times New Roman" w:cs="Times New Roman"/>
        </w:rPr>
        <w:t xml:space="preserve"> vs.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κ</m:t>
            </m:r>
          </m:sub>
          <m:sup>
            <m:r>
              <m:rPr>
                <m:sty m:val="p"/>
              </m:rPr>
              <w:rPr>
                <w:rFonts w:ascii="Cambria Math" w:hAnsi="Cambria Math" w:cs="Times New Roman"/>
              </w:rPr>
              <m:t>-</m:t>
            </m:r>
            <m:r>
              <w:rPr>
                <w:rFonts w:ascii="Cambria Math" w:hAnsi="Cambria Math" w:cs="Times New Roman"/>
              </w:rPr>
              <m:t>2.08</m:t>
            </m:r>
          </m:sup>
        </m:sSubSup>
      </m:oMath>
      <w:r w:rsidRPr="0097287A">
        <w:rPr>
          <w:rFonts w:ascii="Times New Roman" w:hAnsi="Times New Roman" w:cs="Times New Roman"/>
        </w:rPr>
        <w:t>), confirming the empirically observed pattern that criminal backlogs dissi</w:t>
      </w:r>
      <w:r w:rsidRPr="0097287A">
        <w:rPr>
          <w:rFonts w:ascii="Times New Roman" w:hAnsi="Times New Roman" w:cs="Times New Roman"/>
        </w:rPr>
        <w:t>pate more rapidly than civil backlogs for equivalent initial levels.</w:t>
      </w:r>
    </w:p>
    <w:p w:rsidR="00AF2245" w:rsidRPr="008B36AB" w:rsidRDefault="005E6F25" w:rsidP="008B36AB">
      <w:pPr>
        <w:pStyle w:val="Heading3"/>
        <w:numPr>
          <w:ilvl w:val="0"/>
          <w:numId w:val="0"/>
        </w:numPr>
        <w:spacing w:after="0"/>
        <w:ind w:left="720" w:hanging="720"/>
        <w:jc w:val="both"/>
        <w:rPr>
          <w:rFonts w:ascii="Times New Roman" w:hAnsi="Times New Roman" w:cs="Times New Roman"/>
          <w:b/>
          <w:bCs/>
          <w:sz w:val="24"/>
          <w:szCs w:val="24"/>
        </w:rPr>
      </w:pPr>
      <w:bookmarkStart w:id="42" w:name="subsec:asymptotic-backlog"/>
      <w:bookmarkEnd w:id="40"/>
      <w:r w:rsidRPr="008B36AB">
        <w:rPr>
          <w:rFonts w:ascii="Times New Roman" w:hAnsi="Times New Roman" w:cs="Times New Roman"/>
          <w:b/>
          <w:bCs/>
          <w:sz w:val="24"/>
          <w:szCs w:val="24"/>
        </w:rPr>
        <w:t>Asymptotic Backlog Probability Analysis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Figure </w:t>
      </w:r>
      <w:hyperlink w:anchor="fig:asymptotic_decay">
        <w:r w:rsidRPr="0097287A">
          <w:rPr>
            <w:rStyle w:val="Hyperlink"/>
            <w:rFonts w:ascii="Times New Roman" w:hAnsi="Times New Roman" w:cs="Times New Roman"/>
          </w:rPr>
          <w:t>5</w:t>
        </w:r>
      </w:hyperlink>
      <w:r w:rsidRPr="0097287A">
        <w:rPr>
          <w:rFonts w:ascii="Times New Roman" w:hAnsi="Times New Roman" w:cs="Times New Roman"/>
        </w:rPr>
        <w:t xml:space="preserve"> plots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r>
          <m:rPr>
            <m:sty m:val="p"/>
          </m:rPr>
          <w:rPr>
            <w:rFonts w:ascii="Cambria Math" w:hAnsi="Cambria Math" w:cs="Times New Roman"/>
          </w:rPr>
          <m:t>)</m:t>
        </m:r>
      </m:oMath>
      <w:r w:rsidRPr="0097287A">
        <w:rPr>
          <w:rFonts w:ascii="Times New Roman" w:hAnsi="Times New Roman" w:cs="Times New Roman"/>
        </w:rPr>
        <w:t xml:space="preserve"> against the initial backlog level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κ</m:t>
            </m:r>
          </m:sub>
        </m:sSub>
      </m:oMath>
      <w:r w:rsidRPr="0097287A">
        <w:rPr>
          <w:rFonts w:ascii="Times New Roman" w:hAnsi="Times New Roman" w:cs="Times New Roman"/>
        </w:rPr>
        <w:t xml:space="preserve"> on a log-log scale under baseline parameter estimates. The civil stream’s slower decay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means that backlog probability remains non-negligible even at high initial surplus levels, while the criminal stream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achieves substantially faster r</w:t>
      </w:r>
      <w:r w:rsidRPr="0097287A">
        <w:rPr>
          <w:rFonts w:ascii="Times New Roman" w:hAnsi="Times New Roman" w:cs="Times New Roman"/>
        </w:rPr>
        <w:t>eduction. A court station that appears adequately resourced on average retains a non-trivial probability of sustained backlog accumulation driven by a small number of disproportionately large civil cases. Conventional mean-based performance metrics therefo</w:t>
      </w:r>
      <w:r w:rsidRPr="0097287A">
        <w:rPr>
          <w:rFonts w:ascii="Times New Roman" w:hAnsi="Times New Roman" w:cs="Times New Roman"/>
        </w:rPr>
        <w:t>re systematically underestimate systemic congestion risk.</w:t>
      </w:r>
    </w:p>
    <w:p w:rsidR="00AF2245" w:rsidRPr="0097287A" w:rsidRDefault="005E6F25" w:rsidP="008B36AB">
      <w:pPr>
        <w:pStyle w:val="CaptionedFigure"/>
        <w:spacing w:after="0"/>
        <w:jc w:val="center"/>
        <w:rPr>
          <w:rFonts w:ascii="Times New Roman" w:hAnsi="Times New Roman" w:cs="Times New Roman"/>
        </w:rPr>
      </w:pPr>
      <w:bookmarkStart w:id="43" w:name="fig:asymptotic_decay"/>
      <w:r w:rsidRPr="0097287A">
        <w:rPr>
          <w:rFonts w:ascii="Times New Roman" w:hAnsi="Times New Roman" w:cs="Times New Roman"/>
          <w:noProof/>
          <w:lang w:val="en-IN" w:eastAsia="en-IN"/>
        </w:rPr>
        <w:drawing>
          <wp:inline distT="0" distB="0" distL="0" distR="0">
            <wp:extent cx="4267200" cy="2545650"/>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7" name="Picture" descr="asymptotic_backlog1.png"/>
                    <pic:cNvPicPr>
                      <a:picLocks noChangeAspect="1" noChangeArrowheads="1"/>
                    </pic:cNvPicPr>
                  </pic:nvPicPr>
                  <pic:blipFill>
                    <a:blip r:embed="rId13"/>
                    <a:stretch>
                      <a:fillRect/>
                    </a:stretch>
                  </pic:blipFill>
                  <pic:spPr bwMode="auto">
                    <a:xfrm>
                      <a:off x="0" y="0"/>
                      <a:ext cx="4267200" cy="2545650"/>
                    </a:xfrm>
                    <a:prstGeom prst="rect">
                      <a:avLst/>
                    </a:prstGeom>
                    <a:noFill/>
                    <a:ln w="9525">
                      <a:noFill/>
                      <a:headEnd/>
                      <a:tailEnd/>
                    </a:ln>
                  </pic:spPr>
                </pic:pic>
              </a:graphicData>
            </a:graphic>
          </wp:inline>
        </w:drawing>
      </w:r>
    </w:p>
    <w:p w:rsidR="00AF2245" w:rsidRDefault="005E6F25" w:rsidP="0097287A">
      <w:pPr>
        <w:pStyle w:val="ImageCaption"/>
        <w:spacing w:after="0"/>
        <w:jc w:val="both"/>
        <w:rPr>
          <w:rFonts w:ascii="Times New Roman" w:hAnsi="Times New Roman" w:cs="Times New Roman"/>
        </w:rPr>
      </w:pPr>
      <w:r w:rsidRPr="0097287A">
        <w:rPr>
          <w:rFonts w:ascii="Times New Roman" w:hAnsi="Times New Roman" w:cs="Times New Roman"/>
        </w:rPr>
        <w:t>Asymptotic backlog probability curves for adjournment durations and workload complexity.</w:t>
      </w:r>
    </w:p>
    <w:p w:rsidR="008B36AB" w:rsidRPr="0097287A" w:rsidRDefault="008B36AB" w:rsidP="0097287A">
      <w:pPr>
        <w:pStyle w:val="ImageCaption"/>
        <w:spacing w:after="0"/>
        <w:jc w:val="both"/>
        <w:rPr>
          <w:rFonts w:ascii="Times New Roman" w:hAnsi="Times New Roman" w:cs="Times New Roman"/>
        </w:rPr>
      </w:pPr>
    </w:p>
    <w:p w:rsidR="00AF2245" w:rsidRPr="008B36AB" w:rsidRDefault="005E6F25" w:rsidP="008B36AB">
      <w:pPr>
        <w:pStyle w:val="Heading2"/>
        <w:numPr>
          <w:ilvl w:val="0"/>
          <w:numId w:val="0"/>
        </w:numPr>
        <w:spacing w:after="0"/>
        <w:ind w:left="576" w:hanging="576"/>
        <w:jc w:val="both"/>
        <w:rPr>
          <w:rFonts w:ascii="Times New Roman" w:hAnsi="Times New Roman" w:cs="Times New Roman"/>
          <w:b/>
          <w:bCs/>
          <w:sz w:val="24"/>
          <w:szCs w:val="24"/>
        </w:rPr>
      </w:pPr>
      <w:bookmarkStart w:id="44" w:name="subsec:scenario"/>
      <w:bookmarkEnd w:id="39"/>
      <w:bookmarkEnd w:id="42"/>
      <w:bookmarkEnd w:id="43"/>
      <w:r w:rsidRPr="008B36AB">
        <w:rPr>
          <w:rFonts w:ascii="Times New Roman" w:hAnsi="Times New Roman" w:cs="Times New Roman"/>
          <w:b/>
          <w:bCs/>
          <w:sz w:val="24"/>
          <w:szCs w:val="24"/>
        </w:rPr>
        <w:t>Scenario-Based Stress Testing and Sensitivity Analysis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Scenario-based testing was conducted to evaluate model robustness. Three key parameters were varied systematically: processing capacity </w:t>
      </w:r>
      <m:oMath>
        <m:r>
          <m:rPr>
            <m:scr m:val="double-struck"/>
            <m:sty m:val="p"/>
          </m:rP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w:r w:rsidRPr="0097287A">
        <w:rPr>
          <w:rFonts w:ascii="Times New Roman" w:hAnsi="Times New Roman" w:cs="Times New Roman"/>
        </w:rPr>
        <w:t xml:space="preserve">, adjournment tail index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rPr>
        <w:t xml:space="preserve">, and case arrival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rPr>
        <w:t xml:space="preserve">. For each </w:t>
      </w:r>
      <w:r w:rsidRPr="0097287A">
        <w:rPr>
          <w:rFonts w:ascii="Times New Roman" w:hAnsi="Times New Roman" w:cs="Times New Roman"/>
        </w:rPr>
        <w:lastRenderedPageBreak/>
        <w:t>scenario, three outcomes were recorded:</w:t>
      </w:r>
      <w:r w:rsidRPr="0097287A">
        <w:rPr>
          <w:rFonts w:ascii="Times New Roman" w:hAnsi="Times New Roman" w:cs="Times New Roman"/>
        </w:rPr>
        <w:t xml:space="preserve"> backlog exceedance probability </w:t>
      </w: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rPr>
        <w:t xml:space="preserve">, mean case resolution time (Mean RT), and a resilience score </w:t>
      </w:r>
      <m:oMath>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rPr>
        <w:t xml:space="preserve"> at a 12-month horizon.</w:t>
      </w:r>
    </w:p>
    <w:p w:rsidR="00AF2245" w:rsidRPr="008B36AB" w:rsidRDefault="005E6F25" w:rsidP="008B36AB">
      <w:pPr>
        <w:pStyle w:val="Heading3"/>
        <w:numPr>
          <w:ilvl w:val="0"/>
          <w:numId w:val="0"/>
        </w:numPr>
        <w:spacing w:after="0"/>
        <w:ind w:left="720" w:hanging="720"/>
        <w:jc w:val="both"/>
        <w:rPr>
          <w:rFonts w:ascii="Times New Roman" w:hAnsi="Times New Roman" w:cs="Times New Roman"/>
          <w:b/>
          <w:bCs/>
          <w:sz w:val="24"/>
          <w:szCs w:val="24"/>
        </w:rPr>
      </w:pPr>
      <w:bookmarkStart w:id="45" w:name="subsubsec:high-risk"/>
      <w:r w:rsidRPr="008B36AB">
        <w:rPr>
          <w:rFonts w:ascii="Times New Roman" w:hAnsi="Times New Roman" w:cs="Times New Roman"/>
          <w:b/>
          <w:bCs/>
          <w:sz w:val="24"/>
          <w:szCs w:val="24"/>
        </w:rPr>
        <w:t>High-Risk Configurations</w:t>
      </w:r>
    </w:p>
    <w:p w:rsidR="00AF2245" w:rsidRPr="0097287A" w:rsidRDefault="005E6F25" w:rsidP="0097287A">
      <w:pPr>
        <w:pStyle w:val="TableCaption"/>
        <w:spacing w:after="0"/>
        <w:jc w:val="both"/>
        <w:rPr>
          <w:rFonts w:ascii="Times New Roman" w:hAnsi="Times New Roman" w:cs="Times New Roman"/>
        </w:rPr>
      </w:pPr>
      <w:bookmarkStart w:id="46" w:name="tab:high_risk"/>
      <w:r w:rsidRPr="0097287A">
        <w:rPr>
          <w:rFonts w:ascii="Times New Roman" w:hAnsi="Times New Roman" w:cs="Times New Roman"/>
        </w:rPr>
        <w:t>Top Scenarios with Highest Backlog Exceedance Probability</w:t>
      </w:r>
    </w:p>
    <w:tbl>
      <w:tblPr>
        <w:tblStyle w:val="Table"/>
        <w:tblW w:w="5000" w:type="pct"/>
        <w:tblLook w:val="0020" w:firstRow="1" w:lastRow="0" w:firstColumn="0" w:lastColumn="0" w:noHBand="0" w:noVBand="0"/>
        <w:tblCaption w:val="Top Scenarios with Highest Backlog Exceedance Probability"/>
      </w:tblPr>
      <w:tblGrid>
        <w:gridCol w:w="812"/>
        <w:gridCol w:w="1422"/>
        <w:gridCol w:w="914"/>
        <w:gridCol w:w="914"/>
        <w:gridCol w:w="2794"/>
        <w:gridCol w:w="2003"/>
        <w:gridCol w:w="2157"/>
      </w:tblGrid>
      <w:tr w:rsidR="00AF2245" w:rsidRPr="0097287A" w:rsidTr="008B36AB">
        <w:trPr>
          <w:cnfStyle w:val="100000000000" w:firstRow="1" w:lastRow="0" w:firstColumn="0" w:lastColumn="0" w:oddVBand="0" w:evenVBand="0" w:oddHBand="0" w:evenHBand="0" w:firstRowFirstColumn="0" w:firstRowLastColumn="0" w:lastRowFirstColumn="0" w:lastRowLastColumn="0"/>
          <w:tblHeader/>
        </w:trPr>
        <w:tc>
          <w:tcPr>
            <w:tcW w:w="368" w:type="pct"/>
          </w:tcPr>
          <w:p w:rsidR="00AF2245" w:rsidRPr="0097287A" w:rsidRDefault="005E6F25"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m:oMathPara>
          </w:p>
        </w:tc>
        <w:tc>
          <w:tcPr>
            <w:tcW w:w="645" w:type="pct"/>
          </w:tcPr>
          <w:p w:rsidR="00AF2245" w:rsidRPr="0097287A" w:rsidRDefault="005E6F25" w:rsidP="0097287A">
            <w:pPr>
              <w:pStyle w:val="Compact"/>
              <w:spacing w:after="0"/>
              <w:jc w:val="both"/>
              <w:rPr>
                <w:rFonts w:ascii="Times New Roman" w:hAnsi="Times New Roman" w:cs="Times New Roman"/>
              </w:rPr>
            </w:pPr>
            <m:oMathPara>
              <m:oMath>
                <m:r>
                  <m:rPr>
                    <m:scr m:val="double-struck"/>
                    <m:sty m:val="p"/>
                  </m:rP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m:oMathPara>
          </w:p>
        </w:tc>
        <w:tc>
          <w:tcPr>
            <w:tcW w:w="415" w:type="pct"/>
          </w:tcPr>
          <w:p w:rsidR="00AF2245" w:rsidRPr="0097287A" w:rsidRDefault="005E6F25"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m:oMathPara>
          </w:p>
        </w:tc>
        <w:tc>
          <w:tcPr>
            <w:tcW w:w="415" w:type="pct"/>
          </w:tcPr>
          <w:p w:rsidR="00AF2245" w:rsidRPr="0097287A" w:rsidRDefault="005E6F25"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X</m:t>
                    </m:r>
                  </m:sub>
                </m:sSub>
              </m:oMath>
            </m:oMathPara>
          </w:p>
        </w:tc>
        <w:tc>
          <w:tcPr>
            <w:tcW w:w="1268"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Backlog prob.</w:t>
            </w:r>
          </w:p>
        </w:tc>
        <w:tc>
          <w:tcPr>
            <w:tcW w:w="90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Mean RT</w:t>
            </w:r>
          </w:p>
        </w:tc>
        <w:tc>
          <w:tcPr>
            <w:tcW w:w="97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Resilience</w:t>
            </w:r>
          </w:p>
        </w:tc>
      </w:tr>
      <w:tr w:rsidR="00AF2245" w:rsidRPr="0097287A" w:rsidTr="008B36AB">
        <w:tc>
          <w:tcPr>
            <w:tcW w:w="368"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70</w:t>
            </w:r>
          </w:p>
        </w:tc>
        <w:tc>
          <w:tcPr>
            <w:tcW w:w="64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1.2</w:t>
            </w:r>
          </w:p>
        </w:tc>
        <w:tc>
          <w:tcPr>
            <w:tcW w:w="41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1.8</w:t>
            </w:r>
          </w:p>
        </w:tc>
        <w:tc>
          <w:tcPr>
            <w:tcW w:w="41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2.0</w:t>
            </w:r>
          </w:p>
        </w:tc>
        <w:tc>
          <w:tcPr>
            <w:tcW w:w="1268"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0.0116</w:t>
            </w:r>
          </w:p>
        </w:tc>
        <w:tc>
          <w:tcPr>
            <w:tcW w:w="90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6.35</w:t>
            </w:r>
          </w:p>
        </w:tc>
        <w:tc>
          <w:tcPr>
            <w:tcW w:w="97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0.0136</w:t>
            </w:r>
          </w:p>
        </w:tc>
      </w:tr>
      <w:tr w:rsidR="00AF2245" w:rsidRPr="0097287A" w:rsidTr="008B36AB">
        <w:tc>
          <w:tcPr>
            <w:tcW w:w="368"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70</w:t>
            </w:r>
          </w:p>
        </w:tc>
        <w:tc>
          <w:tcPr>
            <w:tcW w:w="64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1.6</w:t>
            </w:r>
          </w:p>
        </w:tc>
        <w:tc>
          <w:tcPr>
            <w:tcW w:w="41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1.8</w:t>
            </w:r>
          </w:p>
        </w:tc>
        <w:tc>
          <w:tcPr>
            <w:tcW w:w="41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2.0</w:t>
            </w:r>
          </w:p>
        </w:tc>
        <w:tc>
          <w:tcPr>
            <w:tcW w:w="1268"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0.0112</w:t>
            </w:r>
          </w:p>
        </w:tc>
        <w:tc>
          <w:tcPr>
            <w:tcW w:w="90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6.22</w:t>
            </w:r>
          </w:p>
        </w:tc>
        <w:tc>
          <w:tcPr>
            <w:tcW w:w="979"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0.0111</w:t>
            </w:r>
          </w:p>
        </w:tc>
      </w:tr>
    </w:tbl>
    <w:bookmarkEnd w:id="46"/>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i/>
          <w:iCs/>
        </w:rPr>
        <w:t xml:space="preserve">Both configurations share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X</m:t>
            </m:r>
          </m:sub>
        </m:sSub>
        <m:r>
          <m:rPr>
            <m:sty m:val="p"/>
          </m:rPr>
          <w:rPr>
            <w:rFonts w:ascii="Cambria Math" w:hAnsi="Cambria Math" w:cs="Times New Roman"/>
          </w:rPr>
          <m:t>=</m:t>
        </m:r>
        <m:r>
          <w:rPr>
            <w:rFonts w:ascii="Cambria Math" w:hAnsi="Cambria Math" w:cs="Times New Roman"/>
          </w:rPr>
          <m:t>2.0</m:t>
        </m:r>
      </m:oMath>
      <w:r w:rsidRPr="0097287A">
        <w:rPr>
          <w:rFonts w:ascii="Times New Roman" w:hAnsi="Times New Roman" w:cs="Times New Roman"/>
          <w:i/>
          <w:iCs/>
        </w:rPr>
        <w:t xml:space="preserve">. The stress parameter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represents a deterioration of 0.28 units below the current empirical civil estimate of 2.08, a plausible outcome under structural increases in procedural complexity. Resilience score </w:t>
      </w:r>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i/>
          <w:iCs/>
        </w:rPr>
        <w:t xml:space="preserve"> at baseline surplus levels and </w:t>
      </w: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12</m:t>
        </m:r>
      </m:oMath>
      <w:r w:rsidRPr="0097287A">
        <w:rPr>
          <w:rFonts w:ascii="Times New Roman" w:hAnsi="Times New Roman" w:cs="Times New Roman"/>
          <w:i/>
          <w:iCs/>
        </w:rPr>
        <w:t xml:space="preserve"> months.</w:t>
      </w:r>
    </w:p>
    <w:p w:rsidR="00AF2245" w:rsidRPr="008B36AB" w:rsidRDefault="005E6F25" w:rsidP="008B36AB">
      <w:pPr>
        <w:pStyle w:val="Heading3"/>
        <w:numPr>
          <w:ilvl w:val="0"/>
          <w:numId w:val="0"/>
        </w:numPr>
        <w:spacing w:after="0"/>
        <w:ind w:left="720" w:hanging="720"/>
        <w:jc w:val="both"/>
        <w:rPr>
          <w:rFonts w:ascii="Times New Roman" w:hAnsi="Times New Roman" w:cs="Times New Roman"/>
          <w:b/>
          <w:bCs/>
          <w:sz w:val="24"/>
          <w:szCs w:val="24"/>
        </w:rPr>
      </w:pPr>
      <w:bookmarkStart w:id="47" w:name="subsubsec:capacity-scenarios"/>
      <w:bookmarkEnd w:id="45"/>
      <w:r w:rsidRPr="008B36AB">
        <w:rPr>
          <w:rFonts w:ascii="Times New Roman" w:hAnsi="Times New Roman" w:cs="Times New Roman"/>
          <w:b/>
          <w:bCs/>
          <w:sz w:val="24"/>
          <w:szCs w:val="24"/>
        </w:rPr>
        <w:t>Effect of Process</w:t>
      </w:r>
      <w:r w:rsidRPr="008B36AB">
        <w:rPr>
          <w:rFonts w:ascii="Times New Roman" w:hAnsi="Times New Roman" w:cs="Times New Roman"/>
          <w:b/>
          <w:bCs/>
          <w:sz w:val="24"/>
          <w:szCs w:val="24"/>
        </w:rPr>
        <w:t>ing Capacity</w:t>
      </w:r>
    </w:p>
    <w:p w:rsidR="00AF2245" w:rsidRPr="0097287A" w:rsidRDefault="005E6F25" w:rsidP="0097287A">
      <w:pPr>
        <w:pStyle w:val="TableCaption"/>
        <w:spacing w:after="0"/>
        <w:jc w:val="both"/>
        <w:rPr>
          <w:rFonts w:ascii="Times New Roman" w:hAnsi="Times New Roman" w:cs="Times New Roman"/>
        </w:rPr>
      </w:pPr>
      <w:bookmarkStart w:id="48" w:name="tab:capacity"/>
      <w:r w:rsidRPr="0097287A">
        <w:rPr>
          <w:rFonts w:ascii="Times New Roman" w:hAnsi="Times New Roman" w:cs="Times New Roman"/>
        </w:rPr>
        <w:t>Effect of Processing Capacity on Backlog Probability, Resolution Time, and Resilience</w:t>
      </w:r>
    </w:p>
    <w:tbl>
      <w:tblPr>
        <w:tblStyle w:val="Table"/>
        <w:tblW w:w="5000" w:type="pct"/>
        <w:tblLook w:val="0020" w:firstRow="1" w:lastRow="0" w:firstColumn="0" w:lastColumn="0" w:noHBand="0" w:noVBand="0"/>
        <w:tblCaption w:val="Effect of Processing Capacity on Backlog Probability, Resolution Time, and Resilience"/>
      </w:tblPr>
      <w:tblGrid>
        <w:gridCol w:w="1265"/>
        <w:gridCol w:w="3360"/>
        <w:gridCol w:w="3580"/>
        <w:gridCol w:w="2811"/>
      </w:tblGrid>
      <w:tr w:rsidR="00AF2245" w:rsidRPr="0097287A" w:rsidTr="008B36AB">
        <w:trPr>
          <w:cnfStyle w:val="100000000000" w:firstRow="1" w:lastRow="0" w:firstColumn="0" w:lastColumn="0" w:oddVBand="0" w:evenVBand="0" w:oddHBand="0" w:evenHBand="0" w:firstRowFirstColumn="0" w:firstRowLastColumn="0" w:lastRowFirstColumn="0" w:lastRowLastColumn="0"/>
          <w:tblHeader/>
        </w:trPr>
        <w:tc>
          <w:tcPr>
            <w:tcW w:w="574" w:type="pct"/>
          </w:tcPr>
          <w:p w:rsidR="00AF2245" w:rsidRPr="0097287A" w:rsidRDefault="005E6F25" w:rsidP="0097287A">
            <w:pPr>
              <w:pStyle w:val="Compact"/>
              <w:spacing w:after="0"/>
              <w:jc w:val="both"/>
              <w:rPr>
                <w:rFonts w:ascii="Times New Roman" w:hAnsi="Times New Roman" w:cs="Times New Roman"/>
              </w:rPr>
            </w:pPr>
            <m:oMathPara>
              <m:oMath>
                <m:r>
                  <m:rPr>
                    <m:scr m:val="double-struck"/>
                    <m:sty m:val="p"/>
                  </m:rP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m:oMathPara>
          </w:p>
        </w:tc>
        <w:tc>
          <w:tcPr>
            <w:tcW w:w="1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Backlog probability</w:t>
            </w:r>
          </w:p>
        </w:tc>
        <w:tc>
          <w:tcPr>
            <w:tcW w:w="16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Mean resolution time</w:t>
            </w:r>
          </w:p>
        </w:tc>
        <w:tc>
          <w:tcPr>
            <w:tcW w:w="1276"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Resilience score</w:t>
            </w:r>
          </w:p>
        </w:tc>
      </w:tr>
      <w:tr w:rsidR="00AF2245" w:rsidRPr="0097287A" w:rsidTr="008B36AB">
        <w:tc>
          <w:tcPr>
            <w:tcW w:w="57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0.8</w:t>
            </w:r>
          </w:p>
        </w:tc>
        <w:tc>
          <w:tcPr>
            <w:tcW w:w="1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0.00397</w:t>
            </w:r>
          </w:p>
        </w:tc>
        <w:tc>
          <w:tcPr>
            <w:tcW w:w="16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5.58</w:t>
            </w:r>
          </w:p>
        </w:tc>
        <w:tc>
          <w:tcPr>
            <w:tcW w:w="1276"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0.0628</w:t>
            </w:r>
          </w:p>
        </w:tc>
      </w:tr>
      <w:tr w:rsidR="00AF2245" w:rsidRPr="0097287A" w:rsidTr="008B36AB">
        <w:tc>
          <w:tcPr>
            <w:tcW w:w="57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1.2</w:t>
            </w:r>
          </w:p>
        </w:tc>
        <w:tc>
          <w:tcPr>
            <w:tcW w:w="1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0.00371</w:t>
            </w:r>
          </w:p>
        </w:tc>
        <w:tc>
          <w:tcPr>
            <w:tcW w:w="16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4.90</w:t>
            </w:r>
          </w:p>
        </w:tc>
        <w:tc>
          <w:tcPr>
            <w:tcW w:w="1276"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0.0770</w:t>
            </w:r>
          </w:p>
        </w:tc>
      </w:tr>
      <w:tr w:rsidR="00AF2245" w:rsidRPr="0097287A" w:rsidTr="008B36AB">
        <w:tc>
          <w:tcPr>
            <w:tcW w:w="574"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1.6</w:t>
            </w:r>
          </w:p>
        </w:tc>
        <w:tc>
          <w:tcPr>
            <w:tcW w:w="15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0.00360</w:t>
            </w:r>
          </w:p>
        </w:tc>
        <w:tc>
          <w:tcPr>
            <w:tcW w:w="16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4.61</w:t>
            </w:r>
          </w:p>
        </w:tc>
        <w:tc>
          <w:tcPr>
            <w:tcW w:w="1276"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0.0851</w:t>
            </w:r>
          </w:p>
        </w:tc>
      </w:tr>
    </w:tbl>
    <w:bookmarkEnd w:id="48"/>
    <w:p w:rsidR="00AF2245" w:rsidRPr="0097287A" w:rsidRDefault="005E6F25" w:rsidP="0097287A">
      <w:pPr>
        <w:pStyle w:val="BodyText"/>
        <w:spacing w:after="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i/>
          <w:iCs/>
        </w:rPr>
        <w:t xml:space="preserv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X</m:t>
            </m:r>
          </m:sub>
        </m:sSub>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i/>
          <w:iCs/>
        </w:rPr>
        <w:t xml:space="preserve"> held at baseline. Resilience score </w:t>
      </w:r>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i/>
          <w:iCs/>
        </w:rPr>
        <w:t xml:space="preserve"> at baseline surplus levels and </w:t>
      </w: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12</m:t>
        </m:r>
      </m:oMath>
      <w:r w:rsidRPr="0097287A">
        <w:rPr>
          <w:rFonts w:ascii="Times New Roman" w:hAnsi="Times New Roman" w:cs="Times New Roman"/>
          <w:i/>
          <w:iCs/>
        </w:rPr>
        <w:t xml:space="preserve"> months.</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The relationship between capacity and backlog probability is nonlinear with diminishing returns. Moving from </w:t>
      </w:r>
      <m:oMath>
        <m:r>
          <m:rPr>
            <m:scr m:val="double-struck"/>
            <m:sty m:val="p"/>
          </m:rP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0.8</m:t>
        </m:r>
      </m:oMath>
      <w:r w:rsidRPr="0097287A">
        <w:rPr>
          <w:rFonts w:ascii="Times New Roman" w:hAnsi="Times New Roman" w:cs="Times New Roman"/>
        </w:rPr>
        <w:t xml:space="preserve"> to </w:t>
      </w:r>
      <m:oMath>
        <m:r>
          <w:rPr>
            <w:rFonts w:ascii="Cambria Math" w:hAnsi="Cambria Math" w:cs="Times New Roman"/>
          </w:rPr>
          <m:t>1.2</m:t>
        </m:r>
      </m:oMath>
      <w:r w:rsidRPr="0097287A">
        <w:rPr>
          <w:rFonts w:ascii="Times New Roman" w:hAnsi="Times New Roman" w:cs="Times New Roman"/>
        </w:rPr>
        <w:t xml:space="preserve"> reduces backlog probabilit</w:t>
      </w:r>
      <w:r w:rsidRPr="0097287A">
        <w:rPr>
          <w:rFonts w:ascii="Times New Roman" w:hAnsi="Times New Roman" w:cs="Times New Roman"/>
        </w:rPr>
        <w:t xml:space="preserve">y by 6.5%; the incremental gain from </w:t>
      </w:r>
      <m:oMath>
        <m:r>
          <w:rPr>
            <w:rFonts w:ascii="Cambria Math" w:hAnsi="Cambria Math" w:cs="Times New Roman"/>
          </w:rPr>
          <m:t>1.2</m:t>
        </m:r>
      </m:oMath>
      <w:r w:rsidRPr="0097287A">
        <w:rPr>
          <w:rFonts w:ascii="Times New Roman" w:hAnsi="Times New Roman" w:cs="Times New Roman"/>
        </w:rPr>
        <w:t xml:space="preserve"> to </w:t>
      </w:r>
      <m:oMath>
        <m:r>
          <w:rPr>
            <w:rFonts w:ascii="Cambria Math" w:hAnsi="Cambria Math" w:cs="Times New Roman"/>
          </w:rPr>
          <m:t>1.6</m:t>
        </m:r>
      </m:oMath>
      <w:r w:rsidRPr="0097287A">
        <w:rPr>
          <w:rFonts w:ascii="Times New Roman" w:hAnsi="Times New Roman" w:cs="Times New Roman"/>
        </w:rPr>
        <w:t xml:space="preserve"> is substantially smaller (2.9%). This diminishing-returns structure is a direct consequence of the polynomially decaying tail: each additional unit of capacity produces a smaller proportional reduction in ext</w:t>
      </w:r>
      <w:r w:rsidRPr="0097287A">
        <w:rPr>
          <w:rFonts w:ascii="Times New Roman" w:hAnsi="Times New Roman" w:cs="Times New Roman"/>
        </w:rPr>
        <w:t>reme-event risk.</w:t>
      </w:r>
    </w:p>
    <w:p w:rsidR="00AF2245" w:rsidRPr="0097287A" w:rsidRDefault="005E6F25" w:rsidP="008B36AB">
      <w:pPr>
        <w:pStyle w:val="Heading3"/>
        <w:numPr>
          <w:ilvl w:val="0"/>
          <w:numId w:val="0"/>
        </w:numPr>
        <w:spacing w:after="0"/>
        <w:ind w:left="720" w:hanging="720"/>
        <w:jc w:val="both"/>
        <w:rPr>
          <w:rFonts w:ascii="Times New Roman" w:hAnsi="Times New Roman" w:cs="Times New Roman"/>
          <w:sz w:val="24"/>
          <w:szCs w:val="24"/>
        </w:rPr>
      </w:pPr>
      <w:bookmarkStart w:id="49" w:name="subsubsec:tail-scenarios"/>
      <w:bookmarkEnd w:id="47"/>
      <w:r w:rsidRPr="0097287A">
        <w:rPr>
          <w:rFonts w:ascii="Times New Roman" w:hAnsi="Times New Roman" w:cs="Times New Roman"/>
          <w:sz w:val="24"/>
          <w:szCs w:val="24"/>
        </w:rPr>
        <w:t>Effect of Adjournment Tail Heaviness</w:t>
      </w:r>
    </w:p>
    <w:p w:rsidR="00AF2245" w:rsidRPr="0097287A" w:rsidRDefault="005E6F25" w:rsidP="0097287A">
      <w:pPr>
        <w:pStyle w:val="TableCaption"/>
        <w:spacing w:after="0"/>
        <w:jc w:val="both"/>
        <w:rPr>
          <w:rFonts w:ascii="Times New Roman" w:hAnsi="Times New Roman" w:cs="Times New Roman"/>
        </w:rPr>
      </w:pPr>
      <w:bookmarkStart w:id="50" w:name="tab:tail"/>
      <w:r w:rsidRPr="0097287A">
        <w:rPr>
          <w:rFonts w:ascii="Times New Roman" w:hAnsi="Times New Roman" w:cs="Times New Roman"/>
        </w:rPr>
        <w:t>Impact of Adjournment Tail Heaviness on Backlog Probability and Resolution Time</w:t>
      </w:r>
    </w:p>
    <w:tbl>
      <w:tblPr>
        <w:tblStyle w:val="Table"/>
        <w:tblW w:w="5000" w:type="pct"/>
        <w:tblLook w:val="0020" w:firstRow="1" w:lastRow="0" w:firstColumn="0" w:lastColumn="0" w:noHBand="0" w:noVBand="0"/>
        <w:tblCaption w:val="Impact of Adjournment Tail Heaviness on Backlog Probability and Resolution Time"/>
      </w:tblPr>
      <w:tblGrid>
        <w:gridCol w:w="707"/>
        <w:gridCol w:w="4279"/>
        <w:gridCol w:w="2919"/>
        <w:gridCol w:w="3111"/>
      </w:tblGrid>
      <w:tr w:rsidR="00AF2245" w:rsidRPr="0097287A" w:rsidTr="008B36AB">
        <w:trPr>
          <w:cnfStyle w:val="100000000000" w:firstRow="1" w:lastRow="0" w:firstColumn="0" w:lastColumn="0" w:oddVBand="0" w:evenVBand="0" w:oddHBand="0" w:evenHBand="0" w:firstRowFirstColumn="0" w:firstRowLastColumn="0" w:lastRowFirstColumn="0" w:lastRowLastColumn="0"/>
          <w:tblHeader/>
        </w:trPr>
        <w:tc>
          <w:tcPr>
            <w:tcW w:w="321" w:type="pct"/>
          </w:tcPr>
          <w:p w:rsidR="00AF2245" w:rsidRPr="0097287A" w:rsidRDefault="005E6F25"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m:oMathPara>
          </w:p>
        </w:tc>
        <w:tc>
          <w:tcPr>
            <w:tcW w:w="194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Tail regime</w:t>
            </w:r>
          </w:p>
        </w:tc>
        <w:tc>
          <w:tcPr>
            <w:tcW w:w="13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Backlog probability</w:t>
            </w:r>
          </w:p>
        </w:tc>
        <w:tc>
          <w:tcPr>
            <w:tcW w:w="141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Mean resolution time</w:t>
            </w:r>
          </w:p>
        </w:tc>
      </w:tr>
      <w:tr w:rsidR="00AF2245" w:rsidRPr="0097287A" w:rsidTr="008B36AB">
        <w:tc>
          <w:tcPr>
            <w:tcW w:w="3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1.8</w:t>
            </w:r>
          </w:p>
        </w:tc>
        <w:tc>
          <w:tcPr>
            <w:tcW w:w="194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Heavy (near-infinite variance)</w:t>
            </w:r>
          </w:p>
        </w:tc>
        <w:tc>
          <w:tcPr>
            <w:tcW w:w="13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0.00889</w:t>
            </w:r>
          </w:p>
        </w:tc>
        <w:tc>
          <w:tcPr>
            <w:tcW w:w="141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5.99</w:t>
            </w:r>
          </w:p>
        </w:tc>
      </w:tr>
      <w:tr w:rsidR="00AF2245" w:rsidRPr="0097287A" w:rsidTr="008B36AB">
        <w:tc>
          <w:tcPr>
            <w:tcW w:w="3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2.5</w:t>
            </w:r>
          </w:p>
        </w:tc>
        <w:tc>
          <w:tcPr>
            <w:tcW w:w="194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 xml:space="preserve">Moderate </w:t>
            </w:r>
            <w:r w:rsidRPr="0097287A">
              <w:rPr>
                <w:rFonts w:ascii="Times New Roman" w:hAnsi="Times New Roman" w:cs="Times New Roman"/>
              </w:rPr>
              <w:t>(finite variance)</w:t>
            </w:r>
          </w:p>
        </w:tc>
        <w:tc>
          <w:tcPr>
            <w:tcW w:w="13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0.00190</w:t>
            </w:r>
          </w:p>
        </w:tc>
        <w:tc>
          <w:tcPr>
            <w:tcW w:w="141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4.82</w:t>
            </w:r>
          </w:p>
        </w:tc>
      </w:tr>
      <w:tr w:rsidR="00AF2245" w:rsidRPr="0097287A" w:rsidTr="008B36AB">
        <w:tc>
          <w:tcPr>
            <w:tcW w:w="32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3.5</w:t>
            </w:r>
          </w:p>
        </w:tc>
        <w:tc>
          <w:tcPr>
            <w:tcW w:w="194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Light (all moments finite)</w:t>
            </w:r>
          </w:p>
        </w:tc>
        <w:tc>
          <w:tcPr>
            <w:tcW w:w="1325"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0.00050</w:t>
            </w:r>
          </w:p>
        </w:tc>
        <w:tc>
          <w:tcPr>
            <w:tcW w:w="1412"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4.28</w:t>
            </w:r>
          </w:p>
        </w:tc>
      </w:tr>
    </w:tbl>
    <w:bookmarkEnd w:id="50"/>
    <w:p w:rsidR="00AF2245" w:rsidRPr="0097287A" w:rsidRDefault="005E6F25" w:rsidP="0097287A">
      <w:pPr>
        <w:pStyle w:val="BodyText"/>
        <w:spacing w:after="0"/>
        <w:jc w:val="both"/>
        <w:rPr>
          <w:rFonts w:ascii="Times New Roman" w:hAnsi="Times New Roman" w:cs="Times New Roman"/>
        </w:rPr>
      </w:pPr>
      <m:oMath>
        <m:r>
          <m:rPr>
            <m:scr m:val="double-struck"/>
            <m:sty m:val="p"/>
          </m:rP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i/>
          <w:iCs/>
        </w:rPr>
        <w:t xml:space="preserve"> held at baseline. The baseline scenario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2.5</m:t>
        </m:r>
      </m:oMath>
      <w:r w:rsidRPr="0097287A">
        <w:rPr>
          <w:rFonts w:ascii="Times New Roman" w:hAnsi="Times New Roman" w:cs="Times New Roman"/>
          <w:i/>
          <w:iCs/>
        </w:rPr>
        <w:t xml:space="preserve"> brackets the estimated civil tail index from above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i/>
          <w:iCs/>
        </w:rPr>
        <w:t xml:space="preserv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represents a plausible stress scenario of 0.28 units deterioration;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3.5</m:t>
        </m:r>
      </m:oMath>
      <w:r w:rsidRPr="0097287A">
        <w:rPr>
          <w:rFonts w:ascii="Times New Roman" w:hAnsi="Times New Roman" w:cs="Times New Roman"/>
          <w:i/>
          <w:iCs/>
        </w:rPr>
        <w:t xml:space="preserve"> represents hypothetical convergence toward criminal-stream dynamics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criminal</m:t>
            </m:r>
          </m:sub>
        </m:sSub>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i/>
          <w:iCs/>
        </w:rPr>
        <w:t xml:space="preserve">). Moving from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3.5</m:t>
        </m:r>
      </m:oMath>
      <w:r w:rsidRPr="0097287A">
        <w:rPr>
          <w:rFonts w:ascii="Times New Roman" w:hAnsi="Times New Roman" w:cs="Times New Roman"/>
          <w:i/>
          <w:iCs/>
        </w:rPr>
        <w:t xml:space="preserve"> to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i/>
          <w:iCs/>
        </w:rPr>
        <w:t xml:space="preserve"> increases backlog probability by 1,678%.</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The effect of tai</w:t>
      </w:r>
      <w:r w:rsidRPr="0097287A">
        <w:rPr>
          <w:rFonts w:ascii="Times New Roman" w:hAnsi="Times New Roman" w:cs="Times New Roman"/>
        </w:rPr>
        <w:t xml:space="preserve">l heaviness is dramatically larger than any other parameter varied. Moving from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3.5</m:t>
        </m:r>
      </m:oMath>
      <w:r w:rsidRPr="0097287A">
        <w:rPr>
          <w:rFonts w:ascii="Times New Roman" w:hAnsi="Times New Roman" w:cs="Times New Roman"/>
        </w:rPr>
        <w:t xml:space="preserve"> to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rPr>
        <w:t xml:space="preserve"> increases backlog probability by 1,678% (from 0.00050 to 0.00889), while mean resolution time rises by 39.9%. By comparison, doubling processing capacity r</w:t>
      </w:r>
      <w:r w:rsidRPr="0097287A">
        <w:rPr>
          <w:rFonts w:ascii="Times New Roman" w:hAnsi="Times New Roman" w:cs="Times New Roman"/>
        </w:rPr>
        <w:t>educes backlog probability by only 9.3%. The ratio of these effects (approximately 180:1) establishes adjournment tail behavior as the dominant driver of systemic congestion risk.</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The threshold near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xml:space="preserve"> is particularly significant, and empirically immed</w:t>
      </w:r>
      <w:r w:rsidRPr="0097287A">
        <w:rPr>
          <w:rFonts w:ascii="Times New Roman" w:hAnsi="Times New Roman" w:cs="Times New Roman"/>
        </w:rPr>
        <w:t xml:space="preserve">iate, given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m:rPr>
                <m:nor/>
              </m:rPr>
              <w:rPr>
                <w:rFonts w:ascii="Times New Roman" w:hAnsi="Times New Roman" w:cs="Times New Roman"/>
              </w:rPr>
              <m:t>civil</m:t>
            </m:r>
          </m:sub>
        </m:sSub>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Below this value the variance of the adjournment distribution is theoretically infinite, and the system enters a qualitatively different congestion regime. The near-fourfold increase in backlog probability between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2.5</m:t>
        </m:r>
      </m:oMath>
      <w:r w:rsidRPr="0097287A">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rPr>
        <w:t xml:space="preserve"> reflects this phase transition. Judicial administrators should treat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α</m:t>
                </m:r>
              </m:e>
            </m:acc>
          </m:e>
          <m:sub>
            <m:r>
              <w:rPr>
                <w:rFonts w:ascii="Cambria Math" w:hAnsi="Cambria Math" w:cs="Times New Roman"/>
              </w:rPr>
              <m:t>D</m:t>
            </m:r>
          </m:sub>
        </m:sSub>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xml:space="preserve"> as a critical monitoring threshold.</w:t>
      </w:r>
    </w:p>
    <w:p w:rsidR="00AF2245" w:rsidRPr="0097287A" w:rsidRDefault="005E6F25" w:rsidP="0097287A">
      <w:pPr>
        <w:pStyle w:val="Heading3"/>
        <w:spacing w:after="0"/>
        <w:jc w:val="both"/>
        <w:rPr>
          <w:rFonts w:ascii="Times New Roman" w:hAnsi="Times New Roman" w:cs="Times New Roman"/>
          <w:sz w:val="24"/>
          <w:szCs w:val="24"/>
        </w:rPr>
      </w:pPr>
      <w:bookmarkStart w:id="51" w:name="subsubsec:arrival-scenarios"/>
      <w:bookmarkEnd w:id="49"/>
      <w:r w:rsidRPr="0097287A">
        <w:rPr>
          <w:rFonts w:ascii="Times New Roman" w:hAnsi="Times New Roman" w:cs="Times New Roman"/>
          <w:sz w:val="24"/>
          <w:szCs w:val="24"/>
        </w:rPr>
        <w:lastRenderedPageBreak/>
        <w:t>Effect of Arrival Intensity</w:t>
      </w:r>
    </w:p>
    <w:p w:rsidR="00AF2245" w:rsidRPr="0097287A" w:rsidRDefault="005E6F25" w:rsidP="0097287A">
      <w:pPr>
        <w:pStyle w:val="TableCaption"/>
        <w:spacing w:after="0"/>
        <w:jc w:val="both"/>
        <w:rPr>
          <w:rFonts w:ascii="Times New Roman" w:hAnsi="Times New Roman" w:cs="Times New Roman"/>
        </w:rPr>
      </w:pPr>
      <w:bookmarkStart w:id="52" w:name="tab:arrival"/>
      <w:r w:rsidRPr="0097287A">
        <w:rPr>
          <w:rFonts w:ascii="Times New Roman" w:hAnsi="Times New Roman" w:cs="Times New Roman"/>
        </w:rPr>
        <w:t>Effect of Case Arrival Intensity on Backlog Probability and Resolution Time</w:t>
      </w:r>
    </w:p>
    <w:tbl>
      <w:tblPr>
        <w:tblStyle w:val="Table"/>
        <w:tblW w:w="5000" w:type="pct"/>
        <w:tblLook w:val="0020" w:firstRow="1" w:lastRow="0" w:firstColumn="0" w:lastColumn="0" w:noHBand="0" w:noVBand="0"/>
        <w:tblCaption w:val="Effect of Case Arrival Intensity on Backlog Probability and Resolution Time"/>
      </w:tblPr>
      <w:tblGrid>
        <w:gridCol w:w="1037"/>
        <w:gridCol w:w="4832"/>
        <w:gridCol w:w="5147"/>
      </w:tblGrid>
      <w:tr w:rsidR="00AF2245" w:rsidRPr="0097287A" w:rsidTr="008B36AB">
        <w:trPr>
          <w:cnfStyle w:val="100000000000" w:firstRow="1" w:lastRow="0" w:firstColumn="0" w:lastColumn="0" w:oddVBand="0" w:evenVBand="0" w:oddHBand="0" w:evenHBand="0" w:firstRowFirstColumn="0" w:firstRowLastColumn="0" w:lastRowFirstColumn="0" w:lastRowLastColumn="0"/>
          <w:tblHeader/>
        </w:trPr>
        <w:tc>
          <w:tcPr>
            <w:tcW w:w="471" w:type="pct"/>
          </w:tcPr>
          <w:p w:rsidR="00AF2245" w:rsidRPr="0097287A" w:rsidRDefault="005E6F25" w:rsidP="0097287A">
            <w:pPr>
              <w:pStyle w:val="Compact"/>
              <w:spacing w:after="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m:oMathPara>
          </w:p>
        </w:tc>
        <w:tc>
          <w:tcPr>
            <w:tcW w:w="2193"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Backlog probability</w:t>
            </w:r>
          </w:p>
        </w:tc>
        <w:tc>
          <w:tcPr>
            <w:tcW w:w="2337"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Mean res</w:t>
            </w:r>
            <w:r w:rsidRPr="0097287A">
              <w:rPr>
                <w:rFonts w:ascii="Times New Roman" w:hAnsi="Times New Roman" w:cs="Times New Roman"/>
              </w:rPr>
              <w:t>olution time</w:t>
            </w:r>
          </w:p>
        </w:tc>
      </w:tr>
      <w:tr w:rsidR="00AF2245" w:rsidRPr="0097287A" w:rsidTr="008B36AB">
        <w:tc>
          <w:tcPr>
            <w:tcW w:w="47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30</w:t>
            </w:r>
          </w:p>
        </w:tc>
        <w:tc>
          <w:tcPr>
            <w:tcW w:w="2193"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0.00353</w:t>
            </w:r>
          </w:p>
        </w:tc>
        <w:tc>
          <w:tcPr>
            <w:tcW w:w="2337"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5.01</w:t>
            </w:r>
          </w:p>
        </w:tc>
      </w:tr>
      <w:tr w:rsidR="00AF2245" w:rsidRPr="0097287A" w:rsidTr="008B36AB">
        <w:tc>
          <w:tcPr>
            <w:tcW w:w="47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50</w:t>
            </w:r>
          </w:p>
        </w:tc>
        <w:tc>
          <w:tcPr>
            <w:tcW w:w="2193"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0.00373</w:t>
            </w:r>
          </w:p>
        </w:tc>
        <w:tc>
          <w:tcPr>
            <w:tcW w:w="2337"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5.03</w:t>
            </w:r>
          </w:p>
        </w:tc>
      </w:tr>
      <w:tr w:rsidR="00AF2245" w:rsidRPr="0097287A" w:rsidTr="008B36AB">
        <w:tc>
          <w:tcPr>
            <w:tcW w:w="471"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70</w:t>
            </w:r>
          </w:p>
        </w:tc>
        <w:tc>
          <w:tcPr>
            <w:tcW w:w="2193"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0.00402</w:t>
            </w:r>
          </w:p>
        </w:tc>
        <w:tc>
          <w:tcPr>
            <w:tcW w:w="2337" w:type="pct"/>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5.05</w:t>
            </w:r>
          </w:p>
        </w:tc>
      </w:tr>
    </w:tbl>
    <w:bookmarkEnd w:id="52"/>
    <w:p w:rsidR="00AF2245" w:rsidRPr="0097287A" w:rsidRDefault="005E6F25" w:rsidP="0097287A">
      <w:pPr>
        <w:pStyle w:val="BodyText"/>
        <w:spacing w:after="0"/>
        <w:jc w:val="both"/>
        <w:rPr>
          <w:rFonts w:ascii="Times New Roman" w:hAnsi="Times New Roman" w:cs="Times New Roman"/>
        </w:rPr>
      </w:pPr>
      <m:oMath>
        <m:r>
          <m:rPr>
            <m:scr m:val="double-struck"/>
            <m:sty m:val="p"/>
          </m:rP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w:r w:rsidRPr="0097287A">
        <w:rPr>
          <w:rFonts w:ascii="Times New Roman" w:hAnsi="Times New Roman" w:cs="Times New Roman"/>
          <w:i/>
          <w:iCs/>
        </w:rPr>
        <w:t xml:space="preserv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i/>
          <w:iCs/>
        </w:rPr>
        <w:t xml:space="preserve">,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X</m:t>
            </m:r>
          </m:sub>
        </m:sSub>
      </m:oMath>
      <w:r w:rsidRPr="0097287A">
        <w:rPr>
          <w:rFonts w:ascii="Times New Roman" w:hAnsi="Times New Roman" w:cs="Times New Roman"/>
          <w:i/>
          <w:iCs/>
        </w:rPr>
        <w:t xml:space="preserve"> held at baseline. Moving from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30</m:t>
        </m:r>
      </m:oMath>
      <w:r w:rsidRPr="0097287A">
        <w:rPr>
          <w:rFonts w:ascii="Times New Roman" w:hAnsi="Times New Roman" w:cs="Times New Roman"/>
          <w:i/>
          <w:iCs/>
        </w:rPr>
        <w:t xml:space="preserve"> to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70</m:t>
        </m:r>
      </m:oMath>
      <w:r w:rsidRPr="0097287A">
        <w:rPr>
          <w:rFonts w:ascii="Times New Roman" w:hAnsi="Times New Roman" w:cs="Times New Roman"/>
          <w:i/>
          <w:iCs/>
        </w:rPr>
        <w:t xml:space="preserve"> increases backlog probability by 13.9% and mean resolution time by 0.8%.</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Higher arrival rates increase backlog risk, </w:t>
      </w:r>
      <w:r w:rsidRPr="0097287A">
        <w:rPr>
          <w:rFonts w:ascii="Times New Roman" w:hAnsi="Times New Roman" w:cs="Times New Roman"/>
        </w:rPr>
        <w:t xml:space="preserve">but the magnitude is modest relative to tail heaviness: more than doubling arrival intensity increases backlog probability by only 13.9%, compared to 1,678% for the tail shift. Mean resolution time is almost entirely insensitive to arrival intensity (5.01 </w:t>
      </w:r>
      <w:r w:rsidRPr="0097287A">
        <w:rPr>
          <w:rFonts w:ascii="Times New Roman" w:hAnsi="Times New Roman" w:cs="Times New Roman"/>
        </w:rPr>
        <w:t>to 5.05). Demand-side interventions, mandatory ADR, increased court fees, will not adequately mitigate systemic congestion risk if adjournment tail behavior remains unchanged.</w:t>
      </w:r>
    </w:p>
    <w:p w:rsidR="00AF2245" w:rsidRPr="008B36AB" w:rsidRDefault="005E6F25" w:rsidP="008B36AB">
      <w:pPr>
        <w:pStyle w:val="Heading3"/>
        <w:numPr>
          <w:ilvl w:val="0"/>
          <w:numId w:val="0"/>
        </w:numPr>
        <w:spacing w:after="0"/>
        <w:ind w:left="720" w:hanging="720"/>
        <w:jc w:val="both"/>
        <w:rPr>
          <w:rFonts w:ascii="Times New Roman" w:hAnsi="Times New Roman" w:cs="Times New Roman"/>
          <w:b/>
          <w:bCs/>
          <w:sz w:val="24"/>
          <w:szCs w:val="24"/>
        </w:rPr>
      </w:pPr>
      <w:bookmarkStart w:id="53" w:name="subsubsec:synthesis"/>
      <w:bookmarkEnd w:id="51"/>
      <w:r w:rsidRPr="008B36AB">
        <w:rPr>
          <w:rFonts w:ascii="Times New Roman" w:hAnsi="Times New Roman" w:cs="Times New Roman"/>
          <w:b/>
          <w:bCs/>
          <w:sz w:val="24"/>
          <w:szCs w:val="24"/>
        </w:rPr>
        <w:t>Synthesis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Table </w:t>
      </w:r>
      <w:hyperlink w:anchor="tab:hierarchy">
        <w:r w:rsidRPr="0097287A">
          <w:rPr>
            <w:rStyle w:val="Hyperlink"/>
            <w:rFonts w:ascii="Times New Roman" w:hAnsi="Times New Roman" w:cs="Times New Roman"/>
          </w:rPr>
          <w:t>7</w:t>
        </w:r>
      </w:hyperlink>
      <w:r w:rsidRPr="0097287A">
        <w:rPr>
          <w:rFonts w:ascii="Times New Roman" w:hAnsi="Times New Roman" w:cs="Times New Roman"/>
        </w:rPr>
        <w:t xml:space="preserve"> summarises the relative influence of each parameter. The joint pattern confirms the central theoretical prediction: systemic congestion risk is maximised when elevated arrival intensity coincides with heavy-tailed adjournment behavior. This interaction ef</w:t>
      </w:r>
      <w:r w:rsidRPr="0097287A">
        <w:rPr>
          <w:rFonts w:ascii="Times New Roman" w:hAnsi="Times New Roman" w:cs="Times New Roman"/>
        </w:rPr>
        <w:t>fect is only detectable in a bidimensional framework, it is invisible to two independent unidimensional analyses.</w:t>
      </w:r>
    </w:p>
    <w:p w:rsidR="00AF2245" w:rsidRPr="0097287A" w:rsidRDefault="005E6F25" w:rsidP="0097287A">
      <w:pPr>
        <w:pStyle w:val="TableCaption"/>
        <w:spacing w:after="0"/>
        <w:jc w:val="both"/>
        <w:rPr>
          <w:rFonts w:ascii="Times New Roman" w:hAnsi="Times New Roman" w:cs="Times New Roman"/>
        </w:rPr>
      </w:pPr>
      <w:bookmarkStart w:id="54" w:name="tab:hierarchy"/>
      <w:r w:rsidRPr="0097287A">
        <w:rPr>
          <w:rFonts w:ascii="Times New Roman" w:hAnsi="Times New Roman" w:cs="Times New Roman"/>
        </w:rPr>
        <w:t>Relative Influence of Key Parameters on Marginal Backlog Probability</w:t>
      </w:r>
    </w:p>
    <w:tbl>
      <w:tblPr>
        <w:tblStyle w:val="Table"/>
        <w:tblW w:w="0" w:type="auto"/>
        <w:tblLook w:val="0020" w:firstRow="1" w:lastRow="0" w:firstColumn="0" w:lastColumn="0" w:noHBand="0" w:noVBand="0"/>
        <w:tblCaption w:val="Relative Influence of Key Parameters on Marginal Backlog Probability"/>
      </w:tblPr>
      <w:tblGrid>
        <w:gridCol w:w="2796"/>
        <w:gridCol w:w="1449"/>
        <w:gridCol w:w="1770"/>
        <w:gridCol w:w="1969"/>
      </w:tblGrid>
      <w:tr w:rsidR="00AF2245" w:rsidRPr="0097287A" w:rsidTr="00AF2245">
        <w:trPr>
          <w:cnfStyle w:val="100000000000" w:firstRow="1" w:lastRow="0" w:firstColumn="0" w:lastColumn="0" w:oddVBand="0" w:evenVBand="0" w:oddHBand="0" w:evenHBand="0" w:firstRowFirstColumn="0" w:firstRowLastColumn="0" w:lastRowFirstColumn="0" w:lastRowLastColumn="0"/>
          <w:tblHeader/>
        </w:trPr>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Parameter</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Range tested</w:t>
            </w:r>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 xml:space="preserve">Change in </w:t>
            </w: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Relative influence</w:t>
            </w:r>
          </w:p>
        </w:tc>
      </w:tr>
      <w:tr w:rsidR="00AF2245" w:rsidRPr="0097287A">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Adjournment t</w:t>
            </w:r>
            <w:r w:rsidRPr="0097287A">
              <w:rPr>
                <w:rFonts w:ascii="Times New Roman" w:hAnsi="Times New Roman" w:cs="Times New Roman"/>
              </w:rPr>
              <w:t xml:space="preserve">ail index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p>
        </w:tc>
        <w:tc>
          <w:tcPr>
            <w:tcW w:w="0" w:type="auto"/>
          </w:tcPr>
          <w:p w:rsidR="00AF2245" w:rsidRPr="0097287A" w:rsidRDefault="005E6F25" w:rsidP="0097287A">
            <w:pPr>
              <w:pStyle w:val="Compact"/>
              <w:spacing w:after="0"/>
              <w:jc w:val="both"/>
              <w:rPr>
                <w:rFonts w:ascii="Times New Roman" w:hAnsi="Times New Roman" w:cs="Times New Roman"/>
              </w:rPr>
            </w:pPr>
            <m:oMathPara>
              <m:oMath>
                <m:r>
                  <w:rPr>
                    <w:rFonts w:ascii="Cambria Math" w:hAnsi="Cambria Math" w:cs="Times New Roman"/>
                  </w:rPr>
                  <m:t>3.5</m:t>
                </m:r>
                <m:r>
                  <m:rPr>
                    <m:sty m:val="p"/>
                  </m:rPr>
                  <w:rPr>
                    <w:rFonts w:ascii="Cambria Math" w:hAnsi="Cambria Math" w:cs="Times New Roman"/>
                  </w:rPr>
                  <m:t>→</m:t>
                </m:r>
                <m:r>
                  <w:rPr>
                    <w:rFonts w:ascii="Cambria Math" w:hAnsi="Cambria Math" w:cs="Times New Roman"/>
                  </w:rPr>
                  <m:t>1.8</m:t>
                </m:r>
              </m:oMath>
            </m:oMathPara>
          </w:p>
        </w:tc>
        <w:tc>
          <w:tcPr>
            <w:tcW w:w="0" w:type="auto"/>
          </w:tcPr>
          <w:p w:rsidR="00AF2245" w:rsidRPr="0097287A" w:rsidRDefault="005E6F25" w:rsidP="0097287A">
            <w:pPr>
              <w:pStyle w:val="Compact"/>
              <w:spacing w:after="0"/>
              <w:jc w:val="both"/>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678</m:t>
                </m:r>
                <m:r>
                  <m:rPr>
                    <m:sty m:val="p"/>
                  </m:rPr>
                  <w:rPr>
                    <w:rFonts w:ascii="Cambria Math" w:hAnsi="Cambria Math" w:cs="Times New Roman"/>
                  </w:rPr>
                  <m:t>%</m:t>
                </m:r>
              </m:oMath>
            </m:oMathPara>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Dominant</w:t>
            </w:r>
          </w:p>
        </w:tc>
      </w:tr>
      <w:tr w:rsidR="00AF2245" w:rsidRPr="0097287A">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 xml:space="preserve">Processing capacity </w:t>
            </w:r>
            <m:oMath>
              <m:r>
                <m:rPr>
                  <m:scr m:val="double-struck"/>
                  <m:sty m:val="p"/>
                </m:rPr>
                <w:rPr>
                  <w:rFonts w:ascii="Cambria Math" w:hAnsi="Cambria Math" w:cs="Times New Roman"/>
                </w:rPr>
                <m:t>E</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j</m:t>
                  </m:r>
                </m:sub>
              </m:sSub>
              <m:r>
                <m:rPr>
                  <m:sty m:val="p"/>
                </m:rPr>
                <w:rPr>
                  <w:rFonts w:ascii="Cambria Math" w:hAnsi="Cambria Math" w:cs="Times New Roman"/>
                </w:rPr>
                <m:t>]</m:t>
              </m:r>
            </m:oMath>
          </w:p>
        </w:tc>
        <w:tc>
          <w:tcPr>
            <w:tcW w:w="0" w:type="auto"/>
          </w:tcPr>
          <w:p w:rsidR="00AF2245" w:rsidRPr="0097287A" w:rsidRDefault="005E6F25" w:rsidP="0097287A">
            <w:pPr>
              <w:pStyle w:val="Compact"/>
              <w:spacing w:after="0"/>
              <w:jc w:val="both"/>
              <w:rPr>
                <w:rFonts w:ascii="Times New Roman" w:hAnsi="Times New Roman" w:cs="Times New Roman"/>
              </w:rPr>
            </w:pPr>
            <m:oMathPara>
              <m:oMath>
                <m:r>
                  <w:rPr>
                    <w:rFonts w:ascii="Cambria Math" w:hAnsi="Cambria Math" w:cs="Times New Roman"/>
                  </w:rPr>
                  <m:t>0.8</m:t>
                </m:r>
                <m:r>
                  <m:rPr>
                    <m:sty m:val="p"/>
                  </m:rPr>
                  <w:rPr>
                    <w:rFonts w:ascii="Cambria Math" w:hAnsi="Cambria Math" w:cs="Times New Roman"/>
                  </w:rPr>
                  <m:t>→</m:t>
                </m:r>
                <m:r>
                  <w:rPr>
                    <w:rFonts w:ascii="Cambria Math" w:hAnsi="Cambria Math" w:cs="Times New Roman"/>
                  </w:rPr>
                  <m:t>1.6</m:t>
                </m:r>
              </m:oMath>
            </m:oMathPara>
          </w:p>
        </w:tc>
        <w:tc>
          <w:tcPr>
            <w:tcW w:w="0" w:type="auto"/>
          </w:tcPr>
          <w:p w:rsidR="00AF2245" w:rsidRPr="0097287A" w:rsidRDefault="005E6F25" w:rsidP="0097287A">
            <w:pPr>
              <w:pStyle w:val="Compact"/>
              <w:spacing w:after="0"/>
              <w:jc w:val="both"/>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9.3</m:t>
                </m:r>
                <m:r>
                  <m:rPr>
                    <m:sty m:val="p"/>
                  </m:rPr>
                  <w:rPr>
                    <w:rFonts w:ascii="Cambria Math" w:hAnsi="Cambria Math" w:cs="Times New Roman"/>
                  </w:rPr>
                  <m:t>%</m:t>
                </m:r>
              </m:oMath>
            </m:oMathPara>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Secondary</w:t>
            </w:r>
          </w:p>
        </w:tc>
      </w:tr>
      <w:tr w:rsidR="00AF2245" w:rsidRPr="0097287A">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 xml:space="preserve">Arrival intensity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p>
        </w:tc>
        <w:tc>
          <w:tcPr>
            <w:tcW w:w="0" w:type="auto"/>
          </w:tcPr>
          <w:p w:rsidR="00AF2245" w:rsidRPr="0097287A" w:rsidRDefault="005E6F25" w:rsidP="0097287A">
            <w:pPr>
              <w:pStyle w:val="Compact"/>
              <w:spacing w:after="0"/>
              <w:jc w:val="both"/>
              <w:rPr>
                <w:rFonts w:ascii="Times New Roman" w:hAnsi="Times New Roman" w:cs="Times New Roman"/>
              </w:rPr>
            </w:pPr>
            <m:oMathPara>
              <m:oMath>
                <m:r>
                  <w:rPr>
                    <w:rFonts w:ascii="Cambria Math" w:hAnsi="Cambria Math" w:cs="Times New Roman"/>
                  </w:rPr>
                  <m:t>30</m:t>
                </m:r>
                <m:r>
                  <m:rPr>
                    <m:sty m:val="p"/>
                  </m:rPr>
                  <w:rPr>
                    <w:rFonts w:ascii="Cambria Math" w:hAnsi="Cambria Math" w:cs="Times New Roman"/>
                  </w:rPr>
                  <m:t>→</m:t>
                </m:r>
                <m:r>
                  <w:rPr>
                    <w:rFonts w:ascii="Cambria Math" w:hAnsi="Cambria Math" w:cs="Times New Roman"/>
                  </w:rPr>
                  <m:t>70</m:t>
                </m:r>
              </m:oMath>
            </m:oMathPara>
          </w:p>
        </w:tc>
        <w:tc>
          <w:tcPr>
            <w:tcW w:w="0" w:type="auto"/>
          </w:tcPr>
          <w:p w:rsidR="00AF2245" w:rsidRPr="0097287A" w:rsidRDefault="005E6F25" w:rsidP="0097287A">
            <w:pPr>
              <w:pStyle w:val="Compact"/>
              <w:spacing w:after="0"/>
              <w:jc w:val="both"/>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13.9</m:t>
                </m:r>
                <m:r>
                  <m:rPr>
                    <m:sty m:val="p"/>
                  </m:rPr>
                  <w:rPr>
                    <w:rFonts w:ascii="Cambria Math" w:hAnsi="Cambria Math" w:cs="Times New Roman"/>
                  </w:rPr>
                  <m:t>%</m:t>
                </m:r>
              </m:oMath>
            </m:oMathPara>
          </w:p>
        </w:tc>
        <w:tc>
          <w:tcPr>
            <w:tcW w:w="0" w:type="auto"/>
          </w:tcPr>
          <w:p w:rsidR="00AF2245" w:rsidRPr="0097287A" w:rsidRDefault="005E6F25" w:rsidP="0097287A">
            <w:pPr>
              <w:pStyle w:val="Compact"/>
              <w:spacing w:after="0"/>
              <w:jc w:val="both"/>
              <w:rPr>
                <w:rFonts w:ascii="Times New Roman" w:hAnsi="Times New Roman" w:cs="Times New Roman"/>
              </w:rPr>
            </w:pPr>
            <w:r w:rsidRPr="0097287A">
              <w:rPr>
                <w:rFonts w:ascii="Times New Roman" w:hAnsi="Times New Roman" w:cs="Times New Roman"/>
              </w:rPr>
              <w:t>Tertiary</w:t>
            </w:r>
          </w:p>
        </w:tc>
      </w:tr>
    </w:tbl>
    <w:bookmarkEnd w:id="54"/>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i/>
          <w:iCs/>
        </w:rPr>
        <w:t xml:space="preserve">Ranges represent operationally plausible variation based on CTS data. The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D</m:t>
            </m:r>
          </m:sub>
        </m:sSub>
      </m:oMath>
      <w:r w:rsidRPr="0097287A">
        <w:rPr>
          <w:rFonts w:ascii="Times New Roman" w:hAnsi="Times New Roman" w:cs="Times New Roman"/>
          <w:i/>
          <w:iCs/>
        </w:rPr>
        <w:t xml:space="preserve"> range spans the estimated civil value (2.08) and brackets both a plausible stress scenario (1.8) and a hypothetical improvement toward criminal behavior (3.5).</w:t>
      </w:r>
    </w:p>
    <w:p w:rsidR="00AF2245" w:rsidRPr="008B36AB" w:rsidRDefault="008B36AB" w:rsidP="008B36AB">
      <w:pPr>
        <w:pStyle w:val="Heading1"/>
        <w:numPr>
          <w:ilvl w:val="0"/>
          <w:numId w:val="0"/>
        </w:numPr>
        <w:spacing w:after="0"/>
        <w:ind w:left="432" w:hanging="432"/>
        <w:jc w:val="both"/>
        <w:rPr>
          <w:rFonts w:ascii="Times New Roman" w:hAnsi="Times New Roman" w:cs="Times New Roman"/>
          <w:b/>
          <w:bCs/>
          <w:sz w:val="28"/>
          <w:szCs w:val="28"/>
        </w:rPr>
      </w:pPr>
      <w:bookmarkStart w:id="55" w:name="recommendations-and-conclusion"/>
      <w:bookmarkEnd w:id="25"/>
      <w:bookmarkEnd w:id="44"/>
      <w:bookmarkEnd w:id="53"/>
      <w:r w:rsidRPr="008B36AB">
        <w:rPr>
          <w:rFonts w:ascii="Times New Roman" w:hAnsi="Times New Roman" w:cs="Times New Roman"/>
          <w:b/>
          <w:bCs/>
          <w:sz w:val="28"/>
          <w:szCs w:val="28"/>
        </w:rPr>
        <w:t>RECOMMENDATIONS AND CONCLUSION</w:t>
      </w:r>
    </w:p>
    <w:p w:rsidR="00AF2245" w:rsidRPr="0097287A" w:rsidRDefault="005E6F25" w:rsidP="008B36AB">
      <w:pPr>
        <w:pStyle w:val="Heading2"/>
        <w:numPr>
          <w:ilvl w:val="0"/>
          <w:numId w:val="0"/>
        </w:numPr>
        <w:spacing w:after="0"/>
        <w:ind w:left="576" w:hanging="576"/>
        <w:jc w:val="both"/>
        <w:rPr>
          <w:rFonts w:ascii="Times New Roman" w:hAnsi="Times New Roman" w:cs="Times New Roman"/>
          <w:sz w:val="24"/>
          <w:szCs w:val="24"/>
        </w:rPr>
      </w:pPr>
      <w:bookmarkStart w:id="56" w:name="findings-and-policy-recommendations"/>
      <w:r w:rsidRPr="0097287A">
        <w:rPr>
          <w:rFonts w:ascii="Times New Roman" w:hAnsi="Times New Roman" w:cs="Times New Roman"/>
          <w:sz w:val="24"/>
          <w:szCs w:val="24"/>
        </w:rPr>
        <w:t>Findings and Policy Recommendations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The empirical and theoretica</w:t>
      </w:r>
      <w:r w:rsidRPr="0097287A">
        <w:rPr>
          <w:rFonts w:ascii="Times New Roman" w:hAnsi="Times New Roman" w:cs="Times New Roman"/>
        </w:rPr>
        <w:t>l findings carry direct implications for judicial administration. This section translates model results into actionable recommendations organised around three operational levers: dynamic capacity allocation, adjournment control, and scenario-based stress t</w:t>
      </w:r>
      <w:r w:rsidRPr="0097287A">
        <w:rPr>
          <w:rFonts w:ascii="Times New Roman" w:hAnsi="Times New Roman" w:cs="Times New Roman"/>
        </w:rPr>
        <w:t>esting.</w:t>
      </w:r>
    </w:p>
    <w:p w:rsidR="00AF2245" w:rsidRPr="0097287A" w:rsidRDefault="005E6F25" w:rsidP="008B36AB">
      <w:pPr>
        <w:pStyle w:val="Heading3"/>
        <w:numPr>
          <w:ilvl w:val="0"/>
          <w:numId w:val="0"/>
        </w:numPr>
        <w:spacing w:after="0"/>
        <w:ind w:left="720" w:hanging="720"/>
        <w:jc w:val="both"/>
        <w:rPr>
          <w:rFonts w:ascii="Times New Roman" w:hAnsi="Times New Roman" w:cs="Times New Roman"/>
          <w:sz w:val="24"/>
          <w:szCs w:val="24"/>
        </w:rPr>
      </w:pPr>
      <w:bookmarkStart w:id="57" w:name="dynamic-capacity-allocation"/>
      <w:r w:rsidRPr="0097287A">
        <w:rPr>
          <w:rFonts w:ascii="Times New Roman" w:hAnsi="Times New Roman" w:cs="Times New Roman"/>
          <w:sz w:val="24"/>
          <w:szCs w:val="24"/>
        </w:rPr>
        <w:t>Dynamic Capacity Allocation</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The asymptotic result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xκ</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xκ</m:t>
        </m:r>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oMath>
      <w:r w:rsidRPr="0097287A">
        <w:rPr>
          <w:rFonts w:ascii="Times New Roman" w:hAnsi="Times New Roman" w:cs="Times New Roman"/>
        </w:rPr>
        <w:t xml:space="preserve"> establishes that backlog probability decays polynomially rather than exponentially. In such “fat-tailed” regimes, uniform capacity additions yield diminishing returns; resources must be strategically concentrated. The differential tail indices (</w:t>
      </w:r>
      <m:oMath>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eIG</m:t>
            </m:r>
          </m:sup>
        </m:sSubSup>
        <m:r>
          <m:rPr>
            <m:sty m:val="p"/>
          </m:rPr>
          <w:rPr>
            <w:rFonts w:ascii="Cambria Math" w:hAnsi="Cambria Math" w:cs="Times New Roman"/>
          </w:rPr>
          <m:t>=</m:t>
        </m:r>
        <m:r>
          <w:rPr>
            <w:rFonts w:ascii="Cambria Math" w:hAnsi="Cambria Math" w:cs="Times New Roman"/>
          </w:rPr>
          <m:t>2.08</m:t>
        </m:r>
      </m:oMath>
      <w:r w:rsidRPr="0097287A">
        <w:rPr>
          <w:rFonts w:ascii="Times New Roman" w:hAnsi="Times New Roman" w:cs="Times New Roman"/>
        </w:rPr>
        <w:t xml:space="preserve"> vs. </w:t>
      </w:r>
      <m:oMath>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rIM</m:t>
            </m:r>
          </m:sup>
        </m:sSubSup>
        <m:r>
          <m:rPr>
            <m:sty m:val="p"/>
          </m:rPr>
          <w:rPr>
            <w:rFonts w:ascii="Cambria Math" w:hAnsi="Cambria Math" w:cs="Times New Roman"/>
          </w:rPr>
          <m:t>=</m:t>
        </m:r>
        <m:r>
          <w:rPr>
            <w:rFonts w:ascii="Cambria Math" w:hAnsi="Cambria Math" w:cs="Times New Roman"/>
          </w:rPr>
          <m:t>4.48</m:t>
        </m:r>
      </m:oMath>
      <w:r w:rsidRPr="0097287A">
        <w:rPr>
          <w:rFonts w:ascii="Times New Roman" w:hAnsi="Times New Roman" w:cs="Times New Roman"/>
        </w:rPr>
        <w:t>) document that the civil stream is substantially more vulnerable to extreme-event congestion and should receive allocation priority.</w:t>
      </w:r>
    </w:p>
    <w:p w:rsidR="00AF2245" w:rsidRPr="0097287A" w:rsidRDefault="005E6F25" w:rsidP="008B36AB">
      <w:pPr>
        <w:pStyle w:val="Heading3"/>
        <w:numPr>
          <w:ilvl w:val="0"/>
          <w:numId w:val="0"/>
        </w:numPr>
        <w:spacing w:after="0"/>
        <w:ind w:left="720" w:hanging="720"/>
        <w:jc w:val="both"/>
        <w:rPr>
          <w:rFonts w:ascii="Times New Roman" w:hAnsi="Times New Roman" w:cs="Times New Roman"/>
          <w:sz w:val="24"/>
          <w:szCs w:val="24"/>
        </w:rPr>
      </w:pPr>
      <w:bookmarkStart w:id="58" w:name="adjournment-control-policies"/>
      <w:bookmarkEnd w:id="57"/>
      <w:r w:rsidRPr="0097287A">
        <w:rPr>
          <w:rFonts w:ascii="Times New Roman" w:hAnsi="Times New Roman" w:cs="Times New Roman"/>
          <w:sz w:val="24"/>
          <w:szCs w:val="24"/>
        </w:rPr>
        <w:t>Adjournment Control Policies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Given that the civil tail index of 2.08 lies only 0.28 units above t</w:t>
      </w:r>
      <w:r w:rsidRPr="0097287A">
        <w:rPr>
          <w:rFonts w:ascii="Times New Roman" w:hAnsi="Times New Roman" w:cs="Times New Roman"/>
        </w:rPr>
        <w:t>he infinite-variance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 adjournment control constitutes an immediate operational priority.</w:t>
      </w:r>
    </w:p>
    <w:p w:rsidR="00AF2245" w:rsidRPr="0097287A" w:rsidRDefault="005E6F25" w:rsidP="0097287A">
      <w:pPr>
        <w:numPr>
          <w:ilvl w:val="0"/>
          <w:numId w:val="5"/>
        </w:numPr>
        <w:spacing w:after="0"/>
        <w:jc w:val="both"/>
        <w:rPr>
          <w:rFonts w:ascii="Times New Roman" w:hAnsi="Times New Roman" w:cs="Times New Roman"/>
        </w:rPr>
      </w:pPr>
      <w:r w:rsidRPr="0097287A">
        <w:rPr>
          <w:rFonts w:ascii="Times New Roman" w:hAnsi="Times New Roman" w:cs="Times New Roman"/>
          <w:b/>
          <w:bCs/>
        </w:rPr>
        <w:lastRenderedPageBreak/>
        <w:t>Statutory adjournment caps:</w:t>
      </w:r>
      <w:r w:rsidRPr="0097287A">
        <w:rPr>
          <w:rFonts w:ascii="Times New Roman" w:hAnsi="Times New Roman" w:cs="Times New Roman"/>
        </w:rPr>
        <w:t xml:space="preserve"> Legislating a maximum number of adjournments per case type directly reduces </w:t>
      </w:r>
      <m:oMath>
        <m:r>
          <w:rPr>
            <w:rFonts w:ascii="Cambria Math" w:hAnsi="Cambria Math" w:cs="Times New Roman"/>
          </w:rPr>
          <m:t>E</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M</m:t>
            </m:r>
          </m:e>
          <m:sub>
            <m:r>
              <w:rPr>
                <w:rFonts w:ascii="Cambria Math" w:hAnsi="Cambria Math" w:cs="Times New Roman"/>
              </w:rPr>
              <m:t>i</m:t>
            </m:r>
          </m:sub>
          <m:sup>
            <m:r>
              <w:rPr>
                <w:rFonts w:ascii="Cambria Math" w:hAnsi="Cambria Math" w:cs="Times New Roman"/>
              </w:rPr>
              <m:t>γ</m:t>
            </m:r>
            <m:r>
              <m:rPr>
                <m:sty m:val="p"/>
              </m:rPr>
              <w:rPr>
                <w:rFonts w:ascii="Cambria Math" w:hAnsi="Cambria Math" w:cs="Times New Roman"/>
              </w:rPr>
              <m:t>(</m:t>
            </m:r>
            <m:r>
              <w:rPr>
                <w:rFonts w:ascii="Cambria Math" w:hAnsi="Cambria Math" w:cs="Times New Roman"/>
              </w:rPr>
              <m:t>κ</m:t>
            </m:r>
            <m:r>
              <m:rPr>
                <m:sty m:val="p"/>
              </m:rPr>
              <w:rPr>
                <w:rFonts w:ascii="Cambria Math" w:hAnsi="Cambria Math" w:cs="Times New Roman"/>
              </w:rPr>
              <m:t>)</m:t>
            </m:r>
          </m:sup>
        </m:sSubSup>
        <m:r>
          <m:rPr>
            <m:sty m:val="p"/>
          </m:rPr>
          <w:rPr>
            <w:rFonts w:ascii="Cambria Math" w:hAnsi="Cambria Math" w:cs="Times New Roman"/>
          </w:rPr>
          <m:t>]</m:t>
        </m:r>
      </m:oMath>
      <w:r w:rsidRPr="0097287A">
        <w:rPr>
          <w:rFonts w:ascii="Times New Roman" w:hAnsi="Times New Roman" w:cs="Times New Roman"/>
        </w:rPr>
        <w:t xml:space="preserve">. Calibration should be </w:t>
      </w:r>
      <w:r w:rsidRPr="0097287A">
        <w:rPr>
          <w:rFonts w:ascii="Times New Roman" w:hAnsi="Times New Roman" w:cs="Times New Roman"/>
        </w:rPr>
        <w:t>stream-specific to avoid penalising complex litigation.</w:t>
      </w:r>
    </w:p>
    <w:p w:rsidR="00AF2245" w:rsidRPr="0097287A" w:rsidRDefault="005E6F25" w:rsidP="0097287A">
      <w:pPr>
        <w:numPr>
          <w:ilvl w:val="0"/>
          <w:numId w:val="5"/>
        </w:numPr>
        <w:spacing w:after="0"/>
        <w:jc w:val="both"/>
        <w:rPr>
          <w:rFonts w:ascii="Times New Roman" w:hAnsi="Times New Roman" w:cs="Times New Roman"/>
        </w:rPr>
      </w:pPr>
      <w:r w:rsidRPr="0097287A">
        <w:rPr>
          <w:rFonts w:ascii="Times New Roman" w:hAnsi="Times New Roman" w:cs="Times New Roman"/>
          <w:b/>
          <w:bCs/>
        </w:rPr>
        <w:t>Reason-specific interventions:</w:t>
      </w:r>
      <w:r w:rsidRPr="0097287A">
        <w:rPr>
          <w:rFonts w:ascii="Times New Roman" w:hAnsi="Times New Roman" w:cs="Times New Roman"/>
        </w:rPr>
        <w:t xml:space="preserve"> Standardising the tracking of adjournment reasons—currently inconsistent across stations—is a prerequisite for targeted intervention.</w:t>
      </w:r>
    </w:p>
    <w:p w:rsidR="00AF2245" w:rsidRPr="0097287A" w:rsidRDefault="005E6F25" w:rsidP="0097287A">
      <w:pPr>
        <w:numPr>
          <w:ilvl w:val="0"/>
          <w:numId w:val="5"/>
        </w:numPr>
        <w:spacing w:after="0"/>
        <w:jc w:val="both"/>
        <w:rPr>
          <w:rFonts w:ascii="Times New Roman" w:hAnsi="Times New Roman" w:cs="Times New Roman"/>
        </w:rPr>
      </w:pPr>
      <w:r w:rsidRPr="0097287A">
        <w:rPr>
          <w:rFonts w:ascii="Times New Roman" w:hAnsi="Times New Roman" w:cs="Times New Roman"/>
          <w:b/>
          <w:bCs/>
        </w:rPr>
        <w:t>Differentiated case management:</w:t>
      </w:r>
      <w:r w:rsidRPr="0097287A">
        <w:rPr>
          <w:rFonts w:ascii="Times New Roman" w:hAnsi="Times New Roman" w:cs="Times New Roman"/>
        </w:rPr>
        <w:t xml:space="preserve"> Str</w:t>
      </w:r>
      <w:r w:rsidRPr="0097287A">
        <w:rPr>
          <w:rFonts w:ascii="Times New Roman" w:hAnsi="Times New Roman" w:cs="Times New Roman"/>
        </w:rPr>
        <w:t>icter procedural timelines applied to civil matters already beyond a delay threshold reduce the probability of extreme realisations without imposing a uniform procedural burden.</w:t>
      </w:r>
    </w:p>
    <w:p w:rsidR="008B36AB" w:rsidRDefault="008B36AB" w:rsidP="008B36AB">
      <w:pPr>
        <w:pStyle w:val="Heading3"/>
        <w:numPr>
          <w:ilvl w:val="0"/>
          <w:numId w:val="0"/>
        </w:numPr>
        <w:spacing w:after="0"/>
        <w:ind w:left="720" w:hanging="720"/>
        <w:jc w:val="both"/>
        <w:rPr>
          <w:rFonts w:ascii="Times New Roman" w:hAnsi="Times New Roman" w:cs="Times New Roman"/>
          <w:sz w:val="24"/>
          <w:szCs w:val="24"/>
        </w:rPr>
      </w:pPr>
      <w:bookmarkStart w:id="59" w:name="scenario-based-stress-testing"/>
      <w:bookmarkEnd w:id="58"/>
    </w:p>
    <w:p w:rsidR="00AF2245" w:rsidRPr="0097287A" w:rsidRDefault="005E6F25" w:rsidP="008B36AB">
      <w:pPr>
        <w:pStyle w:val="Heading3"/>
        <w:numPr>
          <w:ilvl w:val="0"/>
          <w:numId w:val="0"/>
        </w:numPr>
        <w:spacing w:after="0"/>
        <w:ind w:left="720" w:hanging="720"/>
        <w:jc w:val="both"/>
        <w:rPr>
          <w:rFonts w:ascii="Times New Roman" w:hAnsi="Times New Roman" w:cs="Times New Roman"/>
          <w:sz w:val="24"/>
          <w:szCs w:val="24"/>
        </w:rPr>
      </w:pPr>
      <w:r w:rsidRPr="0097287A">
        <w:rPr>
          <w:rFonts w:ascii="Times New Roman" w:hAnsi="Times New Roman" w:cs="Times New Roman"/>
          <w:sz w:val="24"/>
          <w:szCs w:val="24"/>
        </w:rPr>
        <w:t>Scenario-Based Stress Testing</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Three scenarios merit routine inclusion in annu</w:t>
      </w:r>
      <w:r w:rsidRPr="0097287A">
        <w:rPr>
          <w:rFonts w:ascii="Times New Roman" w:hAnsi="Times New Roman" w:cs="Times New Roman"/>
        </w:rPr>
        <w:t>al Judiciary performance reporting:</w:t>
      </w:r>
    </w:p>
    <w:p w:rsidR="00AF2245" w:rsidRPr="0097287A" w:rsidRDefault="005E6F25" w:rsidP="0097287A">
      <w:pPr>
        <w:numPr>
          <w:ilvl w:val="0"/>
          <w:numId w:val="6"/>
        </w:numPr>
        <w:spacing w:after="0"/>
        <w:jc w:val="both"/>
        <w:rPr>
          <w:rFonts w:ascii="Times New Roman" w:hAnsi="Times New Roman" w:cs="Times New Roman"/>
        </w:rPr>
      </w:pPr>
      <w:r w:rsidRPr="0097287A">
        <w:rPr>
          <w:rFonts w:ascii="Times New Roman" w:hAnsi="Times New Roman" w:cs="Times New Roman"/>
          <w:b/>
          <w:bCs/>
        </w:rPr>
        <w:t>Surge scenario:</w:t>
      </w:r>
      <w:r w:rsidRPr="0097287A">
        <w:rPr>
          <w:rFonts w:ascii="Times New Roman" w:hAnsi="Times New Roman" w:cs="Times New Roman"/>
        </w:rPr>
        <w:t xml:space="preserve"> Simulate a 30% increase in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κ</m:t>
            </m:r>
          </m:sub>
        </m:sSub>
      </m:oMath>
      <w:r w:rsidRPr="0097287A">
        <w:rPr>
          <w:rFonts w:ascii="Times New Roman" w:hAnsi="Times New Roman" w:cs="Times New Roman"/>
        </w:rPr>
        <w:t xml:space="preserve"> to evaluate if capacity keeps </w:t>
      </w:r>
      <m:oMath>
        <m:sSub>
          <m:sSubPr>
            <m:ctrlPr>
              <w:rPr>
                <w:rFonts w:ascii="Cambria Math" w:hAnsi="Cambria Math" w:cs="Times New Roman"/>
              </w:rPr>
            </m:ctrlPr>
          </m:sSubPr>
          <m:e>
            <m:r>
              <w:rPr>
                <w:rFonts w:ascii="Cambria Math" w:hAnsi="Cambria Math" w:cs="Times New Roman"/>
              </w:rPr>
              <m:t>ϕ</m:t>
            </m:r>
          </m:e>
          <m:sub>
            <m:r>
              <m:rPr>
                <m:nor/>
              </m:rPr>
              <w:rPr>
                <w:rFonts w:ascii="Times New Roman" w:hAnsi="Times New Roman" w:cs="Times New Roman"/>
              </w:rPr>
              <m:t>marg</m:t>
            </m:r>
          </m:sub>
        </m:sSub>
      </m:oMath>
      <w:r w:rsidRPr="0097287A">
        <w:rPr>
          <w:rFonts w:ascii="Times New Roman" w:hAnsi="Times New Roman" w:cs="Times New Roman"/>
        </w:rPr>
        <w:t xml:space="preserve"> below 5%.</w:t>
      </w:r>
    </w:p>
    <w:p w:rsidR="00AF2245" w:rsidRPr="0097287A" w:rsidRDefault="005E6F25" w:rsidP="0097287A">
      <w:pPr>
        <w:numPr>
          <w:ilvl w:val="0"/>
          <w:numId w:val="6"/>
        </w:numPr>
        <w:spacing w:after="0"/>
        <w:jc w:val="both"/>
        <w:rPr>
          <w:rFonts w:ascii="Times New Roman" w:hAnsi="Times New Roman" w:cs="Times New Roman"/>
        </w:rPr>
      </w:pPr>
      <w:r w:rsidRPr="0097287A">
        <w:rPr>
          <w:rFonts w:ascii="Times New Roman" w:hAnsi="Times New Roman" w:cs="Times New Roman"/>
          <w:b/>
          <w:bCs/>
        </w:rPr>
        <w:t>Capacity shock scenario:</w:t>
      </w:r>
      <w:r w:rsidRPr="0097287A">
        <w:rPr>
          <w:rFonts w:ascii="Times New Roman" w:hAnsi="Times New Roman" w:cs="Times New Roman"/>
        </w:rPr>
        <w:t xml:space="preserve"> Simulate a 20–40% reduction in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oMath>
      <w:r w:rsidRPr="0097287A">
        <w:rPr>
          <w:rFonts w:ascii="Times New Roman" w:hAnsi="Times New Roman" w:cs="Times New Roman"/>
        </w:rPr>
        <w:t xml:space="preserve"> (e.g., transfers or COVID-19 style closures) to quantify months-</w:t>
      </w:r>
      <w:r w:rsidRPr="0097287A">
        <w:rPr>
          <w:rFonts w:ascii="Times New Roman" w:hAnsi="Times New Roman" w:cs="Times New Roman"/>
        </w:rPr>
        <w:t>to-recovery.</w:t>
      </w:r>
    </w:p>
    <w:p w:rsidR="00AF2245" w:rsidRPr="0097287A" w:rsidRDefault="005E6F25" w:rsidP="0097287A">
      <w:pPr>
        <w:numPr>
          <w:ilvl w:val="0"/>
          <w:numId w:val="6"/>
        </w:numPr>
        <w:spacing w:after="0"/>
        <w:jc w:val="both"/>
        <w:rPr>
          <w:rFonts w:ascii="Times New Roman" w:hAnsi="Times New Roman" w:cs="Times New Roman"/>
        </w:rPr>
      </w:pPr>
      <w:r w:rsidRPr="0097287A">
        <w:rPr>
          <w:rFonts w:ascii="Times New Roman" w:hAnsi="Times New Roman" w:cs="Times New Roman"/>
          <w:b/>
          <w:bCs/>
        </w:rPr>
        <w:t>Heavy-tail shock scenario:</w:t>
      </w:r>
      <w:r w:rsidRPr="0097287A">
        <w:rPr>
          <w:rFonts w:ascii="Times New Roman" w:hAnsi="Times New Roman" w:cs="Times New Roman"/>
        </w:rPr>
        <w:t xml:space="preserve"> Simulate a reduction in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oMath>
      <w:r w:rsidRPr="0097287A">
        <w:rPr>
          <w:rFonts w:ascii="Times New Roman" w:hAnsi="Times New Roman" w:cs="Times New Roman"/>
        </w:rPr>
        <w:t xml:space="preserve"> by one standard deviation, yielding a stress value of approximately </w:t>
      </w:r>
      <m:oMath>
        <m:sSubSup>
          <m:sSubSupPr>
            <m:ctrlPr>
              <w:rPr>
                <w:rFonts w:ascii="Cambria Math" w:hAnsi="Cambria Math" w:cs="Times New Roman"/>
              </w:rPr>
            </m:ctrlPr>
          </m:sSubSupPr>
          <m:e>
            <m:r>
              <w:rPr>
                <w:rFonts w:ascii="Cambria Math" w:hAnsi="Cambria Math" w:cs="Times New Roman"/>
              </w:rPr>
              <m:t>α</m:t>
            </m:r>
          </m:e>
          <m:sub>
            <m:r>
              <w:rPr>
                <w:rFonts w:ascii="Cambria Math" w:hAnsi="Cambria Math" w:cs="Times New Roman"/>
              </w:rPr>
              <m:t>s</m:t>
            </m:r>
          </m:sub>
          <m:sup>
            <m:r>
              <w:rPr>
                <w:rFonts w:ascii="Cambria Math" w:hAnsi="Cambria Math" w:cs="Times New Roman"/>
              </w:rPr>
              <m:t>eIG</m:t>
            </m:r>
          </m:sup>
        </m:sSubSup>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r>
          <w:rPr>
            <w:rFonts w:ascii="Cambria Math" w:hAnsi="Cambria Math" w:cs="Times New Roman"/>
          </w:rPr>
          <m:t>1.8</m:t>
        </m:r>
      </m:oMath>
      <w:r w:rsidRPr="0097287A">
        <w:rPr>
          <w:rFonts w:ascii="Times New Roman" w:hAnsi="Times New Roman" w:cs="Times New Roman"/>
        </w:rPr>
        <w:t>.</w:t>
      </w:r>
    </w:p>
    <w:p w:rsidR="00AF2245" w:rsidRPr="008B36AB" w:rsidRDefault="005E6F25" w:rsidP="008B36AB">
      <w:pPr>
        <w:pStyle w:val="Heading2"/>
        <w:numPr>
          <w:ilvl w:val="0"/>
          <w:numId w:val="0"/>
        </w:numPr>
        <w:spacing w:after="0"/>
        <w:ind w:left="576" w:hanging="576"/>
        <w:jc w:val="both"/>
        <w:rPr>
          <w:rFonts w:ascii="Times New Roman" w:hAnsi="Times New Roman" w:cs="Times New Roman"/>
          <w:b/>
          <w:bCs/>
          <w:sz w:val="24"/>
          <w:szCs w:val="24"/>
        </w:rPr>
      </w:pPr>
      <w:bookmarkStart w:id="60" w:name="conclusion"/>
      <w:bookmarkEnd w:id="56"/>
      <w:bookmarkEnd w:id="59"/>
      <w:r w:rsidRPr="008B36AB">
        <w:rPr>
          <w:rFonts w:ascii="Times New Roman" w:hAnsi="Times New Roman" w:cs="Times New Roman"/>
          <w:b/>
          <w:bCs/>
          <w:sz w:val="24"/>
          <w:szCs w:val="24"/>
        </w:rPr>
        <w:t>Conclusion</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 xml:space="preserve">This study presents three primary contributions. </w:t>
      </w:r>
      <w:r w:rsidRPr="0097287A">
        <w:rPr>
          <w:rFonts w:ascii="Times New Roman" w:hAnsi="Times New Roman" w:cs="Times New Roman"/>
          <w:i/>
          <w:iCs/>
        </w:rPr>
        <w:t>First</w:t>
      </w:r>
      <w:r w:rsidRPr="0097287A">
        <w:rPr>
          <w:rFonts w:ascii="Times New Roman" w:hAnsi="Times New Roman" w:cs="Times New Roman"/>
        </w:rPr>
        <w:t xml:space="preserve">, we provide a formal mathematical framework for judicial backlog via a bidimensional surplus process </w:t>
      </w:r>
      <m:oMath>
        <m:r>
          <w:rPr>
            <w:rFonts w:ascii="Cambria Math" w:hAnsi="Cambria Math" w:cs="Times New Roman"/>
          </w:rPr>
          <m:t>U</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7287A">
        <w:rPr>
          <w:rFonts w:ascii="Times New Roman" w:hAnsi="Times New Roman" w:cs="Times New Roman"/>
        </w:rPr>
        <w:t xml:space="preserve">. </w:t>
      </w:r>
      <w:r w:rsidRPr="0097287A">
        <w:rPr>
          <w:rFonts w:ascii="Times New Roman" w:hAnsi="Times New Roman" w:cs="Times New Roman"/>
          <w:i/>
          <w:iCs/>
        </w:rPr>
        <w:t>Second</w:t>
      </w:r>
      <w:r w:rsidRPr="0097287A">
        <w:rPr>
          <w:rFonts w:ascii="Times New Roman" w:hAnsi="Times New Roman" w:cs="Times New Roman"/>
        </w:rPr>
        <w:t xml:space="preserve">, the study derives and validates asymptotic expressions where the polynomial decay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xκ</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κ</m:t>
            </m:r>
          </m:sub>
        </m:sSub>
        <m:r>
          <m:rPr>
            <m:sty m:val="p"/>
          </m:rPr>
          <w:rPr>
            <w:rFonts w:ascii="Cambria Math" w:hAnsi="Cambria Math" w:cs="Times New Roman"/>
          </w:rPr>
          <m:t>⋅</m:t>
        </m:r>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κ</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κ</m:t>
                </m:r>
              </m:sub>
            </m:sSub>
          </m:sup>
        </m:sSup>
      </m:oMath>
      <w:r w:rsidRPr="0097287A">
        <w:rPr>
          <w:rFonts w:ascii="Times New Roman" w:hAnsi="Times New Roman" w:cs="Times New Roman"/>
        </w:rPr>
        <w:t xml:space="preserve"> constitutes </w:t>
      </w:r>
      <w:r w:rsidRPr="0097287A">
        <w:rPr>
          <w:rFonts w:ascii="Times New Roman" w:hAnsi="Times New Roman" w:cs="Times New Roman"/>
        </w:rPr>
        <w:t xml:space="preserve">an operative estimate for civil streams. </w:t>
      </w:r>
      <w:r w:rsidRPr="0097287A">
        <w:rPr>
          <w:rFonts w:ascii="Times New Roman" w:hAnsi="Times New Roman" w:cs="Times New Roman"/>
          <w:i/>
          <w:iCs/>
        </w:rPr>
        <w:t>Third</w:t>
      </w:r>
      <w:r w:rsidRPr="0097287A">
        <w:rPr>
          <w:rFonts w:ascii="Times New Roman" w:hAnsi="Times New Roman" w:cs="Times New Roman"/>
        </w:rPr>
        <w:t>, empirical analysis of five years of CTS data (FY 2020/21–2024/25) establishes that the civil stream sits in a precarious regime near the infinite-variance boundary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2</m:t>
        </m:r>
      </m:oMath>
      <w:r w:rsidRPr="0097287A">
        <w:rPr>
          <w:rFonts w:ascii="Times New Roman" w:hAnsi="Times New Roman" w:cs="Times New Roman"/>
        </w:rPr>
        <w:t>).</w:t>
      </w:r>
    </w:p>
    <w:p w:rsidR="00AF2245" w:rsidRPr="008B36AB" w:rsidRDefault="005E6F25" w:rsidP="008B36AB">
      <w:pPr>
        <w:pStyle w:val="Heading3"/>
        <w:numPr>
          <w:ilvl w:val="0"/>
          <w:numId w:val="0"/>
        </w:numPr>
        <w:spacing w:after="0"/>
        <w:ind w:left="720" w:hanging="720"/>
        <w:jc w:val="both"/>
        <w:rPr>
          <w:rFonts w:ascii="Times New Roman" w:hAnsi="Times New Roman" w:cs="Times New Roman"/>
          <w:b/>
          <w:bCs/>
          <w:sz w:val="24"/>
          <w:szCs w:val="24"/>
        </w:rPr>
      </w:pPr>
      <w:bookmarkStart w:id="61" w:name="theoretical-and-practical-implications"/>
      <w:r w:rsidRPr="008B36AB">
        <w:rPr>
          <w:rFonts w:ascii="Times New Roman" w:hAnsi="Times New Roman" w:cs="Times New Roman"/>
          <w:b/>
          <w:bCs/>
          <w:sz w:val="24"/>
          <w:szCs w:val="24"/>
        </w:rPr>
        <w:t>Theoretical and Practical Implicatio</w:t>
      </w:r>
      <w:r w:rsidRPr="008B36AB">
        <w:rPr>
          <w:rFonts w:ascii="Times New Roman" w:hAnsi="Times New Roman" w:cs="Times New Roman"/>
          <w:b/>
          <w:bCs/>
          <w:sz w:val="24"/>
          <w:szCs w:val="24"/>
        </w:rPr>
        <w:t>ns</w:t>
      </w:r>
    </w:p>
    <w:p w:rsidR="00AF2245" w:rsidRPr="0097287A"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The study demonstrates that actuarial surplus modelling transfers productively to the judicial domain. The analogy between insurance ruin and judicial backlog is mathematically robust once delayed-claim extensions are applied. Practically, the finding t</w:t>
      </w:r>
      <w:r w:rsidRPr="0097287A">
        <w:rPr>
          <w:rFonts w:ascii="Times New Roman" w:hAnsi="Times New Roman" w:cs="Times New Roman"/>
        </w:rPr>
        <w:t>hat averages are insufficient governance instruments for heavy-tailed systems suggests that the Judiciary must shift focus toward tail-risk management and standardized adjournment reason coding.</w:t>
      </w:r>
    </w:p>
    <w:p w:rsidR="00AF2245" w:rsidRPr="008B36AB" w:rsidRDefault="005E6F25" w:rsidP="008B36AB">
      <w:pPr>
        <w:pStyle w:val="Heading3"/>
        <w:numPr>
          <w:ilvl w:val="0"/>
          <w:numId w:val="0"/>
        </w:numPr>
        <w:spacing w:after="0"/>
        <w:ind w:left="720" w:hanging="720"/>
        <w:jc w:val="both"/>
        <w:rPr>
          <w:rFonts w:ascii="Times New Roman" w:hAnsi="Times New Roman" w:cs="Times New Roman"/>
          <w:b/>
          <w:bCs/>
          <w:sz w:val="24"/>
          <w:szCs w:val="24"/>
        </w:rPr>
      </w:pPr>
      <w:bookmarkStart w:id="62" w:name="recommendation-for-future-research"/>
      <w:bookmarkEnd w:id="61"/>
      <w:r w:rsidRPr="008B36AB">
        <w:rPr>
          <w:rFonts w:ascii="Times New Roman" w:hAnsi="Times New Roman" w:cs="Times New Roman"/>
          <w:b/>
          <w:bCs/>
          <w:sz w:val="24"/>
          <w:szCs w:val="24"/>
        </w:rPr>
        <w:t>Recommendation for Future Research</w:t>
      </w:r>
    </w:p>
    <w:p w:rsidR="008B36AB"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t>Future studies can build o</w:t>
      </w:r>
      <w:r w:rsidRPr="0097287A">
        <w:rPr>
          <w:rFonts w:ascii="Times New Roman" w:hAnsi="Times New Roman" w:cs="Times New Roman"/>
        </w:rPr>
        <w:t>n this research by exploring several extensions. Incorporating multistage or network queueing models will allow more granular modeling of delay propagation and backlog formation. Integrating models of litigant and judicial decision-making can improve under</w:t>
      </w:r>
      <w:r w:rsidRPr="0097287A">
        <w:rPr>
          <w:rFonts w:ascii="Times New Roman" w:hAnsi="Times New Roman" w:cs="Times New Roman"/>
        </w:rPr>
        <w:t>standing of adjournment dynamics and the persistence of delays. Evaluating the impact of e-filing, virtual hearings, and automated scheduling on tail behaviour in delays will inform modernized judicial workflows. Studying different court systems or jurisdi</w:t>
      </w:r>
      <w:r w:rsidRPr="0097287A">
        <w:rPr>
          <w:rFonts w:ascii="Times New Roman" w:hAnsi="Times New Roman" w:cs="Times New Roman"/>
        </w:rPr>
        <w:t>ctions can assess the generalizability of heavy-tailed backlog dynamics and the effectiveness of alternative policy interventions.</w:t>
      </w:r>
    </w:p>
    <w:p w:rsidR="008B36AB"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br/>
      </w:r>
      <w:r w:rsidRPr="0097287A">
        <w:rPr>
          <w:rFonts w:ascii="Times New Roman" w:hAnsi="Times New Roman" w:cs="Times New Roman"/>
          <w:b/>
          <w:bCs/>
        </w:rPr>
        <w:t>Ethics declaration</w:t>
      </w:r>
      <w:r w:rsidRPr="0097287A">
        <w:rPr>
          <w:rFonts w:ascii="Times New Roman" w:hAnsi="Times New Roman" w:cs="Times New Roman"/>
        </w:rPr>
        <w:t>: The study relied solely on anonymized, aggregated court process data. No personal identifiers were used,</w:t>
      </w:r>
      <w:r w:rsidRPr="0097287A">
        <w:rPr>
          <w:rFonts w:ascii="Times New Roman" w:hAnsi="Times New Roman" w:cs="Times New Roman"/>
        </w:rPr>
        <w:t xml:space="preserve"> ensuring compliance with judicial data protocol, confidentiality and independence.</w:t>
      </w:r>
    </w:p>
    <w:p w:rsidR="008B36AB"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br/>
      </w:r>
      <w:r w:rsidRPr="0097287A">
        <w:rPr>
          <w:rFonts w:ascii="Times New Roman" w:hAnsi="Times New Roman" w:cs="Times New Roman"/>
          <w:b/>
          <w:bCs/>
        </w:rPr>
        <w:t>Acknowledgements</w:t>
      </w:r>
      <w:r w:rsidRPr="0097287A">
        <w:rPr>
          <w:rFonts w:ascii="Times New Roman" w:hAnsi="Times New Roman" w:cs="Times New Roman"/>
        </w:rPr>
        <w:t xml:space="preserve">: The authors gratefully acknowledge the Judiciary of Kenya for access to case data and critical insights, the reviewers and colleagues for valuable </w:t>
      </w:r>
      <w:r w:rsidRPr="0097287A">
        <w:rPr>
          <w:rFonts w:ascii="Times New Roman" w:hAnsi="Times New Roman" w:cs="Times New Roman"/>
        </w:rPr>
        <w:t>feedback, and their institutions, family, and friends for support. Any remaining errors are the authors’ responsibility.</w:t>
      </w:r>
    </w:p>
    <w:p w:rsidR="008B36AB"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lastRenderedPageBreak/>
        <w:br/>
      </w:r>
      <w:r w:rsidRPr="0097287A">
        <w:rPr>
          <w:rFonts w:ascii="Times New Roman" w:hAnsi="Times New Roman" w:cs="Times New Roman"/>
          <w:b/>
          <w:bCs/>
        </w:rPr>
        <w:t>Funding Statement</w:t>
      </w:r>
      <w:r w:rsidRPr="0097287A">
        <w:rPr>
          <w:rFonts w:ascii="Times New Roman" w:hAnsi="Times New Roman" w:cs="Times New Roman"/>
        </w:rPr>
        <w:t>: This research received no specific grant from any funding agency in the public, commercial, or not-for-profit secto</w:t>
      </w:r>
      <w:r w:rsidRPr="0097287A">
        <w:rPr>
          <w:rFonts w:ascii="Times New Roman" w:hAnsi="Times New Roman" w:cs="Times New Roman"/>
        </w:rPr>
        <w:t>rs. The authors conducted this study as part of their research activities.</w:t>
      </w:r>
    </w:p>
    <w:p w:rsidR="00AF2245" w:rsidRDefault="005E6F25" w:rsidP="0097287A">
      <w:pPr>
        <w:pStyle w:val="FirstParagraph"/>
        <w:spacing w:after="0"/>
        <w:jc w:val="both"/>
        <w:rPr>
          <w:rFonts w:ascii="Times New Roman" w:hAnsi="Times New Roman" w:cs="Times New Roman"/>
        </w:rPr>
      </w:pPr>
      <w:r w:rsidRPr="0097287A">
        <w:rPr>
          <w:rFonts w:ascii="Times New Roman" w:hAnsi="Times New Roman" w:cs="Times New Roman"/>
        </w:rPr>
        <w:br/>
      </w:r>
      <w:r w:rsidRPr="0097287A">
        <w:rPr>
          <w:rFonts w:ascii="Times New Roman" w:hAnsi="Times New Roman" w:cs="Times New Roman"/>
          <w:b/>
          <w:bCs/>
        </w:rPr>
        <w:t>Conflict of Interest Declaration</w:t>
      </w:r>
      <w:r w:rsidRPr="0097287A">
        <w:rPr>
          <w:rFonts w:ascii="Times New Roman" w:hAnsi="Times New Roman" w:cs="Times New Roman"/>
        </w:rPr>
        <w:t>: The authors declare that they have no conflicts of interest relevant to the content of this manuscript.</w:t>
      </w:r>
    </w:p>
    <w:p w:rsidR="008B36AB" w:rsidRPr="008B36AB" w:rsidRDefault="008B36AB" w:rsidP="008B36AB">
      <w:pPr>
        <w:pStyle w:val="BodyText"/>
      </w:pPr>
    </w:p>
    <w:p w:rsidR="008B36AB" w:rsidRPr="008B36AB" w:rsidRDefault="008B36AB" w:rsidP="008B36AB">
      <w:pPr>
        <w:pStyle w:val="Heading3"/>
        <w:numPr>
          <w:ilvl w:val="0"/>
          <w:numId w:val="0"/>
        </w:numPr>
        <w:spacing w:after="0"/>
        <w:ind w:left="720" w:hanging="720"/>
        <w:jc w:val="both"/>
        <w:rPr>
          <w:rFonts w:ascii="Times New Roman" w:hAnsi="Times New Roman" w:cs="Times New Roman"/>
          <w:b/>
          <w:bCs/>
          <w:sz w:val="24"/>
          <w:szCs w:val="24"/>
        </w:rPr>
      </w:pPr>
      <w:r w:rsidRPr="008B36AB">
        <w:rPr>
          <w:rFonts w:ascii="Times New Roman" w:hAnsi="Times New Roman" w:cs="Times New Roman"/>
          <w:b/>
          <w:bCs/>
          <w:sz w:val="24"/>
          <w:szCs w:val="24"/>
        </w:rPr>
        <w:t>Reference:</w:t>
      </w:r>
    </w:p>
    <w:p w:rsidR="00AF2245" w:rsidRPr="0097287A" w:rsidRDefault="005E6F25" w:rsidP="0097287A">
      <w:pPr>
        <w:pStyle w:val="BodyText"/>
        <w:spacing w:after="0"/>
        <w:jc w:val="both"/>
        <w:rPr>
          <w:rFonts w:ascii="Times New Roman" w:hAnsi="Times New Roman" w:cs="Times New Roman"/>
        </w:rPr>
      </w:pPr>
      <w:proofErr w:type="spellStart"/>
      <w:r w:rsidRPr="0097287A">
        <w:rPr>
          <w:rFonts w:ascii="Times New Roman" w:hAnsi="Times New Roman" w:cs="Times New Roman"/>
        </w:rPr>
        <w:t>Asmussen</w:t>
      </w:r>
      <w:proofErr w:type="spellEnd"/>
      <w:r w:rsidRPr="0097287A">
        <w:rPr>
          <w:rFonts w:ascii="Times New Roman" w:hAnsi="Times New Roman" w:cs="Times New Roman"/>
        </w:rPr>
        <w:t xml:space="preserve">, S. (2003). </w:t>
      </w:r>
      <w:r w:rsidRPr="0097287A">
        <w:rPr>
          <w:rFonts w:ascii="Times New Roman" w:hAnsi="Times New Roman" w:cs="Times New Roman"/>
          <w:i/>
          <w:iCs/>
        </w:rPr>
        <w:t xml:space="preserve">Applied </w:t>
      </w:r>
      <w:r w:rsidRPr="0097287A">
        <w:rPr>
          <w:rFonts w:ascii="Times New Roman" w:hAnsi="Times New Roman" w:cs="Times New Roman"/>
          <w:i/>
          <w:iCs/>
        </w:rPr>
        <w:t>Probability and Queues</w:t>
      </w:r>
      <w:r w:rsidRPr="0097287A">
        <w:rPr>
          <w:rFonts w:ascii="Times New Roman" w:hAnsi="Times New Roman" w:cs="Times New Roman"/>
        </w:rPr>
        <w:t xml:space="preserve"> (2nd ed.). Springer.</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Asmussen, S. and Albrecher, H. (2010). </w:t>
      </w:r>
      <w:r w:rsidRPr="0097287A">
        <w:rPr>
          <w:rFonts w:ascii="Times New Roman" w:hAnsi="Times New Roman" w:cs="Times New Roman"/>
          <w:i/>
          <w:iCs/>
        </w:rPr>
        <w:t>Ruin Probabilities</w:t>
      </w:r>
      <w:r w:rsidRPr="0097287A">
        <w:rPr>
          <w:rFonts w:ascii="Times New Roman" w:hAnsi="Times New Roman" w:cs="Times New Roman"/>
        </w:rPr>
        <w:t xml:space="preserve"> (2nd ed.). World Scientific, Singapore.</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Barabási, A.-L. (2005). The origin of bursts and heavy tails in human dynamics. </w:t>
      </w:r>
      <w:r w:rsidRPr="0097287A">
        <w:rPr>
          <w:rFonts w:ascii="Times New Roman" w:hAnsi="Times New Roman" w:cs="Times New Roman"/>
          <w:i/>
          <w:iCs/>
        </w:rPr>
        <w:t>Nature</w:t>
      </w:r>
      <w:r w:rsidRPr="0097287A">
        <w:rPr>
          <w:rFonts w:ascii="Times New Roman" w:hAnsi="Times New Roman" w:cs="Times New Roman"/>
        </w:rPr>
        <w:t>, 435, 207–211.</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Beirlant, J.</w:t>
      </w:r>
      <w:r w:rsidRPr="0097287A">
        <w:rPr>
          <w:rFonts w:ascii="Times New Roman" w:hAnsi="Times New Roman" w:cs="Times New Roman"/>
        </w:rPr>
        <w:t xml:space="preserve">, Goegebeur, Y., Segers, J. and Teugels, J. (2004). </w:t>
      </w:r>
      <w:r w:rsidRPr="0097287A">
        <w:rPr>
          <w:rFonts w:ascii="Times New Roman" w:hAnsi="Times New Roman" w:cs="Times New Roman"/>
          <w:i/>
          <w:iCs/>
        </w:rPr>
        <w:t>Statistics of Extremes: Theory and Applications</w:t>
      </w:r>
      <w:r w:rsidRPr="0097287A">
        <w:rPr>
          <w:rFonts w:ascii="Times New Roman" w:hAnsi="Times New Roman" w:cs="Times New Roman"/>
        </w:rPr>
        <w:t>. John Wiley &amp; Sons, Chichester.</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Cheng, D., Li, S. and Wang, K. (2023). Asymptotic estimates for finite-time ruin probabilities in a generalized dependent bi</w:t>
      </w:r>
      <w:r w:rsidRPr="0097287A">
        <w:rPr>
          <w:rFonts w:ascii="Times New Roman" w:hAnsi="Times New Roman" w:cs="Times New Roman"/>
        </w:rPr>
        <w:t xml:space="preserve">dimensional risk model. </w:t>
      </w:r>
      <w:r w:rsidRPr="0097287A">
        <w:rPr>
          <w:rFonts w:ascii="Times New Roman" w:hAnsi="Times New Roman" w:cs="Times New Roman"/>
          <w:i/>
          <w:iCs/>
        </w:rPr>
        <w:t>Journal of Industrial &amp; Management Optimization</w:t>
      </w:r>
      <w:r w:rsidRPr="0097287A">
        <w:rPr>
          <w:rFonts w:ascii="Times New Roman" w:hAnsi="Times New Roman" w:cs="Times New Roman"/>
        </w:rPr>
        <w:t>, 19(3), 2140–2155.</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Clarke, D. R. and Metzler, A. (2025). Estimating the delay of criminal trials: Evidence from Canada. </w:t>
      </w:r>
      <w:r w:rsidRPr="0097287A">
        <w:rPr>
          <w:rFonts w:ascii="Times New Roman" w:hAnsi="Times New Roman" w:cs="Times New Roman"/>
          <w:i/>
          <w:iCs/>
        </w:rPr>
        <w:t>Journal of Law &amp; Empirical Analysis</w:t>
      </w:r>
      <w:r w:rsidRPr="0097287A">
        <w:rPr>
          <w:rFonts w:ascii="Times New Roman" w:hAnsi="Times New Roman" w:cs="Times New Roman"/>
        </w:rPr>
        <w:t>, 2(1), 33–59.</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Cramér, H. (19</w:t>
      </w:r>
      <w:r w:rsidRPr="0097287A">
        <w:rPr>
          <w:rFonts w:ascii="Times New Roman" w:hAnsi="Times New Roman" w:cs="Times New Roman"/>
        </w:rPr>
        <w:t xml:space="preserve">30). On the mathematical theory of risk. In </w:t>
      </w:r>
      <w:r w:rsidRPr="0097287A">
        <w:rPr>
          <w:rFonts w:ascii="Times New Roman" w:hAnsi="Times New Roman" w:cs="Times New Roman"/>
          <w:i/>
          <w:iCs/>
        </w:rPr>
        <w:t>Skandia Jubilee Volume</w:t>
      </w:r>
      <w:r w:rsidRPr="0097287A">
        <w:rPr>
          <w:rFonts w:ascii="Times New Roman" w:hAnsi="Times New Roman" w:cs="Times New Roman"/>
        </w:rPr>
        <w:t>.</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Da, L. and She, K. (2022). A large deviation principle for stochastic hydrodynamical-type systems driven by multiplicative Lévy noise. </w:t>
      </w:r>
      <w:r w:rsidRPr="0097287A">
        <w:rPr>
          <w:rFonts w:ascii="Times New Roman" w:hAnsi="Times New Roman" w:cs="Times New Roman"/>
          <w:i/>
          <w:iCs/>
        </w:rPr>
        <w:t>Stochastic Processes and their Applications</w:t>
      </w:r>
      <w:r w:rsidRPr="0097287A">
        <w:rPr>
          <w:rFonts w:ascii="Times New Roman" w:hAnsi="Times New Roman" w:cs="Times New Roman"/>
        </w:rPr>
        <w:t>, 132, 1–2</w:t>
      </w:r>
      <w:r w:rsidRPr="0097287A">
        <w:rPr>
          <w:rFonts w:ascii="Times New Roman" w:hAnsi="Times New Roman" w:cs="Times New Roman"/>
        </w:rPr>
        <w:t>5.</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Embrechts, P., Klüppelberg, C. and Mikosch, T. (1997). </w:t>
      </w:r>
      <w:r w:rsidRPr="0097287A">
        <w:rPr>
          <w:rFonts w:ascii="Times New Roman" w:hAnsi="Times New Roman" w:cs="Times New Roman"/>
          <w:i/>
          <w:iCs/>
        </w:rPr>
        <w:t>Modelling Extremal Events for Insurance and Finance</w:t>
      </w:r>
      <w:r w:rsidRPr="0097287A">
        <w:rPr>
          <w:rFonts w:ascii="Times New Roman" w:hAnsi="Times New Roman" w:cs="Times New Roman"/>
        </w:rPr>
        <w:t>. Springer.</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Foss, S., Korshunov, D. and Zachary, S. (2013). </w:t>
      </w:r>
      <w:r w:rsidRPr="0097287A">
        <w:rPr>
          <w:rFonts w:ascii="Times New Roman" w:hAnsi="Times New Roman" w:cs="Times New Roman"/>
          <w:i/>
          <w:iCs/>
        </w:rPr>
        <w:t>An Introduction to Heavy-Tailed and Subexponential Distributions</w:t>
      </w:r>
      <w:r w:rsidRPr="0097287A">
        <w:rPr>
          <w:rFonts w:ascii="Times New Roman" w:hAnsi="Times New Roman" w:cs="Times New Roman"/>
        </w:rPr>
        <w:t xml:space="preserve"> (2nd ed.). Springer.</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F</w:t>
      </w:r>
      <w:r w:rsidRPr="0097287A">
        <w:rPr>
          <w:rFonts w:ascii="Times New Roman" w:hAnsi="Times New Roman" w:cs="Times New Roman"/>
        </w:rPr>
        <w:t xml:space="preserve">u, M. and Li, S. (2015). Dependent heavy-tailed delayed claims under operational shocks. </w:t>
      </w:r>
      <w:r w:rsidRPr="0097287A">
        <w:rPr>
          <w:rFonts w:ascii="Times New Roman" w:hAnsi="Times New Roman" w:cs="Times New Roman"/>
          <w:i/>
          <w:iCs/>
        </w:rPr>
        <w:t>Journal of Risk and Insurance</w:t>
      </w:r>
      <w:r w:rsidRPr="0097287A">
        <w:rPr>
          <w:rFonts w:ascii="Times New Roman" w:hAnsi="Times New Roman" w:cs="Times New Roman"/>
        </w:rPr>
        <w:t>, 82(1), 123–150.</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Ganesh, A. and Torrisi, G. L. (2016). A class of risk processes with delayed claims: Ruin probability estimates under he</w:t>
      </w:r>
      <w:r w:rsidRPr="0097287A">
        <w:rPr>
          <w:rFonts w:ascii="Times New Roman" w:hAnsi="Times New Roman" w:cs="Times New Roman"/>
        </w:rPr>
        <w:t xml:space="preserve">avy-tail conditions. </w:t>
      </w:r>
      <w:r w:rsidRPr="0097287A">
        <w:rPr>
          <w:rFonts w:ascii="Times New Roman" w:hAnsi="Times New Roman" w:cs="Times New Roman"/>
          <w:i/>
          <w:iCs/>
        </w:rPr>
        <w:t>Journal of Applied Probability</w:t>
      </w:r>
      <w:r w:rsidRPr="0097287A">
        <w:rPr>
          <w:rFonts w:ascii="Times New Roman" w:hAnsi="Times New Roman" w:cs="Times New Roman"/>
        </w:rPr>
        <w:t>, 53(3), 750–759.</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Gao, H., Zhuang, Y. and Huang, Y. (2014). Finite-time ruin probabilities in risk models with dependent claims. </w:t>
      </w:r>
      <w:r w:rsidRPr="0097287A">
        <w:rPr>
          <w:rFonts w:ascii="Times New Roman" w:hAnsi="Times New Roman" w:cs="Times New Roman"/>
          <w:i/>
          <w:iCs/>
        </w:rPr>
        <w:t>Insurance: Mathematics and Economics</w:t>
      </w:r>
      <w:r w:rsidRPr="0097287A">
        <w:rPr>
          <w:rFonts w:ascii="Times New Roman" w:hAnsi="Times New Roman" w:cs="Times New Roman"/>
        </w:rPr>
        <w:t>, 54, 1–12.</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Gichuhi, P. (2019). Seasonality and long-memory in Kenyan judicial caseloads. </w:t>
      </w:r>
      <w:r w:rsidRPr="0097287A">
        <w:rPr>
          <w:rFonts w:ascii="Times New Roman" w:hAnsi="Times New Roman" w:cs="Times New Roman"/>
          <w:i/>
          <w:iCs/>
        </w:rPr>
        <w:t>African Journal of Law and Technology</w:t>
      </w:r>
      <w:r w:rsidRPr="0097287A">
        <w:rPr>
          <w:rFonts w:ascii="Times New Roman" w:hAnsi="Times New Roman" w:cs="Times New Roman"/>
        </w:rPr>
        <w:t>, 7(1), 45–66.</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Gikonyo, E. (2019). Caseflow management and backlog in Kenyan courts.</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Gindicha, J. Y. (2025). Quantifying case flow efficiency</w:t>
      </w:r>
      <w:r w:rsidRPr="0097287A">
        <w:rPr>
          <w:rFonts w:ascii="Times New Roman" w:hAnsi="Times New Roman" w:cs="Times New Roman"/>
        </w:rPr>
        <w:t xml:space="preserve"> in Kenya’s Employment and Labour Relations Courts: A multi-stage queueing model approach. </w:t>
      </w:r>
      <w:r w:rsidRPr="0097287A">
        <w:rPr>
          <w:rFonts w:ascii="Times New Roman" w:hAnsi="Times New Roman" w:cs="Times New Roman"/>
          <w:i/>
          <w:iCs/>
        </w:rPr>
        <w:t>International Journal of Mathematics and Statistics Invention</w:t>
      </w:r>
      <w:r w:rsidRPr="0097287A">
        <w:rPr>
          <w:rFonts w:ascii="Times New Roman" w:hAnsi="Times New Roman" w:cs="Times New Roman"/>
        </w:rPr>
        <w:t>, 13(3), 01–09.</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Jiang, T. (2009). Asymptotic behaviour of the finite-time ruin probability in a renewal </w:t>
      </w:r>
      <w:r w:rsidRPr="0097287A">
        <w:rPr>
          <w:rFonts w:ascii="Times New Roman" w:hAnsi="Times New Roman" w:cs="Times New Roman"/>
        </w:rPr>
        <w:t xml:space="preserve">risk model with subexponential claim sizes. In </w:t>
      </w:r>
      <w:r w:rsidRPr="0097287A">
        <w:rPr>
          <w:rFonts w:ascii="Times New Roman" w:hAnsi="Times New Roman" w:cs="Times New Roman"/>
          <w:i/>
          <w:iCs/>
        </w:rPr>
        <w:t>Asymptotic Behavior in Insurance Risk Models</w:t>
      </w:r>
      <w:r w:rsidRPr="0097287A">
        <w:rPr>
          <w:rFonts w:ascii="Times New Roman" w:hAnsi="Times New Roman" w:cs="Times New Roman"/>
        </w:rPr>
        <w:t>, 103–120. Springer.</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lastRenderedPageBreak/>
        <w:t xml:space="preserve">Kandie, J., Atitwa, P. and Nyaluke, E. (2025). Perspectives on judicial efficiency: Case study of predictive modeling in Kenyan high courts. </w:t>
      </w:r>
      <w:r w:rsidRPr="0097287A">
        <w:rPr>
          <w:rFonts w:ascii="Times New Roman" w:hAnsi="Times New Roman" w:cs="Times New Roman"/>
          <w:i/>
          <w:iCs/>
        </w:rPr>
        <w:t>Int</w:t>
      </w:r>
      <w:r w:rsidRPr="0097287A">
        <w:rPr>
          <w:rFonts w:ascii="Times New Roman" w:hAnsi="Times New Roman" w:cs="Times New Roman"/>
          <w:i/>
          <w:iCs/>
        </w:rPr>
        <w:t>ernational Journal of Court Administration</w:t>
      </w:r>
      <w:r w:rsidRPr="0097287A">
        <w:rPr>
          <w:rFonts w:ascii="Times New Roman" w:hAnsi="Times New Roman" w:cs="Times New Roman"/>
        </w:rPr>
        <w:t>.</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Li, S. (2013). Random multiplicities in unidimensional surplus models. </w:t>
      </w:r>
      <w:r w:rsidRPr="0097287A">
        <w:rPr>
          <w:rFonts w:ascii="Times New Roman" w:hAnsi="Times New Roman" w:cs="Times New Roman"/>
          <w:i/>
          <w:iCs/>
        </w:rPr>
        <w:t>Insurance: Mathematics and Economics</w:t>
      </w:r>
      <w:r w:rsidRPr="0097287A">
        <w:rPr>
          <w:rFonts w:ascii="Times New Roman" w:hAnsi="Times New Roman" w:cs="Times New Roman"/>
        </w:rPr>
        <w:t>, 53(2), 321–335.</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Lu, F. and Yuan, X. (2015). Bidimensional surplus processes with heavy-tailed delays. </w:t>
      </w:r>
      <w:r w:rsidRPr="0097287A">
        <w:rPr>
          <w:rFonts w:ascii="Times New Roman" w:hAnsi="Times New Roman" w:cs="Times New Roman"/>
          <w:i/>
          <w:iCs/>
        </w:rPr>
        <w:t>ASTIN Bulletin</w:t>
      </w:r>
      <w:r w:rsidRPr="0097287A">
        <w:rPr>
          <w:rFonts w:ascii="Times New Roman" w:hAnsi="Times New Roman" w:cs="Times New Roman"/>
        </w:rPr>
        <w:t>, 45(2), 345–366.</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Lu, D. and Yuan, M. (2022). Asymptotic finite-time ruin probabilities for a bidimensional delay-claim risk model with subexponential claims. </w:t>
      </w:r>
      <w:r w:rsidRPr="0097287A">
        <w:rPr>
          <w:rFonts w:ascii="Times New Roman" w:hAnsi="Times New Roman" w:cs="Times New Roman"/>
          <w:i/>
          <w:iCs/>
        </w:rPr>
        <w:t>Methodology and Computing in Applied Probability</w:t>
      </w:r>
      <w:r w:rsidRPr="0097287A">
        <w:rPr>
          <w:rFonts w:ascii="Times New Roman" w:hAnsi="Times New Roman" w:cs="Times New Roman"/>
        </w:rPr>
        <w:t>, 24(4), 2265–2286.</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Lundberg, F. (1</w:t>
      </w:r>
      <w:r w:rsidRPr="0097287A">
        <w:rPr>
          <w:rFonts w:ascii="Times New Roman" w:hAnsi="Times New Roman" w:cs="Times New Roman"/>
        </w:rPr>
        <w:t xml:space="preserve">903). </w:t>
      </w:r>
      <w:r w:rsidRPr="0097287A">
        <w:rPr>
          <w:rFonts w:ascii="Times New Roman" w:hAnsi="Times New Roman" w:cs="Times New Roman"/>
          <w:i/>
          <w:iCs/>
        </w:rPr>
        <w:t>Approximerad framställning av sannolikhetsfunktionen</w:t>
      </w:r>
      <w:r w:rsidRPr="0097287A">
        <w:rPr>
          <w:rFonts w:ascii="Times New Roman" w:hAnsi="Times New Roman" w:cs="Times New Roman"/>
        </w:rPr>
        <w:t>. Almqvist &amp; Wiksells, Uppsala.</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Makau, J. (2014). </w:t>
      </w:r>
      <w:r w:rsidRPr="0097287A">
        <w:rPr>
          <w:rFonts w:ascii="Times New Roman" w:hAnsi="Times New Roman" w:cs="Times New Roman"/>
          <w:i/>
          <w:iCs/>
        </w:rPr>
        <w:t>Factors influencing management of case backlog in the judiciary in Kenya</w:t>
      </w:r>
      <w:r w:rsidRPr="0097287A">
        <w:rPr>
          <w:rFonts w:ascii="Times New Roman" w:hAnsi="Times New Roman" w:cs="Times New Roman"/>
        </w:rPr>
        <w:t>. Master’s thesis, University of Nairobi.</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Marang’a, M. W. (2021). Does court</w:t>
      </w:r>
      <w:r w:rsidRPr="0097287A">
        <w:rPr>
          <w:rFonts w:ascii="Times New Roman" w:hAnsi="Times New Roman" w:cs="Times New Roman"/>
        </w:rPr>
        <w:t xml:space="preserve"> type, size and employee satisfaction affect court speed? Hierarchical linear modelling with evidence from Kenya. </w:t>
      </w:r>
      <w:r w:rsidRPr="0097287A">
        <w:rPr>
          <w:rFonts w:ascii="Times New Roman" w:hAnsi="Times New Roman" w:cs="Times New Roman"/>
          <w:i/>
          <w:iCs/>
        </w:rPr>
        <w:t>Journal of Law, Policy and Globalization</w:t>
      </w:r>
      <w:r w:rsidRPr="0097287A">
        <w:rPr>
          <w:rFonts w:ascii="Times New Roman" w:hAnsi="Times New Roman" w:cs="Times New Roman"/>
        </w:rPr>
        <w:t>, 110, 6–20.</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Marang’a, M., Kimalu, P. and Ochieng, M. (2021). Effect of COVID-19 pandemic on resolutio</w:t>
      </w:r>
      <w:r w:rsidRPr="0097287A">
        <w:rPr>
          <w:rFonts w:ascii="Times New Roman" w:hAnsi="Times New Roman" w:cs="Times New Roman"/>
        </w:rPr>
        <w:t xml:space="preserve">n of cases in courts: The Kenyan Judiciary. </w:t>
      </w:r>
      <w:r w:rsidRPr="0097287A">
        <w:rPr>
          <w:rFonts w:ascii="Times New Roman" w:hAnsi="Times New Roman" w:cs="Times New Roman"/>
          <w:i/>
          <w:iCs/>
        </w:rPr>
        <w:t>Research Paper</w:t>
      </w:r>
      <w:r w:rsidRPr="0097287A">
        <w:rPr>
          <w:rFonts w:ascii="Times New Roman" w:hAnsi="Times New Roman" w:cs="Times New Roman"/>
        </w:rPr>
        <w:t>, 1.</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Marang’a, M. W., Ouma, D. and Kosimbei, G. (2018). Congestion in the justice system and private investments. </w:t>
      </w:r>
      <w:r w:rsidRPr="0097287A">
        <w:rPr>
          <w:rFonts w:ascii="Times New Roman" w:hAnsi="Times New Roman" w:cs="Times New Roman"/>
          <w:i/>
          <w:iCs/>
        </w:rPr>
        <w:t>Journal of Poverty, Investment and Development</w:t>
      </w:r>
      <w:r w:rsidRPr="0097287A">
        <w:rPr>
          <w:rFonts w:ascii="Times New Roman" w:hAnsi="Times New Roman" w:cs="Times New Roman"/>
        </w:rPr>
        <w:t>, 1(1), 1–19.</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Melcarne, A., Ramello, G</w:t>
      </w:r>
      <w:r w:rsidRPr="0097287A">
        <w:rPr>
          <w:rFonts w:ascii="Times New Roman" w:hAnsi="Times New Roman" w:cs="Times New Roman"/>
        </w:rPr>
        <w:t xml:space="preserve">. B. and Spruk, R. (2021). Is justice delayed justice denied? An empirical approach. </w:t>
      </w:r>
      <w:r w:rsidRPr="0097287A">
        <w:rPr>
          <w:rFonts w:ascii="Times New Roman" w:hAnsi="Times New Roman" w:cs="Times New Roman"/>
          <w:i/>
          <w:iCs/>
        </w:rPr>
        <w:t>International Review of Law and Economics</w:t>
      </w:r>
      <w:r w:rsidRPr="0097287A">
        <w:rPr>
          <w:rFonts w:ascii="Times New Roman" w:hAnsi="Times New Roman" w:cs="Times New Roman"/>
        </w:rPr>
        <w:t>, 65, 105953.</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Mukherjee, S. (2018). Heavy-tailed distributions in judicial case-disposition times. </w:t>
      </w:r>
      <w:r w:rsidRPr="0097287A">
        <w:rPr>
          <w:rFonts w:ascii="Times New Roman" w:hAnsi="Times New Roman" w:cs="Times New Roman"/>
          <w:i/>
          <w:iCs/>
        </w:rPr>
        <w:t>Journal of Empirical Legal Stud</w:t>
      </w:r>
      <w:r w:rsidRPr="0097287A">
        <w:rPr>
          <w:rFonts w:ascii="Times New Roman" w:hAnsi="Times New Roman" w:cs="Times New Roman"/>
          <w:i/>
          <w:iCs/>
        </w:rPr>
        <w:t>ies</w:t>
      </w:r>
      <w:r w:rsidRPr="0097287A">
        <w:rPr>
          <w:rFonts w:ascii="Times New Roman" w:hAnsi="Times New Roman" w:cs="Times New Roman"/>
        </w:rPr>
        <w:t>, 15(2), 234–257.</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Mulwa, P. (2020). The effects of magistrates’ transfer on the administration of justice in Kenya: A case study of courts in Nairobi City County.</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Niemeijer, N. and Spruit, M. (2012). Stochastic modeling of court delays. </w:t>
      </w:r>
      <w:r w:rsidRPr="0097287A">
        <w:rPr>
          <w:rFonts w:ascii="Times New Roman" w:hAnsi="Times New Roman" w:cs="Times New Roman"/>
          <w:i/>
          <w:iCs/>
        </w:rPr>
        <w:t>European Journal</w:t>
      </w:r>
      <w:r w:rsidRPr="0097287A">
        <w:rPr>
          <w:rFonts w:ascii="Times New Roman" w:hAnsi="Times New Roman" w:cs="Times New Roman"/>
          <w:i/>
          <w:iCs/>
        </w:rPr>
        <w:t xml:space="preserve"> of Operational Research</w:t>
      </w:r>
      <w:r w:rsidRPr="0097287A">
        <w:rPr>
          <w:rFonts w:ascii="Times New Roman" w:hAnsi="Times New Roman" w:cs="Times New Roman"/>
        </w:rPr>
        <w:t>, 219(1), 34–46.</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Oghenekevwe, O. (2021). Stochastic patterns in legal case processing: Evidence from civil courts. </w:t>
      </w:r>
      <w:r w:rsidRPr="0097287A">
        <w:rPr>
          <w:rFonts w:ascii="Times New Roman" w:hAnsi="Times New Roman" w:cs="Times New Roman"/>
          <w:i/>
          <w:iCs/>
        </w:rPr>
        <w:t>International Journal of Legal Studies</w:t>
      </w:r>
      <w:r w:rsidRPr="0097287A">
        <w:rPr>
          <w:rFonts w:ascii="Times New Roman" w:hAnsi="Times New Roman" w:cs="Times New Roman"/>
        </w:rPr>
        <w:t>, 7(1), 12–29.</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Okoth, F. and Muli, J. (2018). Impact of repeated adjournments o</w:t>
      </w:r>
      <w:r w:rsidRPr="0097287A">
        <w:rPr>
          <w:rFonts w:ascii="Times New Roman" w:hAnsi="Times New Roman" w:cs="Times New Roman"/>
        </w:rPr>
        <w:t xml:space="preserve">n statutory timelines in Kenyan courts. </w:t>
      </w:r>
      <w:r w:rsidRPr="0097287A">
        <w:rPr>
          <w:rFonts w:ascii="Times New Roman" w:hAnsi="Times New Roman" w:cs="Times New Roman"/>
          <w:i/>
          <w:iCs/>
        </w:rPr>
        <w:t>Kenya Law Journal</w:t>
      </w:r>
      <w:r w:rsidRPr="0097287A">
        <w:rPr>
          <w:rFonts w:ascii="Times New Roman" w:hAnsi="Times New Roman" w:cs="Times New Roman"/>
        </w:rPr>
        <w:t>, 12(2), 101–123.</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Shen, X., Yao, Y. and Zhang, Z. (2024). Dependent risk models with main and delayed claims under heavy-tailed assumptions. </w:t>
      </w:r>
      <w:r w:rsidRPr="0097287A">
        <w:rPr>
          <w:rFonts w:ascii="Times New Roman" w:hAnsi="Times New Roman" w:cs="Times New Roman"/>
          <w:i/>
          <w:iCs/>
        </w:rPr>
        <w:t>Insurance: Mathematics and Economics</w:t>
      </w:r>
      <w:r w:rsidRPr="0097287A">
        <w:rPr>
          <w:rFonts w:ascii="Times New Roman" w:hAnsi="Times New Roman" w:cs="Times New Roman"/>
        </w:rPr>
        <w:t>, 115, 88–104.</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SOJAR (</w:t>
      </w:r>
      <w:r w:rsidRPr="0097287A">
        <w:rPr>
          <w:rFonts w:ascii="Times New Roman" w:hAnsi="Times New Roman" w:cs="Times New Roman"/>
        </w:rPr>
        <w:t xml:space="preserve">2024). </w:t>
      </w:r>
      <w:r w:rsidRPr="0097287A">
        <w:rPr>
          <w:rFonts w:ascii="Times New Roman" w:hAnsi="Times New Roman" w:cs="Times New Roman"/>
          <w:i/>
          <w:iCs/>
        </w:rPr>
        <w:t>State of the Judiciary and Administration of Justice Annual Report, FY 2024/25</w:t>
      </w:r>
      <w:r w:rsidRPr="0097287A">
        <w:rPr>
          <w:rFonts w:ascii="Times New Roman" w:hAnsi="Times New Roman" w:cs="Times New Roman"/>
        </w:rPr>
        <w:t>. Judiciary of Kenya.</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Thorburn, H. (2017). A simulation model of the NSW District Criminal Court with illustrative applications. </w:t>
      </w:r>
      <w:r w:rsidRPr="0097287A">
        <w:rPr>
          <w:rFonts w:ascii="Times New Roman" w:hAnsi="Times New Roman" w:cs="Times New Roman"/>
          <w:i/>
          <w:iCs/>
        </w:rPr>
        <w:t>Crime and Justice Bulletin</w:t>
      </w:r>
      <w:r w:rsidRPr="0097287A">
        <w:rPr>
          <w:rFonts w:ascii="Times New Roman" w:hAnsi="Times New Roman" w:cs="Times New Roman"/>
        </w:rPr>
        <w:t>, 204.</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Vermeulen</w:t>
      </w:r>
      <w:r w:rsidRPr="0097287A">
        <w:rPr>
          <w:rFonts w:ascii="Times New Roman" w:hAnsi="Times New Roman" w:cs="Times New Roman"/>
        </w:rPr>
        <w:t xml:space="preserve">, P. et al. (2014). Delay, inefficiency, and perceived fairness in judicial systems. </w:t>
      </w:r>
      <w:r w:rsidRPr="0097287A">
        <w:rPr>
          <w:rFonts w:ascii="Times New Roman" w:hAnsi="Times New Roman" w:cs="Times New Roman"/>
          <w:i/>
          <w:iCs/>
        </w:rPr>
        <w:t>Law &amp; Society Review</w:t>
      </w:r>
      <w:r w:rsidRPr="0097287A">
        <w:rPr>
          <w:rFonts w:ascii="Times New Roman" w:hAnsi="Times New Roman" w:cs="Times New Roman"/>
        </w:rPr>
        <w:t>, 48(3), 657–686.</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Waters, H. R. and Papatriandafylou, A. (1985). Ruin probabilities allowing for delay in claims settlement. </w:t>
      </w:r>
      <w:r w:rsidRPr="0097287A">
        <w:rPr>
          <w:rFonts w:ascii="Times New Roman" w:hAnsi="Times New Roman" w:cs="Times New Roman"/>
          <w:i/>
          <w:iCs/>
        </w:rPr>
        <w:t>Insurance: Mathematics and</w:t>
      </w:r>
      <w:r w:rsidRPr="0097287A">
        <w:rPr>
          <w:rFonts w:ascii="Times New Roman" w:hAnsi="Times New Roman" w:cs="Times New Roman"/>
          <w:i/>
          <w:iCs/>
        </w:rPr>
        <w:t xml:space="preserve"> Economics</w:t>
      </w:r>
      <w:r w:rsidRPr="0097287A">
        <w:rPr>
          <w:rFonts w:ascii="Times New Roman" w:hAnsi="Times New Roman" w:cs="Times New Roman"/>
        </w:rPr>
        <w:t>, 4(2), 113–122.</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lastRenderedPageBreak/>
        <w:t xml:space="preserve">Xiao, Y., Yuen, K. C. and Zhang, Z. (2007). Ruin probabilities for a risk model with random delayed claims. </w:t>
      </w:r>
      <w:r w:rsidRPr="0097287A">
        <w:rPr>
          <w:rFonts w:ascii="Times New Roman" w:hAnsi="Times New Roman" w:cs="Times New Roman"/>
          <w:i/>
          <w:iCs/>
        </w:rPr>
        <w:t>Insurance: Mathematics and Economics</w:t>
      </w:r>
      <w:r w:rsidRPr="0097287A">
        <w:rPr>
          <w:rFonts w:ascii="Times New Roman" w:hAnsi="Times New Roman" w:cs="Times New Roman"/>
        </w:rPr>
        <w:t>, 40(2), 206–214.</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Xu, C., Wang, K. and Wu, X. (2024). The finite-time ruin probabilit</w:t>
      </w:r>
      <w:r w:rsidRPr="0097287A">
        <w:rPr>
          <w:rFonts w:ascii="Times New Roman" w:hAnsi="Times New Roman" w:cs="Times New Roman"/>
        </w:rPr>
        <w:t xml:space="preserve">y of a risk model with stochastic return and subexponential claim sizes. </w:t>
      </w:r>
      <w:r w:rsidRPr="0097287A">
        <w:rPr>
          <w:rFonts w:ascii="Times New Roman" w:hAnsi="Times New Roman" w:cs="Times New Roman"/>
          <w:i/>
          <w:iCs/>
        </w:rPr>
        <w:t>Communications in Statistics – Theory and Methods</w:t>
      </w:r>
      <w:r w:rsidRPr="0097287A">
        <w:rPr>
          <w:rFonts w:ascii="Times New Roman" w:hAnsi="Times New Roman" w:cs="Times New Roman"/>
        </w:rPr>
        <w:t>, 53(6), 2194–2204.</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Yang, H., Geng, Y. and Wang, Y. (2014). Multivariate surplus models with random delayed claims. </w:t>
      </w:r>
      <w:r w:rsidRPr="0097287A">
        <w:rPr>
          <w:rFonts w:ascii="Times New Roman" w:hAnsi="Times New Roman" w:cs="Times New Roman"/>
          <w:i/>
          <w:iCs/>
        </w:rPr>
        <w:t>Scandinavian Actua</w:t>
      </w:r>
      <w:r w:rsidRPr="0097287A">
        <w:rPr>
          <w:rFonts w:ascii="Times New Roman" w:hAnsi="Times New Roman" w:cs="Times New Roman"/>
          <w:i/>
          <w:iCs/>
        </w:rPr>
        <w:t>rial Journal</w:t>
      </w:r>
      <w:r w:rsidRPr="0097287A">
        <w:rPr>
          <w:rFonts w:ascii="Times New Roman" w:hAnsi="Times New Roman" w:cs="Times New Roman"/>
        </w:rPr>
        <w:t>, 2014(3), 245–267.</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Yang, Y., Wang, X. and Zhang, Z. (2021). Finite-time ruin probability of a perturbed risk model with dependent main and delayed claims. </w:t>
      </w:r>
      <w:r w:rsidRPr="0097287A">
        <w:rPr>
          <w:rFonts w:ascii="Times New Roman" w:hAnsi="Times New Roman" w:cs="Times New Roman"/>
          <w:i/>
          <w:iCs/>
        </w:rPr>
        <w:t>Nonlinear Analysis: Modelling and Control</w:t>
      </w:r>
      <w:r w:rsidRPr="0097287A">
        <w:rPr>
          <w:rFonts w:ascii="Times New Roman" w:hAnsi="Times New Roman" w:cs="Times New Roman"/>
        </w:rPr>
        <w:t>, 26(5), 801–820.</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Yuan, H., Jiang, T. and Xiao,</w:t>
      </w:r>
      <w:r w:rsidRPr="0097287A">
        <w:rPr>
          <w:rFonts w:ascii="Times New Roman" w:hAnsi="Times New Roman" w:cs="Times New Roman"/>
        </w:rPr>
        <w:t xml:space="preserve"> M. (2024). The ruin probability of a discrete risk model with unilateral linear dependent claims. </w:t>
      </w:r>
      <w:r w:rsidRPr="0097287A">
        <w:rPr>
          <w:rFonts w:ascii="Times New Roman" w:hAnsi="Times New Roman" w:cs="Times New Roman"/>
          <w:i/>
          <w:iCs/>
        </w:rPr>
        <w:t>AIMS Mathematics</w:t>
      </w:r>
      <w:r w:rsidRPr="0097287A">
        <w:rPr>
          <w:rFonts w:ascii="Times New Roman" w:hAnsi="Times New Roman" w:cs="Times New Roman"/>
        </w:rPr>
        <w:t>, 9(4), 9785–9807.</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Yuen, K. C., Guo, J. and Ng, K. W. (2001). On ultimate ruin in a delayed-claims risk model. </w:t>
      </w:r>
      <w:r w:rsidRPr="0097287A">
        <w:rPr>
          <w:rFonts w:ascii="Times New Roman" w:hAnsi="Times New Roman" w:cs="Times New Roman"/>
          <w:i/>
          <w:iCs/>
        </w:rPr>
        <w:t>Journal of Applied Probability</w:t>
      </w:r>
      <w:r w:rsidRPr="0097287A">
        <w:rPr>
          <w:rFonts w:ascii="Times New Roman" w:hAnsi="Times New Roman" w:cs="Times New Roman"/>
        </w:rPr>
        <w:t>, 38(2), 525–539.</w:t>
      </w:r>
    </w:p>
    <w:p w:rsidR="00AF2245" w:rsidRPr="0097287A"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 xml:space="preserve">Yuen, K. C., Guo, J. and Wu, X. (2005). On the first time of ruin in the bivariate compound Poisson model. </w:t>
      </w:r>
      <w:r w:rsidRPr="0097287A">
        <w:rPr>
          <w:rFonts w:ascii="Times New Roman" w:hAnsi="Times New Roman" w:cs="Times New Roman"/>
          <w:i/>
          <w:iCs/>
        </w:rPr>
        <w:t>Insurance: Mathematics and Economics</w:t>
      </w:r>
      <w:r w:rsidRPr="0097287A">
        <w:rPr>
          <w:rFonts w:ascii="Times New Roman" w:hAnsi="Times New Roman" w:cs="Times New Roman"/>
        </w:rPr>
        <w:t>, 38(2), 298–308.</w:t>
      </w:r>
    </w:p>
    <w:p w:rsidR="00AF2245" w:rsidRDefault="005E6F25" w:rsidP="0097287A">
      <w:pPr>
        <w:pStyle w:val="BodyText"/>
        <w:spacing w:after="0"/>
        <w:jc w:val="both"/>
        <w:rPr>
          <w:rFonts w:ascii="Times New Roman" w:hAnsi="Times New Roman" w:cs="Times New Roman"/>
        </w:rPr>
      </w:pPr>
      <w:r w:rsidRPr="0097287A">
        <w:rPr>
          <w:rFonts w:ascii="Times New Roman" w:hAnsi="Times New Roman" w:cs="Times New Roman"/>
        </w:rPr>
        <w:t>Zhang, Y. and Wang, J. (2016). Clustered delays in multivariate surplus model</w:t>
      </w:r>
      <w:r w:rsidRPr="0097287A">
        <w:rPr>
          <w:rFonts w:ascii="Times New Roman" w:hAnsi="Times New Roman" w:cs="Times New Roman"/>
        </w:rPr>
        <w:t xml:space="preserve">s. </w:t>
      </w:r>
      <w:r w:rsidRPr="0097287A">
        <w:rPr>
          <w:rFonts w:ascii="Times New Roman" w:hAnsi="Times New Roman" w:cs="Times New Roman"/>
          <w:i/>
          <w:iCs/>
        </w:rPr>
        <w:t>Insurance: Mathematics and Economics</w:t>
      </w:r>
      <w:r w:rsidRPr="0097287A">
        <w:rPr>
          <w:rFonts w:ascii="Times New Roman" w:hAnsi="Times New Roman" w:cs="Times New Roman"/>
        </w:rPr>
        <w:t>, 69, 101–118.</w:t>
      </w:r>
    </w:p>
    <w:bookmarkEnd w:id="55"/>
    <w:bookmarkEnd w:id="60"/>
    <w:bookmarkEnd w:id="62"/>
    <w:p w:rsidR="00AF2245" w:rsidRPr="0097287A" w:rsidRDefault="00AF2245" w:rsidP="0097287A">
      <w:pPr>
        <w:pStyle w:val="Bibliography"/>
        <w:spacing w:after="0"/>
        <w:jc w:val="both"/>
        <w:rPr>
          <w:rFonts w:ascii="Times New Roman" w:hAnsi="Times New Roman" w:cs="Times New Roman"/>
        </w:rPr>
      </w:pPr>
    </w:p>
    <w:sectPr w:rsidR="00AF2245" w:rsidRPr="0097287A" w:rsidSect="0097287A">
      <w:footnotePr>
        <w:numRestart w:val="eachSect"/>
      </w:footnotePr>
      <w:pgSz w:w="12240" w:h="15840"/>
      <w:pgMar w:top="720" w:right="720" w:bottom="720" w:left="720" w:header="13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25" w:rsidRDefault="005E6F25" w:rsidP="0097287A">
      <w:pPr>
        <w:spacing w:after="0"/>
      </w:pPr>
      <w:r>
        <w:separator/>
      </w:r>
    </w:p>
  </w:endnote>
  <w:endnote w:type="continuationSeparator" w:id="0">
    <w:p w:rsidR="005E6F25" w:rsidRDefault="005E6F25" w:rsidP="009728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25" w:rsidRDefault="005E6F25" w:rsidP="0097287A">
      <w:pPr>
        <w:spacing w:after="0"/>
      </w:pPr>
      <w:r>
        <w:separator/>
      </w:r>
    </w:p>
  </w:footnote>
  <w:footnote w:type="continuationSeparator" w:id="0">
    <w:p w:rsidR="005E6F25" w:rsidRDefault="005E6F25" w:rsidP="009728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9866ED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5EF679D2"/>
    <w:lvl w:ilvl="0">
      <w:start w:val="1"/>
      <w:numFmt w:val="lowerRoman"/>
      <w:lvlText w:val="%1."/>
      <w:lvlJc w:val="righ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201"/>
    <w:multiLevelType w:val="multilevel"/>
    <w:tmpl w:val="DEFE3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03B4BA9"/>
    <w:multiLevelType w:val="hybridMultilevel"/>
    <w:tmpl w:val="478AEBD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27D96"/>
    <w:multiLevelType w:val="multilevel"/>
    <w:tmpl w:val="5EF679D2"/>
    <w:lvl w:ilvl="0">
      <w:start w:val="1"/>
      <w:numFmt w:val="lowerRoman"/>
      <w:lvlText w:val="%1."/>
      <w:lvlJc w:val="righ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nsid w:val="696349F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45"/>
    <w:rsid w:val="00320598"/>
    <w:rsid w:val="004F7EAB"/>
    <w:rsid w:val="00504345"/>
    <w:rsid w:val="005E6F25"/>
    <w:rsid w:val="00890DB3"/>
    <w:rsid w:val="008B36AB"/>
    <w:rsid w:val="009353E7"/>
    <w:rsid w:val="0097287A"/>
    <w:rsid w:val="00AF2245"/>
    <w:rsid w:val="00E12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97287A"/>
    <w:pPr>
      <w:tabs>
        <w:tab w:val="center" w:pos="4513"/>
        <w:tab w:val="right" w:pos="9026"/>
      </w:tabs>
      <w:spacing w:after="0"/>
    </w:pPr>
  </w:style>
  <w:style w:type="character" w:customStyle="1" w:styleId="HeaderChar">
    <w:name w:val="Header Char"/>
    <w:basedOn w:val="DefaultParagraphFont"/>
    <w:link w:val="Header"/>
    <w:rsid w:val="0097287A"/>
  </w:style>
  <w:style w:type="paragraph" w:styleId="Footer">
    <w:name w:val="footer"/>
    <w:basedOn w:val="Normal"/>
    <w:link w:val="FooterChar"/>
    <w:rsid w:val="0097287A"/>
    <w:pPr>
      <w:tabs>
        <w:tab w:val="center" w:pos="4513"/>
        <w:tab w:val="right" w:pos="9026"/>
      </w:tabs>
      <w:spacing w:after="0"/>
    </w:pPr>
  </w:style>
  <w:style w:type="character" w:customStyle="1" w:styleId="FooterChar">
    <w:name w:val="Footer Char"/>
    <w:basedOn w:val="DefaultParagraphFont"/>
    <w:link w:val="Footer"/>
    <w:rsid w:val="0097287A"/>
  </w:style>
  <w:style w:type="paragraph" w:styleId="ListParagraph">
    <w:name w:val="List Paragraph"/>
    <w:basedOn w:val="Normal"/>
    <w:rsid w:val="0097287A"/>
    <w:pPr>
      <w:ind w:left="720"/>
      <w:contextualSpacing/>
    </w:pPr>
  </w:style>
  <w:style w:type="paragraph" w:styleId="BalloonText">
    <w:name w:val="Balloon Text"/>
    <w:basedOn w:val="Normal"/>
    <w:link w:val="BalloonTextChar"/>
    <w:rsid w:val="00890DB3"/>
    <w:pPr>
      <w:spacing w:after="0"/>
    </w:pPr>
    <w:rPr>
      <w:rFonts w:ascii="Tahoma" w:hAnsi="Tahoma" w:cs="Tahoma"/>
      <w:sz w:val="16"/>
      <w:szCs w:val="16"/>
    </w:rPr>
  </w:style>
  <w:style w:type="character" w:customStyle="1" w:styleId="BalloonTextChar">
    <w:name w:val="Balloon Text Char"/>
    <w:basedOn w:val="DefaultParagraphFont"/>
    <w:link w:val="BalloonText"/>
    <w:rsid w:val="00890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97287A"/>
    <w:pPr>
      <w:tabs>
        <w:tab w:val="center" w:pos="4513"/>
        <w:tab w:val="right" w:pos="9026"/>
      </w:tabs>
      <w:spacing w:after="0"/>
    </w:pPr>
  </w:style>
  <w:style w:type="character" w:customStyle="1" w:styleId="HeaderChar">
    <w:name w:val="Header Char"/>
    <w:basedOn w:val="DefaultParagraphFont"/>
    <w:link w:val="Header"/>
    <w:rsid w:val="0097287A"/>
  </w:style>
  <w:style w:type="paragraph" w:styleId="Footer">
    <w:name w:val="footer"/>
    <w:basedOn w:val="Normal"/>
    <w:link w:val="FooterChar"/>
    <w:rsid w:val="0097287A"/>
    <w:pPr>
      <w:tabs>
        <w:tab w:val="center" w:pos="4513"/>
        <w:tab w:val="right" w:pos="9026"/>
      </w:tabs>
      <w:spacing w:after="0"/>
    </w:pPr>
  </w:style>
  <w:style w:type="character" w:customStyle="1" w:styleId="FooterChar">
    <w:name w:val="Footer Char"/>
    <w:basedOn w:val="DefaultParagraphFont"/>
    <w:link w:val="Footer"/>
    <w:rsid w:val="0097287A"/>
  </w:style>
  <w:style w:type="paragraph" w:styleId="ListParagraph">
    <w:name w:val="List Paragraph"/>
    <w:basedOn w:val="Normal"/>
    <w:rsid w:val="0097287A"/>
    <w:pPr>
      <w:ind w:left="720"/>
      <w:contextualSpacing/>
    </w:pPr>
  </w:style>
  <w:style w:type="paragraph" w:styleId="BalloonText">
    <w:name w:val="Balloon Text"/>
    <w:basedOn w:val="Normal"/>
    <w:link w:val="BalloonTextChar"/>
    <w:rsid w:val="00890DB3"/>
    <w:pPr>
      <w:spacing w:after="0"/>
    </w:pPr>
    <w:rPr>
      <w:rFonts w:ascii="Tahoma" w:hAnsi="Tahoma" w:cs="Tahoma"/>
      <w:sz w:val="16"/>
      <w:szCs w:val="16"/>
    </w:rPr>
  </w:style>
  <w:style w:type="character" w:customStyle="1" w:styleId="BalloonTextChar">
    <w:name w:val="Balloon Text Char"/>
    <w:basedOn w:val="DefaultParagraphFont"/>
    <w:link w:val="BalloonText"/>
    <w:rsid w:val="00890D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0B316-F49D-4480-AEAB-1ED0093D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8381</Words>
  <Characters>47774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Asymptotics for Backlog Probabilities in a Bidimensional Caseload Model with Randomly Delayed Cases in Kenya’s Magistrates’ Court</vt:lpstr>
    </vt:vector>
  </TitlesOfParts>
  <Company/>
  <LinksUpToDate>false</LinksUpToDate>
  <CharactersWithSpaces>56043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Asymptotics for Backlog Probabilities in a Bidimensional Caseload Model with Randomly Delayed Cases in Kenya’s Magistrates’ Court</dc:title>
  <dc:creator>Jarso Yussuf Gindicha^{a*} image Joab Onyango Odhiambo^{b} Anyango Cynthia Linet^{c}  ^{a}Department of Statistics and Actuarial Science, Maseno University, Kenya ^{b}Department of Mathematics, Meru University of Science and Technology, Kenya ^{c}Department of Statistics and Actuarial Science, Maseno University, Kenya </dc:creator>
  <cp:keywords/>
  <cp:lastModifiedBy>qwert</cp:lastModifiedBy>
  <cp:revision>3</cp:revision>
  <dcterms:created xsi:type="dcterms:W3CDTF">2026-05-20T20:58:00Z</dcterms:created>
  <dcterms:modified xsi:type="dcterms:W3CDTF">2026-05-21T09:39:00Z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cas-refs.bib</vt:lpwstr>
  </property>
  <property fmtid="{D5CDD505-2E9C-101B-9397-08002B2CF9AE}" pid="3" name="date">
    <vt:lpwstr/>
  </property>
</Properties>
</file>