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54A06" w14:textId="77777777" w:rsidR="00EE3068" w:rsidRDefault="00EE3068">
      <w:pPr>
        <w:ind w:left="0" w:firstLine="0"/>
        <w:rPr>
          <w:rFonts w:ascii="Century Gothic" w:eastAsia="Century Gothic" w:hAnsi="Century Gothic" w:cs="Century Gothic"/>
        </w:rPr>
      </w:pPr>
    </w:p>
    <w:p w14:paraId="6675BB6B" w14:textId="77777777" w:rsidR="00EE3068" w:rsidRDefault="00EE3068">
      <w:pPr>
        <w:ind w:left="0" w:firstLine="0"/>
        <w:rPr>
          <w:rFonts w:ascii="Century Gothic" w:eastAsia="Century Gothic" w:hAnsi="Century Gothic" w:cs="Century Gothic"/>
        </w:rPr>
      </w:pPr>
    </w:p>
    <w:p w14:paraId="4DA3DFCC" w14:textId="77777777" w:rsidR="00EE3068" w:rsidRDefault="00EE3068">
      <w:pPr>
        <w:ind w:left="0" w:firstLine="0"/>
        <w:rPr>
          <w:rFonts w:ascii="Century Gothic" w:eastAsia="Century Gothic" w:hAnsi="Century Gothic" w:cs="Century Gothic"/>
        </w:rPr>
      </w:pPr>
    </w:p>
    <w:p w14:paraId="22CD6C7A" w14:textId="77777777" w:rsidR="00EE3068" w:rsidRDefault="00000000">
      <w:pPr>
        <w:spacing w:line="360" w:lineRule="auto"/>
        <w:ind w:left="0" w:firstLine="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 xml:space="preserve">E-CAMPUS MARKETPLACE APP: </w:t>
      </w:r>
    </w:p>
    <w:p w14:paraId="3DC75638" w14:textId="77777777" w:rsidR="00EE3068" w:rsidRDefault="00000000">
      <w:pPr>
        <w:spacing w:line="360" w:lineRule="auto"/>
        <w:ind w:left="0" w:firstLine="0"/>
        <w:jc w:val="center"/>
        <w:rPr>
          <w:rFonts w:ascii="Century Gothic" w:eastAsia="Century Gothic" w:hAnsi="Century Gothic" w:cs="Century Gothic"/>
          <w:sz w:val="24"/>
          <w:szCs w:val="24"/>
        </w:rPr>
      </w:pPr>
      <w:r>
        <w:rPr>
          <w:rFonts w:ascii="Century Gothic" w:eastAsia="Century Gothic" w:hAnsi="Century Gothic" w:cs="Century Gothic"/>
          <w:b/>
          <w:bCs/>
          <w:sz w:val="24"/>
          <w:szCs w:val="24"/>
        </w:rPr>
        <w:t>A PEER-TO-PEER E-COMMERCE PLATFORM FOR ST. CLARE COLLEGE STUDENTS</w:t>
      </w:r>
    </w:p>
    <w:p w14:paraId="23436A47" w14:textId="77777777" w:rsidR="00EE3068" w:rsidRDefault="00EE3068">
      <w:pPr>
        <w:spacing w:line="276" w:lineRule="auto"/>
        <w:ind w:left="0" w:firstLine="0"/>
        <w:rPr>
          <w:rFonts w:ascii="Times New Roman" w:eastAsia="Times New Roman" w:hAnsi="Times New Roman" w:cs="Times New Roman"/>
          <w:sz w:val="24"/>
          <w:szCs w:val="24"/>
        </w:rPr>
      </w:pPr>
    </w:p>
    <w:p w14:paraId="6C50E7A7" w14:textId="77777777" w:rsidR="00EE3068" w:rsidRDefault="00EE3068">
      <w:pPr>
        <w:spacing w:line="276" w:lineRule="auto"/>
        <w:ind w:left="0" w:firstLine="0"/>
        <w:rPr>
          <w:rFonts w:ascii="Times New Roman" w:eastAsia="Times New Roman" w:hAnsi="Times New Roman" w:cs="Times New Roman"/>
          <w:sz w:val="24"/>
          <w:szCs w:val="24"/>
        </w:rPr>
      </w:pPr>
    </w:p>
    <w:p w14:paraId="76D3E4E8" w14:textId="77777777" w:rsidR="00EE3068" w:rsidRDefault="00EE3068">
      <w:pPr>
        <w:spacing w:line="276" w:lineRule="auto"/>
        <w:ind w:left="0" w:firstLine="0"/>
        <w:jc w:val="center"/>
        <w:rPr>
          <w:rFonts w:ascii="Times New Roman" w:eastAsia="Times New Roman" w:hAnsi="Times New Roman" w:cs="Times New Roman"/>
          <w:sz w:val="24"/>
          <w:szCs w:val="24"/>
        </w:rPr>
      </w:pPr>
    </w:p>
    <w:p w14:paraId="3A018035" w14:textId="77777777" w:rsidR="00EE3068" w:rsidRDefault="00EE3068">
      <w:pPr>
        <w:spacing w:line="276" w:lineRule="auto"/>
        <w:ind w:left="0" w:firstLine="0"/>
        <w:jc w:val="center"/>
        <w:rPr>
          <w:rFonts w:ascii="Century Gothic" w:eastAsia="Century Gothic" w:hAnsi="Century Gothic" w:cs="Century Gothic"/>
          <w:sz w:val="24"/>
          <w:szCs w:val="24"/>
        </w:rPr>
      </w:pPr>
    </w:p>
    <w:p w14:paraId="66A048B1" w14:textId="77777777" w:rsidR="00EE3068" w:rsidRDefault="00000000">
      <w:pPr>
        <w:spacing w:line="360" w:lineRule="auto"/>
        <w:ind w:left="0" w:firstLine="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A Thesis</w:t>
      </w:r>
    </w:p>
    <w:p w14:paraId="2E11AD88" w14:textId="77777777" w:rsidR="00EE3068" w:rsidRDefault="00000000">
      <w:pPr>
        <w:spacing w:line="360" w:lineRule="auto"/>
        <w:ind w:left="0" w:firstLine="0"/>
        <w:jc w:val="cente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Submitted to the Faculty</w:t>
      </w:r>
    </w:p>
    <w:p w14:paraId="773AFE37" w14:textId="77777777" w:rsidR="00EE3068" w:rsidRDefault="00000000">
      <w:pPr>
        <w:spacing w:line="360" w:lineRule="auto"/>
        <w:ind w:left="0" w:firstLine="0"/>
        <w:jc w:val="center"/>
        <w:rPr>
          <w:rFonts w:ascii="Century Gothic" w:eastAsia="Century Gothic" w:hAnsi="Century Gothic" w:cs="Century Gothic"/>
          <w:sz w:val="24"/>
          <w:szCs w:val="24"/>
        </w:rPr>
      </w:pPr>
      <w:r>
        <w:rPr>
          <w:rFonts w:ascii="Century Gothic" w:eastAsia="Century Gothic" w:hAnsi="Century Gothic" w:cs="Century Gothic"/>
          <w:b/>
          <w:bCs/>
          <w:sz w:val="24"/>
          <w:szCs w:val="24"/>
        </w:rPr>
        <w:t>of Institute of Computer Studies</w:t>
      </w:r>
    </w:p>
    <w:p w14:paraId="2D376C95" w14:textId="77777777" w:rsidR="00EE3068" w:rsidRDefault="00EE3068">
      <w:pPr>
        <w:spacing w:line="276" w:lineRule="auto"/>
        <w:ind w:left="0" w:firstLine="0"/>
        <w:rPr>
          <w:rFonts w:ascii="Century Gothic" w:eastAsia="Century Gothic" w:hAnsi="Century Gothic" w:cs="Century Gothic"/>
          <w:sz w:val="24"/>
          <w:szCs w:val="24"/>
        </w:rPr>
      </w:pPr>
    </w:p>
    <w:p w14:paraId="424D597C" w14:textId="77777777" w:rsidR="00EE3068" w:rsidRDefault="00EE3068">
      <w:pPr>
        <w:spacing w:line="276" w:lineRule="auto"/>
        <w:ind w:left="0" w:firstLine="0"/>
        <w:rPr>
          <w:rFonts w:ascii="Century Gothic" w:eastAsia="Century Gothic" w:hAnsi="Century Gothic" w:cs="Century Gothic"/>
          <w:sz w:val="24"/>
          <w:szCs w:val="24"/>
        </w:rPr>
      </w:pPr>
    </w:p>
    <w:p w14:paraId="2C6EBD38" w14:textId="77777777" w:rsidR="00EE3068" w:rsidRDefault="00EE3068">
      <w:pPr>
        <w:spacing w:line="276" w:lineRule="auto"/>
        <w:ind w:left="0" w:firstLine="0"/>
        <w:jc w:val="center"/>
        <w:rPr>
          <w:rFonts w:ascii="Century Gothic" w:eastAsia="Century Gothic" w:hAnsi="Century Gothic" w:cs="Century Gothic"/>
          <w:sz w:val="24"/>
          <w:szCs w:val="24"/>
        </w:rPr>
      </w:pPr>
    </w:p>
    <w:p w14:paraId="2F5DD8A6" w14:textId="77777777" w:rsidR="00EE3068" w:rsidRDefault="00EE3068">
      <w:pPr>
        <w:spacing w:line="276" w:lineRule="auto"/>
        <w:ind w:left="0" w:firstLine="0"/>
        <w:jc w:val="center"/>
        <w:rPr>
          <w:rFonts w:ascii="Century Gothic" w:eastAsia="Century Gothic" w:hAnsi="Century Gothic" w:cs="Century Gothic"/>
          <w:sz w:val="24"/>
          <w:szCs w:val="24"/>
        </w:rPr>
      </w:pPr>
    </w:p>
    <w:p w14:paraId="78CF147B" w14:textId="77777777" w:rsidR="00EE3068" w:rsidRDefault="00EE3068">
      <w:pPr>
        <w:spacing w:line="276" w:lineRule="auto"/>
        <w:ind w:left="0" w:firstLine="0"/>
        <w:rPr>
          <w:rFonts w:ascii="Century Gothic" w:eastAsia="Century Gothic" w:hAnsi="Century Gothic" w:cs="Century Gothic"/>
          <w:sz w:val="24"/>
          <w:szCs w:val="24"/>
        </w:rPr>
      </w:pPr>
    </w:p>
    <w:p w14:paraId="3B51B19D" w14:textId="77777777" w:rsidR="00EE3068" w:rsidRDefault="00000000">
      <w:pPr>
        <w:spacing w:line="276" w:lineRule="auto"/>
        <w:ind w:left="0" w:firstLine="0"/>
        <w:jc w:val="center"/>
        <w:rPr>
          <w:rFonts w:ascii="Century Gothic" w:eastAsia="Century Gothic" w:hAnsi="Century Gothic" w:cs="Century Gothic"/>
          <w:b/>
          <w:bCs/>
          <w:sz w:val="24"/>
          <w:szCs w:val="24"/>
        </w:rPr>
      </w:pPr>
      <w:r>
        <w:rPr>
          <w:rFonts w:ascii="Century Gothic" w:eastAsia="Century Gothic" w:hAnsi="Century Gothic" w:cs="Century Gothic"/>
          <w:sz w:val="24"/>
          <w:szCs w:val="24"/>
        </w:rPr>
        <w:t xml:space="preserve"> </w:t>
      </w:r>
      <w:r>
        <w:rPr>
          <w:rFonts w:ascii="Century Gothic" w:eastAsia="Century Gothic" w:hAnsi="Century Gothic" w:cs="Century Gothic"/>
          <w:b/>
          <w:bCs/>
          <w:sz w:val="24"/>
          <w:szCs w:val="24"/>
        </w:rPr>
        <w:t>MAY 2026</w:t>
      </w:r>
    </w:p>
    <w:p w14:paraId="4817A27C" w14:textId="77777777" w:rsidR="00EE3068" w:rsidRDefault="00EE3068">
      <w:pPr>
        <w:pStyle w:val="Heading1"/>
        <w:keepNext w:val="0"/>
        <w:keepLines w:val="0"/>
        <w:spacing w:line="360" w:lineRule="auto"/>
        <w:ind w:left="0" w:firstLine="0"/>
        <w:jc w:val="both"/>
        <w:rPr>
          <w:rFonts w:ascii="Times New Roman" w:eastAsia="Times New Roman" w:hAnsi="Times New Roman" w:cs="Times New Roman"/>
          <w:sz w:val="24"/>
          <w:szCs w:val="24"/>
        </w:rPr>
      </w:pPr>
      <w:bookmarkStart w:id="0" w:name="_ysant2pnxayn" w:colFirst="0" w:colLast="0"/>
      <w:bookmarkEnd w:id="0"/>
    </w:p>
    <w:p w14:paraId="4DC14FB4" w14:textId="77777777" w:rsidR="00EE3068" w:rsidRDefault="00000000">
      <w:pPr>
        <w:pStyle w:val="Heading2"/>
        <w:keepNext w:val="0"/>
        <w:keepLines w:val="0"/>
        <w:spacing w:line="360" w:lineRule="auto"/>
        <w:ind w:left="283" w:right="-18" w:firstLine="0"/>
        <w:jc w:val="both"/>
        <w:rPr>
          <w:rFonts w:ascii="Times New Roman" w:eastAsia="Times New Roman" w:hAnsi="Times New Roman" w:cs="Times New Roman"/>
          <w:sz w:val="24"/>
          <w:szCs w:val="24"/>
        </w:rPr>
      </w:pPr>
      <w:bookmarkStart w:id="1" w:name="_mjkx6kqut2f8" w:colFirst="0" w:colLast="0"/>
      <w:bookmarkEnd w:id="1"/>
      <w:r>
        <w:rPr>
          <w:rFonts w:ascii="Times New Roman" w:eastAsia="Times New Roman" w:hAnsi="Times New Roman" w:cs="Times New Roman"/>
          <w:sz w:val="24"/>
          <w:szCs w:val="24"/>
        </w:rPr>
        <w:t>Abstract</w:t>
      </w:r>
    </w:p>
    <w:p w14:paraId="0C1B925F"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development and evaluation of the E-Campus Marketplace App, a peer-to-peer (P2P) e-commerce platform designed specifically for the students of St. Clare College of Caloocan. The research addresses the logistical challenges students face when acquiring school essentials—such as uniforms, and booklets—including long waiting lines, uncertain stock availability, and the security risks associated with trading on unofficial social media groups. By following a structured development process, the researchers created a centralized digital marketplace tailored to the school's environment.</w:t>
      </w:r>
    </w:p>
    <w:p w14:paraId="18CB0228"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provides a secure login system, an organized product catalog, and integrated digital payment options designed to make transactions faster and more reliable. User evaluation of the functional </w:t>
      </w:r>
      <w:r>
        <w:rPr>
          <w:rFonts w:ascii="Times New Roman" w:eastAsia="Times New Roman" w:hAnsi="Times New Roman" w:cs="Times New Roman"/>
          <w:sz w:val="24"/>
          <w:szCs w:val="24"/>
        </w:rPr>
        <w:lastRenderedPageBreak/>
        <w:t>prototype showed high levels of satisfaction regarding the system’s ease of use, security features, and overall performance. The findings demonstrate that the app effectively modernizes campus commerce, providing a safer and more convenient alternative to manual methods. The study concludes that this platform is a valuable tool for improving organization, transparency, and trust within the schools community by bridging the gap between the school and students transactions.</w:t>
      </w:r>
    </w:p>
    <w:p w14:paraId="3F1E827C"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E-Campus Marketplace App, Peer-to-Peer (P2P), St. Clare College of Caloocan, E-Commerce Platform, School Essentials.</w:t>
      </w:r>
    </w:p>
    <w:p w14:paraId="1080B39B" w14:textId="77777777" w:rsidR="00EE3068" w:rsidRDefault="00000000">
      <w:pPr>
        <w:pStyle w:val="Heading2"/>
        <w:keepNext w:val="0"/>
        <w:keepLines w:val="0"/>
        <w:spacing w:line="360" w:lineRule="auto"/>
        <w:ind w:left="283" w:right="-18" w:firstLine="0"/>
        <w:jc w:val="both"/>
        <w:rPr>
          <w:rFonts w:ascii="Times New Roman" w:eastAsia="Times New Roman" w:hAnsi="Times New Roman" w:cs="Times New Roman"/>
          <w:sz w:val="24"/>
          <w:szCs w:val="24"/>
        </w:rPr>
      </w:pPr>
      <w:bookmarkStart w:id="2" w:name="_bz30lnwfmtes" w:colFirst="0" w:colLast="0"/>
      <w:bookmarkEnd w:id="2"/>
      <w:r>
        <w:rPr>
          <w:rFonts w:ascii="Times New Roman" w:eastAsia="Times New Roman" w:hAnsi="Times New Roman" w:cs="Times New Roman"/>
          <w:sz w:val="24"/>
          <w:szCs w:val="24"/>
        </w:rPr>
        <w:t>Introduction &amp; Literature Review</w:t>
      </w:r>
    </w:p>
    <w:p w14:paraId="3476EBA5"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current digital era, the landscape of consumer behavior among the youth has shifted significantly toward online shopping and cashless transactions. For students at St. Clare College of Caloocan, the need for an integrated, campus-specific platform has become increasingly evident. Currently, students manage their school-related transactions manually, often visiting multiple locations to acquire essential items such as booklets, ID laces, and uniforms. This fragmented process leads to inconvenience, a lack of uniformity, and wasted time. Research by Dela Peña et al. (2023) highlights that online shopping has become an essential component of student life in the Philippines, yet many institutions still rely on traditional, manual systems for internal commerce.</w:t>
      </w:r>
    </w:p>
    <w:p w14:paraId="513AE478"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problem identified at St. Clare College is the inefficiency of the current manual system. Students often encounter long queues at the cashier or bookstore, only to find that items are out of stock. Furthermore, when students seek second-hand items or school supplies from their peers, they often resort to unofficial social media groups. As noted by Jordan and Obra (2021), these "Closed Community Groups" can foster trust through shared identity, but they lack the formal security and organized structure of a dedicated marketplace. This study aims to bridge that gap by providing a secure, school-monitored application that facilitates both official purchases and peer-to-peer exchanges.</w:t>
      </w:r>
    </w:p>
    <w:p w14:paraId="5B5BAD07" w14:textId="77777777" w:rsidR="00EE3068" w:rsidRDefault="00000000">
      <w:pPr>
        <w:pStyle w:val="Heading3"/>
        <w:spacing w:before="280" w:after="80" w:line="360" w:lineRule="auto"/>
        <w:ind w:left="283" w:right="-18"/>
        <w:jc w:val="both"/>
        <w:rPr>
          <w:sz w:val="24"/>
          <w:szCs w:val="24"/>
        </w:rPr>
      </w:pPr>
      <w:bookmarkStart w:id="3" w:name="_6apmevky6hex" w:colFirst="0" w:colLast="0"/>
      <w:bookmarkEnd w:id="3"/>
      <w:r>
        <w:rPr>
          <w:sz w:val="24"/>
          <w:szCs w:val="24"/>
        </w:rPr>
        <w:t>Review of Related Literature</w:t>
      </w:r>
    </w:p>
    <w:p w14:paraId="6709D2C9"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integration of digital platforms into the academic environment has been a topic of significant interest globally. Smith et al. (2023) conducted research at the University of Virginia, focusing on the challenges of safety and efficiency in peer-to-peer trading. Their findings suggested that students are more likely to engage in online marketplaces when they are confident that their personal and financial information is protected. This emphasizes the need for robust verification protocols and secure frameworks in campus-based apps. Locally, Dela Peña et al. (2023) observed that convenience and affordability are the most significant drivers for Filipino students engaging in e-commerce.</w:t>
      </w:r>
    </w:p>
    <w:p w14:paraId="7EE862C6"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shift toward cashless systems is supported by the work of Ortiz et al. (2023), who examined the growing preference for e-wallets like GCash due to their security and efficiency. At St. Clare College, the absence of a centralized digital payment method for school items has been a recurring point of frustration for the student body. Almanza et al. (2023) pointed out that students increasingly demand electronic ways to handle purchasing to avoid the physical hassle of lining up. This demand is not merely about convenience; it is about better time management between classes and school activities.</w:t>
      </w:r>
    </w:p>
    <w:p w14:paraId="34224C80"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conceptual foundation of a peer-to-peer marketplace also promotes community building. Huang, Finsterwalder, and Chen (2022) found that peer-to-peer interaction is a key driver in strengthening campus attachment. By allowing students to trade items like used books and uniforms directly, the E-Campus Marketplace App fosters a sense of belonging and mutual support. This localized approach ensures that items remain within the community, meeting institutional standards for uniforms and accessories, which is often a problem when students buy from outside vendors (Almanza et al., 2023).</w:t>
      </w:r>
    </w:p>
    <w:p w14:paraId="22DDAD08"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administrative perspective is equally important. Williamson (2020) argues that digital platforms serve as active "market devices" that reorganize institutions into more efficient, data-driven organizations. For St. Clare College, moving away from manual record-keeping to a centralized digital system allows for better inventory control and accurate financial management. By integrating these elements—security, community, and efficiency—the proposed app seeks to modernize the entire commerce ecosystem of the college.</w:t>
      </w:r>
    </w:p>
    <w:p w14:paraId="2D43E047" w14:textId="77777777" w:rsidR="00EE3068" w:rsidRDefault="00000000">
      <w:pPr>
        <w:pStyle w:val="Heading2"/>
        <w:keepNext w:val="0"/>
        <w:keepLines w:val="0"/>
        <w:spacing w:line="360" w:lineRule="auto"/>
        <w:ind w:left="283" w:right="-18" w:firstLine="0"/>
        <w:jc w:val="both"/>
        <w:rPr>
          <w:rFonts w:ascii="Times New Roman" w:eastAsia="Times New Roman" w:hAnsi="Times New Roman" w:cs="Times New Roman"/>
          <w:sz w:val="24"/>
          <w:szCs w:val="24"/>
        </w:rPr>
      </w:pPr>
      <w:bookmarkStart w:id="4" w:name="_dm40gjnlufto" w:colFirst="0" w:colLast="0"/>
      <w:bookmarkEnd w:id="4"/>
      <w:r>
        <w:rPr>
          <w:rFonts w:ascii="Times New Roman" w:eastAsia="Times New Roman" w:hAnsi="Times New Roman" w:cs="Times New Roman"/>
          <w:sz w:val="24"/>
          <w:szCs w:val="24"/>
        </w:rPr>
        <w:t>Methodology</w:t>
      </w:r>
    </w:p>
    <w:p w14:paraId="1FFFCB80"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section presents the structured approach, and empirical procedures utilized to develop and evaluate the E-Campus Marketplace App. The methodology outlines the logical steps taken to move from initial requirement gathering to a verified mobile computing solution.</w:t>
      </w:r>
    </w:p>
    <w:p w14:paraId="332EC0D2" w14:textId="77777777" w:rsidR="00EE3068" w:rsidRDefault="00000000">
      <w:pPr>
        <w:pStyle w:val="Heading3"/>
        <w:spacing w:before="280" w:after="80" w:line="360" w:lineRule="auto"/>
        <w:ind w:left="283" w:right="-18"/>
        <w:jc w:val="both"/>
        <w:rPr>
          <w:sz w:val="24"/>
          <w:szCs w:val="24"/>
        </w:rPr>
      </w:pPr>
      <w:bookmarkStart w:id="5" w:name="_hgvts8kjgg6p" w:colFirst="0" w:colLast="0"/>
      <w:bookmarkEnd w:id="5"/>
      <w:r>
        <w:rPr>
          <w:sz w:val="24"/>
          <w:szCs w:val="24"/>
        </w:rPr>
        <w:t>Research Methodology</w:t>
      </w:r>
    </w:p>
    <w:p w14:paraId="23A81188"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utilized a Quantitative Research Method to systematically assess, analyze, and document both the operational challenges of the existing manual transaction system and the technical acceptability of the developed platform. A quantitative methodology is highly appropriate for this study because it focuses on generating objective, mathematically verifiable data regarding user satisfaction, transaction speeds, security perceptions, and system reliability. By using standardized survey tools and numerical measurement indices, the researchers established a statistical baseline via diagnostic pre-surveys and validated the system through post-implementation testing. This approach minimizes subjective bias and allows for the application of descriptive statistical treatments, including percentage distributions and weighted means, to prove the performance and viability of the application within the academic community.</w:t>
      </w:r>
    </w:p>
    <w:p w14:paraId="01B54EB3" w14:textId="77777777" w:rsidR="00EE3068" w:rsidRDefault="00EE3068">
      <w:pPr>
        <w:spacing w:before="240" w:after="240" w:line="360" w:lineRule="auto"/>
        <w:ind w:left="0" w:right="-18" w:firstLine="0"/>
        <w:jc w:val="both"/>
        <w:rPr>
          <w:rFonts w:ascii="Times New Roman" w:eastAsia="Times New Roman" w:hAnsi="Times New Roman" w:cs="Times New Roman"/>
          <w:sz w:val="24"/>
          <w:szCs w:val="24"/>
        </w:rPr>
      </w:pPr>
    </w:p>
    <w:p w14:paraId="2398D6A9" w14:textId="77777777" w:rsidR="00EE3068" w:rsidRDefault="00000000">
      <w:pPr>
        <w:pStyle w:val="Heading3"/>
        <w:spacing w:before="280" w:after="80" w:line="360" w:lineRule="auto"/>
        <w:ind w:left="283" w:right="-18"/>
        <w:jc w:val="both"/>
        <w:rPr>
          <w:sz w:val="24"/>
          <w:szCs w:val="24"/>
        </w:rPr>
      </w:pPr>
      <w:bookmarkStart w:id="6" w:name="_9onozmvyw5p1" w:colFirst="0" w:colLast="0"/>
      <w:bookmarkEnd w:id="6"/>
      <w:r>
        <w:rPr>
          <w:sz w:val="24"/>
          <w:szCs w:val="24"/>
        </w:rPr>
        <w:t>Research Design</w:t>
      </w:r>
    </w:p>
    <w:p w14:paraId="396FDCA0"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utilized a Descriptive Developmental Research Design. This design framework serves a dual purpose: guiding the software engineering process of the application while structuring the descriptive evaluation of its final performance.</w:t>
      </w:r>
    </w:p>
    <w:p w14:paraId="136FBEB1"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component, the Developmental Phase, focused on the technical design, architectural construction, and programming of the mobile application and admin control panel. Using the Agile Methodology, this phase organized the system’s development into incremental sprints. This iterative process allowed the developers to continuously code, evaluate, and debug key functionalities—such as role-based login validation, product grid filtering, built-in chatting, and automated receipt generation—prior to final deployment.</w:t>
      </w:r>
    </w:p>
    <w:p w14:paraId="40F35A9A"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second component, the Descriptive Phase, concentrated on investigating the usability, reliability, and security of the finalized system. Through surveys containing standardized assessment scales, this phase documented the user experience, acceptability, and overall performance of the prototype. This descriptive evaluation proved that the developed system matches the practical requirements and technical capabilities of college students and administrators.</w:t>
      </w:r>
    </w:p>
    <w:p w14:paraId="52E798AA" w14:textId="77777777" w:rsidR="00EE3068" w:rsidRDefault="00000000">
      <w:pPr>
        <w:pStyle w:val="Heading2"/>
        <w:keepNext w:val="0"/>
        <w:keepLines w:val="0"/>
        <w:spacing w:line="360" w:lineRule="auto"/>
        <w:ind w:left="283" w:right="-18" w:firstLine="0"/>
        <w:jc w:val="both"/>
        <w:rPr>
          <w:rFonts w:ascii="Times New Roman" w:eastAsia="Times New Roman" w:hAnsi="Times New Roman" w:cs="Times New Roman"/>
          <w:sz w:val="24"/>
          <w:szCs w:val="24"/>
        </w:rPr>
      </w:pPr>
      <w:bookmarkStart w:id="7" w:name="_oszbz4xq8c35" w:colFirst="0" w:colLast="0"/>
      <w:bookmarkEnd w:id="7"/>
      <w:r>
        <w:rPr>
          <w:rFonts w:ascii="Times New Roman" w:eastAsia="Times New Roman" w:hAnsi="Times New Roman" w:cs="Times New Roman"/>
          <w:sz w:val="24"/>
          <w:szCs w:val="24"/>
        </w:rPr>
        <w:t>Results and Discussion</w:t>
      </w:r>
    </w:p>
    <w:p w14:paraId="19D89FFB"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findings of this study demonstrate a profound shift in efficiency, convenience, and perceived safety between the traditional manual methods of campus commerce and the digital environment provided by the developed E-Campus Marketplace App. Prior to the implementation of the platform, diagnostic pre-surveys completed by 193 respondents established a detailed baseline of the operational difficulties that define the everyday student experience at St. Clare College of Caloocan. Among these issues is the chronic operational bottleneck of waiting in physical queues; the frequency of encountering long waiting lines when trying to buy official booklets, uniforms, or event tickets returned a weighted mean score of 4.06, which translates to a verbal interpretation of "Often." This statistical reality is coupled with the physical stress of traveling to campus offices, as represented by a weighted mean of 3.63, reflecting the frustration students experience when they make dedicated trips to the physical bookstore or cashier's office only to discover that the target item is out of stock. These physical delays not only disrupt academic schedules but also introduce massive friction to the basic operations of student life. Additionally, student-to-student transactions occurred in highly insecure, unmoderated environments. The pre-survey documented that students frequently resorted to informal social media groups to buy other school materials, resulting in a weighted mean of 3.65 for anxieties regarding scam potential, misleading listings, and physical safety during meetups. This critical lack of a trusted environment served as the main justification for developing a verified, closed-loop transaction platform.</w:t>
      </w:r>
    </w:p>
    <w:p w14:paraId="267E1B14"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presenting the functional mobile prototype to 113 evaluation participants across multiple academic departments and year levels, the technical assessment of the app's performance indicated high levels of user satisfaction and functional suitability. In terms of functional suitability, the advanced search and filter features designed to help users instantly locate academic essentials achieved a notable weighted mean of </w:t>
      </w:r>
      <w:r>
        <w:rPr>
          <w:rFonts w:ascii="Times New Roman" w:eastAsia="Times New Roman" w:hAnsi="Times New Roman" w:cs="Times New Roman"/>
          <w:sz w:val="24"/>
          <w:szCs w:val="24"/>
        </w:rPr>
        <w:lastRenderedPageBreak/>
        <w:t>4.65, signifying that the participants "Strongly Agree" that the digital catalog represents a massive improvement over traditional browsing. The order processing sequence and shopping cart features also functioned with high accuracy, earning a positive mean of 4.11, while the integrated messaging component designed to facilitate direct peer-to-peer negotiation achieved a score of 3.87. Usability evaluations similarly underscored the clean design philosophy of the system. The visual organization of the interface received a weighted mean of 4.34, with an overwhelmingly positive response regarding the intuitive layout of labels and icons. Crucially, the app demonstrated a shallow learning curve, as ninety-seven percent of respondents noted they could navigate through the diverse features of the marketplace without requiring a user manual. By presenting information through a professionally structured product grid and maintaining clear menu structures, the application successfully ensures accessibility for users from basic education levels up to tertiary students.</w:t>
      </w:r>
    </w:p>
    <w:p w14:paraId="4EE19F43"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system reliability and technical performance, the application proved to be exceptionally stable across diverse device configurations. The application did not much exhibit critical failures during the demonstration sessions, resulting in a weighted mean of 4.19 for reliability. The cloud-synchronized database backend performed reliably, scoring a mean of 4.08 for its capacity to accurately preserve user profiles, transaction histories, and pending listings across active sessions without requiring unexpected resets. While a small subset of neutral ratings (representing thirty-nine respondents) indicated that real-time product rendering could occasionally suffer from campus Wi-Fi network latency, the fundamental system architecture demonstrated highly stable performance. Security, which represented a critical design priority given the high safety concerns documented in the pre-survey, received the strongest endorsement from the participants. The secure authentication system generated a high weighted mean of 4.52 for credential protection. This high trust rating shows that students feel safe utilizing their academic identities within a dedicated, closed campus ecosystem, effectively removing the high anxiety levels associated with unverified public trading spaces.</w:t>
      </w:r>
    </w:p>
    <w:p w14:paraId="40A7B4BE"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core database safety, the overall speed and transaction flow of the platform made school commerce feel significantly more efficient, scoring a weighted mean of 4.18. A key administrative and operational addition was the digital e-receipt generation module, which yielded a weighted mean of 3.79. Although a small percentage of users (represented by five dissenting votes) suggested that the visual presentation of </w:t>
      </w:r>
      <w:r>
        <w:rPr>
          <w:rFonts w:ascii="Times New Roman" w:eastAsia="Times New Roman" w:hAnsi="Times New Roman" w:cs="Times New Roman"/>
          <w:sz w:val="24"/>
          <w:szCs w:val="24"/>
        </w:rPr>
        <w:lastRenderedPageBreak/>
        <w:t>the e-receipt could be styled to look more formal and aligned with corporate receipts, the functional value of these digital proofs was highly praised. Synthesis of the open-ended feedback revealed that these digital receipts serve a vital institutional purpose. For example, several students emphasized that an instant, unalterable digital proof of transaction is highly useful for verifying the legitimacy of their official campus apparel, protecting them from being questioned by institutional security staff regarding where and how they acquired official accessories like ID laces and pins. The qualitative responses also highlighted that the quick responsiveness of the buttons, simple image upload forms (mean of 4.15), and seamless integration of cashless GCash methods completely transformed school transactions. By combining secured login, cashless safety, and real-time receipting into a continuous prose flow, the E-Campus Marketplace App successfully addresses the operational bottlenecks of the manual legacy framework, demonstrating that a tailored, localized e-commerce platform is highly capable of fostering safe, trust-filled, and organized campus commerce.</w:t>
      </w:r>
    </w:p>
    <w:p w14:paraId="7CCDA9F9" w14:textId="77777777" w:rsidR="00EE3068" w:rsidRDefault="00000000">
      <w:pPr>
        <w:pStyle w:val="Heading2"/>
        <w:keepNext w:val="0"/>
        <w:keepLines w:val="0"/>
        <w:spacing w:line="360" w:lineRule="auto"/>
        <w:ind w:left="283" w:right="-18" w:firstLine="0"/>
        <w:jc w:val="both"/>
        <w:rPr>
          <w:rFonts w:ascii="Times New Roman" w:eastAsia="Times New Roman" w:hAnsi="Times New Roman" w:cs="Times New Roman"/>
          <w:sz w:val="24"/>
          <w:szCs w:val="24"/>
        </w:rPr>
      </w:pPr>
      <w:bookmarkStart w:id="8" w:name="_efmplc5e9prl" w:colFirst="0" w:colLast="0"/>
      <w:bookmarkEnd w:id="8"/>
      <w:r>
        <w:rPr>
          <w:rFonts w:ascii="Times New Roman" w:eastAsia="Times New Roman" w:hAnsi="Times New Roman" w:cs="Times New Roman"/>
          <w:sz w:val="24"/>
          <w:szCs w:val="24"/>
        </w:rPr>
        <w:t>Conclusion</w:t>
      </w:r>
    </w:p>
    <w:p w14:paraId="78FEA433" w14:textId="77777777" w:rsidR="00EE3068" w:rsidRDefault="00000000">
      <w:pPr>
        <w:pStyle w:val="Heading2"/>
        <w:keepNext w:val="0"/>
        <w:keepLines w:val="0"/>
        <w:spacing w:before="240" w:after="240" w:line="360" w:lineRule="auto"/>
        <w:ind w:left="283" w:right="-18" w:firstLine="0"/>
        <w:jc w:val="both"/>
        <w:rPr>
          <w:rFonts w:ascii="Times New Roman" w:eastAsia="Times New Roman" w:hAnsi="Times New Roman" w:cs="Times New Roman"/>
          <w:b w:val="0"/>
          <w:bCs w:val="0"/>
          <w:sz w:val="24"/>
          <w:szCs w:val="24"/>
        </w:rPr>
      </w:pPr>
      <w:bookmarkStart w:id="9" w:name="_cpz2rrigphnv" w:colFirst="0" w:colLast="0"/>
      <w:bookmarkEnd w:id="9"/>
      <w:r>
        <w:rPr>
          <w:rFonts w:ascii="Times New Roman" w:eastAsia="Times New Roman" w:hAnsi="Times New Roman" w:cs="Times New Roman"/>
          <w:b w:val="0"/>
          <w:bCs w:val="0"/>
          <w:sz w:val="24"/>
          <w:szCs w:val="24"/>
        </w:rPr>
        <w:t>Based on the comprehensive evaluation and findings of this study, it is concluded that the E-Campus Marketplace App is a viable and highly effective solution for modernizing campus commerce at St. Clare College of Caloocan. The research successfully validated the initial problems identified in the manual system, specifically the persistent issues of long waiting times, stock unavailability, and the lack of a secure, centralized trading environment. By providing a digital platform that combines official school purchases with peer-to-peer exchanges, the application streamlines the acquisition of essentials while fostering trust within the school community. The integration of secure login protocols and cashless payment methods has proven to align with the modern digital habits of the student body. The high evaluation scores in functional suitability, usability, and security indicate that the prototype is technically sound and meets the specific institutional requirements of the college. Students expressed a high degree of confidence in the system’s ability to protect their credentials and manage their transactions efficiently.</w:t>
      </w:r>
    </w:p>
    <w:p w14:paraId="5BEE2459" w14:textId="77777777" w:rsidR="00EE3068" w:rsidRDefault="00000000">
      <w:pPr>
        <w:pStyle w:val="Heading2"/>
        <w:keepNext w:val="0"/>
        <w:keepLines w:val="0"/>
        <w:spacing w:before="240" w:after="240" w:line="360" w:lineRule="auto"/>
        <w:ind w:left="283" w:right="-18" w:firstLine="0"/>
        <w:jc w:val="both"/>
        <w:rPr>
          <w:rFonts w:ascii="Times New Roman" w:eastAsia="Times New Roman" w:hAnsi="Times New Roman" w:cs="Times New Roman"/>
          <w:b w:val="0"/>
          <w:bCs w:val="0"/>
          <w:sz w:val="24"/>
          <w:szCs w:val="24"/>
        </w:rPr>
      </w:pPr>
      <w:bookmarkStart w:id="10" w:name="_jgrk4jt8phx0" w:colFirst="0" w:colLast="0"/>
      <w:bookmarkEnd w:id="10"/>
      <w:r>
        <w:rPr>
          <w:rFonts w:ascii="Times New Roman" w:eastAsia="Times New Roman" w:hAnsi="Times New Roman" w:cs="Times New Roman"/>
          <w:b w:val="0"/>
          <w:bCs w:val="0"/>
          <w:sz w:val="24"/>
          <w:szCs w:val="24"/>
        </w:rPr>
        <w:t xml:space="preserve">Furthermore, the study concludes that the application enhances accessibility for all academic levels. The intuitive design allows even younger students in basic education to navigate the marketplace with ease, while tertiary students benefit from the economic opportunities provided by the peer-to-peer feature. The </w:t>
      </w:r>
      <w:r>
        <w:rPr>
          <w:rFonts w:ascii="Times New Roman" w:eastAsia="Times New Roman" w:hAnsi="Times New Roman" w:cs="Times New Roman"/>
          <w:b w:val="0"/>
          <w:bCs w:val="0"/>
          <w:sz w:val="24"/>
          <w:szCs w:val="24"/>
        </w:rPr>
        <w:lastRenderedPageBreak/>
        <w:t>administrative module provides the school staff with a robust tool for inventory management and accurate record-keeping, thereby improving overall operational efficiency. In summary, the E-Campus Marketplace App effectively bridges the gap between traditional campus operations and modern e-commerce. It provides a safer, faster, and more organized alternative to manual transactions and unofficial social media trading. The researchers recommend further development to include iOS compatibility and advanced data caching for offline use, ensuring that the entire St. Clare community can benefit from this inclusive digital ecosystem regardless of their device or connectivity status. Rigorous multi-hardware testing is also advised to ensure system stability across various older and newer mobile devices, fully establishing a standardized digital platform for the academic community.</w:t>
      </w:r>
    </w:p>
    <w:p w14:paraId="59F552DB" w14:textId="77777777" w:rsidR="00EE3068" w:rsidRDefault="00000000">
      <w:pPr>
        <w:pStyle w:val="Title"/>
        <w:spacing w:line="360" w:lineRule="auto"/>
        <w:ind w:left="283" w:right="-18" w:firstLine="0"/>
        <w:jc w:val="both"/>
        <w:rPr>
          <w:rFonts w:ascii="Times New Roman" w:eastAsia="Times New Roman" w:hAnsi="Times New Roman" w:cs="Times New Roman"/>
          <w:sz w:val="24"/>
          <w:szCs w:val="24"/>
        </w:rPr>
      </w:pPr>
      <w:bookmarkStart w:id="11" w:name="_65sumnthhv7t" w:colFirst="0" w:colLast="0"/>
      <w:bookmarkEnd w:id="11"/>
      <w:r>
        <w:rPr>
          <w:rFonts w:ascii="Times New Roman" w:eastAsia="Times New Roman" w:hAnsi="Times New Roman" w:cs="Times New Roman"/>
          <w:sz w:val="24"/>
          <w:szCs w:val="24"/>
        </w:rPr>
        <w:t>References:</w:t>
      </w:r>
    </w:p>
    <w:p w14:paraId="3378844F" w14:textId="77777777" w:rsidR="00EE3068" w:rsidRDefault="00000000">
      <w:pPr>
        <w:spacing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F., Jha, N. K., &amp; Faizan, M. (2024). Design and development of a localized e-commerce solution for students focusing on economical sharing. arXiv. </w:t>
      </w:r>
      <w:hyperlink r:id="rId6">
        <w:r>
          <w:rPr>
            <w:rFonts w:ascii="Times New Roman" w:eastAsia="Times New Roman" w:hAnsi="Times New Roman" w:cs="Times New Roman"/>
            <w:color w:val="1155CC"/>
            <w:sz w:val="24"/>
            <w:szCs w:val="24"/>
            <w:u w:val="single"/>
          </w:rPr>
          <w:t>https://arxiv.org/abs/2411.11527</w:t>
        </w:r>
      </w:hyperlink>
    </w:p>
    <w:p w14:paraId="3178A1FE"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Almanza, D. J. V. B., Arrieta, M. M. C., Mangilog, K. J. H., &amp; Villegas, Z. A. P. (2023). Add to cart: How an online shopping platform could impact Michael in Grade 12 DLSU Manila to purchase during the post-COVID-19 pandemic. DLSU Research Congress 2023. </w:t>
      </w:r>
      <w:hyperlink r:id="rId7">
        <w:r>
          <w:rPr>
            <w:rFonts w:ascii="Times New Roman" w:eastAsia="Times New Roman" w:hAnsi="Times New Roman" w:cs="Times New Roman"/>
            <w:color w:val="1155CC"/>
            <w:sz w:val="24"/>
            <w:szCs w:val="24"/>
            <w:u w:val="single"/>
          </w:rPr>
          <w:t>https://animorepository.dlsu.edu.ph/conf/shsrescon/2023/bus_pres/5/</w:t>
        </w:r>
      </w:hyperlink>
    </w:p>
    <w:p w14:paraId="7BEB5833"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Ambag, S. C., Bernarte, R., &amp; Bautista Jr., A. (2024). Online shopping experience of Filipino faculty members who are selected to use the online marketplace in Manila. Diversitas Journal, 9(1), 158–171. </w:t>
      </w:r>
      <w:hyperlink r:id="rId8">
        <w:r>
          <w:rPr>
            <w:rFonts w:ascii="Times New Roman" w:eastAsia="Times New Roman" w:hAnsi="Times New Roman" w:cs="Times New Roman"/>
            <w:color w:val="1155CC"/>
            <w:sz w:val="24"/>
            <w:szCs w:val="24"/>
            <w:u w:val="single"/>
          </w:rPr>
          <w:t>https://www.researchgate.net/publication/378443806_Selected_Filipino_Faculty_Members'_Online_Shopping_Experience_in_Manila's_Online_Marketplace</w:t>
        </w:r>
      </w:hyperlink>
    </w:p>
    <w:p w14:paraId="0EA38EF2"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Anne, G. (2024). E‑commerce growth and digital payments in the Philippines. International Journal of Technology and Systems. </w:t>
      </w:r>
      <w:hyperlink r:id="rId9">
        <w:r>
          <w:rPr>
            <w:rFonts w:ascii="Times New Roman" w:eastAsia="Times New Roman" w:hAnsi="Times New Roman" w:cs="Times New Roman"/>
            <w:color w:val="1155CC"/>
            <w:sz w:val="24"/>
            <w:szCs w:val="24"/>
            <w:u w:val="single"/>
          </w:rPr>
          <w:t>https://doi.org/10.47604/ijts.2817</w:t>
        </w:r>
      </w:hyperlink>
    </w:p>
    <w:p w14:paraId="33AF9B7A"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Bayudan-Dacuycuy, C., &amp; Dacuycuy, L. (2022). Online marketplaces and the Philippine digital economy: Insights from the National ICT Household Survey. EconStor. </w:t>
      </w:r>
      <w:hyperlink r:id="rId10">
        <w:r>
          <w:rPr>
            <w:rFonts w:ascii="Times New Roman" w:eastAsia="Times New Roman" w:hAnsi="Times New Roman" w:cs="Times New Roman"/>
            <w:color w:val="1155CC"/>
            <w:sz w:val="24"/>
            <w:szCs w:val="24"/>
            <w:u w:val="single"/>
          </w:rPr>
          <w:t>https://www.econstor.eu/bitstream/10419/272884/1/1818781352.pdf</w:t>
        </w:r>
      </w:hyperlink>
    </w:p>
    <w:p w14:paraId="72EC6EAF"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Brofors, O., Gripnes, E., Andersson, E., Strid, A., Lundqvist, E., &amp; Ingvald, F. (2024). LiU Marketplace - Digital marketplace by students, to students [Bachelor’s thesis, Linköping University]. DiVA Portal. </w:t>
      </w:r>
      <w:hyperlink r:id="rId11">
        <w:r>
          <w:rPr>
            <w:rFonts w:ascii="Times New Roman" w:eastAsia="Times New Roman" w:hAnsi="Times New Roman" w:cs="Times New Roman"/>
            <w:color w:val="1155CC"/>
            <w:sz w:val="24"/>
            <w:szCs w:val="24"/>
            <w:u w:val="single"/>
          </w:rPr>
          <w:t>https://liu.diva-portal.org/smash/record.jsf?pid=diva2%3A1883545&amp;dswi d=-3693</w:t>
        </w:r>
      </w:hyperlink>
    </w:p>
    <w:p w14:paraId="735F27D5"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Dela Peña, J., Ramirez, K., Santos, P., &amp; Villanueva, R. (2023). Empirical analysis on the preference of Negros Oriental State University students to online shopping. East Asian Journal of Multidisciplinary Research, 2(4), 1120–1130. </w:t>
      </w:r>
      <w:hyperlink r:id="rId12">
        <w:r>
          <w:rPr>
            <w:rFonts w:ascii="Times New Roman" w:eastAsia="Times New Roman" w:hAnsi="Times New Roman" w:cs="Times New Roman"/>
            <w:color w:val="1155CC"/>
            <w:sz w:val="24"/>
            <w:szCs w:val="24"/>
            <w:u w:val="single"/>
          </w:rPr>
          <w:t>https://journal.formosapublisher.org/index.php/eajmr/article/view/3551</w:t>
        </w:r>
      </w:hyperlink>
    </w:p>
    <w:p w14:paraId="248804C0"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Fadillah, J., Putra, F. S., Fajrillah, A., Hidayat, W., &amp; Ibrahim, Z. (2024). Use of e-commerce among the UIN SMH Banten students. Jurnal Impresi Indonesia, 3(7), 536–543. </w:t>
      </w:r>
      <w:hyperlink r:id="rId13">
        <w:r>
          <w:rPr>
            <w:rFonts w:ascii="Times New Roman" w:eastAsia="Times New Roman" w:hAnsi="Times New Roman" w:cs="Times New Roman"/>
            <w:color w:val="1155CC"/>
            <w:sz w:val="24"/>
            <w:szCs w:val="24"/>
            <w:u w:val="single"/>
          </w:rPr>
          <w:t>https://www.researchgate.net/publication/382439923_Analysis_of_the_U se_of_E-Commerce_among_Students_of_UIN_SMH_Banten</w:t>
        </w:r>
      </w:hyperlink>
    </w:p>
    <w:p w14:paraId="112B02A9"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Huang, Y., Finsterwalder, J., &amp; Chen, N. C. (2022). Online student engagement and place attachment to campus in the new service marketplace: An exploratory study. Journal of Services Marketing, 36(4), 497–512. </w:t>
      </w:r>
      <w:hyperlink r:id="rId14">
        <w:r>
          <w:rPr>
            <w:rFonts w:ascii="Times New Roman" w:eastAsia="Times New Roman" w:hAnsi="Times New Roman" w:cs="Times New Roman"/>
            <w:color w:val="1155CC"/>
            <w:sz w:val="24"/>
            <w:szCs w:val="24"/>
            <w:u w:val="single"/>
          </w:rPr>
          <w:t>https://doi.org/10.1108/JSM-08-2020-0336</w:t>
        </w:r>
      </w:hyperlink>
    </w:p>
    <w:p w14:paraId="3A11B6C1"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Ismail, N., &amp; Aziz, N. (2020). Student online marketplace for university community. Semantic Scholar. </w:t>
      </w:r>
      <w:hyperlink r:id="rId15">
        <w:r>
          <w:rPr>
            <w:rFonts w:ascii="Times New Roman" w:eastAsia="Times New Roman" w:hAnsi="Times New Roman" w:cs="Times New Roman"/>
            <w:color w:val="1155CC"/>
            <w:sz w:val="24"/>
            <w:szCs w:val="24"/>
            <w:u w:val="single"/>
          </w:rPr>
          <w:t>https://www.semanticscholar.org/paper/Student-online-marketplace-for-university-community-Ismail-Aziz/efc9155acb6d9313536cead648bab7aeb82bf1bc</w:t>
        </w:r>
      </w:hyperlink>
    </w:p>
    <w:p w14:paraId="549CEE24"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Jordan, C. M. R., &amp; Obra, K. P. B. (2021). We-commerce: A study on Filipino consumers trading in a social context through online closed community groups (CCGs). Animo Repository. </w:t>
      </w:r>
      <w:hyperlink r:id="rId16">
        <w:r>
          <w:rPr>
            <w:rFonts w:ascii="Times New Roman" w:eastAsia="Times New Roman" w:hAnsi="Times New Roman" w:cs="Times New Roman"/>
            <w:color w:val="1155CC"/>
            <w:sz w:val="24"/>
            <w:szCs w:val="24"/>
            <w:u w:val="single"/>
          </w:rPr>
          <w:t>https://animorepository.dlsu.edu.ph/faculty_research/10905/</w:t>
        </w:r>
      </w:hyperlink>
    </w:p>
    <w:p w14:paraId="2368C7BA"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Ortiz, M. J., Dela Cruz, R. P., Manalo, J. S., &amp; Villanueva, K. A. (2023). A comparative study on behavioral intention of Filipino consumers: Cash vs. e-wallet. Proceedings of the International Conference on Industrial Engineering and Operations Management. </w:t>
      </w:r>
      <w:hyperlink r:id="rId17">
        <w:r>
          <w:rPr>
            <w:rFonts w:ascii="Times New Roman" w:eastAsia="Times New Roman" w:hAnsi="Times New Roman" w:cs="Times New Roman"/>
            <w:color w:val="1155CC"/>
            <w:sz w:val="24"/>
            <w:szCs w:val="24"/>
            <w:u w:val="single"/>
          </w:rPr>
          <w:t>https://ieomsociety.org/proceedings/2023manila/479.pdf</w:t>
        </w:r>
      </w:hyperlink>
    </w:p>
    <w:p w14:paraId="05C2EC96"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Philippine Institute for Development Studies. (2019). Determinants of e‑commerce adoption of Philippine businesses (PIDS Discussion Paper Series No. 2019-24). </w:t>
      </w:r>
      <w:hyperlink r:id="rId18">
        <w:r>
          <w:rPr>
            <w:rFonts w:ascii="Times New Roman" w:eastAsia="Times New Roman" w:hAnsi="Times New Roman" w:cs="Times New Roman"/>
            <w:color w:val="1155CC"/>
            <w:sz w:val="24"/>
            <w:szCs w:val="24"/>
            <w:u w:val="single"/>
          </w:rPr>
          <w:t>https://doi.org/10.62986/dp2019.24</w:t>
        </w:r>
      </w:hyperlink>
    </w:p>
    <w:p w14:paraId="21FAEAF2"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Santos, M., Dela Cruz, R., Mendoza, K., &amp; Villareal, L. (2024). TikTok-driven buying patterns: A study of consumer behavior among university students in the Philippines. ResearchGate. </w:t>
      </w:r>
      <w:hyperlink r:id="rId19">
        <w:r>
          <w:rPr>
            <w:rFonts w:ascii="Times New Roman" w:eastAsia="Times New Roman" w:hAnsi="Times New Roman" w:cs="Times New Roman"/>
            <w:color w:val="1155CC"/>
            <w:sz w:val="24"/>
            <w:szCs w:val="24"/>
            <w:u w:val="single"/>
          </w:rPr>
          <w:t>https://www.researchgate.net/publication/395768178_TikTok-Driven_Buyi ng_Patterns_A_Study_of_Consumer_Behavior_among_University_Student s_in_the_Philippines</w:t>
        </w:r>
      </w:hyperlink>
    </w:p>
    <w:p w14:paraId="3213FF16"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J., Walker, A., &amp; Hayes, L. (2023). Providing a secure digital marketplace for college students: Designing a privacy-aware peer-to-peer e-commerce platform and analyzing its social impact [Master’s thesis, University of Virginia]. LibraETD. </w:t>
      </w:r>
      <w:hyperlink r:id="rId20">
        <w:r>
          <w:rPr>
            <w:rFonts w:ascii="Times New Roman" w:eastAsia="Times New Roman" w:hAnsi="Times New Roman" w:cs="Times New Roman"/>
            <w:color w:val="1155CC"/>
            <w:sz w:val="24"/>
            <w:szCs w:val="24"/>
            <w:u w:val="single"/>
          </w:rPr>
          <w:t>https://libraetd.lib.virginia.edu/public_view/8336h302c</w:t>
        </w:r>
      </w:hyperlink>
    </w:p>
    <w:p w14:paraId="442DB92C" w14:textId="77777777" w:rsidR="00EE3068" w:rsidRDefault="00000000">
      <w:pPr>
        <w:spacing w:before="240" w:after="240" w:line="360" w:lineRule="auto"/>
        <w:ind w:left="283" w:right="-1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Williamson, B. (2020). Making markets through digital platforms: Pearson, edu-business, and the (e)valuation of higher education. Critical Studies in Education, 63(1), 1–17. </w:t>
      </w:r>
      <w:hyperlink r:id="rId21">
        <w:r>
          <w:rPr>
            <w:rFonts w:ascii="Times New Roman" w:eastAsia="Times New Roman" w:hAnsi="Times New Roman" w:cs="Times New Roman"/>
            <w:color w:val="1155CC"/>
            <w:sz w:val="24"/>
            <w:szCs w:val="24"/>
            <w:u w:val="single"/>
          </w:rPr>
          <w:t>https://doi.org/10.1080/17508487.2020.1737556</w:t>
        </w:r>
      </w:hyperlink>
    </w:p>
    <w:p w14:paraId="2925A015" w14:textId="77777777" w:rsidR="00EE3068" w:rsidRDefault="00000000">
      <w:pPr>
        <w:spacing w:before="240" w:after="240" w:line="360" w:lineRule="auto"/>
        <w:ind w:left="283" w:right="-18" w:firstLine="0"/>
        <w:jc w:val="both"/>
        <w:rPr>
          <w:rFonts w:ascii="Century Gothic" w:eastAsia="Century Gothic" w:hAnsi="Century Gothic" w:cs="Century Gothic"/>
          <w:sz w:val="24"/>
          <w:szCs w:val="24"/>
        </w:rPr>
      </w:pPr>
      <w:r>
        <w:rPr>
          <w:rFonts w:ascii="Times New Roman" w:eastAsia="Times New Roman" w:hAnsi="Times New Roman" w:cs="Times New Roman"/>
          <w:sz w:val="24"/>
          <w:szCs w:val="24"/>
        </w:rPr>
        <w:t xml:space="preserve">Zakariah, N., &amp; Jamaluddin, S. (2023). Social marketplace web application for UiTM Perlis students [Undergraduate thesis, Universiti Teknologi MARA Perlis]. UiTM Institutional Repository. </w:t>
      </w:r>
      <w:hyperlink r:id="rId22">
        <w:r>
          <w:rPr>
            <w:rFonts w:ascii="Times New Roman" w:eastAsia="Times New Roman" w:hAnsi="Times New Roman" w:cs="Times New Roman"/>
            <w:color w:val="1155CC"/>
            <w:sz w:val="24"/>
            <w:szCs w:val="24"/>
            <w:u w:val="single"/>
          </w:rPr>
          <w:t>https://ir.uitm.edu.my/id/eprint/100153/</w:t>
        </w:r>
      </w:hyperlink>
    </w:p>
    <w:sectPr w:rsidR="00EE3068">
      <w:headerReference w:type="default" r:id="rId23"/>
      <w:footerReference w:type="default" r:id="rId24"/>
      <w:pgSz w:w="11906" w:h="16838"/>
      <w:pgMar w:top="720" w:right="720" w:bottom="720" w:left="720" w:header="680"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BAADC" w14:textId="77777777" w:rsidR="00184AC9" w:rsidRDefault="00184AC9">
      <w:r>
        <w:separator/>
      </w:r>
    </w:p>
  </w:endnote>
  <w:endnote w:type="continuationSeparator" w:id="0">
    <w:p w14:paraId="365095C8" w14:textId="77777777" w:rsidR="00184AC9" w:rsidRDefault="00184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B4FB3D6-6088-447B-A2B3-D21FF441AD1E}"/>
    <w:embedBold r:id="rId2" w:fontKey="{B80611E6-4471-4F89-B67C-ABDA9DCD497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82ED4BC-5ACD-47A7-9891-45DE0E9A082A}"/>
  </w:font>
  <w:font w:name="Georgia">
    <w:panose1 w:val="02040502050405020303"/>
    <w:charset w:val="00"/>
    <w:family w:val="auto"/>
    <w:pitch w:val="default"/>
    <w:embedItalic r:id="rId4" w:fontKey="{0B3A7BBF-5ABF-4C7C-8E2E-36669EF1E774}"/>
  </w:font>
  <w:font w:name="Century Gothic">
    <w:panose1 w:val="020B0502020202020204"/>
    <w:charset w:val="00"/>
    <w:family w:val="swiss"/>
    <w:pitch w:val="variable"/>
    <w:sig w:usb0="00000287" w:usb1="00000000" w:usb2="00000000" w:usb3="00000000" w:csb0="0000009F" w:csb1="00000000"/>
    <w:embedRegular r:id="rId5" w:fontKey="{2C459A72-98EF-4E24-9DBF-859AC9EA9F5B}"/>
    <w:embedBold r:id="rId6" w:fontKey="{6D12D453-838C-4B93-B9E3-9C0C5309C4D9}"/>
  </w:font>
  <w:font w:name="Tahoma">
    <w:panose1 w:val="020B0604030504040204"/>
    <w:charset w:val="00"/>
    <w:family w:val="swiss"/>
    <w:pitch w:val="variable"/>
    <w:sig w:usb0="E1002EFF" w:usb1="C000605B" w:usb2="00000029" w:usb3="00000000" w:csb0="000101FF" w:csb1="00000000"/>
    <w:embedRegular r:id="rId7" w:fontKey="{464C9348-4C5C-479F-A813-5732080AED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080F0" w14:textId="77777777" w:rsidR="00EE3068" w:rsidRDefault="00000000">
    <w:pPr>
      <w:pBdr>
        <w:top w:val="single" w:sz="4" w:space="1" w:color="000000"/>
        <w:left w:val="nil"/>
        <w:bottom w:val="nil"/>
        <w:right w:val="nil"/>
        <w:between w:val="nil"/>
      </w:pBdr>
      <w:tabs>
        <w:tab w:val="center" w:pos="4680"/>
        <w:tab w:val="right" w:pos="9360"/>
        <w:tab w:val="right" w:pos="10800"/>
      </w:tabs>
      <w:ind w:left="284" w:firstLine="0"/>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This is a quality document. Revision of this document should undergo the standard procedure.  The original copy of this document is filed at the office of the Academic Affairs Department (AAD).  The user should secure the latest revision of this document from the AAD office.</w:t>
    </w:r>
  </w:p>
  <w:p w14:paraId="17BF427E" w14:textId="77777777" w:rsidR="00EE3068"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2336" behindDoc="1" locked="0" layoutInCell="1" hidden="0" allowOverlap="1" wp14:anchorId="08F5889D" wp14:editId="4E86ADF9">
          <wp:simplePos x="0" y="0"/>
          <wp:positionH relativeFrom="column">
            <wp:posOffset>125730</wp:posOffset>
          </wp:positionH>
          <wp:positionV relativeFrom="paragraph">
            <wp:posOffset>227965</wp:posOffset>
          </wp:positionV>
          <wp:extent cx="3658870" cy="893445"/>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15499" b="12189"/>
                  <a:stretch>
                    <a:fillRect/>
                  </a:stretch>
                </pic:blipFill>
                <pic:spPr>
                  <a:xfrm>
                    <a:off x="0" y="0"/>
                    <a:ext cx="3658870" cy="89344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FCD197A" wp14:editId="1A572601">
          <wp:simplePos x="0" y="0"/>
          <wp:positionH relativeFrom="column">
            <wp:posOffset>6005830</wp:posOffset>
          </wp:positionH>
          <wp:positionV relativeFrom="paragraph">
            <wp:posOffset>215900</wp:posOffset>
          </wp:positionV>
          <wp:extent cx="909320" cy="90932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9320" cy="909320"/>
                  </a:xfrm>
                  <a:prstGeom prst="rect">
                    <a:avLst/>
                  </a:prstGeom>
                  <a:ln/>
                </pic:spPr>
              </pic:pic>
            </a:graphicData>
          </a:graphic>
        </wp:anchor>
      </w:drawing>
    </w:r>
    <w:r>
      <w:rPr>
        <w:noProof/>
      </w:rPr>
      <mc:AlternateContent>
        <mc:Choice Requires="wpg">
          <w:drawing>
            <wp:anchor distT="45720" distB="45720" distL="114300" distR="114300" simplePos="0" relativeHeight="251664384" behindDoc="0" locked="0" layoutInCell="1" hidden="0" allowOverlap="1" wp14:anchorId="1C59AF2F" wp14:editId="37A2681B">
              <wp:simplePos x="0" y="0"/>
              <wp:positionH relativeFrom="column">
                <wp:posOffset>3729038</wp:posOffset>
              </wp:positionH>
              <wp:positionV relativeFrom="paragraph">
                <wp:posOffset>228283</wp:posOffset>
              </wp:positionV>
              <wp:extent cx="2418715" cy="1414145"/>
              <wp:effectExtent l="0" t="0" r="0" b="0"/>
              <wp:wrapNone/>
              <wp:docPr id="3" name="Rectangle 3"/>
              <wp:cNvGraphicFramePr/>
              <a:graphic xmlns:a="http://schemas.openxmlformats.org/drawingml/2006/main">
                <a:graphicData uri="http://schemas.microsoft.com/office/word/2010/wordprocessingShape">
                  <wps:wsp>
                    <wps:cNvSpPr/>
                    <wps:spPr>
                      <a:xfrm>
                        <a:off x="4141405" y="3077690"/>
                        <a:ext cx="2409190" cy="1404620"/>
                      </a:xfrm>
                      <a:prstGeom prst="rect">
                        <a:avLst/>
                      </a:prstGeom>
                      <a:noFill/>
                      <a:ln>
                        <a:noFill/>
                      </a:ln>
                    </wps:spPr>
                    <wps:txbx>
                      <w:txbxContent>
                        <w:p w14:paraId="08283559" w14:textId="77777777" w:rsidR="00EE3068" w:rsidRDefault="00000000">
                          <w:pPr>
                            <w:ind w:left="-709" w:firstLine="0"/>
                            <w:textDirection w:val="btLr"/>
                          </w:pPr>
                          <w:r>
                            <w:rPr>
                              <w:b/>
                              <w:color w:val="000000"/>
                            </w:rPr>
                            <w:t>THE SCHOOL OF LIFE SKILLS</w:t>
                          </w:r>
                        </w:p>
                        <w:p w14:paraId="09935D8B" w14:textId="77777777" w:rsidR="00EE3068" w:rsidRDefault="00000000">
                          <w:pPr>
                            <w:ind w:left="-709" w:firstLine="0"/>
                            <w:textDirection w:val="btLr"/>
                          </w:pPr>
                          <w:r>
                            <w:rPr>
                              <w:color w:val="000000"/>
                            </w:rPr>
                            <w:t>St. Clare College</w:t>
                          </w:r>
                        </w:p>
                        <w:p w14:paraId="75785889" w14:textId="77777777" w:rsidR="00EE3068" w:rsidRDefault="00000000">
                          <w:pPr>
                            <w:ind w:left="-709" w:firstLine="0"/>
                            <w:textDirection w:val="btLr"/>
                          </w:pPr>
                          <w:r>
                            <w:rPr>
                              <w:color w:val="000000"/>
                              <w:sz w:val="16"/>
                            </w:rPr>
                            <w:t>Zabarte Rd., Camarin Caloocan City</w:t>
                          </w:r>
                        </w:p>
                        <w:p w14:paraId="24E98512" w14:textId="77777777" w:rsidR="00EE3068" w:rsidRDefault="00000000">
                          <w:pPr>
                            <w:ind w:left="-709" w:firstLine="0"/>
                            <w:textDirection w:val="btLr"/>
                          </w:pPr>
                          <w:r>
                            <w:rPr>
                              <w:color w:val="000000"/>
                              <w:sz w:val="16"/>
                            </w:rPr>
                            <w:t>Philippines 1400</w:t>
                          </w:r>
                        </w:p>
                        <w:p w14:paraId="2DA2BC69" w14:textId="77777777" w:rsidR="00EE3068" w:rsidRDefault="00000000">
                          <w:pPr>
                            <w:ind w:left="0" w:firstLine="0"/>
                            <w:textDirection w:val="btLr"/>
                          </w:pPr>
                          <w:r>
                            <w:rPr>
                              <w:color w:val="000000"/>
                              <w:sz w:val="16"/>
                            </w:rPr>
                            <w:t>(02) 82324483 | stclarecollege.edu@gmail.com</w:t>
                          </w:r>
                        </w:p>
                        <w:p w14:paraId="5722DCD0" w14:textId="77777777" w:rsidR="00EE3068" w:rsidRDefault="00000000">
                          <w:pPr>
                            <w:ind w:left="-709" w:firstLine="0"/>
                            <w:textDirection w:val="btLr"/>
                          </w:pPr>
                          <w:r>
                            <w:rPr>
                              <w:color w:val="000000"/>
                              <w:sz w:val="16"/>
                            </w:rPr>
                            <w:t>stclarecollege.com | stclareonline.com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418715" cy="141414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C8098F7" wp14:editId="1C792EAC">
              <wp:simplePos x="0" y="0"/>
              <wp:positionH relativeFrom="column">
                <wp:posOffset>-430529</wp:posOffset>
              </wp:positionH>
              <wp:positionV relativeFrom="paragraph">
                <wp:posOffset>83820</wp:posOffset>
              </wp:positionV>
              <wp:extent cx="7777480" cy="57150"/>
              <wp:effectExtent l="0" t="0" r="0" b="0"/>
              <wp:wrapNone/>
              <wp:docPr id="4" name="Straight Arrow Connector 4"/>
              <wp:cNvGraphicFramePr/>
              <a:graphic xmlns:a="http://schemas.openxmlformats.org/drawingml/2006/main">
                <a:graphicData uri="http://schemas.microsoft.com/office/word/2010/wordprocessingShape">
                  <wps:wsp>
                    <wps:cNvCnPr/>
                    <wps:spPr>
                      <a:xfrm>
                        <a:off x="1457260" y="3780000"/>
                        <a:ext cx="7777480" cy="0"/>
                      </a:xfrm>
                      <a:prstGeom prst="straightConnector1">
                        <a:avLst/>
                      </a:prstGeom>
                      <a:noFill/>
                      <a:ln w="57150" cap="flat" cmpd="thinThick">
                        <a:solidFill>
                          <a:srgbClr val="00206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77480" cy="57150"/>
                      </a:xfrm>
                      <a:prstGeom prst="rect"/>
                      <a:ln/>
                    </pic:spPr>
                  </pic:pic>
                </a:graphicData>
              </a:graphic>
            </wp:anchor>
          </w:drawing>
        </mc:Fallback>
      </mc:AlternateContent>
    </w:r>
  </w:p>
  <w:p w14:paraId="1F66A44E" w14:textId="77777777" w:rsidR="00EE3068" w:rsidRDefault="00EE3068">
    <w:pPr>
      <w:pBdr>
        <w:top w:val="nil"/>
        <w:left w:val="nil"/>
        <w:bottom w:val="nil"/>
        <w:right w:val="nil"/>
        <w:between w:val="nil"/>
      </w:pBdr>
      <w:tabs>
        <w:tab w:val="center" w:pos="4680"/>
        <w:tab w:val="right" w:pos="9360"/>
      </w:tabs>
      <w:rPr>
        <w:color w:val="000000"/>
      </w:rPr>
    </w:pPr>
  </w:p>
  <w:p w14:paraId="3FBA1795" w14:textId="77777777" w:rsidR="00EE3068" w:rsidRDefault="00EE306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998F4" w14:textId="77777777" w:rsidR="00184AC9" w:rsidRDefault="00184AC9">
      <w:r>
        <w:separator/>
      </w:r>
    </w:p>
  </w:footnote>
  <w:footnote w:type="continuationSeparator" w:id="0">
    <w:p w14:paraId="0EEAE675" w14:textId="77777777" w:rsidR="00184AC9" w:rsidRDefault="00184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A09E" w14:textId="3EDCB32A" w:rsidR="00EE3068" w:rsidRDefault="00000000">
    <w:pPr>
      <w:pBdr>
        <w:top w:val="nil"/>
        <w:left w:val="nil"/>
        <w:bottom w:val="nil"/>
        <w:right w:val="nil"/>
        <w:between w:val="nil"/>
      </w:pBdr>
      <w:tabs>
        <w:tab w:val="center" w:pos="4680"/>
        <w:tab w:val="right" w:pos="9360"/>
      </w:tabs>
      <w:jc w:val="center"/>
      <w:rPr>
        <w:rFonts w:ascii="Tahoma" w:eastAsia="Tahoma" w:hAnsi="Tahoma" w:cs="Tahoma"/>
        <w:color w:val="000000"/>
        <w:sz w:val="24"/>
        <w:szCs w:val="24"/>
      </w:rPr>
    </w:pPr>
    <w:r>
      <w:rPr>
        <w:noProof/>
      </w:rPr>
      <mc:AlternateContent>
        <mc:Choice Requires="wpg">
          <w:drawing>
            <wp:anchor distT="0" distB="0" distL="0" distR="0" simplePos="0" relativeHeight="251658240" behindDoc="1" locked="0" layoutInCell="1" hidden="0" allowOverlap="1" wp14:anchorId="01A118DE" wp14:editId="1C43B885">
              <wp:simplePos x="0" y="0"/>
              <wp:positionH relativeFrom="column">
                <wp:posOffset>-969962</wp:posOffset>
              </wp:positionH>
              <wp:positionV relativeFrom="paragraph">
                <wp:posOffset>-478893</wp:posOffset>
              </wp:positionV>
              <wp:extent cx="8323792" cy="1526598"/>
              <wp:effectExtent l="0" t="0" r="0" b="0"/>
              <wp:wrapNone/>
              <wp:docPr id="1" name="Rectangle 1"/>
              <wp:cNvGraphicFramePr/>
              <a:graphic xmlns:a="http://schemas.openxmlformats.org/drawingml/2006/main">
                <a:graphicData uri="http://schemas.microsoft.com/office/word/2010/wordprocessingShape">
                  <wps:wsp>
                    <wps:cNvSpPr/>
                    <wps:spPr>
                      <a:xfrm>
                        <a:off x="1188867" y="3021464"/>
                        <a:ext cx="8314267" cy="1517073"/>
                      </a:xfrm>
                      <a:prstGeom prst="rect">
                        <a:avLst/>
                      </a:prstGeom>
                      <a:solidFill>
                        <a:srgbClr val="002060"/>
                      </a:solidFill>
                      <a:ln>
                        <a:noFill/>
                      </a:ln>
                    </wps:spPr>
                    <wps:txbx>
                      <w:txbxContent>
                        <w:p w14:paraId="70004889" w14:textId="77777777" w:rsidR="00EE3068" w:rsidRDefault="00EE3068">
                          <w:pPr>
                            <w:ind w:left="0" w:firstLine="0"/>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323792" cy="1526598"/>
                      </a:xfrm>
                      <a:prstGeom prst="rect"/>
                      <a:ln/>
                    </pic:spPr>
                  </pic:pic>
                </a:graphicData>
              </a:graphic>
            </wp:anchor>
          </w:drawing>
        </mc:Fallback>
      </mc:AlternateContent>
    </w:r>
    <w:r>
      <w:rPr>
        <w:noProof/>
      </w:rPr>
      <mc:AlternateContent>
        <mc:Choice Requires="wps">
          <w:drawing>
            <wp:anchor distT="45720" distB="45720" distL="114300" distR="114300" simplePos="0" relativeHeight="251660288" behindDoc="0" locked="0" layoutInCell="1" hidden="0" allowOverlap="1" wp14:anchorId="6294FF32" wp14:editId="33D23444">
              <wp:simplePos x="0" y="0"/>
              <wp:positionH relativeFrom="column">
                <wp:posOffset>1225445</wp:posOffset>
              </wp:positionH>
              <wp:positionV relativeFrom="paragraph">
                <wp:posOffset>-157161</wp:posOffset>
              </wp:positionV>
              <wp:extent cx="5264361" cy="903605"/>
              <wp:effectExtent l="0" t="0" r="0" b="0"/>
              <wp:wrapNone/>
              <wp:docPr id="5" name="Rectangle 5"/>
              <wp:cNvGraphicFramePr/>
              <a:graphic xmlns:a="http://schemas.openxmlformats.org/drawingml/2006/main">
                <a:graphicData uri="http://schemas.microsoft.com/office/word/2010/wordprocessingShape">
                  <wps:wsp>
                    <wps:cNvSpPr/>
                    <wps:spPr>
                      <a:xfrm>
                        <a:off x="2718582" y="3332960"/>
                        <a:ext cx="5254836" cy="894080"/>
                      </a:xfrm>
                      <a:prstGeom prst="rect">
                        <a:avLst/>
                      </a:prstGeom>
                      <a:noFill/>
                      <a:ln>
                        <a:noFill/>
                      </a:ln>
                    </wps:spPr>
                    <wps:txbx>
                      <w:txbxContent>
                        <w:p w14:paraId="4A247F4F" w14:textId="77777777" w:rsidR="00EE3068" w:rsidRPr="00A7423A" w:rsidRDefault="00EE3068">
                          <w:pPr>
                            <w:ind w:left="0" w:firstLine="0"/>
                            <w:textDirection w:val="btLr"/>
                            <w:rPr>
                              <w:lang w:val="en-US"/>
                            </w:rPr>
                          </w:pPr>
                        </w:p>
                      </w:txbxContent>
                    </wps:txbx>
                    <wps:bodyPr spcFirstLastPara="1" wrap="square" lIns="91425" tIns="45700" rIns="91425" bIns="45700" anchor="t" anchorCtr="0">
                      <a:noAutofit/>
                    </wps:bodyPr>
                  </wps:wsp>
                </a:graphicData>
              </a:graphic>
            </wp:anchor>
          </w:drawing>
        </mc:Choice>
        <mc:Fallback>
          <w:pict>
            <v:rect w14:anchorId="6294FF32" id="Rectangle 5" o:spid="_x0000_s1027" style="position:absolute;left:0;text-align:left;margin-left:96.5pt;margin-top:-12.35pt;width:414.5pt;height:71.1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" filled="f" stroked="f">
              <v:textbox inset="2.53958mm,1.2694mm,2.53958mm,1.2694mm">
                <w:txbxContent>
                  <w:p w14:paraId="4A247F4F" w14:textId="77777777" w:rsidR="00EE3068" w:rsidRPr="00A7423A" w:rsidRDefault="00EE3068">
                    <w:pPr>
                      <w:ind w:left="0" w:firstLine="0"/>
                      <w:textDirection w:val="btLr"/>
                      <w:rPr>
                        <w:lang w:val="en-US"/>
                      </w:rPr>
                    </w:pPr>
                  </w:p>
                </w:txbxContent>
              </v:textbox>
            </v:rect>
          </w:pict>
        </mc:Fallback>
      </mc:AlternateContent>
    </w:r>
  </w:p>
  <w:p w14:paraId="5E137E2D" w14:textId="77777777" w:rsidR="00EE3068" w:rsidRDefault="00EE3068">
    <w:pPr>
      <w:pBdr>
        <w:top w:val="nil"/>
        <w:left w:val="nil"/>
        <w:bottom w:val="nil"/>
        <w:right w:val="nil"/>
        <w:between w:val="nil"/>
      </w:pBdr>
      <w:tabs>
        <w:tab w:val="center" w:pos="4680"/>
        <w:tab w:val="right" w:pos="9360"/>
      </w:tabs>
      <w:jc w:val="center"/>
      <w:rPr>
        <w:rFonts w:ascii="Tahoma" w:eastAsia="Tahoma" w:hAnsi="Tahoma" w:cs="Tahoma"/>
        <w:color w:val="000000"/>
      </w:rPr>
    </w:pPr>
  </w:p>
  <w:p w14:paraId="2CDC67B4" w14:textId="77777777" w:rsidR="00EE3068" w:rsidRDefault="00000000">
    <w:pPr>
      <w:pBdr>
        <w:top w:val="nil"/>
        <w:left w:val="nil"/>
        <w:bottom w:val="nil"/>
        <w:right w:val="nil"/>
        <w:between w:val="nil"/>
      </w:pBdr>
      <w:tabs>
        <w:tab w:val="center" w:pos="4680"/>
        <w:tab w:val="right" w:pos="9360"/>
      </w:tabs>
      <w:rPr>
        <w:rFonts w:ascii="Tahoma" w:eastAsia="Tahoma" w:hAnsi="Tahoma" w:cs="Tahoma"/>
        <w:color w:val="000000"/>
      </w:rPr>
    </w:pPr>
    <w:r>
      <w:rPr>
        <w:noProof/>
      </w:rPr>
      <mc:AlternateContent>
        <mc:Choice Requires="wpg">
          <w:drawing>
            <wp:anchor distT="0" distB="0" distL="114300" distR="114300" simplePos="0" relativeHeight="251661312" behindDoc="0" locked="0" layoutInCell="1" hidden="0" allowOverlap="1" wp14:anchorId="1F867E1D" wp14:editId="05A0E81E">
              <wp:simplePos x="0" y="0"/>
              <wp:positionH relativeFrom="column">
                <wp:posOffset>-1180464</wp:posOffset>
              </wp:positionH>
              <wp:positionV relativeFrom="paragraph">
                <wp:posOffset>487795</wp:posOffset>
              </wp:positionV>
              <wp:extent cx="8176334"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1257833" y="3780000"/>
                        <a:ext cx="8176334" cy="0"/>
                      </a:xfrm>
                      <a:prstGeom prst="straightConnector1">
                        <a:avLst/>
                      </a:prstGeom>
                      <a:noFill/>
                      <a:ln>
                        <a:noFill/>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176334" cy="12700"/>
                      </a:xfrm>
                      <a:prstGeom prst="rect"/>
                      <a:ln/>
                    </pic:spPr>
                  </pic:pic>
                </a:graphicData>
              </a:graphic>
            </wp:anchor>
          </w:drawing>
        </mc:Fallback>
      </mc:AlternateContent>
    </w:r>
  </w:p>
  <w:p w14:paraId="1E8338B0" w14:textId="77777777" w:rsidR="00EE3068" w:rsidRDefault="00EE3068">
    <w:pPr>
      <w:pBdr>
        <w:top w:val="nil"/>
        <w:left w:val="nil"/>
        <w:bottom w:val="nil"/>
        <w:right w:val="nil"/>
        <w:between w:val="nil"/>
      </w:pBdr>
      <w:tabs>
        <w:tab w:val="center" w:pos="4680"/>
        <w:tab w:val="right" w:pos="9360"/>
      </w:tabs>
      <w:rPr>
        <w:color w:val="000000"/>
      </w:rPr>
    </w:pPr>
  </w:p>
  <w:p w14:paraId="2B2278AD" w14:textId="77777777" w:rsidR="00EE3068" w:rsidRDefault="00EE3068">
    <w:pPr>
      <w:pBdr>
        <w:top w:val="nil"/>
        <w:left w:val="nil"/>
        <w:bottom w:val="nil"/>
        <w:right w:val="nil"/>
        <w:between w:val="nil"/>
      </w:pBdr>
      <w:tabs>
        <w:tab w:val="center" w:pos="4680"/>
        <w:tab w:val="right" w:pos="9360"/>
      </w:tabs>
      <w:rPr>
        <w:color w:val="000000"/>
      </w:rPr>
    </w:pPr>
  </w:p>
  <w:p w14:paraId="647C5C49" w14:textId="77777777" w:rsidR="00EE3068" w:rsidRDefault="00EE3068">
    <w:pPr>
      <w:pBdr>
        <w:top w:val="nil"/>
        <w:left w:val="nil"/>
        <w:bottom w:val="nil"/>
        <w:right w:val="nil"/>
        <w:between w:val="nil"/>
      </w:pBdr>
      <w:tabs>
        <w:tab w:val="center" w:pos="4680"/>
        <w:tab w:val="right" w:pos="9360"/>
      </w:tabs>
      <w:ind w:left="0" w:firstLine="0"/>
      <w:rPr>
        <w:color w:val="000000"/>
      </w:rPr>
    </w:pPr>
  </w:p>
  <w:p w14:paraId="11ED5BC0" w14:textId="77777777" w:rsidR="00EE3068" w:rsidRDefault="00EE3068">
    <w:pPr>
      <w:pBdr>
        <w:top w:val="nil"/>
        <w:left w:val="nil"/>
        <w:bottom w:val="nil"/>
        <w:right w:val="nil"/>
        <w:between w:val="nil"/>
      </w:pBdr>
      <w:tabs>
        <w:tab w:val="center" w:pos="4680"/>
        <w:tab w:val="right" w:pos="9360"/>
      </w:tabs>
      <w:ind w:left="0"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068"/>
    <w:rsid w:val="00184AC9"/>
    <w:rsid w:val="00A7423A"/>
    <w:rsid w:val="00EE3068"/>
    <w:rsid w:val="00F318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1CEF1"/>
  <w15:docId w15:val="{EF318167-0698-4B55-9DB9-F37988BF6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ind w:left="0" w:firstLine="0"/>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7423A"/>
    <w:pPr>
      <w:tabs>
        <w:tab w:val="center" w:pos="4513"/>
        <w:tab w:val="right" w:pos="9026"/>
      </w:tabs>
    </w:pPr>
  </w:style>
  <w:style w:type="character" w:customStyle="1" w:styleId="HeaderChar">
    <w:name w:val="Header Char"/>
    <w:basedOn w:val="DefaultParagraphFont"/>
    <w:link w:val="Header"/>
    <w:uiPriority w:val="99"/>
    <w:rsid w:val="00A7423A"/>
  </w:style>
  <w:style w:type="paragraph" w:styleId="Footer">
    <w:name w:val="footer"/>
    <w:basedOn w:val="Normal"/>
    <w:link w:val="FooterChar"/>
    <w:uiPriority w:val="99"/>
    <w:unhideWhenUsed/>
    <w:rsid w:val="00A7423A"/>
    <w:pPr>
      <w:tabs>
        <w:tab w:val="center" w:pos="4513"/>
        <w:tab w:val="right" w:pos="9026"/>
      </w:tabs>
    </w:pPr>
  </w:style>
  <w:style w:type="character" w:customStyle="1" w:styleId="FooterChar">
    <w:name w:val="Footer Char"/>
    <w:basedOn w:val="DefaultParagraphFont"/>
    <w:link w:val="Footer"/>
    <w:uiPriority w:val="99"/>
    <w:rsid w:val="00A74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78443806_Selected_Filipino_Faculty_Members'_Online_Shopping_Experience_in_Manila's_Online_Marketplace" TargetMode="External"/><Relationship Id="rId13" Type="http://schemas.openxmlformats.org/officeDocument/2006/relationships/hyperlink" Target="https://www.researchgate.net/publication/382439923_Analysis_of_the_U" TargetMode="External"/><Relationship Id="rId18" Type="http://schemas.openxmlformats.org/officeDocument/2006/relationships/hyperlink" Target="https://doi.org/10.62986/dp2019.24"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doi.org/10.1080/17508487.2020.1737556" TargetMode="External"/><Relationship Id="rId7" Type="http://schemas.openxmlformats.org/officeDocument/2006/relationships/hyperlink" Target="https://animorepository.dlsu.edu.ph/conf/shsrescon/2023/bus_pres/5/" TargetMode="External"/><Relationship Id="rId12" Type="http://schemas.openxmlformats.org/officeDocument/2006/relationships/hyperlink" Target="https://journal.formosapublisher.org/index.php/eajmr/article/view/3551" TargetMode="External"/><Relationship Id="rId17" Type="http://schemas.openxmlformats.org/officeDocument/2006/relationships/hyperlink" Target="https://ieomsociety.org/proceedings/2023manila/479.pdf"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animorepository.dlsu.edu.ph/faculty_research/10905/" TargetMode="External"/><Relationship Id="rId20" Type="http://schemas.openxmlformats.org/officeDocument/2006/relationships/hyperlink" Target="https://libraetd.lib.virginia.edu/public_view/8336h302c" TargetMode="External"/><Relationship Id="rId1" Type="http://schemas.openxmlformats.org/officeDocument/2006/relationships/styles" Target="styles.xml"/><Relationship Id="rId6" Type="http://schemas.openxmlformats.org/officeDocument/2006/relationships/hyperlink" Target="https://arxiv.org/abs/2411.11527" TargetMode="External"/><Relationship Id="rId11" Type="http://schemas.openxmlformats.org/officeDocument/2006/relationships/hyperlink" Target="https://liu.diva-portal.org/smash/record.jsf?pid=diva2%3A1883545&amp;dswi"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semanticscholar.org/paper/Student-online-marketplace-for-university-community-Ismail-Aziz/efc9155acb6d9313536cead648bab7aeb82bf1bc" TargetMode="External"/><Relationship Id="rId23" Type="http://schemas.openxmlformats.org/officeDocument/2006/relationships/header" Target="header1.xml"/><Relationship Id="rId10" Type="http://schemas.openxmlformats.org/officeDocument/2006/relationships/hyperlink" Target="https://www.econstor.eu/bitstream/10419/272884/1/1818781352.pdf" TargetMode="External"/><Relationship Id="rId19" Type="http://schemas.openxmlformats.org/officeDocument/2006/relationships/hyperlink" Target="https://www.researchgate.net/publication/395768178_TikTok-Driven_Buyi" TargetMode="External"/><Relationship Id="rId4" Type="http://schemas.openxmlformats.org/officeDocument/2006/relationships/footnotes" Target="footnotes.xml"/><Relationship Id="rId9" Type="http://schemas.openxmlformats.org/officeDocument/2006/relationships/hyperlink" Target="https://doi.org/10.47604/ijts.2817" TargetMode="External"/><Relationship Id="rId14" Type="http://schemas.openxmlformats.org/officeDocument/2006/relationships/hyperlink" Target="https://doi.org/10.1108/JSM-08-2020-0336" TargetMode="External"/><Relationship Id="rId22" Type="http://schemas.openxmlformats.org/officeDocument/2006/relationships/hyperlink" Target="https://ir.uitm.edu.my/id/eprint/1001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3351</Words>
  <Characters>19104</Characters>
  <Application>Microsoft Office Word</Application>
  <DocSecurity>0</DocSecurity>
  <Lines>159</Lines>
  <Paragraphs>44</Paragraphs>
  <ScaleCrop>false</ScaleCrop>
  <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2026-05-22T11:40:00Z</dcterms:created>
  <dcterms:modified xsi:type="dcterms:W3CDTF">2026-05-22T11:41:00Z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e12a457e5aa68745178978d0ae22a7d2e2e435c99a815f04b939cf0cde30ec53</vt:lpwstr>
  </property>
</Properties>
</file>