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850" w:rsidRDefault="001C69D4">
      <w:pPr>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 xml:space="preserve">Plasmodium vivax </w:t>
      </w:r>
      <w:r>
        <w:rPr>
          <w:rFonts w:ascii="Times New Roman" w:eastAsia="Times New Roman" w:hAnsi="Times New Roman" w:cs="Times New Roman"/>
          <w:b/>
          <w:bCs/>
          <w:sz w:val="28"/>
          <w:szCs w:val="28"/>
        </w:rPr>
        <w:t>Vaccine Candidates: Molecular Targets and Challenges in Vaccine Development</w:t>
      </w:r>
    </w:p>
    <w:p w:rsidR="00552850" w:rsidRDefault="00552850">
      <w:pPr>
        <w:jc w:val="both"/>
        <w:rPr>
          <w:rFonts w:ascii="Times New Roman" w:eastAsia="Times New Roman" w:hAnsi="Times New Roman" w:cs="Times New Roman"/>
          <w:b/>
          <w:bCs/>
          <w:sz w:val="28"/>
          <w:szCs w:val="28"/>
        </w:rPr>
      </w:pPr>
      <w:bookmarkStart w:id="0" w:name="_GoBack"/>
      <w:bookmarkEnd w:id="0"/>
    </w:p>
    <w:p w:rsidR="00552850" w:rsidRDefault="001C69D4">
      <w:pPr>
        <w:jc w:val="both"/>
        <w:rPr>
          <w:rFonts w:ascii="Times New Roman" w:eastAsia="Times New Roman" w:hAnsi="Times New Roman" w:cs="Times New Roman"/>
          <w:b/>
          <w:bCs/>
        </w:rPr>
      </w:pPr>
      <w:r>
        <w:rPr>
          <w:rFonts w:ascii="Times New Roman" w:eastAsia="Times New Roman" w:hAnsi="Times New Roman" w:cs="Times New Roman"/>
          <w:b/>
          <w:bCs/>
        </w:rPr>
        <w:t>ABSTRACT</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is a major source of malaria morbidity outside of Africa, posing unique problems for vaccine development due to its complex biology, which includes latent liver-stage hypnozoites that promote recurrent infections.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on the other hand, has many dis</w:t>
      </w:r>
      <w:r>
        <w:rPr>
          <w:rFonts w:ascii="Times New Roman" w:eastAsia="Times New Roman" w:hAnsi="Times New Roman" w:cs="Times New Roman"/>
          <w:sz w:val="24"/>
          <w:szCs w:val="24"/>
        </w:rPr>
        <w:t xml:space="preserve">tinct antigens, spreads fast, and cannot be grown in vitro, making vaccine development problematic. This analysis provides a comprehensive overview of the top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vaccine candidates at all phases, including pre-erythrocytic, erythrocytic, and transmis</w:t>
      </w:r>
      <w:r>
        <w:rPr>
          <w:rFonts w:ascii="Times New Roman" w:eastAsia="Times New Roman" w:hAnsi="Times New Roman" w:cs="Times New Roman"/>
          <w:sz w:val="24"/>
          <w:szCs w:val="24"/>
        </w:rPr>
        <w:t>sion-blocking. It includes important antigens like circumsporozoite protein (CSP), thrombospondin-related adhesive protein (TRAP), Duffy binding protein (DBP), merozoite surface protein-1 (MSP-1), and transmission-blocking targets like Pvs25, Pvs28, Pvs230</w:t>
      </w:r>
      <w:r>
        <w:rPr>
          <w:rFonts w:ascii="Times New Roman" w:eastAsia="Times New Roman" w:hAnsi="Times New Roman" w:cs="Times New Roman"/>
          <w:sz w:val="24"/>
          <w:szCs w:val="24"/>
        </w:rPr>
        <w:t>, and Pvs47. We discuss important issues such as antigenic polymorphism, the lack of correlates of protection, and the difficulty of targeting hypnozoites. Recent advances in vaccination stages, such as mRNA-based technologies, viral vectors, and multi-sta</w:t>
      </w:r>
      <w:r>
        <w:rPr>
          <w:rFonts w:ascii="Times New Roman" w:eastAsia="Times New Roman" w:hAnsi="Times New Roman" w:cs="Times New Roman"/>
          <w:sz w:val="24"/>
          <w:szCs w:val="24"/>
        </w:rPr>
        <w:t xml:space="preserve">ge immunization techniques, hold promise for overcoming these challenges. To generate an effective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vaccine, we must understand more about parasites, develop innovative vaccine designs, and collaborate on a global scale.</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 </w:t>
      </w:r>
      <w:r>
        <w:rPr>
          <w:rFonts w:ascii="Times New Roman" w:eastAsia="Times New Roman" w:hAnsi="Times New Roman" w:cs="Times New Roman"/>
          <w:i/>
          <w:iCs/>
          <w:sz w:val="24"/>
          <w:szCs w:val="24"/>
        </w:rPr>
        <w:t xml:space="preserve">P. vivax, </w:t>
      </w:r>
      <w:r>
        <w:rPr>
          <w:rFonts w:ascii="Times New Roman" w:eastAsia="Times New Roman" w:hAnsi="Times New Roman" w:cs="Times New Roman"/>
          <w:sz w:val="24"/>
          <w:szCs w:val="24"/>
        </w:rPr>
        <w:t>malari</w:t>
      </w:r>
      <w:r>
        <w:rPr>
          <w:rFonts w:ascii="Times New Roman" w:eastAsia="Times New Roman" w:hAnsi="Times New Roman" w:cs="Times New Roman"/>
          <w:sz w:val="24"/>
          <w:szCs w:val="24"/>
        </w:rPr>
        <w:t>a vaccine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transmission-blocking vaccine,</w:t>
      </w:r>
      <w:r>
        <w:rPr>
          <w:rFonts w:ascii="Times New Roman" w:eastAsia="Times New Roman" w:hAnsi="Times New Roman" w:cs="Times New Roman"/>
          <w:i/>
          <w:iCs/>
          <w:sz w:val="24"/>
          <w:szCs w:val="24"/>
        </w:rPr>
        <w:t xml:space="preserve"> Duffy</w:t>
      </w:r>
      <w:r>
        <w:rPr>
          <w:rFonts w:ascii="Times New Roman" w:eastAsia="Times New Roman" w:hAnsi="Times New Roman" w:cs="Times New Roman"/>
          <w:sz w:val="24"/>
          <w:szCs w:val="24"/>
        </w:rPr>
        <w:t xml:space="preserve"> binding protein, antigenic diversity, hypnozoite etc.</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INTRODUCTION </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Malaria is one of the world’s most widespread vector-borne diseases and remains a major threat in tropical and subtropical regions. In 2024,</w:t>
      </w:r>
      <w:r>
        <w:rPr>
          <w:rFonts w:ascii="Times New Roman" w:eastAsia="Times New Roman" w:hAnsi="Times New Roman" w:cs="Times New Roman"/>
          <w:sz w:val="24"/>
          <w:szCs w:val="24"/>
        </w:rPr>
        <w:t xml:space="preserve"> the World Health Organization (WHO) estimated approximately 282 million malaria cases and more than 600,000 deaths worldwide, highlighting the continued burden of the disease despite extensive control efforts (World Health Organization [WHO], 2024). Repea</w:t>
      </w:r>
      <w:r>
        <w:rPr>
          <w:rFonts w:ascii="Times New Roman" w:eastAsia="Times New Roman" w:hAnsi="Times New Roman" w:cs="Times New Roman"/>
          <w:sz w:val="24"/>
          <w:szCs w:val="24"/>
        </w:rPr>
        <w:t xml:space="preserve">ted infections are common in endemic regions because naturally acquired immunity is incomplete and develops slowly over time (Cowman et al., 2016). Among the human malaria parasites,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account for the majority of infections. While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xml:space="preserve"> has historically been linked with severe and fatal malaria,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was long considered relatively benign. However, recent evidence shows that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can also cause severe anemia, respiratory distress, and other serious complications, </w:t>
      </w:r>
      <w:r>
        <w:rPr>
          <w:rFonts w:ascii="Times New Roman" w:eastAsia="Times New Roman" w:hAnsi="Times New Roman" w:cs="Times New Roman"/>
          <w:sz w:val="24"/>
          <w:szCs w:val="24"/>
        </w:rPr>
        <w:lastRenderedPageBreak/>
        <w:t>maki</w:t>
      </w:r>
      <w:r>
        <w:rPr>
          <w:rFonts w:ascii="Times New Roman" w:eastAsia="Times New Roman" w:hAnsi="Times New Roman" w:cs="Times New Roman"/>
          <w:sz w:val="24"/>
          <w:szCs w:val="24"/>
        </w:rPr>
        <w:t xml:space="preserve">ng it an increasingly important public health concern (Baird, 2013; Rahimi et al., 2014). Although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share several biological and genetic features, important differences exist.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preferentially invades reticulocytes (young red blood cells) and forms dormant liver stages known as hypnozoites, which can remain latent for weeks, months, or even years before causing relapse (Mueller et al., 2009). In addition,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develops transm</w:t>
      </w:r>
      <w:r>
        <w:rPr>
          <w:rFonts w:ascii="Times New Roman" w:eastAsia="Times New Roman" w:hAnsi="Times New Roman" w:cs="Times New Roman"/>
          <w:sz w:val="24"/>
          <w:szCs w:val="24"/>
        </w:rPr>
        <w:t xml:space="preserve">issible gametocytes early during infection, enabling transmission before symptoms become evident (Price et al., 2007). Vaccine development against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remains challenging. Unlike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for which the RTS,S vaccine has shown moderate success, n</w:t>
      </w:r>
      <w:r>
        <w:rPr>
          <w:rFonts w:ascii="Times New Roman" w:eastAsia="Times New Roman" w:hAnsi="Times New Roman" w:cs="Times New Roman"/>
          <w:sz w:val="24"/>
          <w:szCs w:val="24"/>
        </w:rPr>
        <w:t xml:space="preserve">o licensed vaccine is currently available for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(Draper et al., 2018). Major barriers include antigenic polymorphism, relapse caused by hypnozoites, and the inability to maintain continuous in vitro culture systems for the parasite (Roobsoong et al.</w:t>
      </w:r>
      <w:r>
        <w:rPr>
          <w:rFonts w:ascii="Times New Roman" w:eastAsia="Times New Roman" w:hAnsi="Times New Roman" w:cs="Times New Roman"/>
          <w:sz w:val="24"/>
          <w:szCs w:val="24"/>
        </w:rPr>
        <w:t>, 2023). Nevertheless, several promising vaccine targets have been identified, including circumsporozoite protein (CSP), merozoite surface protein-1 (MSP-1), Duffy binding protein (DBP), and transmission-blocking antigens such as Pvs25 (Bergmann-Leitner et</w:t>
      </w:r>
      <w:r>
        <w:rPr>
          <w:rFonts w:ascii="Times New Roman" w:eastAsia="Times New Roman" w:hAnsi="Times New Roman" w:cs="Times New Roman"/>
          <w:sz w:val="24"/>
          <w:szCs w:val="24"/>
        </w:rPr>
        <w:t xml:space="preserve"> al., 2010; Arevalo-Herrera et al., 2011). Vaccine strategies commonly target the pre-erythrocytic, blood, and transmission stages of the parasite life cycle. A deeper understanding of these stages and associated antigens is essential for developing an eff</w:t>
      </w:r>
      <w:r>
        <w:rPr>
          <w:rFonts w:ascii="Times New Roman" w:eastAsia="Times New Roman" w:hAnsi="Times New Roman" w:cs="Times New Roman"/>
          <w:sz w:val="24"/>
          <w:szCs w:val="24"/>
        </w:rPr>
        <w:t xml:space="preserve">ective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vaccine.</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1. This table is showing the comparison between </w:t>
      </w:r>
      <w:r>
        <w:rPr>
          <w:rFonts w:ascii="Times New Roman" w:eastAsia="Times New Roman" w:hAnsi="Times New Roman" w:cs="Times New Roman"/>
          <w:b/>
          <w:bCs/>
          <w:i/>
          <w:iCs/>
          <w:sz w:val="24"/>
          <w:szCs w:val="24"/>
        </w:rPr>
        <w:t>P. falciparum</w:t>
      </w:r>
      <w:r>
        <w:rPr>
          <w:rFonts w:ascii="Times New Roman" w:eastAsia="Times New Roman" w:hAnsi="Times New Roman" w:cs="Times New Roman"/>
          <w:b/>
          <w:bCs/>
          <w:sz w:val="24"/>
          <w:szCs w:val="24"/>
        </w:rPr>
        <w:t xml:space="preserve"> and </w:t>
      </w:r>
      <w:r>
        <w:rPr>
          <w:rFonts w:ascii="Times New Roman" w:eastAsia="Times New Roman" w:hAnsi="Times New Roman" w:cs="Times New Roman"/>
          <w:b/>
          <w:bCs/>
          <w:i/>
          <w:iCs/>
          <w:sz w:val="24"/>
          <w:szCs w:val="24"/>
        </w:rPr>
        <w:t>P. vivax</w:t>
      </w:r>
    </w:p>
    <w:tbl>
      <w:tblPr>
        <w:tblStyle w:val="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3407"/>
        <w:gridCol w:w="2804"/>
      </w:tblGrid>
      <w:tr w:rsidR="00552850">
        <w:tc>
          <w:tcPr>
            <w:tcW w:w="2805" w:type="dxa"/>
          </w:tcPr>
          <w:p w:rsidR="00552850" w:rsidRDefault="001C69D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Feature</w:t>
            </w:r>
          </w:p>
        </w:tc>
        <w:tc>
          <w:tcPr>
            <w:tcW w:w="3407" w:type="dxa"/>
          </w:tcPr>
          <w:p w:rsidR="00552850" w:rsidRDefault="001C69D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P.  falciparum</w:t>
            </w:r>
          </w:p>
        </w:tc>
        <w:tc>
          <w:tcPr>
            <w:tcW w:w="2804" w:type="dxa"/>
          </w:tcPr>
          <w:p w:rsidR="00552850" w:rsidRDefault="001C69D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P.  vivax</w:t>
            </w:r>
          </w:p>
        </w:tc>
      </w:tr>
      <w:tr w:rsidR="00552850">
        <w:tc>
          <w:tcPr>
            <w:tcW w:w="2805"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Hypnozoite stage</w:t>
            </w:r>
          </w:p>
        </w:tc>
        <w:tc>
          <w:tcPr>
            <w:tcW w:w="3407"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p>
        </w:tc>
        <w:tc>
          <w:tcPr>
            <w:tcW w:w="2804"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r>
      <w:tr w:rsidR="00552850">
        <w:tc>
          <w:tcPr>
            <w:tcW w:w="2805"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Relapse</w:t>
            </w:r>
          </w:p>
        </w:tc>
        <w:tc>
          <w:tcPr>
            <w:tcW w:w="3407"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804"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552850">
        <w:tc>
          <w:tcPr>
            <w:tcW w:w="2805"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vitro culture</w:t>
            </w:r>
          </w:p>
        </w:tc>
        <w:tc>
          <w:tcPr>
            <w:tcW w:w="3407"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w:t>
            </w:r>
          </w:p>
        </w:tc>
        <w:tc>
          <w:tcPr>
            <w:tcW w:w="2804"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w:t>
            </w:r>
          </w:p>
        </w:tc>
      </w:tr>
      <w:tr w:rsidR="00552850">
        <w:tc>
          <w:tcPr>
            <w:tcW w:w="2805"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Vaccine progress</w:t>
            </w:r>
          </w:p>
        </w:tc>
        <w:tc>
          <w:tcPr>
            <w:tcW w:w="3407"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RTS, S approved</w:t>
            </w:r>
          </w:p>
        </w:tc>
        <w:tc>
          <w:tcPr>
            <w:tcW w:w="2804"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licensed vaccine</w:t>
            </w:r>
          </w:p>
        </w:tc>
      </w:tr>
      <w:tr w:rsidR="00552850">
        <w:tc>
          <w:tcPr>
            <w:tcW w:w="2805"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Host cell preference</w:t>
            </w:r>
          </w:p>
        </w:tc>
        <w:tc>
          <w:tcPr>
            <w:tcW w:w="3407"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RBCs</w:t>
            </w:r>
          </w:p>
        </w:tc>
        <w:tc>
          <w:tcPr>
            <w:tcW w:w="2804"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Reticulocytes</w:t>
            </w:r>
          </w:p>
        </w:tc>
      </w:tr>
      <w:tr w:rsidR="00552850">
        <w:tc>
          <w:tcPr>
            <w:tcW w:w="2805"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Antigenic diversity</w:t>
            </w:r>
          </w:p>
        </w:tc>
        <w:tc>
          <w:tcPr>
            <w:tcW w:w="3407"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804" w:type="dxa"/>
          </w:tcPr>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w:t>
            </w:r>
          </w:p>
        </w:tc>
      </w:tr>
    </w:tbl>
    <w:p w:rsidR="00552850" w:rsidRDefault="00552850">
      <w:pPr>
        <w:spacing w:line="360" w:lineRule="auto"/>
        <w:jc w:val="both"/>
        <w:rPr>
          <w:rFonts w:ascii="Times New Roman" w:eastAsia="Times New Roman" w:hAnsi="Times New Roman" w:cs="Times New Roman"/>
          <w:sz w:val="24"/>
          <w:szCs w:val="24"/>
        </w:rPr>
      </w:pP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lastRenderedPageBreak/>
        <w:drawing>
          <wp:inline distT="0" distB="0" distL="0" distR="0">
            <wp:extent cx="5731510" cy="21374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510" cy="2137405"/>
                    </a:xfrm>
                    <a:prstGeom prst="rect">
                      <a:avLst/>
                    </a:prstGeom>
                    <a:ln/>
                  </pic:spPr>
                </pic:pic>
              </a:graphicData>
            </a:graphic>
          </wp:inline>
        </w:drawing>
      </w:r>
    </w:p>
    <w:p w:rsidR="00552850" w:rsidRDefault="001C69D4">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1. In this figure the </w:t>
      </w:r>
      <w:r>
        <w:rPr>
          <w:rFonts w:ascii="Times New Roman" w:eastAsia="Times New Roman" w:hAnsi="Times New Roman" w:cs="Times New Roman"/>
          <w:b/>
          <w:bCs/>
          <w:i/>
          <w:iCs/>
          <w:sz w:val="24"/>
          <w:szCs w:val="24"/>
        </w:rPr>
        <w:t>P. vivax</w:t>
      </w:r>
      <w:r>
        <w:rPr>
          <w:rFonts w:ascii="Times New Roman" w:eastAsia="Times New Roman" w:hAnsi="Times New Roman" w:cs="Times New Roman"/>
          <w:b/>
          <w:bCs/>
          <w:sz w:val="24"/>
          <w:szCs w:val="24"/>
        </w:rPr>
        <w:t xml:space="preserve"> life cycle is highlighting major vaccine targets across different stages</w:t>
      </w:r>
    </w:p>
    <w:p w:rsidR="00552850" w:rsidRDefault="001C69D4">
      <w:pPr>
        <w:numPr>
          <w:ilvl w:val="0"/>
          <w:numId w:val="1"/>
        </w:numPr>
        <w:pBdr>
          <w:top w:val="nil"/>
          <w:left w:val="nil"/>
          <w:bottom w:val="nil"/>
          <w:right w:val="nil"/>
          <w:between w:val="nil"/>
        </w:pBdr>
        <w:spacing w:before="240" w:after="0" w:line="360" w:lineRule="auto"/>
        <w:ind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PRE-ERYTHROCYTIC VACCINE (LIVER STAGE)</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Pre-erythrocytic vaccinations attack the malaria parasite before it can enter the liver. Their primary purpose is to either prevent sporozoites from penetrating hepatocytes or to remove infected liver cells before the</w:t>
      </w:r>
      <w:r>
        <w:rPr>
          <w:rFonts w:ascii="Times New Roman" w:eastAsia="Times New Roman" w:hAnsi="Times New Roman" w:cs="Times New Roman"/>
          <w:sz w:val="24"/>
          <w:szCs w:val="24"/>
        </w:rPr>
        <w:t xml:space="preserve"> parasites reach the blood stage (Hoffman et al., 2015; Longley et al., 2022). This method is especially critical for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malaria because the parasite may produce hypnozoites, which are latent liver-stage forms that can remain hidden for weeks, months</w:t>
      </w:r>
      <w:r>
        <w:rPr>
          <w:rFonts w:ascii="Times New Roman" w:eastAsia="Times New Roman" w:hAnsi="Times New Roman" w:cs="Times New Roman"/>
          <w:sz w:val="24"/>
          <w:szCs w:val="24"/>
        </w:rPr>
        <w:t>, or even years before reactivating to induce relapses (Payne et al., 2017; Longley et al., 2022). Preventing initial liver infection may thereby diminish both primary illness episodes and subsequent relapses. So yet, only a few vaccine ideas have gained w</w:t>
      </w:r>
      <w:r>
        <w:rPr>
          <w:rFonts w:ascii="Times New Roman" w:eastAsia="Times New Roman" w:hAnsi="Times New Roman" w:cs="Times New Roman"/>
          <w:sz w:val="24"/>
          <w:szCs w:val="24"/>
        </w:rPr>
        <w:t>idespread attention. The best recognized is circumsporozoite protein, or PvCSP, which is highly produced on the surface of sporozoites and aids the parasite's invasion of liver cells (Hoffman et al., 2015). Another promising option is PvTRAP, a protein inv</w:t>
      </w:r>
      <w:r>
        <w:rPr>
          <w:rFonts w:ascii="Times New Roman" w:eastAsia="Times New Roman" w:hAnsi="Times New Roman" w:cs="Times New Roman"/>
          <w:sz w:val="24"/>
          <w:szCs w:val="24"/>
        </w:rPr>
        <w:t>olved in parasite movement and host-cell invasion that has been shown to induce robust cellular immune responses (Moreno-Pérez et al., 2017). More recently, researchers have looked into combining CSP and TRAP in multivalent vaccine formulations to boost bo</w:t>
      </w:r>
      <w:r>
        <w:rPr>
          <w:rFonts w:ascii="Times New Roman" w:eastAsia="Times New Roman" w:hAnsi="Times New Roman" w:cs="Times New Roman"/>
          <w:sz w:val="24"/>
          <w:szCs w:val="24"/>
        </w:rPr>
        <w:t>th antibody and T-cell protection. Longley et al. (2022) are also looking at new delivery technologies such viral vectors, DNA vaccines, recombinant proteins, and mRNA platforms to increase vaccine effectiveness and durability. However, significant obstacl</w:t>
      </w:r>
      <w:r>
        <w:rPr>
          <w:rFonts w:ascii="Times New Roman" w:eastAsia="Times New Roman" w:hAnsi="Times New Roman" w:cs="Times New Roman"/>
          <w:sz w:val="24"/>
          <w:szCs w:val="24"/>
        </w:rPr>
        <w:t>es persist. It is still challenging to define the specific immune responses necessary for long-term protection, particularly against latent hypnozoites. Furthermore, advancing potential vaccine candidates from controlled laboratory investigations to large-</w:t>
      </w:r>
      <w:r>
        <w:rPr>
          <w:rFonts w:ascii="Times New Roman" w:eastAsia="Times New Roman" w:hAnsi="Times New Roman" w:cs="Times New Roman"/>
          <w:sz w:val="24"/>
          <w:szCs w:val="24"/>
        </w:rPr>
        <w:t xml:space="preserve">scale field trials necessitates significant financing, infrastructure, and </w:t>
      </w:r>
      <w:r>
        <w:rPr>
          <w:rFonts w:ascii="Times New Roman" w:eastAsia="Times New Roman" w:hAnsi="Times New Roman" w:cs="Times New Roman"/>
          <w:sz w:val="24"/>
          <w:szCs w:val="24"/>
        </w:rPr>
        <w:lastRenderedPageBreak/>
        <w:t>meticulous long-term planning. Despite advances, significant scientific and logistical challenges need to be addressed.</w:t>
      </w:r>
    </w:p>
    <w:p w:rsidR="00552850" w:rsidRDefault="001C69D4">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u w:val="single"/>
        </w:rPr>
        <w:t>P. vivax</w:t>
      </w:r>
      <w:r>
        <w:rPr>
          <w:rFonts w:ascii="Times New Roman" w:eastAsia="Times New Roman" w:hAnsi="Times New Roman" w:cs="Times New Roman"/>
          <w:b/>
          <w:bCs/>
          <w:sz w:val="24"/>
          <w:szCs w:val="24"/>
          <w:u w:val="single"/>
        </w:rPr>
        <w:t xml:space="preserve"> Circumsporozoite Protein (PvCSP</w:t>
      </w:r>
      <w:r>
        <w:rPr>
          <w:rFonts w:ascii="Times New Roman" w:eastAsia="Times New Roman" w:hAnsi="Times New Roman" w:cs="Times New Roman"/>
          <w:sz w:val="24"/>
          <w:szCs w:val="24"/>
        </w:rPr>
        <w:t xml:space="preserve">): PvCSP is the primary surface protein identified on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sporozoites, and it is required for parasite attachment and infection of liver cells. Its structure consists of a highly variable core repeat region with more conserved N- and C-terminal domain</w:t>
      </w:r>
      <w:r>
        <w:rPr>
          <w:rFonts w:ascii="Times New Roman" w:eastAsia="Times New Roman" w:hAnsi="Times New Roman" w:cs="Times New Roman"/>
          <w:sz w:val="24"/>
          <w:szCs w:val="24"/>
        </w:rPr>
        <w:t>s that aid in host-cell recognition and binding. Because PvCSP is exposed on the sporozoite surface, it has become a key target for vaccinations designed to prevent infection before parasites enter the bloodstream. However, the core repeat area is extremel</w:t>
      </w:r>
      <w:r>
        <w:rPr>
          <w:rFonts w:ascii="Times New Roman" w:eastAsia="Times New Roman" w:hAnsi="Times New Roman" w:cs="Times New Roman"/>
          <w:sz w:val="24"/>
          <w:szCs w:val="24"/>
        </w:rPr>
        <w:t>y polymorphic, thus vaccinations based on one version may not be effective against others. This genetic variety makes developing a widely protective vaccination challenging (Hoffman et al., 2015; Payne et al., 2017).</w:t>
      </w:r>
    </w:p>
    <w:p w:rsidR="00552850" w:rsidRDefault="001C69D4">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u w:val="single"/>
        </w:rPr>
        <w:t>P. vivax</w:t>
      </w:r>
      <w:r>
        <w:rPr>
          <w:rFonts w:ascii="Times New Roman" w:eastAsia="Times New Roman" w:hAnsi="Times New Roman" w:cs="Times New Roman"/>
          <w:b/>
          <w:bCs/>
          <w:sz w:val="24"/>
          <w:szCs w:val="24"/>
          <w:u w:val="single"/>
        </w:rPr>
        <w:t xml:space="preserve"> Thrombospondin-related adhesiv</w:t>
      </w:r>
      <w:r>
        <w:rPr>
          <w:rFonts w:ascii="Times New Roman" w:eastAsia="Times New Roman" w:hAnsi="Times New Roman" w:cs="Times New Roman"/>
          <w:b/>
          <w:bCs/>
          <w:sz w:val="24"/>
          <w:szCs w:val="24"/>
          <w:u w:val="single"/>
        </w:rPr>
        <w:t>e protein (PvTRAP)</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PvTRAP is a micronemal protein that facilitates sporozoite gliding motility and entrance into host cells. It has sticky areas, such as an A-domain and a TSR (thrombospondin type I repeat), which allow the parasite to engage with host re</w:t>
      </w:r>
      <w:r>
        <w:rPr>
          <w:rFonts w:ascii="Times New Roman" w:eastAsia="Times New Roman" w:hAnsi="Times New Roman" w:cs="Times New Roman"/>
          <w:sz w:val="24"/>
          <w:szCs w:val="24"/>
        </w:rPr>
        <w:t>ceptors. PvTRAP is thought to be a good vaccination target since it plays important roles during early infection and can produce significant cellular immune responses. Immune responses to PvTRAP, however, can differ between individuals, and the level of pr</w:t>
      </w:r>
      <w:r>
        <w:rPr>
          <w:rFonts w:ascii="Times New Roman" w:eastAsia="Times New Roman" w:hAnsi="Times New Roman" w:cs="Times New Roman"/>
          <w:sz w:val="24"/>
          <w:szCs w:val="24"/>
        </w:rPr>
        <w:t>otection conferred may not necessarily extend across genetically diverse parasite strains. These issues continue to hinder vaccine development (Moreno-Pérez et al., 2017; Longley et al., 2022).</w:t>
      </w:r>
    </w:p>
    <w:p w:rsidR="00552850" w:rsidRDefault="001C69D4">
      <w:pPr>
        <w:pBdr>
          <w:top w:val="nil"/>
          <w:left w:val="nil"/>
          <w:bottom w:val="nil"/>
          <w:right w:val="nil"/>
          <w:between w:val="nil"/>
        </w:pBdr>
        <w:spacing w:before="240" w:after="0" w:line="360" w:lineRule="auto"/>
        <w:ind w:left="6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bCs/>
          <w:color w:val="000000"/>
          <w:sz w:val="24"/>
          <w:szCs w:val="24"/>
        </w:rPr>
        <w:t>ERYTHROCYTIC STAGE VACCINE (BLOOD STAGE)</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Blood-stage vaccin</w:t>
      </w:r>
      <w:r>
        <w:rPr>
          <w:rFonts w:ascii="Times New Roman" w:eastAsia="Times New Roman" w:hAnsi="Times New Roman" w:cs="Times New Roman"/>
          <w:sz w:val="24"/>
          <w:szCs w:val="24"/>
        </w:rPr>
        <w:t xml:space="preserve">es target the asexual erythrocytic phase of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This is when the parasite proliferates inside Red Blood Cells (RBCs), causing malaria clinical symptoms. As a result, it's an obvious target for vaccine research. Researchers studied many antigens that </w:t>
      </w:r>
      <w:r>
        <w:rPr>
          <w:rFonts w:ascii="Times New Roman" w:eastAsia="Times New Roman" w:hAnsi="Times New Roman" w:cs="Times New Roman"/>
          <w:sz w:val="24"/>
          <w:szCs w:val="24"/>
        </w:rPr>
        <w:t>aid the parasite's invasion of RBCs, including Duffy binding protein (DBP), merozoite surface protein-1 (PvMSP-1), reticulocyte-binding proteins (PvRBPs), and apical membrane antigen-1 (AMA-1). Among these, DBP stands out. It is the primary protein that th</w:t>
      </w:r>
      <w:r>
        <w:rPr>
          <w:rFonts w:ascii="Times New Roman" w:eastAsia="Times New Roman" w:hAnsi="Times New Roman" w:cs="Times New Roman"/>
          <w:sz w:val="24"/>
          <w:szCs w:val="24"/>
        </w:rPr>
        <w:t xml:space="preserve">e parasite employs to attach to the Duffy antigen receptor for chemokines (DARC) on reticulocytes (Perera et al., 1998). But here's the catch: DBP's receptor-binding portion, known as DBP-II, varies greatly according on the strain. As a result, the immune </w:t>
      </w:r>
      <w:r>
        <w:rPr>
          <w:rFonts w:ascii="Times New Roman" w:eastAsia="Times New Roman" w:hAnsi="Times New Roman" w:cs="Times New Roman"/>
          <w:sz w:val="24"/>
          <w:szCs w:val="24"/>
        </w:rPr>
        <w:t xml:space="preserve">response frequently fails to cover all of the distinct parasite kinds, and the vaccination does not always operate as intended. Some members of the PvRBP family, such as PvRBP2b, include more conserved areas. Scientists </w:t>
      </w:r>
      <w:r>
        <w:rPr>
          <w:rFonts w:ascii="Times New Roman" w:eastAsia="Times New Roman" w:hAnsi="Times New Roman" w:cs="Times New Roman"/>
          <w:sz w:val="24"/>
          <w:szCs w:val="24"/>
        </w:rPr>
        <w:lastRenderedPageBreak/>
        <w:t xml:space="preserve">are investigating them as potential </w:t>
      </w:r>
      <w:r>
        <w:rPr>
          <w:rFonts w:ascii="Times New Roman" w:eastAsia="Times New Roman" w:hAnsi="Times New Roman" w:cs="Times New Roman"/>
          <w:sz w:val="24"/>
          <w:szCs w:val="24"/>
        </w:rPr>
        <w:t>vaccine targets in the hopes of providing wide-ranging protection. PvMSP-1 and AMA-1 also play important roles in cell invasion, however they have a high degree of genetic diversity. That makes it hard for the immune system to keep up if the vaccine only r</w:t>
      </w:r>
      <w:r>
        <w:rPr>
          <w:rFonts w:ascii="Times New Roman" w:eastAsia="Times New Roman" w:hAnsi="Times New Roman" w:cs="Times New Roman"/>
          <w:sz w:val="24"/>
          <w:szCs w:val="24"/>
        </w:rPr>
        <w:t>elies on those targets. So, the present technique is rather practical: combine numerous conserved antigens in a single vaccination, focusing on areas that is conserved and do not change significantly. This might assist reduce strain-specific immunity probl</w:t>
      </w:r>
      <w:r>
        <w:rPr>
          <w:rFonts w:ascii="Times New Roman" w:eastAsia="Times New Roman" w:hAnsi="Times New Roman" w:cs="Times New Roman"/>
          <w:sz w:val="24"/>
          <w:szCs w:val="24"/>
        </w:rPr>
        <w:t>ems. Overall, blood-stage vaccinations show great potential for lowering malaria incidence, but the barrier is massive. Antigen variety and complex invasion processes make it difficult to develop a vaccine that provides widespread, long-term protection. Du</w:t>
      </w:r>
      <w:r>
        <w:rPr>
          <w:rFonts w:ascii="Times New Roman" w:eastAsia="Times New Roman" w:hAnsi="Times New Roman" w:cs="Times New Roman"/>
          <w:sz w:val="24"/>
          <w:szCs w:val="24"/>
        </w:rPr>
        <w:t>ffy Binding Protein (DBP) warrants special recognition. It plays an important role in getting the parasite into reticulocytes via binding to DARC. The majority of vaccination attempts are concentrated on the DBP-II area, which is critical for invasion. Wha</w:t>
      </w:r>
      <w:r>
        <w:rPr>
          <w:rFonts w:ascii="Times New Roman" w:eastAsia="Times New Roman" w:hAnsi="Times New Roman" w:cs="Times New Roman"/>
          <w:sz w:val="24"/>
          <w:szCs w:val="24"/>
        </w:rPr>
        <w:t>t's the problem? DBP's binding domain is very varied, resulting in immunological responses that frequently only act against specific strains (Perera et al., 1998; Payne et al., 2017). That's one of the most significant challenges for a DBP-based vaccinatio</w:t>
      </w:r>
      <w:r>
        <w:rPr>
          <w:rFonts w:ascii="Times New Roman" w:eastAsia="Times New Roman" w:hAnsi="Times New Roman" w:cs="Times New Roman"/>
          <w:sz w:val="24"/>
          <w:szCs w:val="24"/>
        </w:rPr>
        <w:t>n.</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Duffy Binding Protein (DBP)</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DBP is a major ligand of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merozoites that binds to the reticulocytes' Duffy antigen receptor for chemokines (DARC), allowing RBCs to invade. Because this interaction is required for blood-stage infection, DBP is a p</w:t>
      </w:r>
      <w:r>
        <w:rPr>
          <w:rFonts w:ascii="Times New Roman" w:eastAsia="Times New Roman" w:hAnsi="Times New Roman" w:cs="Times New Roman"/>
          <w:sz w:val="24"/>
          <w:szCs w:val="24"/>
        </w:rPr>
        <w:t>rimary vaccination target. Antibodies to DBP can hinder receptor binding and prevent parasite invasion. However, extensive genetic polymorphism, strain-specific immune responses, and evidence of Duffy-independent invasion complicate vaccine development and</w:t>
      </w:r>
      <w:r>
        <w:rPr>
          <w:rFonts w:ascii="Times New Roman" w:eastAsia="Times New Roman" w:hAnsi="Times New Roman" w:cs="Times New Roman"/>
          <w:sz w:val="24"/>
          <w:szCs w:val="24"/>
        </w:rPr>
        <w:t xml:space="preserve"> may reduce broad protective efficacy (King et al., 2008; Gunalan et al., 2016).</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Merozoite Surface Protein-1 (PvMSP1)</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 xml:space="preserve">PvMSP-1 is found on the parasite's surface and aids in its ability to attach onto and infiltrate RBCs. The protein is cut into several fragments, but the C-terminal area remains rather consistent—this section is particularly crucial for communicating with </w:t>
      </w:r>
      <w:r>
        <w:rPr>
          <w:rFonts w:ascii="Times New Roman" w:eastAsia="Times New Roman" w:hAnsi="Times New Roman" w:cs="Times New Roman"/>
          <w:sz w:val="24"/>
          <w:szCs w:val="24"/>
        </w:rPr>
        <w:t>the host cell. Even while PvMSP-1 stimulates an immune response, the sections of the protein that vary greatly between parasite strains make it difficult to employ as a single vaccine target (Putaporntip et al., 2002; Liang et al., 2020).</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Reticulocyte-Bind</w:t>
      </w:r>
      <w:r>
        <w:rPr>
          <w:rFonts w:ascii="Times New Roman" w:eastAsia="Times New Roman" w:hAnsi="Times New Roman" w:cs="Times New Roman"/>
          <w:b/>
          <w:bCs/>
          <w:sz w:val="24"/>
          <w:szCs w:val="24"/>
          <w:u w:val="single"/>
        </w:rPr>
        <w:t>ing Proteins (PvRBPs)</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PvRBPs aid the parasite in targeting and infiltrating reticulocytes. One member, PvRBP2b, stands out because it interacts to the host cell's transferrin receptor 1 (TfR1). When comparing PvRBPs to other invasion proteins, you can fi</w:t>
      </w:r>
      <w:r>
        <w:rPr>
          <w:rFonts w:ascii="Times New Roman" w:eastAsia="Times New Roman" w:hAnsi="Times New Roman" w:cs="Times New Roman"/>
          <w:sz w:val="24"/>
          <w:szCs w:val="24"/>
        </w:rPr>
        <w:t xml:space="preserve">nd that some areas are rather conserved. That's excellent news for researchers wanting </w:t>
      </w:r>
      <w:r>
        <w:rPr>
          <w:rFonts w:ascii="Times New Roman" w:eastAsia="Times New Roman" w:hAnsi="Times New Roman" w:cs="Times New Roman"/>
          <w:sz w:val="24"/>
          <w:szCs w:val="24"/>
        </w:rPr>
        <w:lastRenderedPageBreak/>
        <w:t xml:space="preserve">to use them as vaccine targets. However, the family is not simple—there is a lot of genetic variation and backup among these proteins, which makes creating an effective </w:t>
      </w:r>
      <w:r>
        <w:rPr>
          <w:rFonts w:ascii="Times New Roman" w:eastAsia="Times New Roman" w:hAnsi="Times New Roman" w:cs="Times New Roman"/>
          <w:sz w:val="24"/>
          <w:szCs w:val="24"/>
        </w:rPr>
        <w:t>vaccination difficult (Gruszczyk et al., 2018; Ntumngia et al., 2018).</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Apical Membrane Antigen-1 (AMA-1)</w:t>
      </w:r>
      <w:r>
        <w:rPr>
          <w:rFonts w:ascii="Times New Roman" w:eastAsia="Times New Roman" w:hAnsi="Times New Roman" w:cs="Times New Roman"/>
          <w:sz w:val="24"/>
          <w:szCs w:val="24"/>
        </w:rPr>
        <w:t xml:space="preserve"> - When the parasite invades RBCs, AMA-1 is essential for the formation of the moving junctions. It works with rhoptry neck proteins to assist the paras</w:t>
      </w:r>
      <w:r>
        <w:rPr>
          <w:rFonts w:ascii="Times New Roman" w:eastAsia="Times New Roman" w:hAnsi="Times New Roman" w:cs="Times New Roman"/>
          <w:sz w:val="24"/>
          <w:szCs w:val="24"/>
        </w:rPr>
        <w:t>ite enter the host cell. While AMA-1's function remains consistent, its most recognizable locations vary greatly, particularly where our immune system prefers to focus. This makes it difficult to develop vaccinations that provide long-term protection (Arno</w:t>
      </w:r>
      <w:r>
        <w:rPr>
          <w:rFonts w:ascii="Times New Roman" w:eastAsia="Times New Roman" w:hAnsi="Times New Roman" w:cs="Times New Roman"/>
          <w:sz w:val="24"/>
          <w:szCs w:val="24"/>
        </w:rPr>
        <w:t>tt et al., 2013; Cole et al., 2022).</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u w:val="single"/>
        </w:rPr>
        <w:t>Vir</w:t>
      </w:r>
      <w:r>
        <w:rPr>
          <w:rFonts w:ascii="Times New Roman" w:eastAsia="Times New Roman" w:hAnsi="Times New Roman" w:cs="Times New Roman"/>
          <w:b/>
          <w:bCs/>
          <w:sz w:val="24"/>
          <w:szCs w:val="24"/>
          <w:u w:val="single"/>
        </w:rPr>
        <w:t> (Virulence) genes</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 xml:space="preserve">The vir gene family produces proteins that appear on the parasite's surface, allowing it to avoid the immune system and remain alive. These genes are mainly found around the ends of chromosomes, </w:t>
      </w:r>
      <w:r>
        <w:rPr>
          <w:rFonts w:ascii="Times New Roman" w:eastAsia="Times New Roman" w:hAnsi="Times New Roman" w:cs="Times New Roman"/>
          <w:sz w:val="24"/>
          <w:szCs w:val="24"/>
        </w:rPr>
        <w:t>where they like to shake things up—there's a lot of variety even amongst parasite clones. They're obviously vital for creating sickness and evading immune defenses. However, these genes vary greatly from parasite to parasite, and researchers are still unsu</w:t>
      </w:r>
      <w:r>
        <w:rPr>
          <w:rFonts w:ascii="Times New Roman" w:eastAsia="Times New Roman" w:hAnsi="Times New Roman" w:cs="Times New Roman"/>
          <w:sz w:val="24"/>
          <w:szCs w:val="24"/>
        </w:rPr>
        <w:t>re how they all function. This makes them difficult targets for vaccine development (Gupta et al., 2014; Bernabeu et al., 2022).</w:t>
      </w:r>
    </w:p>
    <w:p w:rsidR="00552850" w:rsidRDefault="001C69D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TRANSMISSION-BLOCKING VACCINES (SEXUAL STAGE)</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Transmission-blocking vaccinations, or TBVs, function differently than regular ma</w:t>
      </w:r>
      <w:r>
        <w:rPr>
          <w:rFonts w:ascii="Times New Roman" w:eastAsia="Times New Roman" w:hAnsi="Times New Roman" w:cs="Times New Roman"/>
          <w:sz w:val="24"/>
          <w:szCs w:val="24"/>
        </w:rPr>
        <w:t>laria immunizations. Rather of immediately protecting the person receiving the injection, these vaccines try to disrupt the malaria cycle within the insect. That is, they assist safeguard entire populations by interrupting transmission at the source. Resea</w:t>
      </w:r>
      <w:r>
        <w:rPr>
          <w:rFonts w:ascii="Times New Roman" w:eastAsia="Times New Roman" w:hAnsi="Times New Roman" w:cs="Times New Roman"/>
          <w:sz w:val="24"/>
          <w:szCs w:val="24"/>
        </w:rPr>
        <w:t xml:space="preserve">rchers have focused on many interesting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targets, including Pvs25, Pvs28, Pvs230, and Pvs47. These proteins appear throughout the parasite's sexual and mosquito phases. Pvs25 and Pvs28 are particularly notable among them. They are both located on t</w:t>
      </w:r>
      <w:r>
        <w:rPr>
          <w:rFonts w:ascii="Times New Roman" w:eastAsia="Times New Roman" w:hAnsi="Times New Roman" w:cs="Times New Roman"/>
          <w:sz w:val="24"/>
          <w:szCs w:val="24"/>
        </w:rPr>
        <w:t>he surface of the ookinete, which is the stage that invades the mosquito's stomach. When a person's immune system produces antibodies against these surface proteins, they can prevent the parasite from developing within the mosquito (Tsuboi et al., 1998). I</w:t>
      </w:r>
      <w:r>
        <w:rPr>
          <w:rFonts w:ascii="Times New Roman" w:eastAsia="Times New Roman" w:hAnsi="Times New Roman" w:cs="Times New Roman"/>
          <w:sz w:val="24"/>
          <w:szCs w:val="24"/>
        </w:rPr>
        <w:t>nterestingly, combining Pvs25 and Pvs28 appears to perform even better, creating a greater blocking effect, suggesting that a multi-antigen strategy has significant promise. It's not just about those two, however. Pvs230 promotes fertilization, whilst Pvs4</w:t>
      </w:r>
      <w:r>
        <w:rPr>
          <w:rFonts w:ascii="Times New Roman" w:eastAsia="Times New Roman" w:hAnsi="Times New Roman" w:cs="Times New Roman"/>
          <w:sz w:val="24"/>
          <w:szCs w:val="24"/>
        </w:rPr>
        <w:t xml:space="preserve">7 allows the parasite to bypass the mosquito's immunological defenses. Both seem like excellent prospects for future TBVs. While TBVs have performed well in preclinical trials, there are still significant challenges. Maintaining high antibody </w:t>
      </w:r>
      <w:r>
        <w:rPr>
          <w:rFonts w:ascii="Times New Roman" w:eastAsia="Times New Roman" w:hAnsi="Times New Roman" w:cs="Times New Roman"/>
          <w:sz w:val="24"/>
          <w:szCs w:val="24"/>
        </w:rPr>
        <w:lastRenderedPageBreak/>
        <w:t>levels over t</w:t>
      </w:r>
      <w:r>
        <w:rPr>
          <w:rFonts w:ascii="Times New Roman" w:eastAsia="Times New Roman" w:hAnsi="Times New Roman" w:cs="Times New Roman"/>
          <w:sz w:val="24"/>
          <w:szCs w:val="24"/>
        </w:rPr>
        <w:t>ime is difficult, and widespread distribution of these vaccinations remains a significant problem.</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u w:val="single"/>
        </w:rPr>
        <w:t>P. vivax</w:t>
      </w:r>
      <w:r>
        <w:rPr>
          <w:rFonts w:ascii="Times New Roman" w:eastAsia="Times New Roman" w:hAnsi="Times New Roman" w:cs="Times New Roman"/>
          <w:b/>
          <w:bCs/>
          <w:sz w:val="24"/>
          <w:szCs w:val="24"/>
          <w:u w:val="single"/>
        </w:rPr>
        <w:t> Sporozoite Surface Protein 25 (Pvs25)</w:t>
      </w:r>
      <w:r>
        <w:rPr>
          <w:rFonts w:ascii="Times New Roman" w:eastAsia="Times New Roman" w:hAnsi="Times New Roman" w:cs="Times New Roman"/>
          <w:sz w:val="24"/>
          <w:szCs w:val="24"/>
        </w:rPr>
        <w:t>: Pvs25 is found on the surface of ookinetes in the mosquito midgut and plays an important role in parasite gro</w:t>
      </w:r>
      <w:r>
        <w:rPr>
          <w:rFonts w:ascii="Times New Roman" w:eastAsia="Times New Roman" w:hAnsi="Times New Roman" w:cs="Times New Roman"/>
          <w:sz w:val="24"/>
          <w:szCs w:val="24"/>
        </w:rPr>
        <w:t>wth and transmission. Researchers discovered that it is largely conserved around the world and elicits potent transmission-blocking antibodies. Is there a catch? Antibody levels usually diminish after a while. Scientists are striving for improved formulati</w:t>
      </w:r>
      <w:r>
        <w:rPr>
          <w:rFonts w:ascii="Times New Roman" w:eastAsia="Times New Roman" w:hAnsi="Times New Roman" w:cs="Times New Roman"/>
          <w:sz w:val="24"/>
          <w:szCs w:val="24"/>
        </w:rPr>
        <w:t>ons to ensure long-term protection (Tsuboi et al., 1998; Wu et al., 2008).</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u w:val="single"/>
        </w:rPr>
        <w:t>P. vivax</w:t>
      </w:r>
      <w:r>
        <w:rPr>
          <w:rFonts w:ascii="Times New Roman" w:eastAsia="Times New Roman" w:hAnsi="Times New Roman" w:cs="Times New Roman"/>
          <w:b/>
          <w:bCs/>
          <w:sz w:val="24"/>
          <w:szCs w:val="24"/>
          <w:u w:val="single"/>
        </w:rPr>
        <w:t> Sporozoite Surface Protein 28 (Pvs28)</w:t>
      </w:r>
      <w:r>
        <w:rPr>
          <w:rFonts w:ascii="Times New Roman" w:eastAsia="Times New Roman" w:hAnsi="Times New Roman" w:cs="Times New Roman"/>
          <w:sz w:val="24"/>
          <w:szCs w:val="24"/>
        </w:rPr>
        <w:t>: Pvs28 is an ookinete surface protein that allows the parasite to live and thrive within the mosquito. It is structurally similar to P</w:t>
      </w:r>
      <w:r>
        <w:rPr>
          <w:rFonts w:ascii="Times New Roman" w:eastAsia="Times New Roman" w:hAnsi="Times New Roman" w:cs="Times New Roman"/>
          <w:sz w:val="24"/>
          <w:szCs w:val="24"/>
        </w:rPr>
        <w:t>vs25, and when used together, they perform better in blocking transmission. Despite considerable fluctuation, Pvs28's core functional components remain consistent, making it a promising candidate for a transmission-blocking vaccine (Hisaeda et al., 2000; M</w:t>
      </w:r>
      <w:r>
        <w:rPr>
          <w:rFonts w:ascii="Times New Roman" w:eastAsia="Times New Roman" w:hAnsi="Times New Roman" w:cs="Times New Roman"/>
          <w:sz w:val="24"/>
          <w:szCs w:val="24"/>
        </w:rPr>
        <w:t>alkin et al., 2005).</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u w:val="single"/>
        </w:rPr>
        <w:t>P. vivax</w:t>
      </w:r>
      <w:r>
        <w:rPr>
          <w:rFonts w:ascii="Times New Roman" w:eastAsia="Times New Roman" w:hAnsi="Times New Roman" w:cs="Times New Roman"/>
          <w:b/>
          <w:bCs/>
          <w:sz w:val="24"/>
          <w:szCs w:val="24"/>
          <w:u w:val="single"/>
        </w:rPr>
        <w:t> Sporozoite Surface Protein 230 (Pvs230)</w:t>
      </w:r>
      <w:r>
        <w:rPr>
          <w:rFonts w:ascii="Times New Roman" w:eastAsia="Times New Roman" w:hAnsi="Times New Roman" w:cs="Times New Roman"/>
          <w:sz w:val="24"/>
          <w:szCs w:val="24"/>
        </w:rPr>
        <w:t xml:space="preserve">: Pvs230 is found on the surface of gametocytes and contributes to both fertilization and parasite growth within the mosquito. The protein has several cysteine-rich domains that allow it </w:t>
      </w:r>
      <w:r>
        <w:rPr>
          <w:rFonts w:ascii="Times New Roman" w:eastAsia="Times New Roman" w:hAnsi="Times New Roman" w:cs="Times New Roman"/>
          <w:sz w:val="24"/>
          <w:szCs w:val="24"/>
        </w:rPr>
        <w:t>to interact with other proteins. When antibodies target Pvs230, they can prevent the parasite from spreading. However, the protein's large size and complex structure make developing a vaccine difficult (Chen et al., 2020).</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u w:val="single"/>
        </w:rPr>
        <w:t>P. vivax</w:t>
      </w:r>
      <w:r>
        <w:rPr>
          <w:rFonts w:ascii="Times New Roman" w:eastAsia="Times New Roman" w:hAnsi="Times New Roman" w:cs="Times New Roman"/>
          <w:b/>
          <w:bCs/>
          <w:sz w:val="24"/>
          <w:szCs w:val="24"/>
          <w:u w:val="single"/>
        </w:rPr>
        <w:t> Sporozoite Surface Prote</w:t>
      </w:r>
      <w:r>
        <w:rPr>
          <w:rFonts w:ascii="Times New Roman" w:eastAsia="Times New Roman" w:hAnsi="Times New Roman" w:cs="Times New Roman"/>
          <w:b/>
          <w:bCs/>
          <w:sz w:val="24"/>
          <w:szCs w:val="24"/>
          <w:u w:val="single"/>
        </w:rPr>
        <w:t>in 47 (Pvs47)</w:t>
      </w:r>
      <w:r>
        <w:rPr>
          <w:rFonts w:ascii="Times New Roman" w:eastAsia="Times New Roman" w:hAnsi="Times New Roman" w:cs="Times New Roman"/>
          <w:sz w:val="24"/>
          <w:szCs w:val="24"/>
        </w:rPr>
        <w:t>: Pvs47 is a protein that helps malaria parasites avoid mosquito immune defenses, allowing the parasite to be spread. It exhibits a substantial level of genetic variety, which varies according to the mosquito species. If we target Pvs47, we ca</w:t>
      </w:r>
      <w:r>
        <w:rPr>
          <w:rFonts w:ascii="Times New Roman" w:eastAsia="Times New Roman" w:hAnsi="Times New Roman" w:cs="Times New Roman"/>
          <w:sz w:val="24"/>
          <w:szCs w:val="24"/>
        </w:rPr>
        <w:t>n disrupt the parasite's capacity to live within mosquitos. However, because its genetic composition varies by location, any vaccination must account for these regional variations (Molina-Cruz et al., 2015; Canepa et al., 2018).</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summarizes the prim</w:t>
      </w:r>
      <w:r>
        <w:rPr>
          <w:rFonts w:ascii="Times New Roman" w:eastAsia="Times New Roman" w:hAnsi="Times New Roman" w:cs="Times New Roman"/>
          <w:sz w:val="24"/>
          <w:szCs w:val="24"/>
        </w:rPr>
        <w:t xml:space="preserve">ary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vaccine candidate antigens, including their target life-cycle phases, biological functions, and important development hurdles. These antigens are pre-erythrocytic, blood-stage, and transmission-blocking techniques intended to reduce infection,</w:t>
      </w:r>
      <w:r>
        <w:rPr>
          <w:rFonts w:ascii="Times New Roman" w:eastAsia="Times New Roman" w:hAnsi="Times New Roman" w:cs="Times New Roman"/>
          <w:sz w:val="24"/>
          <w:szCs w:val="24"/>
        </w:rPr>
        <w:t xml:space="preserve"> illness severity, and parasite transmission.</w:t>
      </w:r>
    </w:p>
    <w:p w:rsidR="00552850" w:rsidRDefault="00552850">
      <w:pPr>
        <w:spacing w:line="360" w:lineRule="auto"/>
        <w:jc w:val="both"/>
        <w:rPr>
          <w:rFonts w:ascii="Times New Roman" w:eastAsia="Times New Roman" w:hAnsi="Times New Roman" w:cs="Times New Roman"/>
          <w:sz w:val="24"/>
          <w:szCs w:val="24"/>
        </w:rPr>
      </w:pPr>
    </w:p>
    <w:p w:rsidR="00552850" w:rsidRDefault="00552850">
      <w:pPr>
        <w:spacing w:line="360" w:lineRule="auto"/>
        <w:jc w:val="both"/>
        <w:rPr>
          <w:rFonts w:ascii="Times New Roman" w:eastAsia="Times New Roman" w:hAnsi="Times New Roman" w:cs="Times New Roman"/>
          <w:b/>
          <w:bCs/>
          <w:sz w:val="24"/>
          <w:szCs w:val="24"/>
        </w:rPr>
      </w:pPr>
    </w:p>
    <w:p w:rsidR="00552850" w:rsidRDefault="001C69D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Table2: Key Vaccine Candidates and Challenges</w:t>
      </w: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09"/>
        <w:gridCol w:w="1479"/>
        <w:gridCol w:w="2761"/>
        <w:gridCol w:w="3367"/>
      </w:tblGrid>
      <w:tr w:rsidR="00552850">
        <w:tc>
          <w:tcPr>
            <w:tcW w:w="1409" w:type="dxa"/>
          </w:tcPr>
          <w:p w:rsidR="00552850" w:rsidRDefault="001C69D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Antigen</w:t>
            </w:r>
          </w:p>
        </w:tc>
        <w:tc>
          <w:tcPr>
            <w:tcW w:w="1479" w:type="dxa"/>
          </w:tcPr>
          <w:p w:rsidR="00552850" w:rsidRDefault="001C69D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Stage</w:t>
            </w:r>
          </w:p>
        </w:tc>
        <w:tc>
          <w:tcPr>
            <w:tcW w:w="2761" w:type="dxa"/>
          </w:tcPr>
          <w:p w:rsidR="00552850" w:rsidRDefault="001C69D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Function</w:t>
            </w:r>
          </w:p>
        </w:tc>
        <w:tc>
          <w:tcPr>
            <w:tcW w:w="3367" w:type="dxa"/>
          </w:tcPr>
          <w:p w:rsidR="00552850" w:rsidRDefault="001C69D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Major Challenge</w:t>
            </w:r>
          </w:p>
        </w:tc>
      </w:tr>
      <w:tr w:rsidR="00552850">
        <w:tc>
          <w:tcPr>
            <w:tcW w:w="1409"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PvCSP</w:t>
            </w:r>
          </w:p>
        </w:tc>
        <w:tc>
          <w:tcPr>
            <w:tcW w:w="1479"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Liver</w:t>
            </w:r>
          </w:p>
        </w:tc>
        <w:tc>
          <w:tcPr>
            <w:tcW w:w="2761"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Sporozoite invasion</w:t>
            </w:r>
          </w:p>
        </w:tc>
        <w:tc>
          <w:tcPr>
            <w:tcW w:w="3367"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 polymorphism</w:t>
            </w:r>
          </w:p>
        </w:tc>
      </w:tr>
      <w:tr w:rsidR="00552850">
        <w:tc>
          <w:tcPr>
            <w:tcW w:w="1409"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PvTRAP</w:t>
            </w:r>
          </w:p>
        </w:tc>
        <w:tc>
          <w:tcPr>
            <w:tcW w:w="1479"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Liver</w:t>
            </w:r>
          </w:p>
        </w:tc>
        <w:tc>
          <w:tcPr>
            <w:tcW w:w="2761"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Motility &amp; invasion</w:t>
            </w:r>
          </w:p>
        </w:tc>
        <w:tc>
          <w:tcPr>
            <w:tcW w:w="3367"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Variable immunity</w:t>
            </w:r>
          </w:p>
        </w:tc>
      </w:tr>
      <w:tr w:rsidR="00552850">
        <w:tc>
          <w:tcPr>
            <w:tcW w:w="1409"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DBP</w:t>
            </w:r>
          </w:p>
        </w:tc>
        <w:tc>
          <w:tcPr>
            <w:tcW w:w="1479"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Blood</w:t>
            </w:r>
          </w:p>
        </w:tc>
        <w:tc>
          <w:tcPr>
            <w:tcW w:w="2761"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RBC invasion</w:t>
            </w:r>
          </w:p>
        </w:tc>
        <w:tc>
          <w:tcPr>
            <w:tcW w:w="3367"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Strain-specific response</w:t>
            </w:r>
          </w:p>
        </w:tc>
      </w:tr>
      <w:tr w:rsidR="00552850">
        <w:tc>
          <w:tcPr>
            <w:tcW w:w="1409"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PvMSP1</w:t>
            </w:r>
          </w:p>
        </w:tc>
        <w:tc>
          <w:tcPr>
            <w:tcW w:w="1479"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Blood</w:t>
            </w:r>
          </w:p>
        </w:tc>
        <w:tc>
          <w:tcPr>
            <w:tcW w:w="2761"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RBC attachment</w:t>
            </w:r>
          </w:p>
        </w:tc>
        <w:tc>
          <w:tcPr>
            <w:tcW w:w="3367"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Genetic diversity</w:t>
            </w:r>
          </w:p>
        </w:tc>
      </w:tr>
      <w:tr w:rsidR="00552850">
        <w:tc>
          <w:tcPr>
            <w:tcW w:w="1409"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Pvs25</w:t>
            </w:r>
          </w:p>
        </w:tc>
        <w:tc>
          <w:tcPr>
            <w:tcW w:w="1479"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Mosquito</w:t>
            </w:r>
          </w:p>
        </w:tc>
        <w:tc>
          <w:tcPr>
            <w:tcW w:w="2761"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Ookinete survival</w:t>
            </w:r>
          </w:p>
        </w:tc>
        <w:tc>
          <w:tcPr>
            <w:tcW w:w="3367" w:type="dxa"/>
          </w:tcPr>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Short antibody duration</w:t>
            </w:r>
          </w:p>
        </w:tc>
      </w:tr>
    </w:tbl>
    <w:p w:rsidR="00552850" w:rsidRDefault="00552850">
      <w:pPr>
        <w:rPr>
          <w:rFonts w:ascii="Times New Roman" w:eastAsia="Times New Roman" w:hAnsi="Times New Roman" w:cs="Times New Roman"/>
          <w:b/>
          <w:bCs/>
          <w:sz w:val="24"/>
          <w:szCs w:val="24"/>
        </w:rPr>
      </w:pPr>
    </w:p>
    <w:p w:rsidR="00552850" w:rsidRDefault="001C69D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Gaps in Current Research</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substantial progress in discovering vaccine candidates, many main complications continue to delay the development of an effective vaccine against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malaria. One of the most important drawbacks is the lack of a stable continuous in vitro cult</w:t>
      </w:r>
      <w:r>
        <w:rPr>
          <w:rFonts w:ascii="Times New Roman" w:eastAsia="Times New Roman" w:hAnsi="Times New Roman" w:cs="Times New Roman"/>
          <w:sz w:val="24"/>
          <w:szCs w:val="24"/>
        </w:rPr>
        <w:t xml:space="preserve">ure method for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Unlike </w:t>
      </w:r>
      <w:r>
        <w:rPr>
          <w:rFonts w:ascii="Times New Roman" w:eastAsia="Times New Roman" w:hAnsi="Times New Roman" w:cs="Times New Roman"/>
          <w:i/>
          <w:iCs/>
          <w:sz w:val="24"/>
          <w:szCs w:val="24"/>
        </w:rPr>
        <w:t>P. falciparum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preferentially infects young reticulocytes, making long-term laboratory maintenance challenging. This limits thorough functional research, antigen screening, and preclinical vaccine evaluations (Bermú</w:t>
      </w:r>
      <w:r>
        <w:rPr>
          <w:rFonts w:ascii="Times New Roman" w:eastAsia="Times New Roman" w:hAnsi="Times New Roman" w:cs="Times New Roman"/>
          <w:sz w:val="24"/>
          <w:szCs w:val="24"/>
        </w:rPr>
        <w:t xml:space="preserve">dez et al., 2018; Roobsoong et al., 2023). Another significant barrier is the presence of hypnozoites, which are latent liver-stage forms unusual to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These latent parasites can reawaken weeks or months after the initial infection, resulting in rec</w:t>
      </w:r>
      <w:r>
        <w:rPr>
          <w:rFonts w:ascii="Times New Roman" w:eastAsia="Times New Roman" w:hAnsi="Times New Roman" w:cs="Times New Roman"/>
          <w:sz w:val="24"/>
          <w:szCs w:val="24"/>
        </w:rPr>
        <w:t>urring relapses. Because the biology of hypnozoites remains poorly known, creating vaccinations that prevent relapse or remove latent infections is very problematic (Reyes-Sandoval et al., 2021). Genetic diversity among parasite populations hinders vaccine</w:t>
      </w:r>
      <w:r>
        <w:rPr>
          <w:rFonts w:ascii="Times New Roman" w:eastAsia="Times New Roman" w:hAnsi="Times New Roman" w:cs="Times New Roman"/>
          <w:sz w:val="24"/>
          <w:szCs w:val="24"/>
        </w:rPr>
        <w:t xml:space="preserve"> development. Important antigens such as circumsporozoite protein (CSP), Duffy binding protein (DBP), and merozoite surface proteins (MSPs) exhibit significant variation among endemic locations. This variety may impair the efficacy of vaccines created for </w:t>
      </w:r>
      <w:r>
        <w:rPr>
          <w:rFonts w:ascii="Times New Roman" w:eastAsia="Times New Roman" w:hAnsi="Times New Roman" w:cs="Times New Roman"/>
          <w:sz w:val="24"/>
          <w:szCs w:val="24"/>
        </w:rPr>
        <w:t>a small number of strains (Veiga et al., 2023). The issue is especially important in nations like India, where region-specific variations might differ significantly from globally researched isolates. Furthermore, there is no clear correlation of protection</w:t>
      </w:r>
      <w:r>
        <w:rPr>
          <w:rFonts w:ascii="Times New Roman" w:eastAsia="Times New Roman" w:hAnsi="Times New Roman" w:cs="Times New Roman"/>
          <w:sz w:val="24"/>
          <w:szCs w:val="24"/>
        </w:rPr>
        <w:t xml:space="preserve"> for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immunity. Researchers have yet to identify reliable immunological markers that indicate whether a vaccinated individual is protected, making vaccination studies difficult to understand and compare. Overcoming these biological, technological, </w:t>
      </w:r>
      <w:r>
        <w:rPr>
          <w:rFonts w:ascii="Times New Roman" w:eastAsia="Times New Roman" w:hAnsi="Times New Roman" w:cs="Times New Roman"/>
          <w:sz w:val="24"/>
          <w:szCs w:val="24"/>
        </w:rPr>
        <w:t>and epidemiological challenges is critical for creating widely protective vaccines and moving global malaria eradication forward.</w:t>
      </w:r>
    </w:p>
    <w:p w:rsidR="00552850" w:rsidRDefault="001C69D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Challenges in </w:t>
      </w:r>
      <w:r>
        <w:rPr>
          <w:rFonts w:ascii="Times New Roman" w:eastAsia="Times New Roman" w:hAnsi="Times New Roman" w:cs="Times New Roman"/>
          <w:b/>
          <w:bCs/>
          <w:i/>
          <w:iCs/>
          <w:sz w:val="24"/>
          <w:szCs w:val="24"/>
        </w:rPr>
        <w:t>P. vivax</w:t>
      </w:r>
      <w:r>
        <w:rPr>
          <w:rFonts w:ascii="Times New Roman" w:eastAsia="Times New Roman" w:hAnsi="Times New Roman" w:cs="Times New Roman"/>
          <w:b/>
          <w:bCs/>
          <w:sz w:val="24"/>
          <w:szCs w:val="24"/>
        </w:rPr>
        <w:t xml:space="preserve"> Vaccine Development</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is difficult to develop a vaccination against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The parasite's life cycle presents several obstacles due to its complex nature. The latent liver stage, or hypnozoites, is one major issue. These can lurk in the liver for a very long time before reappearing to produce relapses, frequently long after a p</w:t>
      </w:r>
      <w:r>
        <w:rPr>
          <w:rFonts w:ascii="Times New Roman" w:eastAsia="Times New Roman" w:hAnsi="Times New Roman" w:cs="Times New Roman"/>
          <w:sz w:val="24"/>
          <w:szCs w:val="24"/>
        </w:rPr>
        <w:t xml:space="preserve">erson appears to have healed. It is difficult to ensure long-lasting protection since scientists still don't completely understand hypnozoites and none of the current vaccination techniques effectively target them (Wells et al., 2010). The degree to which </w:t>
      </w:r>
      <w:r>
        <w:rPr>
          <w:rFonts w:ascii="Times New Roman" w:eastAsia="Times New Roman" w:hAnsi="Times New Roman" w:cs="Times New Roman"/>
          <w:sz w:val="24"/>
          <w:szCs w:val="24"/>
        </w:rPr>
        <w:t>the parasite's proteins can alter is another problem. Many of the proteins that scientists want to include in vaccines vary from strain to strain. Therefore, a vaccination that effectively combats one type of parasite may have little effect on another, par</w:t>
      </w:r>
      <w:r>
        <w:rPr>
          <w:rFonts w:ascii="Times New Roman" w:eastAsia="Times New Roman" w:hAnsi="Times New Roman" w:cs="Times New Roman"/>
          <w:sz w:val="24"/>
          <w:szCs w:val="24"/>
        </w:rPr>
        <w:t xml:space="preserve">ticularly in different regions of the world (Chenet et al., 2012; Payne et al., 2017). Moreover,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has an advantage since it may spread through mosquitoes before any symptoms appear. This implies that the immune system has less time to react to what</w:t>
      </w:r>
      <w:r>
        <w:rPr>
          <w:rFonts w:ascii="Times New Roman" w:eastAsia="Times New Roman" w:hAnsi="Times New Roman" w:cs="Times New Roman"/>
          <w:sz w:val="24"/>
          <w:szCs w:val="24"/>
        </w:rPr>
        <w:t xml:space="preserve">ever you teach it through a vaccine (Arévalo-Herrera et al., 2010). Additionally, there is yet no efficient technique for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long-term laboratory cultivation. This makes it more challenging to carry out research and quickly assess new vaccine ideas (</w:t>
      </w:r>
      <w:r>
        <w:rPr>
          <w:rFonts w:ascii="Times New Roman" w:eastAsia="Times New Roman" w:hAnsi="Times New Roman" w:cs="Times New Roman"/>
          <w:sz w:val="24"/>
          <w:szCs w:val="24"/>
        </w:rPr>
        <w:t xml:space="preserve">Popovici &amp; Ménard, 2015). To be honest, the type of immune response required for protection is still up for debate among experts, which makes determining if a new vaccination is effective much more difficult. You have much more ambiguity when you consider </w:t>
      </w:r>
      <w:r>
        <w:rPr>
          <w:rFonts w:ascii="Times New Roman" w:eastAsia="Times New Roman" w:hAnsi="Times New Roman" w:cs="Times New Roman"/>
          <w:sz w:val="24"/>
          <w:szCs w:val="24"/>
        </w:rPr>
        <w:t xml:space="preserve">the genetic variations across parasite populations worldwide. According to Howes et al. (2015), a vaccination that performs well in one area may not work well in another. When you combine all of this, it becomes clear why creating a successful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vac</w:t>
      </w:r>
      <w:r>
        <w:rPr>
          <w:rFonts w:ascii="Times New Roman" w:eastAsia="Times New Roman" w:hAnsi="Times New Roman" w:cs="Times New Roman"/>
          <w:sz w:val="24"/>
          <w:szCs w:val="24"/>
        </w:rPr>
        <w:t>cine is still so \difficult.</w:t>
      </w:r>
    </w:p>
    <w:p w:rsidR="00552850" w:rsidRDefault="001C69D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Future Perspectives and Emerging Strategies</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all the obstacles, vaccine development continues to advance, and there is genuine optimism for the future. For instance, scientists may readily test novel designs with mRNA va</w:t>
      </w:r>
      <w:r>
        <w:rPr>
          <w:rFonts w:ascii="Times New Roman" w:eastAsia="Times New Roman" w:hAnsi="Times New Roman" w:cs="Times New Roman"/>
          <w:sz w:val="24"/>
          <w:szCs w:val="24"/>
        </w:rPr>
        <w:t>ccines, which thus far elicit robust immune responses. They are also adaptable, allowing you to quickly adjust them and target many parasite components simultaneously (Maruggi et al., 2023). Additionally, scientists are focusing on the portions of parasite</w:t>
      </w:r>
      <w:r>
        <w:rPr>
          <w:rFonts w:ascii="Times New Roman" w:eastAsia="Times New Roman" w:hAnsi="Times New Roman" w:cs="Times New Roman"/>
          <w:sz w:val="24"/>
          <w:szCs w:val="24"/>
        </w:rPr>
        <w:t xml:space="preserve"> proteins that remain mostly unchanged among strains. They are placing bets on the things that are consistent rather than pursuing locations that are always changing. This technique may result in vaccinations that offer protection against a greater variety</w:t>
      </w:r>
      <w:r>
        <w:rPr>
          <w:rFonts w:ascii="Times New Roman" w:eastAsia="Times New Roman" w:hAnsi="Times New Roman" w:cs="Times New Roman"/>
          <w:sz w:val="24"/>
          <w:szCs w:val="24"/>
        </w:rPr>
        <w:t xml:space="preserve"> of illnesses. New computational tools and breakthroughs in protein design make finding these stable targets much quicker these days (King et al., 2018). Multi-stage vaccinations are an additional intriguing strategy. Instead of targeting a single stage of</w:t>
      </w:r>
      <w:r>
        <w:rPr>
          <w:rFonts w:ascii="Times New Roman" w:eastAsia="Times New Roman" w:hAnsi="Times New Roman" w:cs="Times New Roman"/>
          <w:sz w:val="24"/>
          <w:szCs w:val="24"/>
        </w:rPr>
        <w:t xml:space="preserve"> the parasite's life cycle, these vaccines attempt to </w:t>
      </w:r>
      <w:r>
        <w:rPr>
          <w:rFonts w:ascii="Times New Roman" w:eastAsia="Times New Roman" w:hAnsi="Times New Roman" w:cs="Times New Roman"/>
          <w:sz w:val="24"/>
          <w:szCs w:val="24"/>
        </w:rPr>
        <w:lastRenderedPageBreak/>
        <w:t>prevent infection, alleviate illness symptoms, and stop transmission all at once (Herrera et al., 2020). As experimental models improve and more real-world data becomes available, advancement in this fi</w:t>
      </w:r>
      <w:r>
        <w:rPr>
          <w:rFonts w:ascii="Times New Roman" w:eastAsia="Times New Roman" w:hAnsi="Times New Roman" w:cs="Times New Roman"/>
          <w:sz w:val="24"/>
          <w:szCs w:val="24"/>
        </w:rPr>
        <w:t xml:space="preserve">eld is accelerating. Understanding how human immune systems respond to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remains a significant component of the puzzle (Stanisic et al., 2018). As scientists combine modern technology with greater biological knowledge, they are coming closer to deve</w:t>
      </w:r>
      <w:r>
        <w:rPr>
          <w:rFonts w:ascii="Times New Roman" w:eastAsia="Times New Roman" w:hAnsi="Times New Roman" w:cs="Times New Roman"/>
          <w:sz w:val="24"/>
          <w:szCs w:val="24"/>
        </w:rPr>
        <w:t>loping a vaccine that works in the real world.</w:t>
      </w:r>
    </w:p>
    <w:p w:rsidR="00552850" w:rsidRDefault="001C69D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Conclusion </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a vaccine for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has been difficult, owing to the parasite's unique characteristics. Unlike </w:t>
      </w:r>
      <w:r>
        <w:rPr>
          <w:rFonts w:ascii="Times New Roman" w:eastAsia="Times New Roman" w:hAnsi="Times New Roman" w:cs="Times New Roman"/>
          <w:i/>
          <w:iCs/>
          <w:sz w:val="24"/>
          <w:szCs w:val="24"/>
        </w:rPr>
        <w:t>P. falciparum, P. vivax</w:t>
      </w:r>
      <w:r>
        <w:rPr>
          <w:rFonts w:ascii="Times New Roman" w:eastAsia="Times New Roman" w:hAnsi="Times New Roman" w:cs="Times New Roman"/>
          <w:sz w:val="24"/>
          <w:szCs w:val="24"/>
        </w:rPr>
        <w:t xml:space="preserve"> can remain latent in the liver as hypnozoites. These concealed f</w:t>
      </w:r>
      <w:r>
        <w:rPr>
          <w:rFonts w:ascii="Times New Roman" w:eastAsia="Times New Roman" w:hAnsi="Times New Roman" w:cs="Times New Roman"/>
          <w:sz w:val="24"/>
          <w:szCs w:val="24"/>
        </w:rPr>
        <w:t>orms do not just disappear; they might reawaken weeks or years later, producing relapses and allowing the parasite to propagate (Wells et al., 2010). Current vaccinations do not effectively address these latent phases; therefore, this is a significant chal</w:t>
      </w:r>
      <w:r>
        <w:rPr>
          <w:rFonts w:ascii="Times New Roman" w:eastAsia="Times New Roman" w:hAnsi="Times New Roman" w:cs="Times New Roman"/>
          <w:sz w:val="24"/>
          <w:szCs w:val="24"/>
        </w:rPr>
        <w:t xml:space="preserve">lenge. There is more. The primary vaccine targets for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such as CSP and the Duffy binding protein, exhibit a high level of genetic variability (Chenet et al., 2012; Payne et al., 2017). Because of this variability, it is difficult to develop a sing</w:t>
      </w:r>
      <w:r>
        <w:rPr>
          <w:rFonts w:ascii="Times New Roman" w:eastAsia="Times New Roman" w:hAnsi="Times New Roman" w:cs="Times New Roman"/>
          <w:sz w:val="24"/>
          <w:szCs w:val="24"/>
        </w:rPr>
        <w:t>le vaccination that protects everyone, everywhere. Furthermore, the parasite understands how to evade the immune system. It modifies its surface proteins and occasionally conceals, making vaccine design even more difficult (Molina-Cruz et al., 2015). Resea</w:t>
      </w:r>
      <w:r>
        <w:rPr>
          <w:rFonts w:ascii="Times New Roman" w:eastAsia="Times New Roman" w:hAnsi="Times New Roman" w:cs="Times New Roman"/>
          <w:sz w:val="24"/>
          <w:szCs w:val="24"/>
        </w:rPr>
        <w:t xml:space="preserve">rchers still have challenges in the lab, since they are still unable to maintain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growing in culture indefinitely, making it difficult to test novel vaccine concepts. However, there aren't only barriers. Newer vaccination platforms, such as mRNA an</w:t>
      </w:r>
      <w:r>
        <w:rPr>
          <w:rFonts w:ascii="Times New Roman" w:eastAsia="Times New Roman" w:hAnsi="Times New Roman" w:cs="Times New Roman"/>
          <w:sz w:val="24"/>
          <w:szCs w:val="24"/>
        </w:rPr>
        <w:t>d viral vectors, provide the sector with new alternatives (Maruggi et al., 2023).A Teams are looking on multi-stage vaccines that target the parasite at several stages of its life cycle, including before it enters RBCs, while it is in the blood, and even w</w:t>
      </w:r>
      <w:r>
        <w:rPr>
          <w:rFonts w:ascii="Times New Roman" w:eastAsia="Times New Roman" w:hAnsi="Times New Roman" w:cs="Times New Roman"/>
          <w:sz w:val="24"/>
          <w:szCs w:val="24"/>
        </w:rPr>
        <w:t xml:space="preserve">hen it is in the mosquito. Transmission-blocking vaccines—such as Pvs25, Pvs230, and Pvs47—stand out here. These have showed promise in preventing the parasite from spreading between individuals by limiting its duration within the mosquito (Scaria et al., </w:t>
      </w:r>
      <w:r>
        <w:rPr>
          <w:rFonts w:ascii="Times New Roman" w:eastAsia="Times New Roman" w:hAnsi="Times New Roman" w:cs="Times New Roman"/>
          <w:sz w:val="24"/>
          <w:szCs w:val="24"/>
        </w:rPr>
        <w:t xml:space="preserve">2022). To develop a viable </w:t>
      </w:r>
      <w:r>
        <w:rPr>
          <w:rFonts w:ascii="Times New Roman" w:eastAsia="Times New Roman" w:hAnsi="Times New Roman" w:cs="Times New Roman"/>
          <w:i/>
          <w:iCs/>
          <w:sz w:val="24"/>
          <w:szCs w:val="24"/>
        </w:rPr>
        <w:t>P. vivax</w:t>
      </w:r>
      <w:r>
        <w:rPr>
          <w:rFonts w:ascii="Times New Roman" w:eastAsia="Times New Roman" w:hAnsi="Times New Roman" w:cs="Times New Roman"/>
          <w:sz w:val="24"/>
          <w:szCs w:val="24"/>
        </w:rPr>
        <w:t xml:space="preserve"> vaccine, researchers must address the issue of liver-stage hypnozoites, find strategies to cope with the parasite's variety and evasive maneuvers, and devise new techniques to study it. Maintaining momentum in research, </w:t>
      </w:r>
      <w:r>
        <w:rPr>
          <w:rFonts w:ascii="Times New Roman" w:eastAsia="Times New Roman" w:hAnsi="Times New Roman" w:cs="Times New Roman"/>
          <w:sz w:val="24"/>
          <w:szCs w:val="24"/>
        </w:rPr>
        <w:t>developing lab models, and collaborating worldwide will be critical to ultimately releasing an effective, widely accessible vaccine into the public.</w:t>
      </w:r>
    </w:p>
    <w:p w:rsidR="00552850" w:rsidRDefault="001C69D4">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rsidR="00552850" w:rsidRDefault="001C69D4">
      <w:pPr>
        <w:pBdr>
          <w:top w:val="nil"/>
          <w:left w:val="nil"/>
          <w:bottom w:val="nil"/>
          <w:right w:val="nil"/>
          <w:between w:val="nil"/>
        </w:pBd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000000"/>
          <w:sz w:val="24"/>
          <w:szCs w:val="24"/>
        </w:rPr>
        <w:lastRenderedPageBreak/>
        <w:t xml:space="preserve">Arévalo-Herrera, M., Chitnis, C., Herrera, S. (2010). Current status of Plasmodium vivax vaccine. Human Vaccines, 6(1), 124–132. </w:t>
      </w:r>
      <w:hyperlink r:id="rId7">
        <w:r>
          <w:rPr>
            <w:rFonts w:ascii="Times New Roman" w:eastAsia="Times New Roman" w:hAnsi="Times New Roman" w:cs="Times New Roman"/>
            <w:color w:val="0563C1"/>
            <w:sz w:val="24"/>
            <w:szCs w:val="24"/>
            <w:u w:val="single"/>
          </w:rPr>
          <w:t>https://doi.org/10.4161/hv.6.1.10370</w:t>
        </w:r>
      </w:hyperlink>
    </w:p>
    <w:p w:rsidR="00552850" w:rsidRDefault="001C6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Arevalo-Herrera, M., Chitnis, C., Herrera, S., &amp; others. (2011). Current status of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vaccine. </w:t>
      </w:r>
      <w:r>
        <w:rPr>
          <w:rFonts w:ascii="Times New Roman" w:eastAsia="Times New Roman" w:hAnsi="Times New Roman" w:cs="Times New Roman"/>
          <w:i/>
          <w:iCs/>
          <w:sz w:val="24"/>
          <w:szCs w:val="24"/>
        </w:rPr>
        <w:t>Human Vaccines, 6</w:t>
      </w:r>
      <w:r>
        <w:rPr>
          <w:rFonts w:ascii="Times New Roman" w:eastAsia="Times New Roman" w:hAnsi="Times New Roman" w:cs="Times New Roman"/>
          <w:sz w:val="24"/>
          <w:szCs w:val="24"/>
        </w:rPr>
        <w:t>(1), 124–132.</w:t>
      </w:r>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Baird, J. K. (2013). Evidence and implications of mortality associated with acute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malaria. </w:t>
      </w:r>
      <w:r>
        <w:rPr>
          <w:rFonts w:ascii="Times New Roman" w:eastAsia="Times New Roman" w:hAnsi="Times New Roman" w:cs="Times New Roman"/>
          <w:i/>
          <w:iCs/>
          <w:sz w:val="24"/>
          <w:szCs w:val="24"/>
        </w:rPr>
        <w:t>Clinical</w:t>
      </w:r>
      <w:r>
        <w:rPr>
          <w:rFonts w:ascii="Times New Roman" w:eastAsia="Times New Roman" w:hAnsi="Times New Roman" w:cs="Times New Roman"/>
          <w:i/>
          <w:iCs/>
          <w:sz w:val="24"/>
          <w:szCs w:val="24"/>
        </w:rPr>
        <w:t xml:space="preserve"> Microbiology Reviews, 26</w:t>
      </w:r>
      <w:r>
        <w:rPr>
          <w:rFonts w:ascii="Times New Roman" w:eastAsia="Times New Roman" w:hAnsi="Times New Roman" w:cs="Times New Roman"/>
          <w:sz w:val="24"/>
          <w:szCs w:val="24"/>
        </w:rPr>
        <w:t>(1), 36-57. </w:t>
      </w:r>
      <w:hyperlink r:id="rId8">
        <w:r>
          <w:rPr>
            <w:rFonts w:ascii="Times New Roman" w:eastAsia="Times New Roman" w:hAnsi="Times New Roman" w:cs="Times New Roman"/>
            <w:color w:val="0563C1"/>
            <w:sz w:val="24"/>
            <w:szCs w:val="24"/>
            <w:u w:val="single"/>
          </w:rPr>
          <w:t>https://doi.org/10.1128/CMR.00074-12</w:t>
        </w:r>
      </w:hyperlink>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Bergmann-Leitner, E. S., &amp; others. (2010). Immunogenicity and efficacy of novel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vaccine candidate antigens. </w:t>
      </w:r>
      <w:r>
        <w:rPr>
          <w:rFonts w:ascii="Times New Roman" w:eastAsia="Times New Roman" w:hAnsi="Times New Roman" w:cs="Times New Roman"/>
          <w:i/>
          <w:iCs/>
          <w:sz w:val="24"/>
          <w:szCs w:val="24"/>
        </w:rPr>
        <w:t>V</w:t>
      </w:r>
      <w:r>
        <w:rPr>
          <w:rFonts w:ascii="Times New Roman" w:eastAsia="Times New Roman" w:hAnsi="Times New Roman" w:cs="Times New Roman"/>
          <w:i/>
          <w:iCs/>
          <w:sz w:val="24"/>
          <w:szCs w:val="24"/>
        </w:rPr>
        <w:t>accine, 28</w:t>
      </w:r>
      <w:r>
        <w:rPr>
          <w:rFonts w:ascii="Times New Roman" w:eastAsia="Times New Roman" w:hAnsi="Times New Roman" w:cs="Times New Roman"/>
          <w:sz w:val="24"/>
          <w:szCs w:val="24"/>
        </w:rPr>
        <w:t>(33), 5399–5408.</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Bermúdez, M., Moreno-Pérez, D. A., Arevalo-Herrera, M., Herrera, S., &amp; Patarroyo, M. A. (2018).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in vitro continuous culture: The spoke in the wheel. Malaria Journal, 17, 301. </w:t>
      </w:r>
      <w:hyperlink r:id="rId9">
        <w:r>
          <w:rPr>
            <w:rFonts w:ascii="Times New Roman" w:eastAsia="Times New Roman" w:hAnsi="Times New Roman" w:cs="Times New Roman"/>
            <w:color w:val="0563C1"/>
            <w:sz w:val="24"/>
            <w:szCs w:val="24"/>
            <w:u w:val="single"/>
          </w:rPr>
          <w:t>https://doi.org/10.1186/s12936-018-2446-1</w:t>
        </w:r>
      </w:hyperlink>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Bernabeu, M., López, F. J., Ferrer, M., &amp; del Portillo, H. A. (2022). Plasmodium vivax VIR proteins: From genomic expansion to functional diversification. Cellular Microbiology, *24*(3), e13</w:t>
      </w:r>
      <w:r>
        <w:rPr>
          <w:rFonts w:ascii="Times New Roman" w:eastAsia="Times New Roman" w:hAnsi="Times New Roman" w:cs="Times New Roman"/>
          <w:sz w:val="24"/>
          <w:szCs w:val="24"/>
        </w:rPr>
        <w:t xml:space="preserve">788. </w:t>
      </w:r>
      <w:hyperlink r:id="rId10">
        <w:r>
          <w:rPr>
            <w:rFonts w:ascii="Times New Roman" w:eastAsia="Times New Roman" w:hAnsi="Times New Roman" w:cs="Times New Roman"/>
            <w:color w:val="0563C1"/>
            <w:sz w:val="24"/>
            <w:szCs w:val="24"/>
            <w:u w:val="single"/>
          </w:rPr>
          <w:t>https://doi.org/10.1111/cmi.13788</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 xml:space="preserve">Canepa, G. E., Molina-Cruz, A., Yenkoidiok-Douti, L., &amp; Barillas-Mury, C. (2018).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Pvs47 polymorphism is linked to parasite adaptation to distinct mosquito species. </w:t>
      </w:r>
      <w:r>
        <w:rPr>
          <w:rFonts w:ascii="Times New Roman" w:eastAsia="Times New Roman" w:hAnsi="Times New Roman" w:cs="Times New Roman"/>
          <w:i/>
          <w:iCs/>
          <w:sz w:val="24"/>
          <w:szCs w:val="24"/>
        </w:rPr>
        <w:t>PLoS Neglected Tropical Diseases, 12</w:t>
      </w:r>
      <w:r>
        <w:rPr>
          <w:rFonts w:ascii="Times New Roman" w:eastAsia="Times New Roman" w:hAnsi="Times New Roman" w:cs="Times New Roman"/>
          <w:sz w:val="24"/>
          <w:szCs w:val="24"/>
        </w:rPr>
        <w:t xml:space="preserve">(7), e0006596. </w:t>
      </w:r>
      <w:hyperlink r:id="rId11">
        <w:r>
          <w:rPr>
            <w:rFonts w:ascii="Times New Roman" w:eastAsia="Times New Roman" w:hAnsi="Times New Roman" w:cs="Times New Roman"/>
            <w:color w:val="0563C1"/>
            <w:sz w:val="24"/>
            <w:szCs w:val="24"/>
            <w:u w:val="single"/>
          </w:rPr>
          <w:t>https://doi.org/10.1371/journal.pntd.0006596</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Carlton, J. M</w:t>
      </w:r>
      <w:r>
        <w:rPr>
          <w:rFonts w:ascii="Times New Roman" w:eastAsia="Times New Roman" w:hAnsi="Times New Roman" w:cs="Times New Roman"/>
          <w:sz w:val="24"/>
          <w:szCs w:val="24"/>
        </w:rPr>
        <w:t>., Adams, J. H., Silva, J. C., Bidwell, S. L., Lorenzi, H., Caler, E., ... &amp; Fraser, C. M. (2008). Comparative genomics of the neglected human malaria parasite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Nature, 455</w:t>
      </w:r>
      <w:r>
        <w:rPr>
          <w:rFonts w:ascii="Times New Roman" w:eastAsia="Times New Roman" w:hAnsi="Times New Roman" w:cs="Times New Roman"/>
          <w:sz w:val="24"/>
          <w:szCs w:val="24"/>
        </w:rPr>
        <w:t>(7214), 757-763. </w:t>
      </w:r>
      <w:hyperlink r:id="rId12">
        <w:r>
          <w:rPr>
            <w:rFonts w:ascii="Times New Roman" w:eastAsia="Times New Roman" w:hAnsi="Times New Roman" w:cs="Times New Roman"/>
            <w:color w:val="0563C1"/>
            <w:sz w:val="24"/>
            <w:szCs w:val="24"/>
            <w:u w:val="single"/>
          </w:rPr>
          <w:t>https://doi.org/10.1038/nature07327</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Chen, E., Salinas, N. D., Huang, Y., Ntumngia, F., Plasencia, M. D., Gross, M. L., Adams, J. H., &amp; Tolia, N. H. (2020). Structural basis for inhibition of Plasmodium vivax invasion by a broadly neutralizing vaccine-</w:t>
      </w:r>
      <w:r>
        <w:rPr>
          <w:rFonts w:ascii="Times New Roman" w:eastAsia="Times New Roman" w:hAnsi="Times New Roman" w:cs="Times New Roman"/>
          <w:sz w:val="24"/>
          <w:szCs w:val="24"/>
        </w:rPr>
        <w:t xml:space="preserve">induced human antibody. Nature Microbiology, *5*(9), 1107–1117. </w:t>
      </w:r>
      <w:hyperlink r:id="rId13">
        <w:r>
          <w:rPr>
            <w:rFonts w:ascii="Times New Roman" w:eastAsia="Times New Roman" w:hAnsi="Times New Roman" w:cs="Times New Roman"/>
            <w:color w:val="0563C1"/>
            <w:sz w:val="24"/>
            <w:szCs w:val="24"/>
            <w:u w:val="single"/>
          </w:rPr>
          <w:t>https://doi.org/10.1038/s41564-020-0740-y</w:t>
        </w:r>
      </w:hyperlink>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Chenet, S. M., Tapia, L. L., Escalante, A. A., Durand, S., Lucas, C., Bacon, D. J., &amp; Udh</w:t>
      </w:r>
      <w:r>
        <w:rPr>
          <w:rFonts w:ascii="Times New Roman" w:eastAsia="Times New Roman" w:hAnsi="Times New Roman" w:cs="Times New Roman"/>
          <w:sz w:val="24"/>
          <w:szCs w:val="24"/>
        </w:rPr>
        <w:t>ayakumar, V. (2012). Genetic diversity and population structure of genes encoding vaccine candidate antigens of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Malaria Journal</w:t>
      </w:r>
      <w:r>
        <w:rPr>
          <w:rFonts w:ascii="Times New Roman" w:eastAsia="Times New Roman" w:hAnsi="Times New Roman" w:cs="Times New Roman"/>
          <w:sz w:val="24"/>
          <w:szCs w:val="24"/>
        </w:rPr>
        <w:t>, *11*(1), 68. </w:t>
      </w:r>
      <w:hyperlink r:id="rId14">
        <w:r>
          <w:rPr>
            <w:rFonts w:ascii="Times New Roman" w:eastAsia="Times New Roman" w:hAnsi="Times New Roman" w:cs="Times New Roman"/>
            <w:color w:val="0563C1"/>
            <w:sz w:val="24"/>
            <w:szCs w:val="24"/>
            <w:u w:val="single"/>
          </w:rPr>
          <w:t>https://doi.org/10.1186/1475-2875-11-</w:t>
        </w:r>
        <w:r>
          <w:rPr>
            <w:rFonts w:ascii="Times New Roman" w:eastAsia="Times New Roman" w:hAnsi="Times New Roman" w:cs="Times New Roman"/>
            <w:color w:val="0563C1"/>
            <w:sz w:val="24"/>
            <w:szCs w:val="24"/>
            <w:u w:val="single"/>
          </w:rPr>
          <w:t>68</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Cole, S., Sheehy, S. H., Drakely, C. J., &amp; Draper, S. J. (2022). Recent advances in the design and delivery of malaria vaccines. </w:t>
      </w:r>
      <w:r>
        <w:rPr>
          <w:rFonts w:ascii="Times New Roman" w:eastAsia="Times New Roman" w:hAnsi="Times New Roman" w:cs="Times New Roman"/>
          <w:i/>
          <w:iCs/>
          <w:sz w:val="24"/>
          <w:szCs w:val="24"/>
        </w:rPr>
        <w:t>Current Opinion in Immunology</w:t>
      </w:r>
      <w:r>
        <w:rPr>
          <w:rFonts w:ascii="Times New Roman" w:eastAsia="Times New Roman" w:hAnsi="Times New Roman" w:cs="Times New Roman"/>
          <w:sz w:val="24"/>
          <w:szCs w:val="24"/>
        </w:rPr>
        <w:t>, *77*, 102208.</w:t>
      </w:r>
      <w:r>
        <w:rPr>
          <w:rFonts w:ascii="Times New Roman" w:eastAsia="Times New Roman" w:hAnsi="Times New Roman" w:cs="Times New Roman"/>
          <w:color w:val="404040"/>
          <w:sz w:val="24"/>
          <w:szCs w:val="24"/>
        </w:rPr>
        <w:t> </w:t>
      </w:r>
      <w:hyperlink r:id="rId15">
        <w:r>
          <w:rPr>
            <w:rFonts w:ascii="Times New Roman" w:eastAsia="Times New Roman" w:hAnsi="Times New Roman" w:cs="Times New Roman"/>
            <w:color w:val="0563C1"/>
            <w:sz w:val="24"/>
            <w:szCs w:val="24"/>
            <w:u w:val="single"/>
          </w:rPr>
          <w:t>https://doi.org/10</w:t>
        </w:r>
        <w:r>
          <w:rPr>
            <w:rFonts w:ascii="Times New Roman" w:eastAsia="Times New Roman" w:hAnsi="Times New Roman" w:cs="Times New Roman"/>
            <w:color w:val="0563C1"/>
            <w:sz w:val="24"/>
            <w:szCs w:val="24"/>
            <w:u w:val="single"/>
          </w:rPr>
          <w:t>.1016/j.coi.2022.102208</w:t>
        </w:r>
      </w:hyperlink>
    </w:p>
    <w:p w:rsidR="00552850" w:rsidRDefault="001C6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Cowman, A. F., Healer, J., Marapana, D., &amp; Marsh, K. (2016). Malaria: Biology and disease. </w:t>
      </w:r>
      <w:r>
        <w:rPr>
          <w:rFonts w:ascii="Times New Roman" w:eastAsia="Times New Roman" w:hAnsi="Times New Roman" w:cs="Times New Roman"/>
          <w:i/>
          <w:iCs/>
          <w:sz w:val="24"/>
          <w:szCs w:val="24"/>
        </w:rPr>
        <w:t>Cell, 167</w:t>
      </w:r>
      <w:r>
        <w:rPr>
          <w:rFonts w:ascii="Times New Roman" w:eastAsia="Times New Roman" w:hAnsi="Times New Roman" w:cs="Times New Roman"/>
          <w:sz w:val="24"/>
          <w:szCs w:val="24"/>
        </w:rPr>
        <w:t xml:space="preserve">(3), 610–624. </w:t>
      </w:r>
      <w:hyperlink r:id="rId16">
        <w:r>
          <w:rPr>
            <w:rFonts w:ascii="Times New Roman" w:eastAsia="Times New Roman" w:hAnsi="Times New Roman" w:cs="Times New Roman"/>
            <w:color w:val="0563C1"/>
            <w:sz w:val="24"/>
            <w:szCs w:val="24"/>
            <w:u w:val="single"/>
          </w:rPr>
          <w:t>https://doi.org/10.1016/j.cell.2016.07.055</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Das, S., Hert</w:t>
      </w:r>
      <w:r>
        <w:rPr>
          <w:rFonts w:ascii="Times New Roman" w:eastAsia="Times New Roman" w:hAnsi="Times New Roman" w:cs="Times New Roman"/>
          <w:sz w:val="24"/>
          <w:szCs w:val="24"/>
        </w:rPr>
        <w:t>sch, R. A., Llinás, M., &amp; Singh, S. (2009). Comparative genomics of the malaria parasites </w:t>
      </w:r>
      <w:r>
        <w:rPr>
          <w:rFonts w:ascii="Times New Roman" w:eastAsia="Times New Roman" w:hAnsi="Times New Roman" w:cs="Times New Roman"/>
          <w:i/>
          <w:iCs/>
          <w:sz w:val="24"/>
          <w:szCs w:val="24"/>
        </w:rPr>
        <w:t>Plasmodium falciparum</w:t>
      </w:r>
      <w:r>
        <w:rPr>
          <w:rFonts w:ascii="Times New Roman" w:eastAsia="Times New Roman" w:hAnsi="Times New Roman" w:cs="Times New Roman"/>
          <w:sz w:val="24"/>
          <w:szCs w:val="24"/>
        </w:rPr>
        <w:t> and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Current Opinion in Microbiology, 12</w:t>
      </w:r>
      <w:r>
        <w:rPr>
          <w:rFonts w:ascii="Times New Roman" w:eastAsia="Times New Roman" w:hAnsi="Times New Roman" w:cs="Times New Roman"/>
          <w:sz w:val="24"/>
          <w:szCs w:val="24"/>
        </w:rPr>
        <w:t>(4), 415-421. </w:t>
      </w:r>
      <w:hyperlink r:id="rId17">
        <w:r>
          <w:rPr>
            <w:rFonts w:ascii="Times New Roman" w:eastAsia="Times New Roman" w:hAnsi="Times New Roman" w:cs="Times New Roman"/>
            <w:color w:val="0563C1"/>
            <w:sz w:val="24"/>
            <w:szCs w:val="24"/>
            <w:u w:val="single"/>
          </w:rPr>
          <w:t>https://doi.org/10.1016/j.mib.2009.06.008</w:t>
        </w:r>
      </w:hyperlink>
    </w:p>
    <w:p w:rsidR="00552850" w:rsidRDefault="001C6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Draper, S. J., Sack, B. K., King, C. R., Nielsen, C. M., Rayner, J. C., Higgins, M. K., Long, C. A., &amp; Seder, R. A. (2018). Malaria vaccines: Recent advances and new horizons. </w:t>
      </w:r>
      <w:r>
        <w:rPr>
          <w:rFonts w:ascii="Times New Roman" w:eastAsia="Times New Roman" w:hAnsi="Times New Roman" w:cs="Times New Roman"/>
          <w:i/>
          <w:iCs/>
          <w:sz w:val="24"/>
          <w:szCs w:val="24"/>
        </w:rPr>
        <w:t>Cell Host &amp; Microbe, 24</w:t>
      </w:r>
      <w:r>
        <w:rPr>
          <w:rFonts w:ascii="Times New Roman" w:eastAsia="Times New Roman" w:hAnsi="Times New Roman" w:cs="Times New Roman"/>
          <w:sz w:val="24"/>
          <w:szCs w:val="24"/>
        </w:rPr>
        <w:t xml:space="preserve">(1), 43–56. </w:t>
      </w:r>
      <w:hyperlink r:id="rId18">
        <w:r>
          <w:rPr>
            <w:rFonts w:ascii="Times New Roman" w:eastAsia="Times New Roman" w:hAnsi="Times New Roman" w:cs="Times New Roman"/>
            <w:color w:val="0563C1"/>
            <w:sz w:val="24"/>
            <w:szCs w:val="24"/>
            <w:u w:val="single"/>
          </w:rPr>
          <w:t>https://doi.org/10.1016/j.chom.2018.06.008</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Gruszczyk, J., Kanjee, U., Chan, L. J., Menant, S., Malleret, B., Lim, N. T. Y., ... &amp; Tham, W. H. (2018). Transferrin receptor 1 is a reticulocyte-specif</w:t>
      </w:r>
      <w:r>
        <w:rPr>
          <w:rFonts w:ascii="Times New Roman" w:eastAsia="Times New Roman" w:hAnsi="Times New Roman" w:cs="Times New Roman"/>
          <w:sz w:val="24"/>
          <w:szCs w:val="24"/>
        </w:rPr>
        <w:t xml:space="preserve">ic receptor for Plasmodium vivax. Nature, 559(7715), 585-589. </w:t>
      </w:r>
      <w:hyperlink r:id="rId19">
        <w:r>
          <w:rPr>
            <w:rFonts w:ascii="Times New Roman" w:eastAsia="Times New Roman" w:hAnsi="Times New Roman" w:cs="Times New Roman"/>
            <w:color w:val="0563C1"/>
            <w:sz w:val="24"/>
            <w:szCs w:val="24"/>
            <w:u w:val="single"/>
          </w:rPr>
          <w:t>https://doi.org/10.1038/s41467-018-05772-7</w:t>
        </w:r>
      </w:hyperlink>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Gunalan, K., Gao, X., Liew, K. J., Preiser, P. R., &amp; Bozdech, Z. (2016). </w:t>
      </w:r>
      <w:r>
        <w:rPr>
          <w:rFonts w:ascii="Times New Roman" w:eastAsia="Times New Roman" w:hAnsi="Times New Roman" w:cs="Times New Roman"/>
          <w:i/>
          <w:iCs/>
          <w:color w:val="000000"/>
          <w:sz w:val="24"/>
          <w:szCs w:val="24"/>
        </w:rPr>
        <w:t>Role of Plasmodi</w:t>
      </w:r>
      <w:r>
        <w:rPr>
          <w:rFonts w:ascii="Times New Roman" w:eastAsia="Times New Roman" w:hAnsi="Times New Roman" w:cs="Times New Roman"/>
          <w:i/>
          <w:iCs/>
          <w:color w:val="000000"/>
          <w:sz w:val="24"/>
          <w:szCs w:val="24"/>
        </w:rPr>
        <w:t xml:space="preserve">um vivax Duffy-binding protein in erythrocyte invasion and implications for vaccine </w:t>
      </w:r>
      <w:r>
        <w:rPr>
          <w:rFonts w:ascii="Times New Roman" w:eastAsia="Times New Roman" w:hAnsi="Times New Roman" w:cs="Times New Roman"/>
          <w:i/>
          <w:iCs/>
          <w:sz w:val="24"/>
          <w:szCs w:val="24"/>
        </w:rPr>
        <w:t>development</w:t>
      </w:r>
      <w:r>
        <w:rPr>
          <w:rFonts w:ascii="Times New Roman" w:eastAsia="Times New Roman" w:hAnsi="Times New Roman" w:cs="Times New Roman"/>
          <w:sz w:val="24"/>
          <w:szCs w:val="24"/>
        </w:rPr>
        <w:t xml:space="preserve">. Trends in Parasitology, 32(5), 364–373. </w:t>
      </w:r>
      <w:hyperlink r:id="rId20">
        <w:r>
          <w:rPr>
            <w:rFonts w:ascii="Times New Roman" w:eastAsia="Times New Roman" w:hAnsi="Times New Roman" w:cs="Times New Roman"/>
            <w:color w:val="0563C1"/>
            <w:sz w:val="24"/>
            <w:szCs w:val="24"/>
            <w:u w:val="single"/>
          </w:rPr>
          <w:t>https://doi.org/10.1016/j.pt.2016.01.006</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Gupta, S., Alam, M</w:t>
      </w:r>
      <w:r>
        <w:rPr>
          <w:rFonts w:ascii="Times New Roman" w:eastAsia="Times New Roman" w:hAnsi="Times New Roman" w:cs="Times New Roman"/>
          <w:sz w:val="24"/>
          <w:szCs w:val="24"/>
        </w:rPr>
        <w:t xml:space="preserve">. T., Bhatnagar, R. K., &amp; Kaur, S. (2014). The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virulence genes and their genetic diversity in Indian isolates. </w:t>
      </w:r>
      <w:r>
        <w:rPr>
          <w:rFonts w:ascii="Times New Roman" w:eastAsia="Times New Roman" w:hAnsi="Times New Roman" w:cs="Times New Roman"/>
          <w:i/>
          <w:iCs/>
          <w:sz w:val="24"/>
          <w:szCs w:val="24"/>
        </w:rPr>
        <w:t>PLoS ONE, 9</w:t>
      </w:r>
      <w:r>
        <w:rPr>
          <w:rFonts w:ascii="Times New Roman" w:eastAsia="Times New Roman" w:hAnsi="Times New Roman" w:cs="Times New Roman"/>
          <w:sz w:val="24"/>
          <w:szCs w:val="24"/>
        </w:rPr>
        <w:t xml:space="preserve">(2), e89653. </w:t>
      </w:r>
      <w:hyperlink r:id="rId21">
        <w:r>
          <w:rPr>
            <w:rFonts w:ascii="Times New Roman" w:eastAsia="Times New Roman" w:hAnsi="Times New Roman" w:cs="Times New Roman"/>
            <w:color w:val="0563C1"/>
            <w:sz w:val="24"/>
            <w:szCs w:val="24"/>
            <w:u w:val="single"/>
          </w:rPr>
          <w:t>https://doi.org/10.1371/journal.pone.008</w:t>
        </w:r>
        <w:r>
          <w:rPr>
            <w:rFonts w:ascii="Times New Roman" w:eastAsia="Times New Roman" w:hAnsi="Times New Roman" w:cs="Times New Roman"/>
            <w:color w:val="0563C1"/>
            <w:sz w:val="24"/>
            <w:szCs w:val="24"/>
            <w:u w:val="single"/>
          </w:rPr>
          <w:t>9653</w:t>
        </w:r>
      </w:hyperlink>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Herrera, S., Ochoa-Orozco, S. A., &amp; González, I. J. (2020). Prospects for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malaria vaccines. </w:t>
      </w:r>
      <w:r>
        <w:rPr>
          <w:rFonts w:ascii="Times New Roman" w:eastAsia="Times New Roman" w:hAnsi="Times New Roman" w:cs="Times New Roman"/>
          <w:i/>
          <w:iCs/>
          <w:sz w:val="24"/>
          <w:szCs w:val="24"/>
        </w:rPr>
        <w:t>Frontiers in Cellular and Infection Microbiology, 10</w:t>
      </w:r>
      <w:r>
        <w:rPr>
          <w:rFonts w:ascii="Times New Roman" w:eastAsia="Times New Roman" w:hAnsi="Times New Roman" w:cs="Times New Roman"/>
          <w:sz w:val="24"/>
          <w:szCs w:val="24"/>
        </w:rPr>
        <w:t>, 614611.</w:t>
      </w:r>
      <w:r>
        <w:rPr>
          <w:rFonts w:ascii="Times New Roman" w:eastAsia="Times New Roman" w:hAnsi="Times New Roman" w:cs="Times New Roman"/>
          <w:color w:val="404040"/>
          <w:sz w:val="24"/>
          <w:szCs w:val="24"/>
        </w:rPr>
        <w:t> </w:t>
      </w:r>
      <w:hyperlink r:id="rId22">
        <w:r>
          <w:rPr>
            <w:rFonts w:ascii="Times New Roman" w:eastAsia="Times New Roman" w:hAnsi="Times New Roman" w:cs="Times New Roman"/>
            <w:color w:val="0563C1"/>
            <w:sz w:val="24"/>
            <w:szCs w:val="24"/>
            <w:u w:val="single"/>
          </w:rPr>
          <w:t>https://doi.org/10.3389/fcimb.2020.614611</w:t>
        </w:r>
      </w:hyperlink>
      <w:r>
        <w:rPr>
          <w:rFonts w:ascii="Times New Roman" w:eastAsia="Times New Roman" w:hAnsi="Times New Roman" w:cs="Times New Roman"/>
          <w:sz w:val="24"/>
          <w:szCs w:val="24"/>
        </w:rPr>
        <w:t xml:space="preserve"> </w:t>
      </w:r>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Hoffman, S. L., Vekemans, J., Richie, T. L., &amp; Duffy, P. E. (2015). The march toward malaria vaccines. </w:t>
      </w:r>
      <w:r>
        <w:rPr>
          <w:rFonts w:ascii="Times New Roman" w:eastAsia="Times New Roman" w:hAnsi="Times New Roman" w:cs="Times New Roman"/>
          <w:i/>
          <w:iCs/>
          <w:sz w:val="24"/>
          <w:szCs w:val="24"/>
        </w:rPr>
        <w:t>American Journal of Tropical Medicine and Hygiene, 93</w:t>
      </w:r>
      <w:r>
        <w:rPr>
          <w:rFonts w:ascii="Times New Roman" w:eastAsia="Times New Roman" w:hAnsi="Times New Roman" w:cs="Times New Roman"/>
          <w:sz w:val="24"/>
          <w:szCs w:val="24"/>
        </w:rPr>
        <w:t>(3 Suppl), 1-5</w:t>
      </w:r>
      <w:r>
        <w:rPr>
          <w:rFonts w:ascii="Times New Roman" w:eastAsia="Times New Roman" w:hAnsi="Times New Roman" w:cs="Times New Roman"/>
          <w:color w:val="404040"/>
          <w:sz w:val="24"/>
          <w:szCs w:val="24"/>
        </w:rPr>
        <w:t>. </w:t>
      </w:r>
      <w:hyperlink r:id="rId23">
        <w:r>
          <w:rPr>
            <w:rFonts w:ascii="Times New Roman" w:eastAsia="Times New Roman" w:hAnsi="Times New Roman" w:cs="Times New Roman"/>
            <w:color w:val="0563C1"/>
            <w:sz w:val="24"/>
            <w:szCs w:val="24"/>
            <w:u w:val="single"/>
          </w:rPr>
          <w:t>https://doi.org/10.4269/ajtmh.14-0660</w:t>
        </w:r>
      </w:hyperlink>
      <w:r>
        <w:rPr>
          <w:rFonts w:ascii="Times New Roman" w:eastAsia="Times New Roman" w:hAnsi="Times New Roman" w:cs="Times New Roman"/>
          <w:sz w:val="24"/>
          <w:szCs w:val="24"/>
        </w:rPr>
        <w:t xml:space="preserve"> </w:t>
      </w:r>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Howes, R. E., Battle, K. E., Mendis, K. N., Smith, D. L., Cibulskis, R. E., Baird, J. K., &amp; Hay, S. I. (2015). Global epidemiology of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 xml:space="preserve">The American Journal of Tropical Medicine and </w:t>
      </w:r>
      <w:r>
        <w:rPr>
          <w:rFonts w:ascii="Times New Roman" w:eastAsia="Times New Roman" w:hAnsi="Times New Roman" w:cs="Times New Roman"/>
          <w:i/>
          <w:iCs/>
          <w:sz w:val="24"/>
          <w:szCs w:val="24"/>
        </w:rPr>
        <w:t>Hygiene</w:t>
      </w:r>
      <w:r>
        <w:rPr>
          <w:rFonts w:ascii="Times New Roman" w:eastAsia="Times New Roman" w:hAnsi="Times New Roman" w:cs="Times New Roman"/>
          <w:sz w:val="24"/>
          <w:szCs w:val="24"/>
        </w:rPr>
        <w:t>, *95*(6 Suppl), 15–34. </w:t>
      </w:r>
      <w:hyperlink r:id="rId24">
        <w:r>
          <w:rPr>
            <w:rFonts w:ascii="Times New Roman" w:eastAsia="Times New Roman" w:hAnsi="Times New Roman" w:cs="Times New Roman"/>
            <w:color w:val="0563C1"/>
            <w:sz w:val="24"/>
            <w:szCs w:val="24"/>
            <w:u w:val="single"/>
          </w:rPr>
          <w:t>https://doi.org/10.4269/ajtmh.15-0140</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King, C. L., Adams, J. H., Xainli, J., &amp;</w:t>
      </w:r>
      <w:r>
        <w:rPr>
          <w:rFonts w:ascii="Times New Roman" w:eastAsia="Times New Roman" w:hAnsi="Times New Roman" w:cs="Times New Roman"/>
          <w:sz w:val="24"/>
          <w:szCs w:val="24"/>
        </w:rPr>
        <w:t xml:space="preserve"> King, C. L. (2018). Strategies for designing and monitoring malaria vaccines targeting diverse antigens. </w:t>
      </w:r>
      <w:r>
        <w:rPr>
          <w:rFonts w:ascii="Times New Roman" w:eastAsia="Times New Roman" w:hAnsi="Times New Roman" w:cs="Times New Roman"/>
          <w:i/>
          <w:iCs/>
          <w:sz w:val="24"/>
          <w:szCs w:val="24"/>
        </w:rPr>
        <w:t>Frontiers in Immunology</w:t>
      </w:r>
      <w:r>
        <w:rPr>
          <w:rFonts w:ascii="Times New Roman" w:eastAsia="Times New Roman" w:hAnsi="Times New Roman" w:cs="Times New Roman"/>
          <w:sz w:val="24"/>
          <w:szCs w:val="24"/>
        </w:rPr>
        <w:t>, *9*, Article 221.</w:t>
      </w:r>
      <w:r>
        <w:rPr>
          <w:rFonts w:ascii="Times New Roman" w:eastAsia="Times New Roman" w:hAnsi="Times New Roman" w:cs="Times New Roman"/>
          <w:color w:val="404040"/>
          <w:sz w:val="24"/>
          <w:szCs w:val="24"/>
        </w:rPr>
        <w:t> </w:t>
      </w:r>
      <w:hyperlink r:id="rId25">
        <w:r>
          <w:rPr>
            <w:rFonts w:ascii="Times New Roman" w:eastAsia="Times New Roman" w:hAnsi="Times New Roman" w:cs="Times New Roman"/>
            <w:color w:val="0563C1"/>
            <w:sz w:val="24"/>
            <w:szCs w:val="24"/>
            <w:u w:val="single"/>
          </w:rPr>
          <w:t>https://doi.org/10.3389/fimmu.2018.00221</w:t>
        </w:r>
      </w:hyperlink>
      <w:r>
        <w:rPr>
          <w:rFonts w:ascii="Times New Roman" w:eastAsia="Times New Roman" w:hAnsi="Times New Roman" w:cs="Times New Roman"/>
          <w:color w:val="404040"/>
          <w:sz w:val="24"/>
          <w:szCs w:val="24"/>
        </w:rPr>
        <w:t> </w:t>
      </w:r>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King,</w:t>
      </w:r>
      <w:r>
        <w:rPr>
          <w:rFonts w:ascii="Times New Roman" w:eastAsia="Times New Roman" w:hAnsi="Times New Roman" w:cs="Times New Roman"/>
          <w:sz w:val="24"/>
          <w:szCs w:val="24"/>
        </w:rPr>
        <w:t xml:space="preserve"> C. L., Michon, P., Shakri, A. R., Marcotty, A., Stanisic, D., Zimmerman, P. A., Cole-Tobian, J. L., Mueller, I., Chitnis, C. E., &amp; Cowman, A. F. (2008). Naturally acquired Duffy-binding protein-specific binding inhibitory antibodies confer protection from</w:t>
      </w:r>
      <w:r>
        <w:rPr>
          <w:rFonts w:ascii="Times New Roman" w:eastAsia="Times New Roman" w:hAnsi="Times New Roman" w:cs="Times New Roman"/>
          <w:sz w:val="24"/>
          <w:szCs w:val="24"/>
        </w:rPr>
        <w:t xml:space="preserve"> blood-stage </w:t>
      </w:r>
      <w:r>
        <w:rPr>
          <w:rFonts w:ascii="Times New Roman" w:eastAsia="Times New Roman" w:hAnsi="Times New Roman" w:cs="Times New Roman"/>
          <w:i/>
          <w:iCs/>
          <w:sz w:val="24"/>
          <w:szCs w:val="24"/>
        </w:rPr>
        <w:lastRenderedPageBreak/>
        <w:t>Plasmodium vivax</w:t>
      </w:r>
      <w:r>
        <w:rPr>
          <w:rFonts w:ascii="Times New Roman" w:eastAsia="Times New Roman" w:hAnsi="Times New Roman" w:cs="Times New Roman"/>
          <w:sz w:val="24"/>
          <w:szCs w:val="24"/>
        </w:rPr>
        <w:t xml:space="preserve"> infection. Proceedings of the National Academy of Sciences, 105(24), 8363–8368. </w:t>
      </w:r>
      <w:hyperlink r:id="rId26">
        <w:r>
          <w:rPr>
            <w:rFonts w:ascii="Times New Roman" w:eastAsia="Times New Roman" w:hAnsi="Times New Roman" w:cs="Times New Roman"/>
            <w:color w:val="0563C1"/>
            <w:sz w:val="24"/>
            <w:szCs w:val="24"/>
            <w:u w:val="single"/>
          </w:rPr>
          <w:t>https://doi.org/10.1073/pnas.0800377105</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 xml:space="preserve">Liang, H., Narum, D. L., Fuhrmann, S. R., Luu, </w:t>
      </w:r>
      <w:r>
        <w:rPr>
          <w:rFonts w:ascii="Times New Roman" w:eastAsia="Times New Roman" w:hAnsi="Times New Roman" w:cs="Times New Roman"/>
          <w:sz w:val="24"/>
          <w:szCs w:val="24"/>
        </w:rPr>
        <w:t>T., &amp; Sim, B. K. (2020). A recombinant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merozoite surface protein 1 (PvMSP1) induces antibody responses to the non-synonymous and allelic variant epitopes. </w:t>
      </w:r>
      <w:r>
        <w:rPr>
          <w:rFonts w:ascii="Times New Roman" w:eastAsia="Times New Roman" w:hAnsi="Times New Roman" w:cs="Times New Roman"/>
          <w:i/>
          <w:iCs/>
          <w:sz w:val="24"/>
          <w:szCs w:val="24"/>
        </w:rPr>
        <w:t>Vaccine</w:t>
      </w:r>
      <w:r>
        <w:rPr>
          <w:rFonts w:ascii="Times New Roman" w:eastAsia="Times New Roman" w:hAnsi="Times New Roman" w:cs="Times New Roman"/>
          <w:color w:val="404040"/>
          <w:sz w:val="24"/>
          <w:szCs w:val="24"/>
        </w:rPr>
        <w:t>, *38*(29), 4540–4549. </w:t>
      </w:r>
      <w:hyperlink r:id="rId27">
        <w:r>
          <w:rPr>
            <w:rFonts w:ascii="Times New Roman" w:eastAsia="Times New Roman" w:hAnsi="Times New Roman" w:cs="Times New Roman"/>
            <w:color w:val="0563C1"/>
            <w:sz w:val="24"/>
            <w:szCs w:val="24"/>
            <w:u w:val="single"/>
          </w:rPr>
          <w:t>https://doi.org/10.1016/j.vaccine.2020.04.079</w:t>
        </w:r>
      </w:hyperlink>
      <w:r>
        <w:rPr>
          <w:rFonts w:ascii="Times New Roman" w:eastAsia="Times New Roman" w:hAnsi="Times New Roman" w:cs="Times New Roman"/>
          <w:color w:val="404040"/>
          <w:sz w:val="24"/>
          <w:szCs w:val="24"/>
        </w:rPr>
        <w:t xml:space="preserve"> </w:t>
      </w:r>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R. J., Salman, A. M., Cottingham, M. G., Ewer, K., Janse, C. J., Khan, S. M., Spencer, A. J., &amp; Hill, A. V. S. (2022). Comparative assessment of vaccine platforms for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malaria. </w:t>
      </w:r>
      <w:r>
        <w:rPr>
          <w:rFonts w:ascii="Times New Roman" w:eastAsia="Times New Roman" w:hAnsi="Times New Roman" w:cs="Times New Roman"/>
          <w:i/>
          <w:iCs/>
          <w:sz w:val="24"/>
          <w:szCs w:val="24"/>
        </w:rPr>
        <w:t>npj Vaccines, 7</w:t>
      </w:r>
      <w:r>
        <w:rPr>
          <w:rFonts w:ascii="Times New Roman" w:eastAsia="Times New Roman" w:hAnsi="Times New Roman" w:cs="Times New Roman"/>
          <w:sz w:val="24"/>
          <w:szCs w:val="24"/>
        </w:rPr>
        <w:t xml:space="preserve">(1), 1–12. </w:t>
      </w:r>
      <w:hyperlink r:id="rId28">
        <w:r>
          <w:rPr>
            <w:rFonts w:ascii="Times New Roman" w:eastAsia="Times New Roman" w:hAnsi="Times New Roman" w:cs="Times New Roman"/>
            <w:color w:val="0563C1"/>
            <w:sz w:val="24"/>
            <w:szCs w:val="24"/>
            <w:u w:val="single"/>
          </w:rPr>
          <w:t>https://doi.org/10.1038/s41541-022-00475-0</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Malkin, E. M., Durbin, A. P., Diemert, D. J., Sattabongkot, J., Wu, Y., Miura, K., Long, C. A., Lambert, L., Miles,</w:t>
      </w:r>
      <w:r>
        <w:rPr>
          <w:rFonts w:ascii="Times New Roman" w:eastAsia="Times New Roman" w:hAnsi="Times New Roman" w:cs="Times New Roman"/>
          <w:sz w:val="24"/>
          <w:szCs w:val="24"/>
        </w:rPr>
        <w:t xml:space="preserve"> A. P., Wang, J., Stowers, A., Miller, L. H., &amp; Saul, A. (2005). Phase 1 vaccine trial of Pvs25H: A transmission-blocking vaccine for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malaria. </w:t>
      </w:r>
      <w:r>
        <w:rPr>
          <w:rFonts w:ascii="Times New Roman" w:eastAsia="Times New Roman" w:hAnsi="Times New Roman" w:cs="Times New Roman"/>
          <w:i/>
          <w:iCs/>
          <w:sz w:val="24"/>
          <w:szCs w:val="24"/>
        </w:rPr>
        <w:t>Vaccine, 23</w:t>
      </w:r>
      <w:r>
        <w:rPr>
          <w:rFonts w:ascii="Times New Roman" w:eastAsia="Times New Roman" w:hAnsi="Times New Roman" w:cs="Times New Roman"/>
          <w:sz w:val="24"/>
          <w:szCs w:val="24"/>
        </w:rPr>
        <w:t>(24), 3131–3138</w:t>
      </w:r>
      <w:r>
        <w:rPr>
          <w:rFonts w:ascii="Times New Roman" w:eastAsia="Times New Roman" w:hAnsi="Times New Roman" w:cs="Times New Roman"/>
          <w:b/>
          <w:bCs/>
          <w:color w:val="404040"/>
          <w:sz w:val="24"/>
          <w:szCs w:val="24"/>
        </w:rPr>
        <w:t>.</w:t>
      </w:r>
      <w:hyperlink r:id="rId29">
        <w:r>
          <w:rPr>
            <w:rFonts w:ascii="Times New Roman" w:eastAsia="Times New Roman" w:hAnsi="Times New Roman" w:cs="Times New Roman"/>
            <w:color w:val="0563C1"/>
            <w:sz w:val="24"/>
            <w:szCs w:val="24"/>
            <w:u w:val="single"/>
          </w:rPr>
          <w:t>http</w:t>
        </w:r>
        <w:r>
          <w:rPr>
            <w:rFonts w:ascii="Times New Roman" w:eastAsia="Times New Roman" w:hAnsi="Times New Roman" w:cs="Times New Roman"/>
            <w:color w:val="0563C1"/>
            <w:sz w:val="24"/>
            <w:szCs w:val="24"/>
            <w:u w:val="single"/>
          </w:rPr>
          <w:t>s://doi.org/10.1016/j.vaccine.2004.12.019</w:t>
        </w:r>
      </w:hyperlink>
    </w:p>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Maruggi, G., Ulmer, J. B., Rappuoli, R., &amp; Yu, D. (2023). Self-amplifying mRNA-based vaccine technology and its mode of action. </w:t>
      </w:r>
      <w:r>
        <w:rPr>
          <w:rFonts w:ascii="Times New Roman" w:eastAsia="Times New Roman" w:hAnsi="Times New Roman" w:cs="Times New Roman"/>
          <w:i/>
          <w:iCs/>
          <w:sz w:val="24"/>
          <w:szCs w:val="24"/>
        </w:rPr>
        <w:t>Nature Reviews Immunology</w:t>
      </w:r>
      <w:r>
        <w:rPr>
          <w:rFonts w:ascii="Times New Roman" w:eastAsia="Times New Roman" w:hAnsi="Times New Roman" w:cs="Times New Roman"/>
          <w:sz w:val="24"/>
          <w:szCs w:val="24"/>
        </w:rPr>
        <w:t>, *23*(3), 135–155. </w:t>
      </w:r>
      <w:hyperlink r:id="rId30">
        <w:r>
          <w:rPr>
            <w:rFonts w:ascii="Times New Roman" w:eastAsia="Times New Roman" w:hAnsi="Times New Roman" w:cs="Times New Roman"/>
            <w:color w:val="0563C1"/>
            <w:sz w:val="24"/>
            <w:szCs w:val="24"/>
            <w:u w:val="single"/>
          </w:rPr>
          <w:t>https://doi.org/10.1038/s41577-022-00774-5</w:t>
        </w:r>
      </w:hyperlink>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Molina-Cruz, A., Barillas-Mury, C., &amp; James, A. A. (2015).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immune evasion. </w:t>
      </w:r>
      <w:r>
        <w:rPr>
          <w:rFonts w:ascii="Times New Roman" w:eastAsia="Times New Roman" w:hAnsi="Times New Roman" w:cs="Times New Roman"/>
          <w:i/>
          <w:iCs/>
          <w:sz w:val="24"/>
          <w:szCs w:val="24"/>
        </w:rPr>
        <w:t>PLoS Pathogens</w:t>
      </w:r>
      <w:r>
        <w:rPr>
          <w:rFonts w:ascii="Times New Roman" w:eastAsia="Times New Roman" w:hAnsi="Times New Roman" w:cs="Times New Roman"/>
          <w:sz w:val="24"/>
          <w:szCs w:val="24"/>
        </w:rPr>
        <w:t>, *11*(12), e1005258. </w:t>
      </w:r>
      <w:hyperlink r:id="rId31">
        <w:r>
          <w:rPr>
            <w:rFonts w:ascii="Times New Roman" w:eastAsia="Times New Roman" w:hAnsi="Times New Roman" w:cs="Times New Roman"/>
            <w:color w:val="0563C1"/>
            <w:sz w:val="24"/>
            <w:szCs w:val="24"/>
            <w:u w:val="single"/>
          </w:rPr>
          <w:t>https://doi.org/10.1371/journal.ppat.1005258</w:t>
        </w:r>
      </w:hyperlink>
    </w:p>
    <w:p w:rsidR="00552850" w:rsidRDefault="001C69D4">
      <w:pPr>
        <w:pBdr>
          <w:top w:val="nil"/>
          <w:left w:val="nil"/>
          <w:bottom w:val="nil"/>
          <w:right w:val="nil"/>
          <w:between w:val="nil"/>
        </w:pBd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000000"/>
          <w:sz w:val="24"/>
          <w:szCs w:val="24"/>
        </w:rPr>
        <w:t>Moreno-Pérez, D. A., Areiza-Rojas, R., Flórez-Buitrago, X., Silva, Y., Patarroyo, M. A. (2017). The Plasmodium vivax thrombospondin-related adhesive protein (PvTRAP): genetic diversity and functional domains. In</w:t>
      </w:r>
      <w:r>
        <w:rPr>
          <w:rFonts w:ascii="Times New Roman" w:eastAsia="Times New Roman" w:hAnsi="Times New Roman" w:cs="Times New Roman"/>
          <w:color w:val="000000"/>
          <w:sz w:val="24"/>
          <w:szCs w:val="24"/>
        </w:rPr>
        <w:t xml:space="preserve">fection, Genetics and Evolution, 50, 43–52. </w:t>
      </w:r>
      <w:hyperlink r:id="rId32">
        <w:r>
          <w:rPr>
            <w:rFonts w:ascii="Times New Roman" w:eastAsia="Times New Roman" w:hAnsi="Times New Roman" w:cs="Times New Roman"/>
            <w:color w:val="0563C1"/>
            <w:sz w:val="24"/>
            <w:szCs w:val="24"/>
            <w:u w:val="single"/>
          </w:rPr>
          <w:t>https://doi.org/10.1016/j.meegid.2017.02.007</w:t>
        </w:r>
      </w:hyperlink>
    </w:p>
    <w:p w:rsidR="00552850" w:rsidRDefault="001C6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Mueller, I., Galinski, M. R., Tsuboi, T., &amp;</w:t>
      </w:r>
      <w:r>
        <w:rPr>
          <w:rFonts w:ascii="Times New Roman" w:eastAsia="Times New Roman" w:hAnsi="Times New Roman" w:cs="Times New Roman"/>
          <w:sz w:val="24"/>
          <w:szCs w:val="24"/>
        </w:rPr>
        <w:t xml:space="preserve"> Arevalo-Herrera, M. (2009). Natural acquisition of immunity to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Epidemiological observations and potential targets. </w:t>
      </w:r>
      <w:r>
        <w:rPr>
          <w:rFonts w:ascii="Times New Roman" w:eastAsia="Times New Roman" w:hAnsi="Times New Roman" w:cs="Times New Roman"/>
          <w:i/>
          <w:iCs/>
          <w:sz w:val="24"/>
          <w:szCs w:val="24"/>
        </w:rPr>
        <w:t>Parasitology International, 58</w:t>
      </w:r>
      <w:r>
        <w:rPr>
          <w:rFonts w:ascii="Times New Roman" w:eastAsia="Times New Roman" w:hAnsi="Times New Roman" w:cs="Times New Roman"/>
          <w:sz w:val="24"/>
          <w:szCs w:val="24"/>
        </w:rPr>
        <w:t>(3), 215–223.</w:t>
      </w:r>
    </w:p>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Payne, R. O., Silk, S. E., Elias, S. C., Milne, K. H., Rawlinson, T. A., Llewe</w:t>
      </w:r>
      <w:r>
        <w:rPr>
          <w:rFonts w:ascii="Times New Roman" w:eastAsia="Times New Roman" w:hAnsi="Times New Roman" w:cs="Times New Roman"/>
          <w:sz w:val="24"/>
          <w:szCs w:val="24"/>
        </w:rPr>
        <w:t>llyn, D., ... &amp; Draper, S. J. (2017). Human vaccination against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Duffy-binding protein induces strain-transcending antibodies. </w:t>
      </w:r>
      <w:r>
        <w:rPr>
          <w:rFonts w:ascii="Times New Roman" w:eastAsia="Times New Roman" w:hAnsi="Times New Roman" w:cs="Times New Roman"/>
          <w:i/>
          <w:iCs/>
          <w:sz w:val="24"/>
          <w:szCs w:val="24"/>
        </w:rPr>
        <w:t>JCI Insight</w:t>
      </w:r>
      <w:r>
        <w:rPr>
          <w:rFonts w:ascii="Times New Roman" w:eastAsia="Times New Roman" w:hAnsi="Times New Roman" w:cs="Times New Roman"/>
          <w:sz w:val="24"/>
          <w:szCs w:val="24"/>
        </w:rPr>
        <w:t>, *2*(12), e93683. </w:t>
      </w:r>
      <w:hyperlink r:id="rId33">
        <w:r>
          <w:rPr>
            <w:rFonts w:ascii="Times New Roman" w:eastAsia="Times New Roman" w:hAnsi="Times New Roman" w:cs="Times New Roman"/>
            <w:color w:val="0563C1"/>
            <w:sz w:val="24"/>
            <w:szCs w:val="24"/>
            <w:u w:val="single"/>
          </w:rPr>
          <w:t>https://doi.org/10.117</w:t>
        </w:r>
        <w:r>
          <w:rPr>
            <w:rFonts w:ascii="Times New Roman" w:eastAsia="Times New Roman" w:hAnsi="Times New Roman" w:cs="Times New Roman"/>
            <w:color w:val="0563C1"/>
            <w:sz w:val="24"/>
            <w:szCs w:val="24"/>
            <w:u w:val="single"/>
          </w:rPr>
          <w:t>2/jci.insight.93683</w:t>
        </w:r>
      </w:hyperlink>
    </w:p>
    <w:p w:rsidR="00552850" w:rsidRDefault="001C69D4">
      <w:pPr>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t xml:space="preserve">Perera, K. L., Handunnetti, S. M., Holm, I., Longacre, S., &amp; Mendis, K. (1998). Immunogenicity of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Duffy binding protein in humans. </w:t>
      </w:r>
      <w:r>
        <w:rPr>
          <w:rFonts w:ascii="Times New Roman" w:eastAsia="Times New Roman" w:hAnsi="Times New Roman" w:cs="Times New Roman"/>
          <w:i/>
          <w:iCs/>
          <w:sz w:val="24"/>
          <w:szCs w:val="24"/>
        </w:rPr>
        <w:t>The American Journal of Tropical Medicine and Hygiene, 59</w:t>
      </w:r>
      <w:r>
        <w:rPr>
          <w:rFonts w:ascii="Times New Roman" w:eastAsia="Times New Roman" w:hAnsi="Times New Roman" w:cs="Times New Roman"/>
          <w:sz w:val="24"/>
          <w:szCs w:val="24"/>
        </w:rPr>
        <w:t xml:space="preserve">(4), 597–599. </w:t>
      </w:r>
      <w:hyperlink r:id="rId34">
        <w:r>
          <w:rPr>
            <w:rFonts w:ascii="Times New Roman" w:eastAsia="Times New Roman" w:hAnsi="Times New Roman" w:cs="Times New Roman"/>
            <w:color w:val="0563C1"/>
            <w:sz w:val="24"/>
            <w:szCs w:val="24"/>
            <w:u w:val="single"/>
          </w:rPr>
          <w:t>https://doi.org/10.4269/ajtmh.1998.59.597</w:t>
        </w:r>
      </w:hyperlink>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Popovici, J., &amp; Ménard, D. (2015). Challenges in antimalarial drug treatment for vivax malaria control. </w:t>
      </w:r>
      <w:r>
        <w:rPr>
          <w:rFonts w:ascii="Times New Roman" w:eastAsia="Times New Roman" w:hAnsi="Times New Roman" w:cs="Times New Roman"/>
          <w:i/>
          <w:iCs/>
          <w:sz w:val="24"/>
          <w:szCs w:val="24"/>
        </w:rPr>
        <w:t>Trends in Molecular Medicine</w:t>
      </w:r>
      <w:r>
        <w:rPr>
          <w:rFonts w:ascii="Times New Roman" w:eastAsia="Times New Roman" w:hAnsi="Times New Roman" w:cs="Times New Roman"/>
          <w:sz w:val="24"/>
          <w:szCs w:val="24"/>
        </w:rPr>
        <w:t>, *21*(12), 776–788. </w:t>
      </w:r>
      <w:hyperlink r:id="rId35">
        <w:r>
          <w:rPr>
            <w:rFonts w:ascii="Times New Roman" w:eastAsia="Times New Roman" w:hAnsi="Times New Roman" w:cs="Times New Roman"/>
            <w:color w:val="0563C1"/>
            <w:sz w:val="24"/>
            <w:szCs w:val="24"/>
            <w:u w:val="single"/>
          </w:rPr>
          <w:t>https://doi.org/10.1016/j.molmed.2015.10.004</w:t>
        </w:r>
      </w:hyperlink>
    </w:p>
    <w:p w:rsidR="00552850" w:rsidRDefault="001C6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Price, R. N., Tjitra, E., Guerra, C. A., Yeung, S., White, N. J., &amp; Anstey, N. M. (2007). Vivax malaria: Neglected and not benign. </w:t>
      </w:r>
      <w:r>
        <w:rPr>
          <w:rFonts w:ascii="Times New Roman" w:eastAsia="Times New Roman" w:hAnsi="Times New Roman" w:cs="Times New Roman"/>
          <w:i/>
          <w:iCs/>
          <w:sz w:val="24"/>
          <w:szCs w:val="24"/>
        </w:rPr>
        <w:t xml:space="preserve">The American Journal of Tropical </w:t>
      </w:r>
      <w:r>
        <w:rPr>
          <w:rFonts w:ascii="Times New Roman" w:eastAsia="Times New Roman" w:hAnsi="Times New Roman" w:cs="Times New Roman"/>
          <w:i/>
          <w:iCs/>
          <w:sz w:val="24"/>
          <w:szCs w:val="24"/>
        </w:rPr>
        <w:t>Medicine and Hygiene, 77</w:t>
      </w:r>
      <w:r>
        <w:rPr>
          <w:rFonts w:ascii="Times New Roman" w:eastAsia="Times New Roman" w:hAnsi="Times New Roman" w:cs="Times New Roman"/>
          <w:sz w:val="24"/>
          <w:szCs w:val="24"/>
        </w:rPr>
        <w:t>(6 Suppl.), 79–87.</w:t>
      </w:r>
    </w:p>
    <w:p w:rsidR="00552850" w:rsidRDefault="001C6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Rahimi, B. A., Thakkinstian, A., White, N. J., Sirivichayakul, C., &amp; Dondorp, A. M. (2014). Severe vivax malaria: A systematic review and meta-analysis of clinical studies. </w:t>
      </w:r>
      <w:r>
        <w:rPr>
          <w:rFonts w:ascii="Times New Roman" w:eastAsia="Times New Roman" w:hAnsi="Times New Roman" w:cs="Times New Roman"/>
          <w:i/>
          <w:iCs/>
          <w:sz w:val="24"/>
          <w:szCs w:val="24"/>
        </w:rPr>
        <w:t>PLoS Neglected Tropical Diseases, 8</w:t>
      </w: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 xml:space="preserve">Article e3077. </w:t>
      </w:r>
      <w:hyperlink r:id="rId36">
        <w:r>
          <w:rPr>
            <w:rFonts w:ascii="Times New Roman" w:eastAsia="Times New Roman" w:hAnsi="Times New Roman" w:cs="Times New Roman"/>
            <w:color w:val="0563C1"/>
            <w:sz w:val="24"/>
            <w:szCs w:val="24"/>
            <w:u w:val="single"/>
          </w:rPr>
          <w:t>https://doi.org/10.1371/journal.pntd.0003077</w:t>
        </w:r>
      </w:hyperlink>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Reyes-Sandoval, A., Bachmann, M. F., &amp; Acosta, A. (2021).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vaccines: Why are we where we are? Molecular Aspects of Medicine, 80, 100962. </w:t>
      </w:r>
      <w:hyperlink r:id="rId37">
        <w:r>
          <w:rPr>
            <w:rFonts w:ascii="Times New Roman" w:eastAsia="Times New Roman" w:hAnsi="Times New Roman" w:cs="Times New Roman"/>
            <w:color w:val="0563C1"/>
            <w:sz w:val="24"/>
            <w:szCs w:val="24"/>
            <w:u w:val="single"/>
          </w:rPr>
          <w:t>https://doi.org/10.1016/j.mam.2021.100962</w:t>
        </w:r>
      </w:hyperlink>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Roobsoong, W., Tharinjaroen, C. S., Sattabongkot, J., &amp; Cui, L. (2023). Ad</w:t>
      </w:r>
      <w:r>
        <w:rPr>
          <w:rFonts w:ascii="Times New Roman" w:eastAsia="Times New Roman" w:hAnsi="Times New Roman" w:cs="Times New Roman"/>
          <w:sz w:val="24"/>
          <w:szCs w:val="24"/>
        </w:rPr>
        <w:t xml:space="preserve">vances and challenges in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culture systems for vaccine and drug development. </w:t>
      </w:r>
      <w:r>
        <w:rPr>
          <w:rFonts w:ascii="Times New Roman" w:eastAsia="Times New Roman" w:hAnsi="Times New Roman" w:cs="Times New Roman"/>
          <w:i/>
          <w:iCs/>
          <w:sz w:val="24"/>
          <w:szCs w:val="24"/>
        </w:rPr>
        <w:t>Frontiers in Cellular and Infection Microbiology, 13</w:t>
      </w:r>
      <w:r>
        <w:rPr>
          <w:rFonts w:ascii="Times New Roman" w:eastAsia="Times New Roman" w:hAnsi="Times New Roman" w:cs="Times New Roman"/>
          <w:sz w:val="24"/>
          <w:szCs w:val="24"/>
        </w:rPr>
        <w:t xml:space="preserve">, Article 1182456. </w:t>
      </w:r>
      <w:hyperlink r:id="rId38">
        <w:r>
          <w:rPr>
            <w:rFonts w:ascii="Times New Roman" w:eastAsia="Times New Roman" w:hAnsi="Times New Roman" w:cs="Times New Roman"/>
            <w:color w:val="0563C1"/>
            <w:sz w:val="24"/>
            <w:szCs w:val="24"/>
            <w:u w:val="single"/>
          </w:rPr>
          <w:t>https://doi.org/10.3389/fcimb.2</w:t>
        </w:r>
        <w:r>
          <w:rPr>
            <w:rFonts w:ascii="Times New Roman" w:eastAsia="Times New Roman" w:hAnsi="Times New Roman" w:cs="Times New Roman"/>
            <w:color w:val="0563C1"/>
            <w:sz w:val="24"/>
            <w:szCs w:val="24"/>
            <w:u w:val="single"/>
          </w:rPr>
          <w:t>023.1182456</w:t>
        </w:r>
      </w:hyperlink>
    </w:p>
    <w:p w:rsidR="00552850" w:rsidRDefault="001C6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Scaria, P. V., Rowe, C. G., Chen, L., McLeod, B., Nguyen, T., &amp; Locke, E. (2022). mRNA vaccines against malaria. </w:t>
      </w:r>
      <w:r>
        <w:rPr>
          <w:rFonts w:ascii="Times New Roman" w:eastAsia="Times New Roman" w:hAnsi="Times New Roman" w:cs="Times New Roman"/>
          <w:i/>
          <w:iCs/>
          <w:sz w:val="24"/>
          <w:szCs w:val="24"/>
        </w:rPr>
        <w:t>Tropical Medicine and Infectious Disease</w:t>
      </w:r>
      <w:r>
        <w:rPr>
          <w:rFonts w:ascii="Times New Roman" w:eastAsia="Times New Roman" w:hAnsi="Times New Roman" w:cs="Times New Roman"/>
          <w:sz w:val="24"/>
          <w:szCs w:val="24"/>
        </w:rPr>
        <w:t>, *7**(10), 305. </w:t>
      </w:r>
      <w:hyperlink r:id="rId39">
        <w:r>
          <w:rPr>
            <w:rFonts w:ascii="Times New Roman" w:eastAsia="Times New Roman" w:hAnsi="Times New Roman" w:cs="Times New Roman"/>
            <w:color w:val="0563C1"/>
            <w:sz w:val="24"/>
            <w:szCs w:val="24"/>
            <w:u w:val="single"/>
          </w:rPr>
          <w:t>https://doi.</w:t>
        </w:r>
        <w:r>
          <w:rPr>
            <w:rFonts w:ascii="Times New Roman" w:eastAsia="Times New Roman" w:hAnsi="Times New Roman" w:cs="Times New Roman"/>
            <w:color w:val="0563C1"/>
            <w:sz w:val="24"/>
            <w:szCs w:val="24"/>
            <w:u w:val="single"/>
          </w:rPr>
          <w:t>org/10.3390/tropicalmed7100305</w:t>
        </w:r>
      </w:hyperlink>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K., Mukherjee, P., Shakri, A. R., Singh, A., Pandey, G., Bakshi, M., ... &amp; Chitnis, C. E. (2020). Malaria vaccine candidate based on Duffy-binding protein elicits strain-transcending functional antibodies in a Phase I </w:t>
      </w:r>
      <w:r>
        <w:rPr>
          <w:rFonts w:ascii="Times New Roman" w:eastAsia="Times New Roman" w:hAnsi="Times New Roman" w:cs="Times New Roman"/>
          <w:sz w:val="24"/>
          <w:szCs w:val="24"/>
        </w:rPr>
        <w:t xml:space="preserve">trial. Vaccine, 38(29), 4540–4549. </w:t>
      </w:r>
      <w:hyperlink r:id="rId40">
        <w:r>
          <w:rPr>
            <w:rFonts w:ascii="Times New Roman" w:eastAsia="Times New Roman" w:hAnsi="Times New Roman" w:cs="Times New Roman"/>
            <w:color w:val="0563C1"/>
            <w:sz w:val="24"/>
            <w:szCs w:val="24"/>
            <w:u w:val="single"/>
          </w:rPr>
          <w:t>https://doi.org/10.1016/j.vaccine.2020.02.056</w:t>
        </w:r>
      </w:hyperlink>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Stanisic, D. I., McCarthy, J. S., &amp; Good, M. F. (2018). Controlled human malaria infection: Applications, adva</w:t>
      </w:r>
      <w:r>
        <w:rPr>
          <w:rFonts w:ascii="Times New Roman" w:eastAsia="Times New Roman" w:hAnsi="Times New Roman" w:cs="Times New Roman"/>
          <w:sz w:val="24"/>
          <w:szCs w:val="24"/>
        </w:rPr>
        <w:t xml:space="preserve">nces, and challenges. Infection and Immunity, 86(1), e00479-17. </w:t>
      </w:r>
      <w:hyperlink r:id="rId41">
        <w:r>
          <w:rPr>
            <w:rFonts w:ascii="Times New Roman" w:eastAsia="Times New Roman" w:hAnsi="Times New Roman" w:cs="Times New Roman"/>
            <w:color w:val="0563C1"/>
            <w:sz w:val="24"/>
            <w:szCs w:val="24"/>
            <w:u w:val="single"/>
          </w:rPr>
          <w:t>https://doi.org/10.3389/fimmu.2018.02218</w:t>
        </w:r>
      </w:hyperlink>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Tsuboi, T., Kaslow, D. C., Gozar, M. M., Tachibana, M., Cao, Y. M., &amp; Torii, M. (1998). Seq</w:t>
      </w:r>
      <w:r>
        <w:rPr>
          <w:rFonts w:ascii="Times New Roman" w:eastAsia="Times New Roman" w:hAnsi="Times New Roman" w:cs="Times New Roman"/>
          <w:sz w:val="24"/>
          <w:szCs w:val="24"/>
        </w:rPr>
        <w:t>uence polymorphism in two novel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ookinete surface proteins, Pvs25 and Pvs28, that are malaria transmission-blocking vaccine candidates. </w:t>
      </w:r>
      <w:r>
        <w:rPr>
          <w:rFonts w:ascii="Times New Roman" w:eastAsia="Times New Roman" w:hAnsi="Times New Roman" w:cs="Times New Roman"/>
          <w:i/>
          <w:iCs/>
          <w:sz w:val="24"/>
          <w:szCs w:val="24"/>
        </w:rPr>
        <w:t>Molecular Medicine</w:t>
      </w:r>
      <w:r>
        <w:rPr>
          <w:rFonts w:ascii="Times New Roman" w:eastAsia="Times New Roman" w:hAnsi="Times New Roman" w:cs="Times New Roman"/>
          <w:sz w:val="24"/>
          <w:szCs w:val="24"/>
        </w:rPr>
        <w:t>, *4*(12), 772–782. </w:t>
      </w:r>
      <w:hyperlink r:id="rId42">
        <w:r>
          <w:rPr>
            <w:rFonts w:ascii="Times New Roman" w:eastAsia="Times New Roman" w:hAnsi="Times New Roman" w:cs="Times New Roman"/>
            <w:color w:val="0563C1"/>
            <w:sz w:val="24"/>
            <w:szCs w:val="24"/>
            <w:u w:val="single"/>
          </w:rPr>
          <w:t>https</w:t>
        </w:r>
        <w:r>
          <w:rPr>
            <w:rFonts w:ascii="Times New Roman" w:eastAsia="Times New Roman" w:hAnsi="Times New Roman" w:cs="Times New Roman"/>
            <w:color w:val="0563C1"/>
            <w:sz w:val="24"/>
            <w:szCs w:val="24"/>
            <w:u w:val="single"/>
          </w:rPr>
          <w:t>://doi.org/10.1007/s11904-998-0001-1</w:t>
        </w:r>
      </w:hyperlink>
    </w:p>
    <w:p w:rsidR="00552850" w:rsidRDefault="001C69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Veiga, M. I., Ferreira, P. E., &amp; Mueller, I. (2023). Genetic diversity and vaccine challenges in </w:t>
      </w:r>
      <w:r>
        <w:rPr>
          <w:rFonts w:ascii="Times New Roman" w:eastAsia="Times New Roman" w:hAnsi="Times New Roman" w:cs="Times New Roman"/>
          <w:i/>
          <w:iCs/>
          <w:sz w:val="24"/>
          <w:szCs w:val="24"/>
        </w:rPr>
        <w:t>Plasmodium vivax</w:t>
      </w:r>
      <w:r>
        <w:rPr>
          <w:rFonts w:ascii="Times New Roman" w:eastAsia="Times New Roman" w:hAnsi="Times New Roman" w:cs="Times New Roman"/>
          <w:sz w:val="24"/>
          <w:szCs w:val="24"/>
        </w:rPr>
        <w:t xml:space="preserve">. Frontiers in Immunology, 13, 910236. </w:t>
      </w:r>
      <w:hyperlink r:id="rId43">
        <w:r>
          <w:rPr>
            <w:rFonts w:ascii="Times New Roman" w:eastAsia="Times New Roman" w:hAnsi="Times New Roman" w:cs="Times New Roman"/>
            <w:color w:val="0563C1"/>
            <w:sz w:val="24"/>
            <w:szCs w:val="24"/>
            <w:u w:val="single"/>
          </w:rPr>
          <w:t>https:</w:t>
        </w:r>
        <w:r>
          <w:rPr>
            <w:rFonts w:ascii="Times New Roman" w:eastAsia="Times New Roman" w:hAnsi="Times New Roman" w:cs="Times New Roman"/>
            <w:color w:val="0563C1"/>
            <w:sz w:val="24"/>
            <w:szCs w:val="24"/>
            <w:u w:val="single"/>
          </w:rPr>
          <w:t>//doi.org/10.3389/fimmu.2022.910236</w:t>
        </w:r>
      </w:hyperlink>
    </w:p>
    <w:p w:rsidR="00552850" w:rsidRDefault="001C69D4">
      <w:pPr>
        <w:pBdr>
          <w:top w:val="nil"/>
          <w:left w:val="nil"/>
          <w:bottom w:val="nil"/>
          <w:right w:val="nil"/>
          <w:between w:val="nil"/>
        </w:pBdr>
        <w:spacing w:before="280" w:after="280" w:line="24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000000"/>
          <w:sz w:val="24"/>
          <w:szCs w:val="24"/>
        </w:rPr>
        <w:t>Wells, T. N. C., Burrows, J. N., &amp; Baird, J. K. (2010). Targeting the hypnozoite reservoir of Plasmodium vivax: The hidden obstacle to malaria elimination. Trends in Parasitology, *26*(3), 145–152.</w:t>
      </w:r>
      <w:r>
        <w:rPr>
          <w:rFonts w:ascii="Times New Roman" w:eastAsia="Times New Roman" w:hAnsi="Times New Roman" w:cs="Times New Roman"/>
          <w:color w:val="404040"/>
          <w:sz w:val="24"/>
          <w:szCs w:val="24"/>
        </w:rPr>
        <w:t xml:space="preserve"> </w:t>
      </w:r>
      <w:hyperlink r:id="rId44">
        <w:r>
          <w:rPr>
            <w:rFonts w:ascii="Times New Roman" w:eastAsia="Times New Roman" w:hAnsi="Times New Roman" w:cs="Times New Roman"/>
            <w:color w:val="0563C1"/>
            <w:sz w:val="24"/>
            <w:szCs w:val="24"/>
            <w:u w:val="single"/>
          </w:rPr>
          <w:t>https://doi.org/10.1016/j.pt.2009.12.002</w:t>
        </w:r>
      </w:hyperlink>
    </w:p>
    <w:p w:rsidR="00552850" w:rsidRDefault="001C6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(2024). </w:t>
      </w:r>
      <w:r>
        <w:rPr>
          <w:rFonts w:ascii="Times New Roman" w:eastAsia="Times New Roman" w:hAnsi="Times New Roman" w:cs="Times New Roman"/>
          <w:i/>
          <w:iCs/>
          <w:sz w:val="24"/>
          <w:szCs w:val="24"/>
        </w:rPr>
        <w:t>World malaria report 2024</w:t>
      </w:r>
      <w:r>
        <w:rPr>
          <w:rFonts w:ascii="Times New Roman" w:eastAsia="Times New Roman" w:hAnsi="Times New Roman" w:cs="Times New Roman"/>
          <w:sz w:val="24"/>
          <w:szCs w:val="24"/>
        </w:rPr>
        <w:t>. World Health Organization.</w:t>
      </w:r>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World Health Organization. (2025). </w:t>
      </w:r>
      <w:r>
        <w:rPr>
          <w:rFonts w:ascii="Times New Roman" w:eastAsia="Times New Roman" w:hAnsi="Times New Roman" w:cs="Times New Roman"/>
          <w:i/>
          <w:iCs/>
          <w:color w:val="000000"/>
          <w:sz w:val="24"/>
          <w:szCs w:val="24"/>
        </w:rPr>
        <w:t>World malaria report 2025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EE0000"/>
          <w:sz w:val="24"/>
          <w:szCs w:val="24"/>
        </w:rPr>
        <w:t> </w:t>
      </w:r>
      <w:hyperlink r:id="rId45">
        <w:r>
          <w:rPr>
            <w:rFonts w:ascii="Times New Roman" w:eastAsia="Times New Roman" w:hAnsi="Times New Roman" w:cs="Times New Roman"/>
            <w:color w:val="0563C1"/>
            <w:sz w:val="24"/>
            <w:szCs w:val="24"/>
            <w:u w:val="single"/>
          </w:rPr>
          <w:t>https://www.who.int/publications/i/item/9789240086173</w:t>
        </w:r>
      </w:hyperlink>
    </w:p>
    <w:p w:rsidR="00552850" w:rsidRDefault="001C6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Wu, Y., Ellis, R. D., Shaffer, D., Fontes, E., Malkin, E. M., Mahanty, S., ... &amp; Miller, L. H. (2008). Phase 1 trial of malaria tra</w:t>
      </w:r>
      <w:r>
        <w:rPr>
          <w:rFonts w:ascii="Times New Roman" w:eastAsia="Times New Roman" w:hAnsi="Times New Roman" w:cs="Times New Roman"/>
          <w:sz w:val="24"/>
          <w:szCs w:val="24"/>
        </w:rPr>
        <w:t xml:space="preserve">nsmission blocking vaccine candidates Pfs25 and Pvs25 formulated with montanide ISA 51. PLOS ONE, 3(7), e2636. </w:t>
      </w:r>
      <w:hyperlink r:id="rId46">
        <w:r>
          <w:rPr>
            <w:rFonts w:ascii="Times New Roman" w:eastAsia="Times New Roman" w:hAnsi="Times New Roman" w:cs="Times New Roman"/>
            <w:color w:val="0563C1"/>
            <w:sz w:val="24"/>
            <w:szCs w:val="24"/>
            <w:u w:val="single"/>
          </w:rPr>
          <w:t>https://doi.org/10.1371/journal.pone.0002636</w:t>
        </w:r>
      </w:hyperlink>
    </w:p>
    <w:p w:rsidR="00552850" w:rsidRDefault="00552850">
      <w:pPr>
        <w:spacing w:line="360" w:lineRule="auto"/>
        <w:rPr>
          <w:rFonts w:ascii="Times New Roman" w:eastAsia="Times New Roman" w:hAnsi="Times New Roman" w:cs="Times New Roman"/>
          <w:sz w:val="24"/>
          <w:szCs w:val="24"/>
        </w:rPr>
      </w:pPr>
    </w:p>
    <w:p w:rsidR="00552850" w:rsidRDefault="00552850">
      <w:pPr>
        <w:spacing w:line="360" w:lineRule="auto"/>
        <w:rPr>
          <w:rFonts w:ascii="Times New Roman" w:eastAsia="Times New Roman" w:hAnsi="Times New Roman" w:cs="Times New Roman"/>
          <w:sz w:val="24"/>
          <w:szCs w:val="24"/>
        </w:rPr>
      </w:pPr>
    </w:p>
    <w:p w:rsidR="00552850" w:rsidRDefault="00552850">
      <w:pPr>
        <w:spacing w:line="360" w:lineRule="auto"/>
        <w:rPr>
          <w:rFonts w:ascii="Times New Roman" w:eastAsia="Times New Roman" w:hAnsi="Times New Roman" w:cs="Times New Roman"/>
          <w:sz w:val="24"/>
          <w:szCs w:val="24"/>
        </w:rPr>
      </w:pPr>
    </w:p>
    <w:sectPr w:rsidR="0055285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2B95330C-5BFA-4BE6-AD56-9340B419EEBE}"/>
    <w:embedBold r:id="rId2" w:fontKey="{D2489E76-E537-4E49-9605-D28BED472F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BADA06B-8306-4CAA-96A1-F1BA2378A2A0}"/>
  </w:font>
  <w:font w:name="Cambria">
    <w:panose1 w:val="02040503050406030204"/>
    <w:charset w:val="00"/>
    <w:family w:val="roman"/>
    <w:pitch w:val="variable"/>
    <w:sig w:usb0="E00006FF" w:usb1="420024FF" w:usb2="02000000" w:usb3="00000000" w:csb0="0000019F" w:csb1="00000000"/>
    <w:embedRegular r:id="rId4" w:fontKey="{A9659F9A-4A47-4135-9BF5-EAAF6436D47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51ABB"/>
    <w:multiLevelType w:val="multilevel"/>
    <w:tmpl w:val="753ACF50"/>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defaultTabStop w:val="720"/>
  <w:characterSpacingControl w:val="doNotCompress"/>
  <w:compat>
    <w:compatSetting w:name="compatibilityMode" w:uri="http://schemas.microsoft.com/office/word" w:val="14"/>
  </w:compat>
  <w:rsids>
    <w:rsidRoot w:val="00552850"/>
    <w:rsid w:val="001C69D4"/>
    <w:rsid w:val="005528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1038/s41564-020-0740-y" TargetMode="External"/><Relationship Id="rId18" Type="http://schemas.openxmlformats.org/officeDocument/2006/relationships/hyperlink" Target="https://doi.org/10.1016/j.chom.2018.06.008" TargetMode="External"/><Relationship Id="rId26" Type="http://schemas.openxmlformats.org/officeDocument/2006/relationships/hyperlink" Target="https://doi.org/10.1073/pnas.0800377105" TargetMode="External"/><Relationship Id="rId39" Type="http://schemas.openxmlformats.org/officeDocument/2006/relationships/hyperlink" Target="https://doi.org/10.3390/tropicalmed7100305" TargetMode="External"/><Relationship Id="rId21" Type="http://schemas.openxmlformats.org/officeDocument/2006/relationships/hyperlink" Target="https://doi.org/10.1371/journal.pone.0089653" TargetMode="External"/><Relationship Id="rId34" Type="http://schemas.openxmlformats.org/officeDocument/2006/relationships/hyperlink" Target="https://doi.org/10.4269/ajtmh.1998.59.597" TargetMode="External"/><Relationship Id="rId42" Type="http://schemas.openxmlformats.org/officeDocument/2006/relationships/hyperlink" Target="https://doi.org/10.1007/s11904-998-0001-1" TargetMode="External"/><Relationship Id="rId47" Type="http://schemas.openxmlformats.org/officeDocument/2006/relationships/fontTable" Target="fontTable.xml"/><Relationship Id="rId7" Type="http://schemas.openxmlformats.org/officeDocument/2006/relationships/hyperlink" Target="https://doi.org/10.4161/hv.6.1.10370" TargetMode="External"/><Relationship Id="rId2" Type="http://schemas.openxmlformats.org/officeDocument/2006/relationships/styles" Target="styles.xml"/><Relationship Id="rId16" Type="http://schemas.openxmlformats.org/officeDocument/2006/relationships/hyperlink" Target="https://doi.org/10.1016/j.cell.2016.07.055" TargetMode="External"/><Relationship Id="rId29" Type="http://schemas.openxmlformats.org/officeDocument/2006/relationships/hyperlink" Target="https://doi.org/10.1016/j.vaccine.2004.12.01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371/journal.pntd.0006596" TargetMode="External"/><Relationship Id="rId24" Type="http://schemas.openxmlformats.org/officeDocument/2006/relationships/hyperlink" Target="https://doi.org/10.4269/ajtmh.15-0140" TargetMode="External"/><Relationship Id="rId32" Type="http://schemas.openxmlformats.org/officeDocument/2006/relationships/hyperlink" Target="https://doi.org/10.1016/j.meegid.2017.02.007" TargetMode="External"/><Relationship Id="rId37" Type="http://schemas.openxmlformats.org/officeDocument/2006/relationships/hyperlink" Target="https://doi.org/10.1016/j.mam.2021.100962" TargetMode="External"/><Relationship Id="rId40" Type="http://schemas.openxmlformats.org/officeDocument/2006/relationships/hyperlink" Target="https://doi.org/10.1016/j.vaccine.2020.02.056" TargetMode="External"/><Relationship Id="rId45" Type="http://schemas.openxmlformats.org/officeDocument/2006/relationships/hyperlink" Target="https://www.who.int/publications/i/item/9789240086173" TargetMode="External"/><Relationship Id="rId5" Type="http://schemas.openxmlformats.org/officeDocument/2006/relationships/webSettings" Target="webSettings.xml"/><Relationship Id="rId15" Type="http://schemas.openxmlformats.org/officeDocument/2006/relationships/hyperlink" Target="https://doi.org/10.1016/j.coi.2022.102208" TargetMode="External"/><Relationship Id="rId23" Type="http://schemas.openxmlformats.org/officeDocument/2006/relationships/hyperlink" Target="https://doi.org/10.4269/ajtmh.14-0660%20" TargetMode="External"/><Relationship Id="rId28" Type="http://schemas.openxmlformats.org/officeDocument/2006/relationships/hyperlink" Target="https://doi.org/10.1038/s41541-022-00475-0" TargetMode="External"/><Relationship Id="rId36" Type="http://schemas.openxmlformats.org/officeDocument/2006/relationships/hyperlink" Target="https://doi.org/10.1371/journal.pntd.0003077" TargetMode="External"/><Relationship Id="rId10" Type="http://schemas.openxmlformats.org/officeDocument/2006/relationships/hyperlink" Target="https://doi.org/10.1111/cmi.13788" TargetMode="External"/><Relationship Id="rId19" Type="http://schemas.openxmlformats.org/officeDocument/2006/relationships/hyperlink" Target="https://doi.org/10.1038/s41467-018-05772-7" TargetMode="External"/><Relationship Id="rId31" Type="http://schemas.openxmlformats.org/officeDocument/2006/relationships/hyperlink" Target="https://doi.org/10.1371/journal.ppat.1005258" TargetMode="External"/><Relationship Id="rId44" Type="http://schemas.openxmlformats.org/officeDocument/2006/relationships/hyperlink" Target="https://doi.org/10.1016/j.pt.2009.12.002" TargetMode="External"/><Relationship Id="rId4" Type="http://schemas.openxmlformats.org/officeDocument/2006/relationships/settings" Target="settings.xml"/><Relationship Id="rId9" Type="http://schemas.openxmlformats.org/officeDocument/2006/relationships/hyperlink" Target="https://doi.org/10.1186/s12936-018-2446-1" TargetMode="External"/><Relationship Id="rId14" Type="http://schemas.openxmlformats.org/officeDocument/2006/relationships/hyperlink" Target="https://doi.org/10.1186/1475-2875-11-68" TargetMode="External"/><Relationship Id="rId22" Type="http://schemas.openxmlformats.org/officeDocument/2006/relationships/hyperlink" Target="https://doi.org/10.3389/fcimb.2020.614611%20" TargetMode="External"/><Relationship Id="rId27" Type="http://schemas.openxmlformats.org/officeDocument/2006/relationships/hyperlink" Target="https://doi.org/10.1016/j.vaccine.2020.04.079" TargetMode="External"/><Relationship Id="rId30" Type="http://schemas.openxmlformats.org/officeDocument/2006/relationships/hyperlink" Target="https://doi.org/10.1038/s41577-022-00774-5" TargetMode="External"/><Relationship Id="rId35" Type="http://schemas.openxmlformats.org/officeDocument/2006/relationships/hyperlink" Target="https://doi.org/10.1016/j.molmed.2015.10.004" TargetMode="External"/><Relationship Id="rId43" Type="http://schemas.openxmlformats.org/officeDocument/2006/relationships/hyperlink" Target="https://doi.org/10.3389/fimmu.2022.910236" TargetMode="External"/><Relationship Id="rId48" Type="http://schemas.openxmlformats.org/officeDocument/2006/relationships/theme" Target="theme/theme1.xml"/><Relationship Id="rId8" Type="http://schemas.openxmlformats.org/officeDocument/2006/relationships/hyperlink" Target="https://doi.org/10.1128/CMR.00074-12" TargetMode="External"/><Relationship Id="rId3" Type="http://schemas.microsoft.com/office/2007/relationships/stylesWithEffects" Target="stylesWithEffects.xml"/><Relationship Id="rId12" Type="http://schemas.openxmlformats.org/officeDocument/2006/relationships/hyperlink" Target="https://doi.org/10.1038/nature07327" TargetMode="External"/><Relationship Id="rId17" Type="http://schemas.openxmlformats.org/officeDocument/2006/relationships/hyperlink" Target="https://doi.org/10.1016/j.mib.2009.06.008" TargetMode="External"/><Relationship Id="rId25" Type="http://schemas.openxmlformats.org/officeDocument/2006/relationships/hyperlink" Target="https://doi.org/10.3389/fimmu.2018.00221" TargetMode="External"/><Relationship Id="rId33" Type="http://schemas.openxmlformats.org/officeDocument/2006/relationships/hyperlink" Target="https://doi.org/10.1172/jci.insight.93683" TargetMode="External"/><Relationship Id="rId38" Type="http://schemas.openxmlformats.org/officeDocument/2006/relationships/hyperlink" Target="https://doi.org/10.3389/fcimb.2023.1182456" TargetMode="External"/><Relationship Id="rId46" Type="http://schemas.openxmlformats.org/officeDocument/2006/relationships/hyperlink" Target="https://doi.org/10.1371/journal.pone.0002636" TargetMode="External"/><Relationship Id="rId20" Type="http://schemas.openxmlformats.org/officeDocument/2006/relationships/hyperlink" Target="https://doi.org/10.1016/j.pt.2016.01.006" TargetMode="External"/><Relationship Id="rId41" Type="http://schemas.openxmlformats.org/officeDocument/2006/relationships/hyperlink" Target="https://doi.org/10.3389/fimmu.2018.0221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5659</Words>
  <Characters>32261</Characters>
  <Application>Microsoft Office Word</Application>
  <DocSecurity>0</DocSecurity>
  <Lines>268</Lines>
  <Paragraphs>75</Paragraphs>
  <ScaleCrop>false</ScaleCrop>
  <Company/>
  <LinksUpToDate>false</LinksUpToDate>
  <CharactersWithSpaces>37845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2026-05-25T07:34:00Z</dcterms:created>
  <dcterms:modified xsi:type="dcterms:W3CDTF">2026-05-25T07:35:00Z</dcterms:modified>
</cp:coreProperties>
</file>