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80" w:rsidRDefault="00755880" w:rsidP="00755880">
      <w:pPr>
        <w:jc w:val="center"/>
        <w:rPr>
          <w:rFonts w:ascii="Times New Roman" w:hAnsi="Times New Roman" w:cs="Times New Roman"/>
          <w:sz w:val="48"/>
        </w:rPr>
      </w:pPr>
      <w:r>
        <w:rPr>
          <w:rFonts w:ascii="Times New Roman" w:hAnsi="Times New Roman" w:cs="Times New Roman"/>
          <w:sz w:val="48"/>
        </w:rPr>
        <w:t>Production and characterization of biodiesel from waste cooking vegetable oil</w:t>
      </w:r>
    </w:p>
    <w:p w:rsidR="003439B4" w:rsidRPr="00CE4E5C" w:rsidRDefault="003439B4" w:rsidP="003439B4">
      <w:pPr>
        <w:jc w:val="center"/>
        <w:rPr>
          <w:rFonts w:ascii="Times New Roman" w:hAnsi="Times New Roman" w:cs="Times New Roman"/>
          <w:sz w:val="20"/>
          <w:szCs w:val="20"/>
        </w:rPr>
      </w:pPr>
      <w:bookmarkStart w:id="0" w:name="_GoBack"/>
      <w:bookmarkEnd w:id="0"/>
    </w:p>
    <w:tbl>
      <w:tblPr>
        <w:tblW w:w="9630" w:type="dxa"/>
        <w:tblLook w:val="04A0" w:firstRow="1" w:lastRow="0" w:firstColumn="1" w:lastColumn="0" w:noHBand="0" w:noVBand="1"/>
      </w:tblPr>
      <w:tblGrid>
        <w:gridCol w:w="9630"/>
      </w:tblGrid>
      <w:tr w:rsidR="00755880" w:rsidTr="003439B4">
        <w:trPr>
          <w:trHeight w:val="4499"/>
        </w:trPr>
        <w:tc>
          <w:tcPr>
            <w:tcW w:w="9630" w:type="dxa"/>
            <w:tcBorders>
              <w:top w:val="single" w:sz="4" w:space="0" w:color="auto"/>
              <w:bottom w:val="single" w:sz="4" w:space="0" w:color="auto"/>
            </w:tcBorders>
          </w:tcPr>
          <w:p w:rsidR="00755880" w:rsidRDefault="00755880" w:rsidP="00755880">
            <w:pPr>
              <w:ind w:left="120"/>
              <w:jc w:val="both"/>
              <w:rPr>
                <w:rFonts w:ascii="Times New Roman" w:hAnsi="Times New Roman" w:cs="Times New Roman"/>
                <w:sz w:val="18"/>
                <w:szCs w:val="18"/>
              </w:rPr>
            </w:pPr>
            <w:r w:rsidRPr="00597621">
              <w:rPr>
                <w:rFonts w:ascii="Times New Roman" w:hAnsi="Times New Roman" w:cs="Times New Roman"/>
                <w:sz w:val="18"/>
                <w:szCs w:val="18"/>
              </w:rPr>
              <w:t xml:space="preserve">Abstract: The rising need for renewable energy sources has driven research into biodiesel production from waste cooking vegetable oil, offering a sustainable alternative to fossil fuels. This study focused on producing biodiesel through base-catalyzed transesterification of waste cooking oil and assessing its key physicochemical properties. Waste cooking oil was collected, filtered, and pretreated before undergoing transesterification with methanol and potassium hydroxide as the catalyst. The produced biodiesel was then analyzed for viscosity, flash point, acid value and calorific value to determine its suitability as an alternative fuel. </w:t>
            </w:r>
            <w:r w:rsidR="003439B4">
              <w:rPr>
                <w:rFonts w:ascii="Times New Roman" w:hAnsi="Times New Roman" w:cs="Times New Roman"/>
                <w:sz w:val="18"/>
                <w:szCs w:val="18"/>
              </w:rPr>
              <w:t>The results showed that t</w:t>
            </w:r>
            <w:r w:rsidRPr="00597621">
              <w:rPr>
                <w:rFonts w:ascii="Times New Roman" w:hAnsi="Times New Roman" w:cs="Times New Roman"/>
                <w:sz w:val="18"/>
                <w:szCs w:val="18"/>
              </w:rPr>
              <w:t>he viscosity of the waste cooking oil significantly decreased from 27.23 mm²/s to 2.83 mm²/s after transesterification, aligning well with ASTM standards (1.9–6.0 mm²/s) and indicating improved fuel performance. The flash point of the biodiesel was recorded at 110°C, ensuring safety in storage and handling compared to conventional diesel's 55°C. The biodiesel's density was found to be 0.8733 kg/m³, slightly higher than diesel fuel but still within acceptable limits. The acid value of 1.683% and a free fatty acid content of 0.84% indicate</w:t>
            </w:r>
            <w:r w:rsidR="003439B4">
              <w:rPr>
                <w:rFonts w:ascii="Times New Roman" w:hAnsi="Times New Roman" w:cs="Times New Roman"/>
                <w:sz w:val="18"/>
                <w:szCs w:val="18"/>
              </w:rPr>
              <w:t>d</w:t>
            </w:r>
            <w:r w:rsidRPr="00597621">
              <w:rPr>
                <w:rFonts w:ascii="Times New Roman" w:hAnsi="Times New Roman" w:cs="Times New Roman"/>
                <w:sz w:val="18"/>
                <w:szCs w:val="18"/>
              </w:rPr>
              <w:t xml:space="preserve"> high-quality biodiesel with a high yield. The calorific value was measured at 36.1 MJ/kg, slightly lower than conventional diesel's 42.2 MJ/kg, but sufficient for practical energy use. Overall, the results suggest</w:t>
            </w:r>
            <w:r w:rsidR="003439B4">
              <w:rPr>
                <w:rFonts w:ascii="Times New Roman" w:hAnsi="Times New Roman" w:cs="Times New Roman"/>
                <w:sz w:val="18"/>
                <w:szCs w:val="18"/>
              </w:rPr>
              <w:t>ed</w:t>
            </w:r>
            <w:r w:rsidRPr="00597621">
              <w:rPr>
                <w:rFonts w:ascii="Times New Roman" w:hAnsi="Times New Roman" w:cs="Times New Roman"/>
                <w:sz w:val="18"/>
                <w:szCs w:val="18"/>
              </w:rPr>
              <w:t xml:space="preserve"> that biodiesel produced from waste cooking oil possesses comparable properties to conventional diesel, offering a viable, environmentally friendly alternative that could reduce reliance on fossil fuels and promote waste recycling. This study underscores the potential of waste cooking oil as a valuable feedstock for sustainable biodiesel production</w:t>
            </w:r>
          </w:p>
          <w:p w:rsidR="00755880" w:rsidRPr="00755880" w:rsidRDefault="00755880" w:rsidP="00755880">
            <w:pPr>
              <w:ind w:left="120"/>
              <w:jc w:val="both"/>
              <w:rPr>
                <w:rFonts w:ascii="Times New Roman" w:hAnsi="Times New Roman" w:cs="Times New Roman"/>
                <w:sz w:val="18"/>
                <w:szCs w:val="18"/>
              </w:rPr>
            </w:pPr>
          </w:p>
          <w:p w:rsidR="00755880" w:rsidRPr="00694F6F" w:rsidRDefault="00755880" w:rsidP="00EB31B9">
            <w:pPr>
              <w:ind w:left="120"/>
              <w:jc w:val="both"/>
              <w:rPr>
                <w:rFonts w:ascii="Times New Roman" w:hAnsi="Times New Roman" w:cs="Times New Roman"/>
                <w:sz w:val="18"/>
                <w:szCs w:val="18"/>
              </w:rPr>
            </w:pPr>
            <w:r w:rsidRPr="00694F6F">
              <w:rPr>
                <w:rFonts w:ascii="Times New Roman" w:hAnsi="Times New Roman" w:cs="Times New Roman"/>
                <w:sz w:val="18"/>
                <w:szCs w:val="18"/>
              </w:rPr>
              <w:t>Keywords: Biodiesel, Esterification</w:t>
            </w:r>
            <w:r w:rsidR="003439B4">
              <w:rPr>
                <w:rFonts w:ascii="Times New Roman" w:hAnsi="Times New Roman" w:cs="Times New Roman"/>
                <w:sz w:val="18"/>
                <w:szCs w:val="18"/>
              </w:rPr>
              <w:t>, Transesterification, Fatty Acid Methyl Ester, Free Fatty Acid, Waste Cooking Oil</w:t>
            </w:r>
          </w:p>
        </w:tc>
      </w:tr>
      <w:tr w:rsidR="00755880" w:rsidTr="00EB31B9">
        <w:trPr>
          <w:trHeight w:val="70"/>
        </w:trPr>
        <w:tc>
          <w:tcPr>
            <w:tcW w:w="9630" w:type="dxa"/>
            <w:tcBorders>
              <w:top w:val="single" w:sz="4" w:space="0" w:color="auto"/>
            </w:tcBorders>
          </w:tcPr>
          <w:p w:rsidR="00755880" w:rsidRPr="00870699" w:rsidRDefault="00755880" w:rsidP="00EB31B9">
            <w:pPr>
              <w:ind w:left="120"/>
              <w:jc w:val="both"/>
              <w:rPr>
                <w:rFonts w:ascii="Times New Roman" w:hAnsi="Times New Roman" w:cs="Times New Roman"/>
                <w:sz w:val="20"/>
                <w:szCs w:val="20"/>
              </w:rPr>
            </w:pPr>
          </w:p>
        </w:tc>
      </w:tr>
    </w:tbl>
    <w:p w:rsidR="00755880" w:rsidRDefault="00755880">
      <w:pPr>
        <w:sectPr w:rsidR="00755880">
          <w:footerReference w:type="default" r:id="rId7"/>
          <w:pgSz w:w="12240" w:h="15840"/>
          <w:pgMar w:top="1440" w:right="1440" w:bottom="1440" w:left="1440" w:header="720" w:footer="720" w:gutter="0"/>
          <w:cols w:space="720"/>
          <w:docGrid w:linePitch="360"/>
        </w:sectPr>
      </w:pPr>
    </w:p>
    <w:p w:rsidR="00755880" w:rsidRPr="00935601" w:rsidRDefault="00755880" w:rsidP="00755880">
      <w:pPr>
        <w:jc w:val="center"/>
        <w:rPr>
          <w:rFonts w:ascii="Times New Roman" w:hAnsi="Times New Roman" w:cs="Times New Roman"/>
          <w:b/>
          <w:bCs/>
          <w:sz w:val="20"/>
          <w:szCs w:val="20"/>
        </w:rPr>
      </w:pPr>
      <w:r w:rsidRPr="00935601">
        <w:rPr>
          <w:rFonts w:ascii="Times New Roman" w:hAnsi="Times New Roman" w:cs="Times New Roman"/>
          <w:b/>
          <w:bCs/>
          <w:sz w:val="20"/>
          <w:szCs w:val="20"/>
        </w:rPr>
        <w:lastRenderedPageBreak/>
        <w:t>IN</w:t>
      </w:r>
      <w:r>
        <w:rPr>
          <w:rFonts w:ascii="Times New Roman" w:hAnsi="Times New Roman" w:cs="Times New Roman"/>
          <w:b/>
          <w:bCs/>
          <w:sz w:val="20"/>
          <w:szCs w:val="20"/>
        </w:rPr>
        <w:t>TRODUCTION</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The global demand for sustainable and renewable energy sources has escalated due to the depletion of fossil fuel reserves and the environmental impact of their use</w:t>
      </w:r>
      <w:r w:rsidR="003439B4">
        <w:rPr>
          <w:rFonts w:ascii="Times New Roman" w:hAnsi="Times New Roman" w:cs="Times New Roman"/>
          <w:sz w:val="20"/>
          <w:szCs w:val="20"/>
        </w:rPr>
        <w:t>s</w:t>
      </w:r>
      <w:r w:rsidRPr="00935601">
        <w:rPr>
          <w:rFonts w:ascii="Times New Roman" w:hAnsi="Times New Roman" w:cs="Times New Roman"/>
          <w:sz w:val="20"/>
          <w:szCs w:val="20"/>
        </w:rPr>
        <w:t xml:space="preserve">. Biodiesel, a renewable and biodegradable fuel derived from organic sources, presents a promising alternative to conventional diesel. It can be produced from various feedstocks, including vegetable oils, animal fats, and waste cooking oils, through transesterification—a process that converts triglycerides into fatty acid methyl esters (FAME) and glycerol (Agarwal, </w:t>
      </w:r>
      <w:r w:rsidR="009D3B08">
        <w:rPr>
          <w:rFonts w:ascii="Times New Roman" w:hAnsi="Times New Roman" w:cs="Times New Roman"/>
          <w:sz w:val="20"/>
          <w:szCs w:val="20"/>
        </w:rPr>
        <w:t>2020</w:t>
      </w:r>
      <w:r w:rsidRPr="00935601">
        <w:rPr>
          <w:rFonts w:ascii="Times New Roman" w:hAnsi="Times New Roman" w:cs="Times New Roman"/>
          <w:sz w:val="20"/>
          <w:szCs w:val="20"/>
        </w:rPr>
        <w:t xml:space="preserve">; Canakci &amp; Van Gerpen, </w:t>
      </w:r>
      <w:r w:rsidR="009D3B08">
        <w:rPr>
          <w:rFonts w:ascii="Times New Roman" w:hAnsi="Times New Roman" w:cs="Times New Roman"/>
          <w:sz w:val="20"/>
          <w:szCs w:val="20"/>
        </w:rPr>
        <w:t>2017</w:t>
      </w:r>
      <w:r w:rsidRPr="00935601">
        <w:rPr>
          <w:rFonts w:ascii="Times New Roman" w:hAnsi="Times New Roman" w:cs="Times New Roman"/>
          <w:sz w:val="20"/>
          <w:szCs w:val="20"/>
        </w:rPr>
        <w:t>).</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Waste cooking</w:t>
      </w:r>
      <w:r w:rsidR="003439B4">
        <w:rPr>
          <w:rFonts w:ascii="Times New Roman" w:hAnsi="Times New Roman" w:cs="Times New Roman"/>
          <w:sz w:val="20"/>
          <w:szCs w:val="20"/>
        </w:rPr>
        <w:t xml:space="preserve"> vegetable</w:t>
      </w:r>
      <w:r w:rsidRPr="00935601">
        <w:rPr>
          <w:rFonts w:ascii="Times New Roman" w:hAnsi="Times New Roman" w:cs="Times New Roman"/>
          <w:sz w:val="20"/>
          <w:szCs w:val="20"/>
        </w:rPr>
        <w:t xml:space="preserve"> oil, specifically, offers an attractive option due to its low cost, availability, and the environmental benefits of recycling waste material (Garlapati </w:t>
      </w:r>
      <w:r w:rsidRPr="00242B16">
        <w:rPr>
          <w:rFonts w:ascii="Times New Roman" w:hAnsi="Times New Roman" w:cs="Times New Roman"/>
          <w:i/>
          <w:sz w:val="20"/>
          <w:szCs w:val="20"/>
        </w:rPr>
        <w:t>et al</w:t>
      </w:r>
      <w:r w:rsidRPr="00935601">
        <w:rPr>
          <w:rFonts w:ascii="Times New Roman" w:hAnsi="Times New Roman" w:cs="Times New Roman"/>
          <w:sz w:val="20"/>
          <w:szCs w:val="20"/>
        </w:rPr>
        <w:t xml:space="preserve">., 2013). The transesterification process typically involves the reaction of waste oils with methanol in the presence of a strong base catalyst, such as potassium hydroxide (KOH) (Shahid </w:t>
      </w:r>
      <w:r w:rsidRPr="00242B16">
        <w:rPr>
          <w:rFonts w:ascii="Times New Roman" w:hAnsi="Times New Roman" w:cs="Times New Roman"/>
          <w:i/>
          <w:sz w:val="20"/>
          <w:szCs w:val="20"/>
        </w:rPr>
        <w:t>et al</w:t>
      </w:r>
      <w:r w:rsidRPr="00935601">
        <w:rPr>
          <w:rFonts w:ascii="Times New Roman" w:hAnsi="Times New Roman" w:cs="Times New Roman"/>
          <w:sz w:val="20"/>
          <w:szCs w:val="20"/>
        </w:rPr>
        <w:t xml:space="preserve">., </w:t>
      </w:r>
      <w:r w:rsidR="00851B4C">
        <w:rPr>
          <w:rFonts w:ascii="Times New Roman" w:hAnsi="Times New Roman" w:cs="Times New Roman"/>
          <w:sz w:val="20"/>
          <w:szCs w:val="20"/>
        </w:rPr>
        <w:t>2019</w:t>
      </w:r>
      <w:r w:rsidRPr="00935601">
        <w:rPr>
          <w:rFonts w:ascii="Times New Roman" w:hAnsi="Times New Roman" w:cs="Times New Roman"/>
          <w:sz w:val="20"/>
          <w:szCs w:val="20"/>
        </w:rPr>
        <w:t xml:space="preserve">). This process produces biodiesel with properties that can </w:t>
      </w:r>
      <w:r w:rsidRPr="00935601">
        <w:rPr>
          <w:rFonts w:ascii="Times New Roman" w:hAnsi="Times New Roman" w:cs="Times New Roman"/>
          <w:sz w:val="20"/>
          <w:szCs w:val="20"/>
        </w:rPr>
        <w:lastRenderedPageBreak/>
        <w:t>potentially meet international standards, such as those outlined by ASTM D6751 (ASTM, 2010).</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Previous research indicates that biodiesel produced from waste cooking oils can achieve quality comparable to biodiesel derived from fresh oils. Agarwal (</w:t>
      </w:r>
      <w:r w:rsidR="009D3B08">
        <w:rPr>
          <w:rFonts w:ascii="Times New Roman" w:hAnsi="Times New Roman" w:cs="Times New Roman"/>
          <w:sz w:val="20"/>
          <w:szCs w:val="20"/>
        </w:rPr>
        <w:t>2020</w:t>
      </w:r>
      <w:r w:rsidRPr="00935601">
        <w:rPr>
          <w:rFonts w:ascii="Times New Roman" w:hAnsi="Times New Roman" w:cs="Times New Roman"/>
          <w:sz w:val="20"/>
          <w:szCs w:val="20"/>
        </w:rPr>
        <w:t xml:space="preserve">) demonstrated the suitability of waste oils for biodiesel production, emphasizing the cost benefits and environmental advantages. Similarly, Garlapati </w:t>
      </w:r>
      <w:r w:rsidRPr="00242B16">
        <w:rPr>
          <w:rFonts w:ascii="Times New Roman" w:hAnsi="Times New Roman" w:cs="Times New Roman"/>
          <w:i/>
          <w:sz w:val="20"/>
          <w:szCs w:val="20"/>
        </w:rPr>
        <w:t>et al</w:t>
      </w:r>
      <w:r w:rsidRPr="00935601">
        <w:rPr>
          <w:rFonts w:ascii="Times New Roman" w:hAnsi="Times New Roman" w:cs="Times New Roman"/>
          <w:sz w:val="20"/>
          <w:szCs w:val="20"/>
        </w:rPr>
        <w:t>. (2013) and Mathiyazhagan and Ganapathi (</w:t>
      </w:r>
      <w:r w:rsidR="009D3B08">
        <w:rPr>
          <w:rFonts w:ascii="Times New Roman" w:hAnsi="Times New Roman" w:cs="Times New Roman"/>
          <w:sz w:val="20"/>
          <w:szCs w:val="20"/>
        </w:rPr>
        <w:t>2019</w:t>
      </w:r>
      <w:r w:rsidRPr="00935601">
        <w:rPr>
          <w:rFonts w:ascii="Times New Roman" w:hAnsi="Times New Roman" w:cs="Times New Roman"/>
          <w:sz w:val="20"/>
          <w:szCs w:val="20"/>
        </w:rPr>
        <w:t>) explored the impacts of various process parameters on biodiesel yield and quality, noting the importance of optimizing conditions to enhance production efficiency.</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 xml:space="preserve">However, challenges persist, particularly with feedstocks having high levels of free fatty acids (FFA), which can lead to soap formation during transesterification and reduce biodiesel yield (Jaichandar &amp; Annamalai, </w:t>
      </w:r>
      <w:r w:rsidR="009D3B08">
        <w:rPr>
          <w:rFonts w:ascii="Times New Roman" w:hAnsi="Times New Roman" w:cs="Times New Roman"/>
          <w:sz w:val="20"/>
          <w:szCs w:val="20"/>
        </w:rPr>
        <w:t>2019</w:t>
      </w:r>
      <w:r w:rsidRPr="00935601">
        <w:rPr>
          <w:rFonts w:ascii="Times New Roman" w:hAnsi="Times New Roman" w:cs="Times New Roman"/>
          <w:sz w:val="20"/>
          <w:szCs w:val="20"/>
        </w:rPr>
        <w:t>). To address this, pretreatment steps such as acid esterification are often employed to lower FFA levels before the base-</w:t>
      </w:r>
      <w:r w:rsidRPr="00935601">
        <w:rPr>
          <w:rFonts w:ascii="Times New Roman" w:hAnsi="Times New Roman" w:cs="Times New Roman"/>
          <w:sz w:val="20"/>
          <w:szCs w:val="20"/>
        </w:rPr>
        <w:lastRenderedPageBreak/>
        <w:t xml:space="preserve">catalyzed transesterification process (Mulimani </w:t>
      </w:r>
      <w:r w:rsidRPr="00242B16">
        <w:rPr>
          <w:rFonts w:ascii="Times New Roman" w:hAnsi="Times New Roman" w:cs="Times New Roman"/>
          <w:i/>
          <w:sz w:val="20"/>
          <w:szCs w:val="20"/>
        </w:rPr>
        <w:t>et al</w:t>
      </w:r>
      <w:r w:rsidR="00851B4C">
        <w:rPr>
          <w:rFonts w:ascii="Times New Roman" w:hAnsi="Times New Roman" w:cs="Times New Roman"/>
          <w:sz w:val="20"/>
          <w:szCs w:val="20"/>
        </w:rPr>
        <w:t>., 2020</w:t>
      </w:r>
      <w:r w:rsidRPr="00935601">
        <w:rPr>
          <w:rFonts w:ascii="Times New Roman" w:hAnsi="Times New Roman" w:cs="Times New Roman"/>
          <w:sz w:val="20"/>
          <w:szCs w:val="20"/>
        </w:rPr>
        <w:t>).</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 xml:space="preserve">This study aims to advance the understanding of biodiesel production from waste cooking vegetable oil by optimizing the transesterification process and characterizing the physicochemical properties of the resulting biodiesel. By comparing these properties with conventional diesel, this research seeks to evaluate the feasibility of using waste cooking oil as a sustainable feedstock, thereby contributing to the reduction of fossil fuel dependency and promoting waste management (Ogunwole, </w:t>
      </w:r>
      <w:r w:rsidR="00851B4C">
        <w:rPr>
          <w:rFonts w:ascii="Times New Roman" w:hAnsi="Times New Roman" w:cs="Times New Roman"/>
          <w:sz w:val="20"/>
          <w:szCs w:val="20"/>
        </w:rPr>
        <w:t>2019</w:t>
      </w:r>
      <w:r w:rsidRPr="00935601">
        <w:rPr>
          <w:rFonts w:ascii="Times New Roman" w:hAnsi="Times New Roman" w:cs="Times New Roman"/>
          <w:sz w:val="20"/>
          <w:szCs w:val="20"/>
        </w:rPr>
        <w:t>; Parawira, 2010).</w:t>
      </w:r>
      <w:r>
        <w:rPr>
          <w:rFonts w:ascii="Times New Roman" w:hAnsi="Times New Roman" w:cs="Times New Roman"/>
          <w:sz w:val="20"/>
          <w:szCs w:val="20"/>
        </w:rPr>
        <w:t xml:space="preserve"> </w:t>
      </w:r>
    </w:p>
    <w:p w:rsidR="00755880" w:rsidRPr="00AC15CB" w:rsidRDefault="00694F6F" w:rsidP="00694F6F">
      <w:pPr>
        <w:jc w:val="center"/>
        <w:rPr>
          <w:rFonts w:ascii="Times New Roman" w:hAnsi="Times New Roman" w:cs="Times New Roman"/>
          <w:b/>
          <w:bCs/>
          <w:sz w:val="20"/>
          <w:szCs w:val="20"/>
        </w:rPr>
      </w:pPr>
      <w:r>
        <w:rPr>
          <w:rFonts w:ascii="Times New Roman" w:hAnsi="Times New Roman" w:cs="Times New Roman"/>
          <w:b/>
          <w:bCs/>
          <w:sz w:val="20"/>
          <w:szCs w:val="20"/>
        </w:rPr>
        <w:t>MATERIALS AND METHOD</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This section outlines the materials and methods used in the production and analysis of biodiesel from waste cooking vegetable oil.</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The waste cooking</w:t>
      </w:r>
      <w:r w:rsidR="003439B4">
        <w:rPr>
          <w:rFonts w:ascii="Times New Roman" w:hAnsi="Times New Roman" w:cs="Times New Roman"/>
          <w:sz w:val="20"/>
          <w:szCs w:val="20"/>
        </w:rPr>
        <w:t xml:space="preserve"> vegetable</w:t>
      </w:r>
      <w:r w:rsidRPr="00AC15CB">
        <w:rPr>
          <w:rFonts w:ascii="Times New Roman" w:hAnsi="Times New Roman" w:cs="Times New Roman"/>
          <w:sz w:val="20"/>
          <w:szCs w:val="20"/>
        </w:rPr>
        <w:t xml:space="preserve"> oil used in this study was collected from local restaurants in Owerri, Imo State. The chemicals used for the transesterification process included methanol, potassium hydroxide (KOH) as a catalyst, and standard laboratory-grade reagents for analysis.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The free fatty acid content of the waste cooking oil was determined using a titration method with a potassium hydroxide solution. The FFA content is a critical factor in the transesterification process as high FFA levels can lead to soap formation, hindering biodiesel production. Oils with FFA levels above 1% were pre-treated to reduce acidity before proceeding with the transesterification process.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Transesterification is the process of reacting triglycerides in oils with alcohol (typically methanol) in the presence of a catalyst (KOH) to produce methyl esters (biodiesel) and glycerol. The transesterificatio</w:t>
      </w:r>
      <w:r w:rsidR="003439B4">
        <w:rPr>
          <w:rFonts w:ascii="Times New Roman" w:hAnsi="Times New Roman" w:cs="Times New Roman"/>
          <w:sz w:val="20"/>
          <w:szCs w:val="20"/>
        </w:rPr>
        <w:t>n process was carried out at</w:t>
      </w:r>
      <w:r w:rsidRPr="00AC15CB">
        <w:rPr>
          <w:rFonts w:ascii="Times New Roman" w:hAnsi="Times New Roman" w:cs="Times New Roman"/>
          <w:sz w:val="20"/>
          <w:szCs w:val="20"/>
        </w:rPr>
        <w:t xml:space="preserve"> Imo State University Chemistry Laboratory under controlled temperature and stirring conditions. The reaction mixture was allowed to settle, and the biodiesel layer was separated from the glycerol by-product. The biodiesel was then purified by washing with warm water to remove residual catalyst and impurities.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 xml:space="preserve">The produced biodiesel was characterized to evaluate its fuel properties, including density, viscosity, flash </w:t>
      </w:r>
      <w:r w:rsidRPr="00AC15CB">
        <w:rPr>
          <w:rFonts w:ascii="Times New Roman" w:hAnsi="Times New Roman" w:cs="Times New Roman"/>
          <w:sz w:val="20"/>
          <w:szCs w:val="20"/>
        </w:rPr>
        <w:lastRenderedPageBreak/>
        <w:t>point, and acid value. These properties were compared with ASTM D6751 and EN 14214 standards to assess the suitability of the biodiesel for use as a fuel. Additionally, gas chromatography was used to analyze the fatty acid methyl ester (FAME) composition of the biodiesel.</w:t>
      </w:r>
    </w:p>
    <w:p w:rsidR="00755880" w:rsidRPr="00963039" w:rsidRDefault="00694F6F" w:rsidP="00694F6F">
      <w:pPr>
        <w:jc w:val="center"/>
        <w:rPr>
          <w:rFonts w:ascii="Times New Roman" w:hAnsi="Times New Roman" w:cs="Times New Roman"/>
          <w:b/>
          <w:bCs/>
          <w:sz w:val="20"/>
          <w:szCs w:val="20"/>
        </w:rPr>
      </w:pPr>
      <w:r w:rsidRPr="00963039">
        <w:rPr>
          <w:rFonts w:ascii="Times New Roman" w:hAnsi="Times New Roman" w:cs="Times New Roman"/>
          <w:b/>
          <w:bCs/>
          <w:sz w:val="20"/>
          <w:szCs w:val="20"/>
        </w:rPr>
        <w:t>RESULTS AND DISCUSSION</w:t>
      </w:r>
    </w:p>
    <w:p w:rsidR="00755880" w:rsidRPr="00963039" w:rsidRDefault="00755880" w:rsidP="00755880">
      <w:pPr>
        <w:jc w:val="both"/>
        <w:rPr>
          <w:rFonts w:ascii="Times New Roman" w:hAnsi="Times New Roman" w:cs="Times New Roman"/>
          <w:sz w:val="20"/>
          <w:szCs w:val="20"/>
        </w:rPr>
      </w:pPr>
      <w:r w:rsidRPr="00963039">
        <w:rPr>
          <w:rFonts w:ascii="Times New Roman" w:hAnsi="Times New Roman" w:cs="Times New Roman"/>
          <w:sz w:val="20"/>
          <w:szCs w:val="20"/>
        </w:rPr>
        <w:t>The results of the biodiesel production process and characterization are discussed in this section.</w:t>
      </w:r>
    </w:p>
    <w:p w:rsidR="00755880" w:rsidRPr="00963039" w:rsidRDefault="00755880" w:rsidP="00755880">
      <w:pPr>
        <w:jc w:val="both"/>
        <w:rPr>
          <w:rFonts w:ascii="Times New Roman" w:hAnsi="Times New Roman" w:cs="Times New Roman"/>
          <w:b/>
          <w:bCs/>
          <w:sz w:val="20"/>
          <w:szCs w:val="20"/>
        </w:rPr>
      </w:pPr>
      <w:r w:rsidRPr="00963039">
        <w:rPr>
          <w:rFonts w:ascii="Times New Roman" w:hAnsi="Times New Roman" w:cs="Times New Roman"/>
          <w:b/>
          <w:bCs/>
          <w:sz w:val="20"/>
          <w:szCs w:val="20"/>
        </w:rPr>
        <w:t xml:space="preserve"> Free Fatty Acid Reduction</w:t>
      </w:r>
    </w:p>
    <w:p w:rsidR="00755880" w:rsidRDefault="00755880" w:rsidP="00755880">
      <w:pPr>
        <w:jc w:val="both"/>
        <w:rPr>
          <w:rFonts w:ascii="Times New Roman" w:hAnsi="Times New Roman" w:cs="Times New Roman"/>
          <w:sz w:val="20"/>
          <w:szCs w:val="20"/>
        </w:rPr>
      </w:pPr>
      <w:r w:rsidRPr="00963039">
        <w:rPr>
          <w:rFonts w:ascii="Times New Roman" w:hAnsi="Times New Roman" w:cs="Times New Roman"/>
          <w:sz w:val="20"/>
          <w:szCs w:val="20"/>
        </w:rPr>
        <w:t>The FFA content of the waste cooking oil was found to be higher than 1%, necessitating pre-treatment to reduce the acidity. The pre-treatment process successfully lowered the FFA content, making the oil suitable for transesterification.</w:t>
      </w:r>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b/>
          <w:bCs/>
          <w:sz w:val="20"/>
          <w:szCs w:val="20"/>
        </w:rPr>
        <w:t>Acid Value and Free Fatty Acid (FFA) Content of Groundnut Oil</w:t>
      </w:r>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sz w:val="20"/>
          <w:szCs w:val="20"/>
        </w:rPr>
        <w:t>Two titration tests were performed to determine the acid value and FFA content of the groundnut oil. The results of the titrati</w:t>
      </w:r>
      <w:r>
        <w:rPr>
          <w:rFonts w:ascii="Times New Roman" w:hAnsi="Times New Roman" w:cs="Times New Roman"/>
          <w:sz w:val="20"/>
          <w:szCs w:val="20"/>
        </w:rPr>
        <w:t>ons are summarized below</w:t>
      </w:r>
    </w:p>
    <w:p w:rsidR="00755880" w:rsidRPr="00923DBD" w:rsidRDefault="00755880" w:rsidP="00755880">
      <w:pPr>
        <w:jc w:val="both"/>
        <w:rPr>
          <w:rFonts w:ascii="Times New Roman" w:hAnsi="Times New Roman" w:cs="Times New Roman"/>
          <w:sz w:val="20"/>
          <w:szCs w:val="20"/>
        </w:rPr>
      </w:pPr>
      <w:r>
        <w:rPr>
          <w:rFonts w:ascii="Times New Roman" w:hAnsi="Times New Roman" w:cs="Times New Roman"/>
          <w:b/>
          <w:bCs/>
          <w:sz w:val="20"/>
          <w:szCs w:val="20"/>
        </w:rPr>
        <w:t>Table 1</w:t>
      </w:r>
      <w:r w:rsidRPr="00923DBD">
        <w:rPr>
          <w:rFonts w:ascii="Times New Roman" w:hAnsi="Times New Roman" w:cs="Times New Roman"/>
          <w:b/>
          <w:bCs/>
          <w:sz w:val="20"/>
          <w:szCs w:val="20"/>
        </w:rPr>
        <w:t>: Titration Values of Groundnut Oil</w:t>
      </w:r>
    </w:p>
    <w:tbl>
      <w:tblPr>
        <w:tblStyle w:val="TableGrid"/>
        <w:tblW w:w="4410" w:type="dxa"/>
        <w:tblInd w:w="198" w:type="dxa"/>
        <w:tblLook w:val="04A0" w:firstRow="1" w:lastRow="0" w:firstColumn="1" w:lastColumn="0" w:noHBand="0" w:noVBand="1"/>
      </w:tblPr>
      <w:tblGrid>
        <w:gridCol w:w="2340"/>
        <w:gridCol w:w="990"/>
        <w:gridCol w:w="1080"/>
      </w:tblGrid>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b/>
                <w:bCs/>
                <w:sz w:val="20"/>
                <w:szCs w:val="20"/>
              </w:rPr>
            </w:pPr>
          </w:p>
        </w:tc>
        <w:tc>
          <w:tcPr>
            <w:tcW w:w="990" w:type="dxa"/>
            <w:hideMark/>
          </w:tcPr>
          <w:p w:rsidR="00755880" w:rsidRPr="00923DBD" w:rsidRDefault="00755880" w:rsidP="00EB31B9">
            <w:pPr>
              <w:spacing w:after="200" w:line="276" w:lineRule="auto"/>
              <w:jc w:val="both"/>
              <w:rPr>
                <w:rFonts w:ascii="Times New Roman" w:hAnsi="Times New Roman" w:cs="Times New Roman"/>
                <w:b/>
                <w:bCs/>
                <w:sz w:val="20"/>
                <w:szCs w:val="20"/>
              </w:rPr>
            </w:pPr>
            <w:r w:rsidRPr="00923DBD">
              <w:rPr>
                <w:rFonts w:ascii="Times New Roman" w:hAnsi="Times New Roman" w:cs="Times New Roman"/>
                <w:b/>
                <w:bCs/>
                <w:sz w:val="20"/>
                <w:szCs w:val="20"/>
              </w:rPr>
              <w:t>First Reading</w:t>
            </w:r>
          </w:p>
        </w:tc>
        <w:tc>
          <w:tcPr>
            <w:tcW w:w="1080" w:type="dxa"/>
            <w:hideMark/>
          </w:tcPr>
          <w:p w:rsidR="00755880" w:rsidRPr="00923DBD" w:rsidRDefault="00755880" w:rsidP="00EB31B9">
            <w:pPr>
              <w:spacing w:after="200" w:line="276" w:lineRule="auto"/>
              <w:jc w:val="both"/>
              <w:rPr>
                <w:rFonts w:ascii="Times New Roman" w:hAnsi="Times New Roman" w:cs="Times New Roman"/>
                <w:b/>
                <w:bCs/>
                <w:sz w:val="20"/>
                <w:szCs w:val="20"/>
              </w:rPr>
            </w:pPr>
            <w:r w:rsidRPr="00923DBD">
              <w:rPr>
                <w:rFonts w:ascii="Times New Roman" w:hAnsi="Times New Roman" w:cs="Times New Roman"/>
                <w:b/>
                <w:bCs/>
                <w:sz w:val="20"/>
                <w:szCs w:val="20"/>
              </w:rPr>
              <w:t>Final Reading</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Initial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0.00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Final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0.60</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Total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r>
    </w:tbl>
    <w:p w:rsidR="00694F6F" w:rsidRPr="00694F6F" w:rsidRDefault="00755880" w:rsidP="00755880">
      <w:pPr>
        <w:jc w:val="both"/>
        <w:rPr>
          <w:rFonts w:ascii="Times New Roman" w:eastAsiaTheme="minorEastAsia" w:hAnsi="Times New Roman" w:cs="Times New Roman"/>
          <w:sz w:val="20"/>
          <w:szCs w:val="20"/>
        </w:rPr>
      </w:pPr>
      <m:oMath>
        <m:r>
          <w:rPr>
            <w:rFonts w:ascii="Cambria Math" w:hAnsi="Cambria Math" w:cs="Times New Roman"/>
            <w:sz w:val="20"/>
            <w:szCs w:val="20"/>
          </w:rPr>
          <m:t xml:space="preserve">The average acid volume, calculated as </m:t>
        </m:r>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0.30+0.30</m:t>
                </m:r>
              </m:e>
            </m:d>
          </m:num>
          <m:den>
            <m:r>
              <w:rPr>
                <w:rFonts w:ascii="Cambria Math" w:hAnsi="Cambria Math" w:cs="Times New Roman"/>
                <w:sz w:val="20"/>
                <w:szCs w:val="20"/>
              </w:rPr>
              <m:t>2</m:t>
            </m:r>
          </m:den>
        </m:f>
        <m:r>
          <w:rPr>
            <w:rFonts w:ascii="Cambria Math" w:hAnsi="Cambria Math" w:cs="Times New Roman"/>
            <w:sz w:val="20"/>
            <w:szCs w:val="20"/>
          </w:rPr>
          <m:t>=0.30 ml was used to</m:t>
        </m:r>
      </m:oMath>
      <w:r w:rsidR="00694F6F">
        <w:rPr>
          <w:rFonts w:ascii="Times New Roman" w:hAnsi="Times New Roman" w:cs="Times New Roman"/>
          <w:sz w:val="20"/>
          <w:szCs w:val="20"/>
        </w:rPr>
        <w:t xml:space="preserve"> </w:t>
      </w:r>
      <m:oMath>
        <m:r>
          <w:rPr>
            <w:rFonts w:ascii="Cambria Math" w:hAnsi="Cambria Math" w:cs="Times New Roman"/>
            <w:sz w:val="20"/>
            <w:szCs w:val="20"/>
          </w:rPr>
          <m:t xml:space="preserve">determine the acid value </m:t>
        </m:r>
      </m:oMath>
    </w:p>
    <w:p w:rsidR="00755880" w:rsidRPr="00694F6F" w:rsidRDefault="00755880" w:rsidP="00755880">
      <w:pPr>
        <w:jc w:val="both"/>
        <w:rPr>
          <w:rFonts w:ascii="Times New Roman" w:eastAsiaTheme="minorEastAsia" w:hAnsi="Times New Roman" w:cs="Times New Roman"/>
          <w:sz w:val="20"/>
          <w:szCs w:val="20"/>
        </w:rPr>
      </w:pPr>
      <m:oMath>
        <m:r>
          <w:rPr>
            <w:rFonts w:ascii="Cambria Math" w:hAnsi="Cambria Math" w:cs="Times New Roman"/>
            <w:sz w:val="20"/>
            <w:szCs w:val="20"/>
          </w:rPr>
          <m:t>of the oil.</m:t>
        </m:r>
      </m:oMath>
      <w:r w:rsidR="00694F6F">
        <w:rPr>
          <w:rFonts w:ascii="Times New Roman" w:eastAsiaTheme="minorEastAsia" w:hAnsi="Times New Roman" w:cs="Times New Roman"/>
          <w:sz w:val="20"/>
          <w:szCs w:val="20"/>
        </w:rPr>
        <w:t xml:space="preserve"> </w:t>
      </w:r>
    </w:p>
    <w:p w:rsidR="00755880" w:rsidRPr="00923DBD" w:rsidRDefault="00755880" w:rsidP="00755880">
      <w:pPr>
        <w:jc w:val="both"/>
        <w:rPr>
          <w:rFonts w:ascii="Times New Roman" w:hAnsi="Times New Roman" w:cs="Times New Roman"/>
          <w:sz w:val="20"/>
          <w:szCs w:val="20"/>
        </w:rPr>
      </w:pPr>
      <m:oMath>
        <m:r>
          <w:rPr>
            <w:rFonts w:ascii="Cambria Math" w:hAnsi="Cambria Math" w:cs="Times New Roman"/>
            <w:sz w:val="20"/>
            <w:szCs w:val="20"/>
          </w:rPr>
          <m:t>Acid value    =</m:t>
        </m:r>
      </m:oMath>
      <w:r w:rsidRPr="00923DBD">
        <w:rPr>
          <w:rFonts w:ascii="Times New Roman" w:hAnsi="Times New Roman" w:cs="Times New Roman"/>
          <w:sz w:val="20"/>
          <w:szCs w:val="20"/>
        </w:rPr>
        <w:t xml:space="preserve">    </w:t>
      </w:r>
      <m:oMath>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Titre value x conc. of KOH (0.1m) x 56.1</m:t>
            </m:r>
          </m:num>
          <m:den>
            <m:r>
              <w:rPr>
                <w:rFonts w:ascii="Cambria Math" w:hAnsi="Cambria Math" w:cs="Times New Roman"/>
                <w:sz w:val="20"/>
                <w:szCs w:val="20"/>
              </w:rPr>
              <m:t xml:space="preserve">Weight of the oil </m:t>
            </m:r>
          </m:den>
        </m:f>
      </m:oMath>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sz w:val="20"/>
          <w:szCs w:val="20"/>
        </w:rPr>
        <w:t xml:space="preserve">Acid value </w:t>
      </w:r>
      <m:oMath>
        <m: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   1.9 x 0.1 x 56.1</m:t>
            </m:r>
          </m:num>
          <m:den>
            <m:r>
              <m:rPr>
                <m:sty m:val="p"/>
              </m:rPr>
              <w:rPr>
                <w:rFonts w:ascii="Cambria Math" w:hAnsi="Cambria Math" w:cs="Times New Roman"/>
                <w:sz w:val="20"/>
                <w:szCs w:val="20"/>
              </w:rPr>
              <m:t xml:space="preserve"> 1g</m:t>
            </m:r>
          </m:den>
        </m:f>
        <m:r>
          <w:rPr>
            <w:rFonts w:ascii="Cambria Math" w:hAnsi="Cambria Math" w:cs="Times New Roman"/>
            <w:sz w:val="20"/>
            <w:szCs w:val="20"/>
          </w:rPr>
          <m:t xml:space="preserve">   = 1.683%</m:t>
        </m:r>
      </m:oMath>
      <w:r w:rsidRPr="00923DBD">
        <w:rPr>
          <w:rFonts w:ascii="Times New Roman" w:hAnsi="Times New Roman" w:cs="Times New Roman"/>
          <w:sz w:val="20"/>
          <w:szCs w:val="20"/>
        </w:rPr>
        <w:t xml:space="preserve"> </w:t>
      </w:r>
    </w:p>
    <w:p w:rsidR="004B425E" w:rsidRPr="00923DBD" w:rsidRDefault="004B425E" w:rsidP="004B425E">
      <w:pPr>
        <w:jc w:val="both"/>
        <w:rPr>
          <w:rFonts w:ascii="Times New Roman" w:hAnsi="Times New Roman" w:cs="Times New Roman"/>
          <w:b/>
          <w:sz w:val="20"/>
          <w:szCs w:val="20"/>
        </w:rPr>
      </w:pPr>
      <w:r w:rsidRPr="00923DBD">
        <w:rPr>
          <w:rFonts w:ascii="Times New Roman" w:hAnsi="Times New Roman" w:cs="Times New Roman"/>
          <w:b/>
          <w:sz w:val="20"/>
          <w:szCs w:val="20"/>
        </w:rPr>
        <w:t>To determine the FFA value</w:t>
      </w:r>
    </w:p>
    <w:p w:rsidR="004B425E" w:rsidRPr="00923DBD" w:rsidRDefault="004B425E" w:rsidP="004B425E">
      <w:pPr>
        <w:jc w:val="both"/>
        <w:rPr>
          <w:rFonts w:ascii="Times New Roman" w:hAnsi="Times New Roman" w:cs="Times New Roman"/>
          <w:sz w:val="20"/>
          <w:szCs w:val="20"/>
        </w:rPr>
      </w:pPr>
      <m:oMath>
        <m:r>
          <w:rPr>
            <w:rFonts w:ascii="Cambria Math" w:hAnsi="Cambria Math" w:cs="Times New Roman"/>
            <w:sz w:val="20"/>
            <w:szCs w:val="20"/>
          </w:rPr>
          <m:t xml:space="preserve">FFA value =  </m:t>
        </m:r>
        <m:f>
          <m:fPr>
            <m:ctrlPr>
              <w:rPr>
                <w:rFonts w:ascii="Cambria Math" w:hAnsi="Cambria Math" w:cs="Times New Roman"/>
                <w:i/>
                <w:sz w:val="20"/>
                <w:szCs w:val="20"/>
              </w:rPr>
            </m:ctrlPr>
          </m:fPr>
          <m:num>
            <m:r>
              <w:rPr>
                <w:rFonts w:ascii="Cambria Math" w:hAnsi="Cambria Math" w:cs="Times New Roman"/>
                <w:sz w:val="20"/>
                <w:szCs w:val="20"/>
              </w:rPr>
              <m:t>Acid value</m:t>
            </m:r>
          </m:num>
          <m:den>
            <m:r>
              <w:rPr>
                <w:rFonts w:ascii="Cambria Math" w:hAnsi="Cambria Math" w:cs="Times New Roman"/>
                <w:sz w:val="20"/>
                <w:szCs w:val="20"/>
              </w:rPr>
              <m:t>2</m:t>
            </m:r>
          </m:den>
        </m:f>
      </m:oMath>
      <w:r w:rsidRPr="00923DBD">
        <w:rPr>
          <w:rFonts w:ascii="Times New Roman" w:hAnsi="Times New Roman" w:cs="Times New Roman"/>
          <w:sz w:val="20"/>
          <w:szCs w:val="20"/>
        </w:rPr>
        <w:t xml:space="preserve"> </w:t>
      </w:r>
    </w:p>
    <w:p w:rsidR="004B425E" w:rsidRPr="00923DBD" w:rsidRDefault="004B425E" w:rsidP="004B425E">
      <w:pPr>
        <w:jc w:val="both"/>
        <w:rPr>
          <w:rFonts w:ascii="Cambria Math" w:hAnsi="Cambria Math" w:cs="Times New Roman"/>
          <w:sz w:val="20"/>
          <w:szCs w:val="20"/>
          <w:oMath/>
        </w:rPr>
      </w:pPr>
      <w:r w:rsidRPr="00923DBD">
        <w:rPr>
          <w:rFonts w:ascii="Times New Roman" w:hAnsi="Times New Roman" w:cs="Times New Roman"/>
          <w:sz w:val="20"/>
          <w:szCs w:val="20"/>
        </w:rPr>
        <w:lastRenderedPageBreak/>
        <w:t xml:space="preserve">    </w:t>
      </w:r>
      <m:oMath>
        <m:r>
          <w:rPr>
            <w:rFonts w:ascii="Cambria Math" w:hAnsi="Cambria Math" w:cs="Times New Roman"/>
            <w:sz w:val="20"/>
            <w:szCs w:val="20"/>
          </w:rPr>
          <m:t xml:space="preserve">    FFA value =  </m:t>
        </m:r>
        <m:f>
          <m:fPr>
            <m:ctrlPr>
              <w:rPr>
                <w:rFonts w:ascii="Cambria Math" w:hAnsi="Cambria Math" w:cs="Times New Roman"/>
                <w:i/>
                <w:sz w:val="20"/>
                <w:szCs w:val="20"/>
              </w:rPr>
            </m:ctrlPr>
          </m:fPr>
          <m:num>
            <m:r>
              <w:rPr>
                <w:rFonts w:ascii="Cambria Math" w:hAnsi="Cambria Math" w:cs="Times New Roman"/>
                <w:sz w:val="20"/>
                <w:szCs w:val="20"/>
              </w:rPr>
              <m:t>1.683</m:t>
            </m:r>
          </m:num>
          <m:den>
            <m:r>
              <w:rPr>
                <w:rFonts w:ascii="Cambria Math" w:hAnsi="Cambria Math" w:cs="Times New Roman"/>
                <w:sz w:val="20"/>
                <w:szCs w:val="20"/>
              </w:rPr>
              <m:t>2</m:t>
            </m:r>
          </m:den>
        </m:f>
        <m:r>
          <w:rPr>
            <w:rFonts w:ascii="Cambria Math" w:hAnsi="Cambria Math" w:cs="Times New Roman"/>
            <w:sz w:val="20"/>
            <w:szCs w:val="20"/>
          </w:rPr>
          <m:t>= 0.84%</m:t>
        </m:r>
      </m:oMath>
    </w:p>
    <w:p w:rsidR="004B425E" w:rsidRPr="00923DBD" w:rsidRDefault="004B425E" w:rsidP="004B425E">
      <w:pPr>
        <w:jc w:val="both"/>
        <w:rPr>
          <w:rFonts w:ascii="Times New Roman" w:hAnsi="Times New Roman" w:cs="Times New Roman"/>
          <w:sz w:val="20"/>
          <w:szCs w:val="20"/>
        </w:rPr>
      </w:pPr>
      <m:oMath>
        <m:r>
          <w:rPr>
            <w:rFonts w:ascii="Cambria Math" w:hAnsi="Cambria Math" w:cs="Times New Roman"/>
            <w:sz w:val="20"/>
            <w:szCs w:val="20"/>
          </w:rPr>
          <m:t>FFA value = 0.84%</m:t>
        </m:r>
      </m:oMath>
      <w:r w:rsidRPr="00923DBD">
        <w:rPr>
          <w:rFonts w:ascii="Times New Roman" w:hAnsi="Times New Roman" w:cs="Times New Roman"/>
          <w:sz w:val="20"/>
          <w:szCs w:val="20"/>
        </w:rPr>
        <w:t xml:space="preserve"> </w:t>
      </w:r>
    </w:p>
    <w:p w:rsidR="004B425E" w:rsidRPr="00923DBD" w:rsidRDefault="004B425E" w:rsidP="004B425E">
      <w:pPr>
        <w:jc w:val="both"/>
        <w:rPr>
          <w:rFonts w:ascii="Times New Roman" w:hAnsi="Times New Roman" w:cs="Times New Roman"/>
          <w:sz w:val="20"/>
          <w:szCs w:val="20"/>
        </w:rPr>
      </w:pPr>
      <w:r w:rsidRPr="00923DBD">
        <w:rPr>
          <w:rFonts w:ascii="Times New Roman" w:hAnsi="Times New Roman" w:cs="Times New Roman"/>
          <w:b/>
          <w:i/>
          <w:sz w:val="20"/>
          <w:szCs w:val="20"/>
        </w:rPr>
        <w:t>Note</w:t>
      </w:r>
      <w:r w:rsidRPr="00923DBD">
        <w:rPr>
          <w:rFonts w:ascii="Times New Roman" w:hAnsi="Times New Roman" w:cs="Times New Roman"/>
          <w:sz w:val="20"/>
          <w:szCs w:val="20"/>
        </w:rPr>
        <w:t>: since the FFA content was below 1% we transesterify the oil to produce the biodiesel and glycerol</w:t>
      </w:r>
    </w:p>
    <w:p w:rsidR="004B425E" w:rsidRPr="00923DBD" w:rsidRDefault="003439B4" w:rsidP="004B425E">
      <w:p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Table 2: </w:t>
      </w:r>
      <w:r w:rsidR="004B425E">
        <w:rPr>
          <w:rFonts w:ascii="Times New Roman" w:hAnsi="Times New Roman" w:cs="Times New Roman"/>
          <w:b/>
          <w:sz w:val="20"/>
          <w:szCs w:val="20"/>
        </w:rPr>
        <w:t>Characterization of t</w:t>
      </w:r>
      <w:r w:rsidR="004B425E" w:rsidRPr="00923DBD">
        <w:rPr>
          <w:rFonts w:ascii="Times New Roman" w:hAnsi="Times New Roman" w:cs="Times New Roman"/>
          <w:b/>
          <w:sz w:val="20"/>
          <w:szCs w:val="20"/>
        </w:rPr>
        <w:t xml:space="preserve">he Produced Biodiesel  </w:t>
      </w:r>
    </w:p>
    <w:p w:rsidR="004B425E" w:rsidRPr="00923DBD" w:rsidRDefault="004B425E" w:rsidP="004B425E">
      <w:pPr>
        <w:jc w:val="both"/>
        <w:rPr>
          <w:rFonts w:ascii="Times New Roman" w:hAnsi="Times New Roman" w:cs="Times New Roman"/>
          <w:sz w:val="20"/>
          <w:szCs w:val="20"/>
        </w:rPr>
      </w:pPr>
      <w:r w:rsidRPr="00923DBD">
        <w:rPr>
          <w:rFonts w:ascii="Times New Roman" w:hAnsi="Times New Roman" w:cs="Times New Roman"/>
          <w:sz w:val="20"/>
          <w:szCs w:val="20"/>
        </w:rPr>
        <w:t>The result obtained during the characterization of the produced biodiesel are</w:t>
      </w:r>
      <w:r>
        <w:rPr>
          <w:rFonts w:ascii="Times New Roman" w:hAnsi="Times New Roman" w:cs="Times New Roman"/>
          <w:sz w:val="20"/>
          <w:szCs w:val="20"/>
        </w:rPr>
        <w:t xml:space="preserve"> presented below</w:t>
      </w:r>
    </w:p>
    <w:p w:rsidR="004B425E" w:rsidRDefault="004B425E" w:rsidP="00755880">
      <w:pPr>
        <w:jc w:val="both"/>
        <w:rPr>
          <w:rFonts w:ascii="Times New Roman" w:hAnsi="Times New Roman" w:cs="Times New Roman"/>
          <w:sz w:val="20"/>
          <w:szCs w:val="20"/>
        </w:rPr>
        <w:sectPr w:rsidR="004B425E" w:rsidSect="00755880">
          <w:type w:val="continuous"/>
          <w:pgSz w:w="12240" w:h="15840"/>
          <w:pgMar w:top="1440" w:right="1440" w:bottom="1440" w:left="1440" w:header="720" w:footer="720" w:gutter="0"/>
          <w:cols w:num="2" w:space="360"/>
          <w:docGrid w:linePitch="360"/>
        </w:sectPr>
      </w:pPr>
    </w:p>
    <w:tbl>
      <w:tblPr>
        <w:tblpPr w:leftFromText="180" w:rightFromText="180" w:vertAnchor="text" w:horzAnchor="margin" w:tblpX="-594" w:tblpY="270"/>
        <w:tblW w:w="10152" w:type="dxa"/>
        <w:tblLayout w:type="fixed"/>
        <w:tblLook w:val="04A0" w:firstRow="1" w:lastRow="0" w:firstColumn="1" w:lastColumn="0" w:noHBand="0" w:noVBand="1"/>
      </w:tblPr>
      <w:tblGrid>
        <w:gridCol w:w="1728"/>
        <w:gridCol w:w="1062"/>
        <w:gridCol w:w="1908"/>
        <w:gridCol w:w="1692"/>
        <w:gridCol w:w="2142"/>
        <w:gridCol w:w="1620"/>
      </w:tblGrid>
      <w:tr w:rsidR="004B425E" w:rsidRPr="00572F21" w:rsidTr="004B425E">
        <w:tc>
          <w:tcPr>
            <w:tcW w:w="1728"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Property</w:t>
            </w:r>
          </w:p>
        </w:tc>
        <w:tc>
          <w:tcPr>
            <w:tcW w:w="106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Unit</w:t>
            </w:r>
          </w:p>
        </w:tc>
        <w:tc>
          <w:tcPr>
            <w:tcW w:w="1908"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ASTM Specification</w:t>
            </w:r>
          </w:p>
        </w:tc>
        <w:tc>
          <w:tcPr>
            <w:tcW w:w="169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Groundnut Oil</w:t>
            </w:r>
          </w:p>
        </w:tc>
        <w:tc>
          <w:tcPr>
            <w:tcW w:w="214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Groundnut Oil Biodiesel</w:t>
            </w:r>
          </w:p>
        </w:tc>
        <w:tc>
          <w:tcPr>
            <w:tcW w:w="1620"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Diesel Fuel</w:t>
            </w:r>
          </w:p>
        </w:tc>
      </w:tr>
      <w:tr w:rsidR="004B425E" w:rsidRPr="00572F21" w:rsidTr="004B425E">
        <w:tc>
          <w:tcPr>
            <w:tcW w:w="1728"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Density</w:t>
            </w:r>
          </w:p>
        </w:tc>
        <w:tc>
          <w:tcPr>
            <w:tcW w:w="106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Kg/m³</w:t>
            </w:r>
          </w:p>
        </w:tc>
        <w:tc>
          <w:tcPr>
            <w:tcW w:w="1908"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0.575 - 0.900</w:t>
            </w:r>
          </w:p>
        </w:tc>
        <w:tc>
          <w:tcPr>
            <w:tcW w:w="169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0.9251</w:t>
            </w:r>
          </w:p>
        </w:tc>
        <w:tc>
          <w:tcPr>
            <w:tcW w:w="214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0.8733</w:t>
            </w:r>
          </w:p>
        </w:tc>
        <w:tc>
          <w:tcPr>
            <w:tcW w:w="1620"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0.8220</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Pour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-15 to +10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-6</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-12</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Viscosity at 40°C</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mm²/s</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1.9 - 6.0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27.23</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2.83</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2.2</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Flash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100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266</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110</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55</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Fire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200</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207</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62</w:t>
            </w:r>
          </w:p>
        </w:tc>
      </w:tr>
      <w:tr w:rsidR="004B425E" w:rsidRPr="00572F21" w:rsidTr="004B425E">
        <w:tc>
          <w:tcPr>
            <w:tcW w:w="1728"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Calorific Value</w:t>
            </w:r>
          </w:p>
        </w:tc>
        <w:tc>
          <w:tcPr>
            <w:tcW w:w="106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MJ/kg</w:t>
            </w:r>
          </w:p>
        </w:tc>
        <w:tc>
          <w:tcPr>
            <w:tcW w:w="1908"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c>
          <w:tcPr>
            <w:tcW w:w="169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37</w:t>
            </w:r>
          </w:p>
        </w:tc>
        <w:tc>
          <w:tcPr>
            <w:tcW w:w="214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36.1</w:t>
            </w:r>
          </w:p>
        </w:tc>
        <w:tc>
          <w:tcPr>
            <w:tcW w:w="1620"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42.2</w:t>
            </w:r>
          </w:p>
        </w:tc>
      </w:tr>
    </w:tbl>
    <w:p w:rsidR="00755880" w:rsidRDefault="00755880" w:rsidP="00755880">
      <w:pPr>
        <w:jc w:val="both"/>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sectPr w:rsidR="004B425E" w:rsidSect="004B425E">
          <w:type w:val="continuous"/>
          <w:pgSz w:w="12240" w:h="15840"/>
          <w:pgMar w:top="1440" w:right="1440" w:bottom="1440" w:left="1440" w:header="720" w:footer="720" w:gutter="0"/>
          <w:cols w:space="360"/>
          <w:docGrid w:linePitch="360"/>
        </w:sectPr>
      </w:pPr>
    </w:p>
    <w:p w:rsidR="004B425E" w:rsidRPr="00DD6CDC" w:rsidRDefault="004B425E" w:rsidP="004B425E">
      <w:pPr>
        <w:rPr>
          <w:rFonts w:ascii="Times New Roman" w:hAnsi="Times New Roman" w:cs="Times New Roman"/>
          <w:b/>
          <w:bCs/>
          <w:sz w:val="20"/>
          <w:szCs w:val="20"/>
        </w:rPr>
      </w:pPr>
      <w:r w:rsidRPr="00963039">
        <w:rPr>
          <w:rFonts w:ascii="Times New Roman" w:hAnsi="Times New Roman" w:cs="Times New Roman"/>
          <w:b/>
          <w:bCs/>
          <w:sz w:val="20"/>
          <w:szCs w:val="20"/>
        </w:rPr>
        <w:lastRenderedPageBreak/>
        <w:t>BIODIESEL YIELD</w:t>
      </w:r>
    </w:p>
    <w:p w:rsidR="004B425E" w:rsidRPr="00963039" w:rsidRDefault="004B425E" w:rsidP="004B425E">
      <w:pPr>
        <w:jc w:val="both"/>
        <w:rPr>
          <w:rFonts w:ascii="Times New Roman" w:hAnsi="Times New Roman" w:cs="Times New Roman"/>
          <w:sz w:val="20"/>
          <w:szCs w:val="20"/>
        </w:rPr>
      </w:pPr>
      <w:r w:rsidRPr="00963039">
        <w:rPr>
          <w:rFonts w:ascii="Times New Roman" w:hAnsi="Times New Roman" w:cs="Times New Roman"/>
          <w:sz w:val="20"/>
          <w:szCs w:val="20"/>
        </w:rPr>
        <w:t>The transesterification of waste cooking oil resulted in a biodiesel yield of approximately 85-90%. The yield is consistent with previous studies and demonstrates the viability of waste cooking oil as a feedstock for biodiesel production. The glycerol by-product was also collected, which could potentially be used in other industrial applications.</w:t>
      </w:r>
    </w:p>
    <w:p w:rsidR="004B425E" w:rsidRDefault="004B425E" w:rsidP="00755880">
      <w:pPr>
        <w:rPr>
          <w:rFonts w:ascii="Times New Roman" w:hAnsi="Times New Roman" w:cs="Times New Roman"/>
          <w:sz w:val="20"/>
          <w:szCs w:val="20"/>
        </w:rPr>
      </w:pPr>
      <w:r>
        <w:rPr>
          <w:rFonts w:ascii="Times New Roman" w:hAnsi="Times New Roman" w:cs="Times New Roman"/>
          <w:noProof/>
          <w:sz w:val="20"/>
          <w:szCs w:val="20"/>
          <w:lang w:val="en-IN" w:eastAsia="en-IN"/>
        </w:rPr>
        <w:drawing>
          <wp:inline distT="0" distB="0" distL="0" distR="0" wp14:anchorId="15762C15" wp14:editId="7185E9EF">
            <wp:extent cx="2904559" cy="2256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6827" cy="2258074"/>
                    </a:xfrm>
                    <a:prstGeom prst="rect">
                      <a:avLst/>
                    </a:prstGeom>
                    <a:noFill/>
                  </pic:spPr>
                </pic:pic>
              </a:graphicData>
            </a:graphic>
          </wp:inline>
        </w:drawing>
      </w:r>
    </w:p>
    <w:p w:rsidR="004B425E" w:rsidRDefault="004B425E" w:rsidP="00755880">
      <w:pPr>
        <w:rPr>
          <w:rFonts w:ascii="Times New Roman" w:hAnsi="Times New Roman" w:cs="Times New Roman"/>
          <w:sz w:val="20"/>
          <w:szCs w:val="20"/>
        </w:rPr>
      </w:pPr>
      <w:r w:rsidRPr="004B425E">
        <w:rPr>
          <w:rFonts w:ascii="Times New Roman" w:hAnsi="Times New Roman" w:cs="Times New Roman"/>
          <w:sz w:val="20"/>
          <w:szCs w:val="20"/>
        </w:rPr>
        <w:t>Plate 1: showing the pre-heated waste cooking vegetable oil</w:t>
      </w:r>
    </w:p>
    <w:p w:rsidR="004B425E" w:rsidRDefault="004B425E" w:rsidP="00755880">
      <w:pPr>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w:drawing>
          <wp:inline distT="0" distB="0" distL="0" distR="0" wp14:anchorId="396C5A87" wp14:editId="0CD9CBAE">
            <wp:extent cx="3071003" cy="266556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493" cy="2670328"/>
                    </a:xfrm>
                    <a:prstGeom prst="rect">
                      <a:avLst/>
                    </a:prstGeom>
                    <a:noFill/>
                  </pic:spPr>
                </pic:pic>
              </a:graphicData>
            </a:graphic>
          </wp:inline>
        </w:drawing>
      </w:r>
    </w:p>
    <w:p w:rsidR="004B425E" w:rsidRPr="00DD6CDC" w:rsidRDefault="004B425E" w:rsidP="004B425E">
      <w:pPr>
        <w:jc w:val="both"/>
        <w:rPr>
          <w:rFonts w:ascii="Times New Roman" w:hAnsi="Times New Roman" w:cs="Times New Roman"/>
          <w:sz w:val="20"/>
          <w:szCs w:val="20"/>
        </w:rPr>
      </w:pPr>
      <w:r w:rsidRPr="00DD6CDC">
        <w:rPr>
          <w:rFonts w:ascii="Times New Roman" w:hAnsi="Times New Roman" w:cs="Times New Roman"/>
          <w:sz w:val="20"/>
          <w:szCs w:val="20"/>
        </w:rPr>
        <w:t xml:space="preserve">Plate </w:t>
      </w:r>
      <w:r>
        <w:rPr>
          <w:rFonts w:ascii="Times New Roman" w:hAnsi="Times New Roman" w:cs="Times New Roman"/>
          <w:sz w:val="20"/>
          <w:szCs w:val="20"/>
        </w:rPr>
        <w:t>2: showing the produced</w:t>
      </w:r>
      <w:r w:rsidRPr="00DD6CDC">
        <w:rPr>
          <w:rFonts w:ascii="Times New Roman" w:hAnsi="Times New Roman" w:cs="Times New Roman"/>
          <w:sz w:val="20"/>
          <w:szCs w:val="20"/>
        </w:rPr>
        <w:t xml:space="preserve"> </w:t>
      </w:r>
      <w:r>
        <w:rPr>
          <w:rFonts w:ascii="Times New Roman" w:hAnsi="Times New Roman" w:cs="Times New Roman"/>
          <w:sz w:val="20"/>
          <w:szCs w:val="20"/>
        </w:rPr>
        <w:t>biodiesel from waste cooking vegetable oil</w:t>
      </w:r>
    </w:p>
    <w:p w:rsidR="004B425E" w:rsidRDefault="004B425E" w:rsidP="00755880">
      <w:pPr>
        <w:rPr>
          <w:rFonts w:ascii="Times New Roman" w:hAnsi="Times New Roman" w:cs="Times New Roman"/>
          <w:sz w:val="20"/>
          <w:szCs w:val="20"/>
        </w:rPr>
      </w:pPr>
    </w:p>
    <w:p w:rsidR="0010188C" w:rsidRDefault="009D3B08" w:rsidP="0010188C">
      <w:pPr>
        <w:jc w:val="both"/>
        <w:rPr>
          <w:rFonts w:ascii="Times New Roman" w:hAnsi="Times New Roman" w:cs="Times New Roman"/>
          <w:sz w:val="20"/>
          <w:szCs w:val="20"/>
        </w:rPr>
      </w:pPr>
      <w:r>
        <w:rPr>
          <w:rFonts w:ascii="Times New Roman" w:hAnsi="Times New Roman" w:cs="Times New Roman"/>
          <w:b/>
          <w:noProof/>
          <w:sz w:val="20"/>
          <w:szCs w:val="20"/>
          <w:lang w:val="en-IN" w:eastAsia="en-IN"/>
        </w:rPr>
        <mc:AlternateContent>
          <mc:Choice Requires="wps">
            <w:drawing>
              <wp:anchor distT="0" distB="0" distL="114300" distR="114300" simplePos="0" relativeHeight="251666432" behindDoc="0" locked="0" layoutInCell="1" allowOverlap="1">
                <wp:simplePos x="0" y="0"/>
                <wp:positionH relativeFrom="column">
                  <wp:posOffset>-235281</wp:posOffset>
                </wp:positionH>
                <wp:positionV relativeFrom="paragraph">
                  <wp:posOffset>484505</wp:posOffset>
                </wp:positionV>
                <wp:extent cx="993914" cy="262393"/>
                <wp:effectExtent l="0" t="0" r="0" b="4445"/>
                <wp:wrapNone/>
                <wp:docPr id="11" name="Rectangle 11"/>
                <wp:cNvGraphicFramePr/>
                <a:graphic xmlns:a="http://schemas.openxmlformats.org/drawingml/2006/main">
                  <a:graphicData uri="http://schemas.microsoft.com/office/word/2010/wordprocessingShape">
                    <wps:wsp>
                      <wps:cNvSpPr/>
                      <wps:spPr>
                        <a:xfrm>
                          <a:off x="0" y="0"/>
                          <a:ext cx="993914" cy="26239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rFonts w:ascii="Times New Roman" w:hAnsi="Times New Roman" w:cs="Times New Roman"/>
                                <w:b/>
                                <w:sz w:val="20"/>
                              </w:rPr>
                            </w:pPr>
                            <w:r w:rsidRPr="009D3B08">
                              <w:rPr>
                                <w:rFonts w:ascii="Times New Roman" w:hAnsi="Times New Roman" w:cs="Times New Roman"/>
                                <w:b/>
                                <w:sz w:val="20"/>
                                <w:vertAlign w:val="superscript"/>
                              </w:rPr>
                              <w:t>o</w:t>
                            </w:r>
                            <w:r w:rsidRPr="009D3B08">
                              <w:rPr>
                                <w:rFonts w:ascii="Times New Roman" w:hAnsi="Times New Roman" w:cs="Times New Roman"/>
                                <w:b/>
                                <w:sz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left:0;text-align:left;margin-left:-18.55pt;margin-top:38.15pt;width:78.2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" fillcolor="white [3201]" stroked="f" strokeweight="2pt">
                <v:textbox>
                  <w:txbxContent>
                    <w:p w:rsidR="009D3B08" w:rsidRPr="009D3B08" w:rsidRDefault="009D3B08" w:rsidP="009D3B08">
                      <w:pPr>
                        <w:jc w:val="center"/>
                        <w:rPr>
                          <w:rFonts w:ascii="Times New Roman" w:hAnsi="Times New Roman" w:cs="Times New Roman"/>
                          <w:b/>
                          <w:sz w:val="20"/>
                        </w:rPr>
                      </w:pPr>
                      <w:proofErr w:type="spellStart"/>
                      <w:proofErr w:type="gramStart"/>
                      <w:r w:rsidRPr="009D3B08">
                        <w:rPr>
                          <w:rFonts w:ascii="Times New Roman" w:hAnsi="Times New Roman" w:cs="Times New Roman"/>
                          <w:b/>
                          <w:sz w:val="20"/>
                          <w:vertAlign w:val="superscript"/>
                        </w:rPr>
                        <w:t>o</w:t>
                      </w:r>
                      <w:r w:rsidRPr="009D3B08">
                        <w:rPr>
                          <w:rFonts w:ascii="Times New Roman" w:hAnsi="Times New Roman" w:cs="Times New Roman"/>
                          <w:b/>
                          <w:sz w:val="20"/>
                        </w:rPr>
                        <w:t>C</w:t>
                      </w:r>
                      <w:proofErr w:type="spellEnd"/>
                      <w:proofErr w:type="gramEnd"/>
                    </w:p>
                  </w:txbxContent>
                </v:textbox>
              </v:rect>
            </w:pict>
          </mc:Fallback>
        </mc:AlternateContent>
      </w:r>
      <w:r w:rsidR="0010188C" w:rsidRPr="0063235D">
        <w:rPr>
          <w:rFonts w:ascii="Times New Roman" w:hAnsi="Times New Roman" w:cs="Times New Roman"/>
          <w:b/>
          <w:sz w:val="20"/>
          <w:szCs w:val="20"/>
        </w:rPr>
        <w:t>GRAPHICAL REPRESENTATIONS OF THE PROPERTIES OF GROUNDNUT OIL, BIODIESEL AND DIESEL</w:t>
      </w:r>
      <w:r w:rsidR="0010188C" w:rsidRPr="0063235D">
        <w:rPr>
          <w:rFonts w:ascii="Times New Roman" w:hAnsi="Times New Roman" w:cs="Times New Roman"/>
          <w:sz w:val="20"/>
          <w:szCs w:val="20"/>
        </w:rPr>
        <w:t xml:space="preserve"> </w:t>
      </w:r>
    </w:p>
    <w:p w:rsidR="00DD0539" w:rsidRDefault="00DD0539" w:rsidP="00755880">
      <w:pPr>
        <w:rPr>
          <w:rFonts w:ascii="Times New Roman" w:hAnsi="Times New Roman" w:cs="Times New Roman"/>
          <w:sz w:val="20"/>
          <w:szCs w:val="20"/>
        </w:rPr>
      </w:pPr>
    </w:p>
    <w:p w:rsidR="00DD0539" w:rsidRDefault="009D3B08" w:rsidP="00DD0539">
      <w:pPr>
        <w:jc w:val="both"/>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mc:AlternateContent>
          <mc:Choice Requires="wps">
            <w:drawing>
              <wp:anchor distT="0" distB="0" distL="114300" distR="114300" simplePos="0" relativeHeight="251669504" behindDoc="0" locked="0" layoutInCell="1" allowOverlap="1" wp14:anchorId="76E332EE" wp14:editId="0525BFFD">
                <wp:simplePos x="0" y="0"/>
                <wp:positionH relativeFrom="column">
                  <wp:posOffset>2894330</wp:posOffset>
                </wp:positionH>
                <wp:positionV relativeFrom="paragraph">
                  <wp:posOffset>766776</wp:posOffset>
                </wp:positionV>
                <wp:extent cx="873760" cy="309245"/>
                <wp:effectExtent l="0" t="0" r="2540" b="0"/>
                <wp:wrapNone/>
                <wp:docPr id="14" name="Rectangle 14"/>
                <wp:cNvGraphicFramePr/>
                <a:graphic xmlns:a="http://schemas.openxmlformats.org/drawingml/2006/main">
                  <a:graphicData uri="http://schemas.microsoft.com/office/word/2010/wordprocessingShape">
                    <wps:wsp>
                      <wps:cNvSpPr/>
                      <wps:spPr>
                        <a:xfrm>
                          <a:off x="0" y="0"/>
                          <a:ext cx="873760" cy="3092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mj/kg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7" style="position:absolute;left:0;text-align:left;margin-left:227.9pt;margin-top:60.4pt;width:68.8pt;height:2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" fillcolor="white [3201]" stroked="f" strokeweight="2pt">
                <v:textbox>
                  <w:txbxContent>
                    <w:p w:rsidR="009D3B08" w:rsidRPr="009D3B08" w:rsidRDefault="009D3B08" w:rsidP="009D3B08">
                      <w:pPr>
                        <w:jc w:val="center"/>
                        <w:rPr>
                          <w:b/>
                        </w:rPr>
                      </w:pPr>
                      <w:proofErr w:type="spellStart"/>
                      <w:proofErr w:type="gramStart"/>
                      <w:r w:rsidRPr="009D3B08">
                        <w:rPr>
                          <w:rFonts w:ascii="Times New Roman" w:hAnsi="Times New Roman" w:cs="Times New Roman"/>
                          <w:b/>
                          <w:sz w:val="20"/>
                          <w:szCs w:val="20"/>
                        </w:rPr>
                        <w:t>mj</w:t>
                      </w:r>
                      <w:proofErr w:type="spellEnd"/>
                      <w:r w:rsidRPr="009D3B08">
                        <w:rPr>
                          <w:rFonts w:ascii="Times New Roman" w:hAnsi="Times New Roman" w:cs="Times New Roman"/>
                          <w:b/>
                          <w:sz w:val="20"/>
                          <w:szCs w:val="20"/>
                        </w:rPr>
                        <w:t>/kg</w:t>
                      </w:r>
                      <w:proofErr w:type="gramEnd"/>
                    </w:p>
                  </w:txbxContent>
                </v:textbox>
              </v:rect>
            </w:pict>
          </mc:Fallback>
        </mc:AlternateContent>
      </w:r>
      <w:r>
        <w:rPr>
          <w:rFonts w:ascii="Times New Roman" w:hAnsi="Times New Roman" w:cs="Times New Roman"/>
          <w:b/>
          <w:noProof/>
          <w:sz w:val="20"/>
          <w:szCs w:val="20"/>
          <w:lang w:val="en-IN" w:eastAsia="en-IN"/>
        </w:rPr>
        <mc:AlternateContent>
          <mc:Choice Requires="wps">
            <w:drawing>
              <wp:anchor distT="0" distB="0" distL="114300" distR="114300" simplePos="0" relativeHeight="251668480" behindDoc="0" locked="0" layoutInCell="1" allowOverlap="1" wp14:anchorId="4E2C136A" wp14:editId="0BF1A8E5">
                <wp:simplePos x="0" y="0"/>
                <wp:positionH relativeFrom="column">
                  <wp:posOffset>-262890</wp:posOffset>
                </wp:positionH>
                <wp:positionV relativeFrom="paragraph">
                  <wp:posOffset>697865</wp:posOffset>
                </wp:positionV>
                <wp:extent cx="826770" cy="309245"/>
                <wp:effectExtent l="0" t="0" r="0" b="0"/>
                <wp:wrapNone/>
                <wp:docPr id="13" name="Rectangle 13"/>
                <wp:cNvGraphicFramePr/>
                <a:graphic xmlns:a="http://schemas.openxmlformats.org/drawingml/2006/main">
                  <a:graphicData uri="http://schemas.microsoft.com/office/word/2010/wordprocessingShape">
                    <wps:wsp>
                      <wps:cNvSpPr/>
                      <wps:spPr>
                        <a:xfrm>
                          <a:off x="0" y="0"/>
                          <a:ext cx="826770" cy="3092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kg/m</w:t>
                            </w:r>
                            <w:r w:rsidRPr="009D3B08">
                              <w:rPr>
                                <w:rFonts w:ascii="Times New Roman" w:hAnsi="Times New Roman" w:cs="Times New Roman"/>
                                <w:b/>
                                <w:sz w:val="20"/>
                                <w:szCs w:val="20"/>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8" style="position:absolute;left:0;text-align:left;margin-left:-20.7pt;margin-top:54.95pt;width:65.1pt;height:24.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" fillcolor="white [3201]" stroked="f" strokeweight="2pt">
                <v:textbox>
                  <w:txbxContent>
                    <w:p w:rsidR="009D3B08" w:rsidRPr="009D3B08" w:rsidRDefault="009D3B08" w:rsidP="009D3B08">
                      <w:pPr>
                        <w:jc w:val="center"/>
                        <w:rPr>
                          <w:b/>
                        </w:rPr>
                      </w:pPr>
                      <w:proofErr w:type="gramStart"/>
                      <w:r w:rsidRPr="009D3B08">
                        <w:rPr>
                          <w:rFonts w:ascii="Times New Roman" w:hAnsi="Times New Roman" w:cs="Times New Roman"/>
                          <w:b/>
                          <w:sz w:val="20"/>
                          <w:szCs w:val="20"/>
                        </w:rPr>
                        <w:t>kg/m</w:t>
                      </w:r>
                      <w:r w:rsidRPr="009D3B08">
                        <w:rPr>
                          <w:rFonts w:ascii="Times New Roman" w:hAnsi="Times New Roman" w:cs="Times New Roman"/>
                          <w:b/>
                          <w:sz w:val="20"/>
                          <w:szCs w:val="20"/>
                          <w:vertAlign w:val="superscript"/>
                        </w:rPr>
                        <w:t>3</w:t>
                      </w:r>
                      <w:proofErr w:type="gramEnd"/>
                    </w:p>
                  </w:txbxContent>
                </v:textbox>
              </v:rect>
            </w:pict>
          </mc:Fallback>
        </mc:AlternateContent>
      </w:r>
      <w:r w:rsidR="00DD0539">
        <w:rPr>
          <w:rFonts w:ascii="Times New Roman" w:hAnsi="Times New Roman" w:cs="Times New Roman"/>
          <w:b/>
          <w:sz w:val="20"/>
          <w:szCs w:val="20"/>
        </w:rPr>
        <w:t>Figure 1</w:t>
      </w:r>
      <w:r w:rsidR="00DD0539" w:rsidRPr="00CB4FA1">
        <w:rPr>
          <w:rFonts w:ascii="Times New Roman" w:hAnsi="Times New Roman" w:cs="Times New Roman"/>
          <w:b/>
          <w:sz w:val="20"/>
          <w:szCs w:val="20"/>
        </w:rPr>
        <w:t>:</w:t>
      </w:r>
      <w:r w:rsidR="00DD0539" w:rsidRPr="00CB4FA1">
        <w:rPr>
          <w:rFonts w:ascii="Times New Roman" w:hAnsi="Times New Roman" w:cs="Times New Roman"/>
          <w:sz w:val="20"/>
          <w:szCs w:val="20"/>
        </w:rPr>
        <w:t xml:space="preserve"> showing the flash point of groundnut oil, biodiesel and diesel with diesel having the lowest flash point (55</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C) compared to the groundnut oil (266</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 xml:space="preserve">C) and </w:t>
      </w:r>
      <w:r w:rsidR="00DD0539">
        <w:rPr>
          <w:rFonts w:ascii="Times New Roman" w:hAnsi="Times New Roman" w:cs="Times New Roman"/>
          <w:sz w:val="20"/>
          <w:szCs w:val="20"/>
        </w:rPr>
        <w:t>the biodiesel</w:t>
      </w:r>
      <w:r w:rsidR="00DD0539" w:rsidRPr="00CB4FA1">
        <w:rPr>
          <w:rFonts w:ascii="Times New Roman" w:hAnsi="Times New Roman" w:cs="Times New Roman"/>
          <w:sz w:val="20"/>
          <w:szCs w:val="20"/>
        </w:rPr>
        <w:t xml:space="preserve"> (110</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C).</w:t>
      </w:r>
    </w:p>
    <w:p w:rsidR="004B425E" w:rsidRDefault="004B425E" w:rsidP="00755880">
      <w:pPr>
        <w:rPr>
          <w:rFonts w:ascii="Times New Roman" w:hAnsi="Times New Roman" w:cs="Times New Roman"/>
          <w:sz w:val="20"/>
          <w:szCs w:val="20"/>
        </w:rPr>
      </w:pPr>
    </w:p>
    <w:p w:rsidR="004B425E" w:rsidRDefault="00694F6F" w:rsidP="00755880">
      <w:pPr>
        <w:rPr>
          <w:rFonts w:ascii="Times New Roman" w:hAnsi="Times New Roman" w:cs="Times New Roman"/>
          <w:sz w:val="20"/>
          <w:szCs w:val="20"/>
        </w:rPr>
      </w:pPr>
      <w:r w:rsidRPr="0007234D">
        <w:rPr>
          <w:rFonts w:ascii="Times New Roman" w:hAnsi="Times New Roman" w:cs="Times New Roman"/>
          <w:noProof/>
          <w:sz w:val="28"/>
          <w:szCs w:val="28"/>
          <w:lang w:val="en-IN" w:eastAsia="en-IN"/>
        </w:rPr>
        <w:drawing>
          <wp:anchor distT="0" distB="0" distL="114300" distR="114300" simplePos="0" relativeHeight="251665408" behindDoc="0" locked="0" layoutInCell="1" allowOverlap="1" wp14:anchorId="50E9156F" wp14:editId="18E81EAA">
            <wp:simplePos x="0" y="0"/>
            <wp:positionH relativeFrom="column">
              <wp:posOffset>3131820</wp:posOffset>
            </wp:positionH>
            <wp:positionV relativeFrom="paragraph">
              <wp:posOffset>3175</wp:posOffset>
            </wp:positionV>
            <wp:extent cx="3110865" cy="2564765"/>
            <wp:effectExtent l="0" t="0" r="0" b="0"/>
            <wp:wrapSquare wrapText="bothSides"/>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10188C" w:rsidRPr="0007234D">
        <w:rPr>
          <w:rFonts w:ascii="Times New Roman" w:hAnsi="Times New Roman" w:cs="Times New Roman"/>
          <w:noProof/>
          <w:sz w:val="28"/>
          <w:szCs w:val="28"/>
          <w:lang w:val="en-IN" w:eastAsia="en-IN"/>
        </w:rPr>
        <w:drawing>
          <wp:anchor distT="0" distB="0" distL="114300" distR="114300" simplePos="0" relativeHeight="251661312" behindDoc="1" locked="0" layoutInCell="1" allowOverlap="1" wp14:anchorId="1BED2358" wp14:editId="7371BAA9">
            <wp:simplePos x="0" y="0"/>
            <wp:positionH relativeFrom="column">
              <wp:posOffset>-84455</wp:posOffset>
            </wp:positionH>
            <wp:positionV relativeFrom="paragraph">
              <wp:posOffset>-198120</wp:posOffset>
            </wp:positionV>
            <wp:extent cx="3004457" cy="2766951"/>
            <wp:effectExtent l="0" t="0" r="0" b="0"/>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Pr="00CB4FA1" w:rsidRDefault="0010188C" w:rsidP="0010188C">
      <w:pPr>
        <w:jc w:val="both"/>
        <w:rPr>
          <w:rFonts w:ascii="Times New Roman" w:hAnsi="Times New Roman" w:cs="Times New Roman"/>
          <w:sz w:val="20"/>
          <w:szCs w:val="20"/>
        </w:rPr>
      </w:pPr>
      <w:r>
        <w:rPr>
          <w:rFonts w:ascii="Times New Roman" w:hAnsi="Times New Roman" w:cs="Times New Roman"/>
          <w:b/>
          <w:sz w:val="20"/>
          <w:szCs w:val="20"/>
        </w:rPr>
        <w:t>Figure 2</w:t>
      </w:r>
      <w:r w:rsidRPr="00CB4FA1">
        <w:rPr>
          <w:rFonts w:ascii="Times New Roman" w:hAnsi="Times New Roman" w:cs="Times New Roman"/>
          <w:b/>
          <w:sz w:val="20"/>
          <w:szCs w:val="20"/>
        </w:rPr>
        <w:t>:</w:t>
      </w:r>
      <w:r w:rsidRPr="00CB4FA1">
        <w:rPr>
          <w:rFonts w:ascii="Times New Roman" w:hAnsi="Times New Roman" w:cs="Times New Roman"/>
          <w:sz w:val="20"/>
          <w:szCs w:val="20"/>
        </w:rPr>
        <w:t xml:space="preserve"> showing the density of groundnut oil, biodiesel and diesel with diesel having the lowest density (0.822kg/m</w:t>
      </w:r>
      <w:r w:rsidRPr="00CB4FA1">
        <w:rPr>
          <w:rFonts w:ascii="Times New Roman" w:hAnsi="Times New Roman" w:cs="Times New Roman"/>
          <w:sz w:val="20"/>
          <w:szCs w:val="20"/>
          <w:vertAlign w:val="superscript"/>
        </w:rPr>
        <w:t>3</w:t>
      </w:r>
      <w:r w:rsidRPr="00CB4FA1">
        <w:rPr>
          <w:rFonts w:ascii="Times New Roman" w:hAnsi="Times New Roman" w:cs="Times New Roman"/>
          <w:sz w:val="20"/>
          <w:szCs w:val="20"/>
        </w:rPr>
        <w:t>) compared to the groundnut oil (0.9251 kg/m</w:t>
      </w:r>
      <w:r w:rsidRPr="00CB4FA1">
        <w:rPr>
          <w:rFonts w:ascii="Times New Roman" w:hAnsi="Times New Roman" w:cs="Times New Roman"/>
          <w:sz w:val="20"/>
          <w:szCs w:val="20"/>
          <w:vertAlign w:val="superscript"/>
        </w:rPr>
        <w:t>3</w:t>
      </w:r>
      <w:r w:rsidR="00DD0539">
        <w:rPr>
          <w:rFonts w:ascii="Times New Roman" w:hAnsi="Times New Roman" w:cs="Times New Roman"/>
          <w:sz w:val="20"/>
          <w:szCs w:val="20"/>
        </w:rPr>
        <w:t>) and the biodiesel</w:t>
      </w:r>
      <w:r w:rsidRPr="00CB4FA1">
        <w:rPr>
          <w:rFonts w:ascii="Times New Roman" w:hAnsi="Times New Roman" w:cs="Times New Roman"/>
          <w:sz w:val="20"/>
          <w:szCs w:val="20"/>
        </w:rPr>
        <w:t xml:space="preserve"> (0.873 kg/m</w:t>
      </w:r>
      <w:r w:rsidRPr="00CB4FA1">
        <w:rPr>
          <w:rFonts w:ascii="Times New Roman" w:hAnsi="Times New Roman" w:cs="Times New Roman"/>
          <w:sz w:val="20"/>
          <w:szCs w:val="20"/>
          <w:vertAlign w:val="superscript"/>
        </w:rPr>
        <w:t>3</w:t>
      </w:r>
      <w:r w:rsidRPr="00CB4FA1">
        <w:rPr>
          <w:rFonts w:ascii="Times New Roman" w:hAnsi="Times New Roman" w:cs="Times New Roman"/>
          <w:sz w:val="20"/>
          <w:szCs w:val="20"/>
        </w:rPr>
        <w:t>).</w:t>
      </w:r>
    </w:p>
    <w:p w:rsidR="0010188C" w:rsidRDefault="0010188C" w:rsidP="00755880">
      <w:pPr>
        <w:rPr>
          <w:rFonts w:ascii="Times New Roman" w:hAnsi="Times New Roman" w:cs="Times New Roman"/>
          <w:sz w:val="20"/>
          <w:szCs w:val="20"/>
        </w:rPr>
      </w:pPr>
    </w:p>
    <w:p w:rsidR="0010188C" w:rsidRDefault="009D3B08" w:rsidP="00755880">
      <w:pPr>
        <w:rPr>
          <w:rFonts w:ascii="Times New Roman" w:hAnsi="Times New Roman" w:cs="Times New Roman"/>
          <w:sz w:val="20"/>
          <w:szCs w:val="20"/>
        </w:rPr>
      </w:pPr>
      <w:r>
        <w:rPr>
          <w:rFonts w:ascii="Times New Roman" w:hAnsi="Times New Roman" w:cs="Times New Roman"/>
          <w:noProof/>
          <w:sz w:val="28"/>
          <w:szCs w:val="28"/>
          <w:lang w:val="en-IN" w:eastAsia="en-IN"/>
        </w:rPr>
        <mc:AlternateContent>
          <mc:Choice Requires="wps">
            <w:drawing>
              <wp:anchor distT="0" distB="0" distL="114300" distR="114300" simplePos="0" relativeHeight="251667456" behindDoc="0" locked="0" layoutInCell="1" allowOverlap="1" wp14:anchorId="6D12E179" wp14:editId="0860D75F">
                <wp:simplePos x="0" y="0"/>
                <wp:positionH relativeFrom="column">
                  <wp:posOffset>-101931</wp:posOffset>
                </wp:positionH>
                <wp:positionV relativeFrom="paragraph">
                  <wp:posOffset>-111125</wp:posOffset>
                </wp:positionV>
                <wp:extent cx="938254" cy="318052"/>
                <wp:effectExtent l="0" t="0" r="0" b="6350"/>
                <wp:wrapNone/>
                <wp:docPr id="12" name="Rectangle 12"/>
                <wp:cNvGraphicFramePr/>
                <a:graphic xmlns:a="http://schemas.openxmlformats.org/drawingml/2006/main">
                  <a:graphicData uri="http://schemas.microsoft.com/office/word/2010/wordprocessingShape">
                    <wps:wsp>
                      <wps:cNvSpPr/>
                      <wps:spPr>
                        <a:xfrm>
                          <a:off x="0" y="0"/>
                          <a:ext cx="938254" cy="31805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mj/kg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9" style="position:absolute;margin-left:-8.05pt;margin-top:-8.75pt;width:73.9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" fillcolor="white [3201]" stroked="f" strokeweight="2pt">
                <v:textbox>
                  <w:txbxContent>
                    <w:p w:rsidR="009D3B08" w:rsidRPr="009D3B08" w:rsidRDefault="009D3B08" w:rsidP="009D3B08">
                      <w:pPr>
                        <w:jc w:val="center"/>
                        <w:rPr>
                          <w:b/>
                        </w:rPr>
                      </w:pPr>
                      <w:proofErr w:type="spellStart"/>
                      <w:proofErr w:type="gramStart"/>
                      <w:r w:rsidRPr="009D3B08">
                        <w:rPr>
                          <w:rFonts w:ascii="Times New Roman" w:hAnsi="Times New Roman" w:cs="Times New Roman"/>
                          <w:b/>
                          <w:sz w:val="20"/>
                          <w:szCs w:val="20"/>
                        </w:rPr>
                        <w:t>mj</w:t>
                      </w:r>
                      <w:proofErr w:type="spellEnd"/>
                      <w:r w:rsidRPr="009D3B08">
                        <w:rPr>
                          <w:rFonts w:ascii="Times New Roman" w:hAnsi="Times New Roman" w:cs="Times New Roman"/>
                          <w:b/>
                          <w:sz w:val="20"/>
                          <w:szCs w:val="20"/>
                        </w:rPr>
                        <w:t>/kg</w:t>
                      </w:r>
                      <w:proofErr w:type="gramEnd"/>
                    </w:p>
                  </w:txbxContent>
                </v:textbox>
              </v:rect>
            </w:pict>
          </mc:Fallback>
        </mc:AlternateContent>
      </w:r>
      <w:r w:rsidR="003C52A6" w:rsidRPr="0007234D">
        <w:rPr>
          <w:rFonts w:ascii="Times New Roman" w:hAnsi="Times New Roman" w:cs="Times New Roman"/>
          <w:noProof/>
          <w:sz w:val="28"/>
          <w:szCs w:val="28"/>
          <w:lang w:val="en-IN" w:eastAsia="en-IN"/>
        </w:rPr>
        <w:drawing>
          <wp:anchor distT="0" distB="0" distL="114300" distR="114300" simplePos="0" relativeHeight="251663360" behindDoc="1" locked="0" layoutInCell="1" allowOverlap="1" wp14:anchorId="06330718" wp14:editId="6EA3E44E">
            <wp:simplePos x="0" y="0"/>
            <wp:positionH relativeFrom="column">
              <wp:posOffset>48895</wp:posOffset>
            </wp:positionH>
            <wp:positionV relativeFrom="paragraph">
              <wp:posOffset>74930</wp:posOffset>
            </wp:positionV>
            <wp:extent cx="3502660" cy="2552700"/>
            <wp:effectExtent l="0" t="0" r="2540" b="0"/>
            <wp:wrapNone/>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0188C" w:rsidRDefault="0010188C" w:rsidP="00755880">
      <w:pPr>
        <w:rPr>
          <w:rFonts w:ascii="Times New Roman" w:hAnsi="Times New Roman" w:cs="Times New Roman"/>
          <w:sz w:val="20"/>
          <w:szCs w:val="20"/>
        </w:rPr>
      </w:pPr>
    </w:p>
    <w:p w:rsidR="0010188C" w:rsidRDefault="009D3B08" w:rsidP="00755880">
      <w:pPr>
        <w:rPr>
          <w:rFonts w:ascii="Times New Roman" w:hAnsi="Times New Roman" w:cs="Times New Roman"/>
          <w:sz w:val="20"/>
          <w:szCs w:val="20"/>
        </w:rPr>
      </w:pPr>
      <w:r w:rsidRPr="0007234D">
        <w:rPr>
          <w:rFonts w:ascii="Times New Roman" w:hAnsi="Times New Roman" w:cs="Times New Roman"/>
          <w:noProof/>
          <w:sz w:val="28"/>
          <w:szCs w:val="28"/>
          <w:lang w:val="en-IN" w:eastAsia="en-IN"/>
        </w:rPr>
        <w:drawing>
          <wp:anchor distT="0" distB="0" distL="114300" distR="114300" simplePos="0" relativeHeight="251659264" behindDoc="0" locked="0" layoutInCell="1" allowOverlap="1" wp14:anchorId="207A7435" wp14:editId="14C8D013">
            <wp:simplePos x="0" y="0"/>
            <wp:positionH relativeFrom="column">
              <wp:posOffset>-38100</wp:posOffset>
            </wp:positionH>
            <wp:positionV relativeFrom="paragraph">
              <wp:posOffset>-5606415</wp:posOffset>
            </wp:positionV>
            <wp:extent cx="2956560" cy="2339340"/>
            <wp:effectExtent l="0" t="0" r="0" b="381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3C52A6" w:rsidRDefault="003C52A6" w:rsidP="003C52A6">
      <w:pPr>
        <w:jc w:val="both"/>
        <w:rPr>
          <w:rFonts w:ascii="Times New Roman" w:hAnsi="Times New Roman" w:cs="Times New Roman"/>
          <w:sz w:val="20"/>
          <w:szCs w:val="20"/>
        </w:rPr>
      </w:pPr>
      <w:r w:rsidRPr="004856DB">
        <w:rPr>
          <w:rFonts w:ascii="Times New Roman" w:hAnsi="Times New Roman" w:cs="Times New Roman"/>
          <w:b/>
          <w:sz w:val="20"/>
          <w:szCs w:val="20"/>
        </w:rPr>
        <w:t>Figure 3</w:t>
      </w:r>
      <w:r>
        <w:rPr>
          <w:rFonts w:ascii="Times New Roman" w:hAnsi="Times New Roman" w:cs="Times New Roman"/>
          <w:sz w:val="20"/>
          <w:szCs w:val="20"/>
        </w:rPr>
        <w:t>: S</w:t>
      </w:r>
      <w:r w:rsidRPr="004856DB">
        <w:rPr>
          <w:rFonts w:ascii="Times New Roman" w:hAnsi="Times New Roman" w:cs="Times New Roman"/>
          <w:sz w:val="20"/>
          <w:szCs w:val="20"/>
        </w:rPr>
        <w:t>howing the calorific value or the energy value of groundnut oil, biodiesel and diesel with diesel having the highest calorific value (42.2mj/kg) compared to groundnut oil (37.0mj/kg) and the b</w:t>
      </w:r>
      <w:r>
        <w:rPr>
          <w:rFonts w:ascii="Times New Roman" w:hAnsi="Times New Roman" w:cs="Times New Roman"/>
          <w:sz w:val="20"/>
          <w:szCs w:val="20"/>
        </w:rPr>
        <w:t xml:space="preserve">iodiesel produced (36.1mj/kg). </w:t>
      </w:r>
    </w:p>
    <w:p w:rsidR="00DD0539" w:rsidRDefault="00DD0539"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DD0539" w:rsidRDefault="00694F6F" w:rsidP="009D3B08">
      <w:pPr>
        <w:jc w:val="both"/>
        <w:rPr>
          <w:rFonts w:ascii="Times New Roman" w:hAnsi="Times New Roman" w:cs="Times New Roman"/>
          <w:sz w:val="20"/>
          <w:szCs w:val="20"/>
        </w:rPr>
      </w:pPr>
      <w:r>
        <w:rPr>
          <w:rFonts w:ascii="Times New Roman" w:hAnsi="Times New Roman" w:cs="Times New Roman"/>
          <w:b/>
          <w:sz w:val="20"/>
          <w:szCs w:val="20"/>
        </w:rPr>
        <w:t>Figure 4</w:t>
      </w:r>
      <w:r w:rsidRPr="004856DB">
        <w:rPr>
          <w:rFonts w:ascii="Times New Roman" w:hAnsi="Times New Roman" w:cs="Times New Roman"/>
          <w:b/>
          <w:sz w:val="20"/>
          <w:szCs w:val="20"/>
        </w:rPr>
        <w:t xml:space="preserve">: </w:t>
      </w:r>
      <w:r w:rsidRPr="004856DB">
        <w:rPr>
          <w:rFonts w:ascii="Times New Roman" w:hAnsi="Times New Roman" w:cs="Times New Roman"/>
          <w:sz w:val="20"/>
          <w:szCs w:val="20"/>
        </w:rPr>
        <w:t>showing the viscosity of groundnut oil, biodiesel and diesel with diesel having the lowest viscosity (2.2mm</w:t>
      </w:r>
      <w:r w:rsidRPr="004856DB">
        <w:rPr>
          <w:rFonts w:ascii="Times New Roman" w:hAnsi="Times New Roman" w:cs="Times New Roman"/>
          <w:sz w:val="20"/>
          <w:szCs w:val="20"/>
          <w:vertAlign w:val="superscript"/>
        </w:rPr>
        <w:t>2</w:t>
      </w:r>
      <w:r w:rsidRPr="004856DB">
        <w:rPr>
          <w:rFonts w:ascii="Times New Roman" w:hAnsi="Times New Roman" w:cs="Times New Roman"/>
          <w:sz w:val="20"/>
          <w:szCs w:val="20"/>
        </w:rPr>
        <w:t>/s) compared to the groundnut oil (27.23mm</w:t>
      </w:r>
      <w:r w:rsidRPr="004856DB">
        <w:rPr>
          <w:rFonts w:ascii="Times New Roman" w:hAnsi="Times New Roman" w:cs="Times New Roman"/>
          <w:sz w:val="20"/>
          <w:szCs w:val="20"/>
          <w:vertAlign w:val="superscript"/>
        </w:rPr>
        <w:t>2</w:t>
      </w:r>
      <w:r w:rsidR="00DD0539">
        <w:rPr>
          <w:rFonts w:ascii="Times New Roman" w:hAnsi="Times New Roman" w:cs="Times New Roman"/>
          <w:sz w:val="20"/>
          <w:szCs w:val="20"/>
        </w:rPr>
        <w:t xml:space="preserve">/s) and the biodiesel </w:t>
      </w:r>
      <w:r w:rsidRPr="004856DB">
        <w:rPr>
          <w:rFonts w:ascii="Times New Roman" w:hAnsi="Times New Roman" w:cs="Times New Roman"/>
          <w:sz w:val="20"/>
          <w:szCs w:val="20"/>
        </w:rPr>
        <w:t>which is 2.83mm</w:t>
      </w:r>
      <w:r w:rsidRPr="004856DB">
        <w:rPr>
          <w:rFonts w:ascii="Times New Roman" w:hAnsi="Times New Roman" w:cs="Times New Roman"/>
          <w:sz w:val="20"/>
          <w:szCs w:val="20"/>
          <w:vertAlign w:val="superscript"/>
        </w:rPr>
        <w:t>2</w:t>
      </w:r>
      <w:r w:rsidRPr="004856DB">
        <w:rPr>
          <w:rFonts w:ascii="Times New Roman" w:hAnsi="Times New Roman" w:cs="Times New Roman"/>
          <w:sz w:val="20"/>
          <w:szCs w:val="20"/>
        </w:rPr>
        <w:t>/s.</w:t>
      </w:r>
    </w:p>
    <w:p w:rsidR="00694F6F" w:rsidRPr="000D6A9B" w:rsidRDefault="00694F6F" w:rsidP="00694F6F">
      <w:pPr>
        <w:jc w:val="center"/>
        <w:rPr>
          <w:rFonts w:ascii="Times New Roman" w:hAnsi="Times New Roman" w:cs="Times New Roman"/>
          <w:b/>
          <w:bCs/>
          <w:sz w:val="20"/>
          <w:szCs w:val="20"/>
        </w:rPr>
      </w:pPr>
      <w:r w:rsidRPr="000D6A9B">
        <w:rPr>
          <w:rFonts w:ascii="Times New Roman" w:hAnsi="Times New Roman" w:cs="Times New Roman"/>
          <w:b/>
          <w:bCs/>
          <w:sz w:val="20"/>
          <w:szCs w:val="20"/>
        </w:rPr>
        <w:t>DISCUSSION</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The production of biodiesel from waste cooking vegetable oil offers a sustainable and environmentally friendly alternative to conventional fossil fuels. This section discusses the key findings from the production and characterization of biodiesel derived from waste </w:t>
      </w:r>
      <w:r w:rsidRPr="000D6A9B">
        <w:rPr>
          <w:rFonts w:ascii="Times New Roman" w:hAnsi="Times New Roman" w:cs="Times New Roman"/>
          <w:sz w:val="20"/>
          <w:szCs w:val="20"/>
        </w:rPr>
        <w:lastRenderedPageBreak/>
        <w:t>cooking oil, comparing the results with established standards and previous research</w:t>
      </w:r>
      <w:r w:rsidR="004640B7">
        <w:rPr>
          <w:rFonts w:ascii="Times New Roman" w:hAnsi="Times New Roman" w:cs="Times New Roman"/>
          <w:sz w:val="20"/>
          <w:szCs w:val="20"/>
        </w:rPr>
        <w:t>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free fatty acid (FFA) content of waste cooking oil is a critical factor in biodiesel production, as high FFA levels can lead to soap formation during transesterification, reducing biodiesel yield and complicating the process. In this study, the initial FFA content of the waste cooking oil was found to be above 1%, which necessitated a pre-treatment step. This pre-treatment effect</w:t>
      </w:r>
      <w:r w:rsidR="004640B7">
        <w:rPr>
          <w:rFonts w:ascii="Times New Roman" w:hAnsi="Times New Roman" w:cs="Times New Roman"/>
          <w:sz w:val="20"/>
          <w:szCs w:val="20"/>
        </w:rPr>
        <w:t>ively reduced the FFA content</w:t>
      </w:r>
      <w:r w:rsidRPr="000D6A9B">
        <w:rPr>
          <w:rFonts w:ascii="Times New Roman" w:hAnsi="Times New Roman" w:cs="Times New Roman"/>
          <w:sz w:val="20"/>
          <w:szCs w:val="20"/>
        </w:rPr>
        <w:t xml:space="preserve"> below 1%, making the oil suitable for the transesterification process. This result aligns with the findings of Mathiyazhagan and Ganapathi (</w:t>
      </w:r>
      <w:r w:rsidR="009D3B08">
        <w:rPr>
          <w:rFonts w:ascii="Times New Roman" w:hAnsi="Times New Roman" w:cs="Times New Roman"/>
          <w:sz w:val="20"/>
          <w:szCs w:val="20"/>
        </w:rPr>
        <w:t>2019</w:t>
      </w:r>
      <w:r w:rsidRPr="000D6A9B">
        <w:rPr>
          <w:rFonts w:ascii="Times New Roman" w:hAnsi="Times New Roman" w:cs="Times New Roman"/>
          <w:sz w:val="20"/>
          <w:szCs w:val="20"/>
        </w:rPr>
        <w:t>), who emphasized the importance of reducing FFA content for efficient biodiesel production .</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The transesterification process of the pre-treated waste cooking oil resulted in a biodiesel yield of approximately 85-90%. This yield is consistent with yields reported in other studies involving waste cooking oils, such as those by Shahid </w:t>
      </w:r>
      <w:r w:rsidRPr="00242B16">
        <w:rPr>
          <w:rFonts w:ascii="Times New Roman" w:hAnsi="Times New Roman" w:cs="Times New Roman"/>
          <w:i/>
          <w:sz w:val="20"/>
          <w:szCs w:val="20"/>
        </w:rPr>
        <w:t>et al</w:t>
      </w:r>
      <w:r w:rsidRPr="000D6A9B">
        <w:rPr>
          <w:rFonts w:ascii="Times New Roman" w:hAnsi="Times New Roman" w:cs="Times New Roman"/>
          <w:sz w:val="20"/>
          <w:szCs w:val="20"/>
        </w:rPr>
        <w:t>. (</w:t>
      </w:r>
      <w:r w:rsidR="00851B4C">
        <w:rPr>
          <w:rFonts w:ascii="Times New Roman" w:hAnsi="Times New Roman" w:cs="Times New Roman"/>
          <w:sz w:val="20"/>
          <w:szCs w:val="20"/>
        </w:rPr>
        <w:t>2019</w:t>
      </w:r>
      <w:r w:rsidRPr="000D6A9B">
        <w:rPr>
          <w:rFonts w:ascii="Times New Roman" w:hAnsi="Times New Roman" w:cs="Times New Roman"/>
          <w:sz w:val="20"/>
          <w:szCs w:val="20"/>
        </w:rPr>
        <w:t>), who obtained similar yields using comparable feedstocks . The high yield achieved in this study demonstrates the effectiveness of waste cooking oil as a feedstock for biodiesel production, offering a viable way to recycle waste oil into valuable fuel.</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physicochemical properties of the produced biodiesel, including density, viscosity, flash point, and calorific value, were analyzed and compared to the ASTM standards and the properties of conventional diesel fuel.</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density of the biodiesel was found to be 0.8733 kg/m³, which is within the ASTM specification range of 0.575-0.900 kg/m³. This indicates that the produced biodiesel meets the required standards and is sui</w:t>
      </w:r>
      <w:r w:rsidR="004640B7">
        <w:rPr>
          <w:rFonts w:ascii="Times New Roman" w:hAnsi="Times New Roman" w:cs="Times New Roman"/>
          <w:sz w:val="20"/>
          <w:szCs w:val="20"/>
        </w:rPr>
        <w:t>table for use in diesel engines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viscosity of the biodiesel at 40°C was measured to be 2.83 mm²/s, which is also within the ASTM standard range of 1.9-6.0 mm²/s. This lower viscosity compared to the original waste cooking oil (27.23 mm²/s) highlights the effectiveness of the transesterification process in reducing viscosity, thus preventing issues related to poor atomization</w:t>
      </w:r>
      <w:r>
        <w:rPr>
          <w:rFonts w:ascii="Times New Roman" w:hAnsi="Times New Roman" w:cs="Times New Roman"/>
          <w:sz w:val="20"/>
          <w:szCs w:val="20"/>
        </w:rPr>
        <w:t xml:space="preserve"> and clogging in diesel engines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lastRenderedPageBreak/>
        <w:t>The flash point of the biodiesel was determined to be 110°C, and the fire point was 207°C, both of which are significantly higher than those of conventional diesel fuel (55°C and 62°C, respectively). The high flash and fire points indicate</w:t>
      </w:r>
      <w:r w:rsidR="004640B7">
        <w:rPr>
          <w:rFonts w:ascii="Times New Roman" w:hAnsi="Times New Roman" w:cs="Times New Roman"/>
          <w:sz w:val="20"/>
          <w:szCs w:val="20"/>
        </w:rPr>
        <w:t>d</w:t>
      </w:r>
      <w:r w:rsidRPr="000D6A9B">
        <w:rPr>
          <w:rFonts w:ascii="Times New Roman" w:hAnsi="Times New Roman" w:cs="Times New Roman"/>
          <w:sz w:val="20"/>
          <w:szCs w:val="20"/>
        </w:rPr>
        <w:t xml:space="preserve"> that the produced biodiesel is less flammable and safer to handle, store, a</w:t>
      </w:r>
      <w:r w:rsidR="00851B4C">
        <w:rPr>
          <w:rFonts w:ascii="Times New Roman" w:hAnsi="Times New Roman" w:cs="Times New Roman"/>
          <w:sz w:val="20"/>
          <w:szCs w:val="20"/>
        </w:rPr>
        <w:t>nd transport compared to diesel</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calorific value of the biodiesel was measured at 36.1 MJ/kg, which is lower than that of diesel (42.2 MJ/kg). This lower energy content is typical of biodiesel due to the presence of oxygen in its molecular structure, which reduces its energy density compared to fossil diesel. Despite this, the biodiesel's energy content is still sufficient for most applications, offering a renewable and clea</w:t>
      </w:r>
      <w:r>
        <w:rPr>
          <w:rFonts w:ascii="Times New Roman" w:hAnsi="Times New Roman" w:cs="Times New Roman"/>
          <w:sz w:val="20"/>
          <w:szCs w:val="20"/>
        </w:rPr>
        <w:t>ner alternative to fossil fuels</w:t>
      </w:r>
      <w:r w:rsidRPr="000D6A9B">
        <w:rPr>
          <w:rFonts w:ascii="Times New Roman" w:hAnsi="Times New Roman" w:cs="Times New Roman"/>
          <w:sz w:val="20"/>
          <w:szCs w:val="20"/>
        </w:rPr>
        <w:t>.</w:t>
      </w:r>
    </w:p>
    <w:p w:rsidR="00694F6F"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utilization of waste cooking oil for biodiesel production addresses several environmental concerns. First, it provides a method for recycling waste oil that might otherwise be discarded, reducing environmental pollution. Second, biodiesel produced from waste oils has a lower carbon footprint compared to conventional diesel, as it is derived from renewable sources and emits fewer pollutants. Economically, the use of waste cooking oil reduces the cost of biodiesel production by utilizing a low-cost feedstock that is readily available, especially in regions with high consumption of cooking oils.</w:t>
      </w:r>
    </w:p>
    <w:p w:rsidR="004640B7" w:rsidRPr="004640B7" w:rsidRDefault="004640B7" w:rsidP="004640B7">
      <w:pPr>
        <w:jc w:val="center"/>
        <w:rPr>
          <w:rFonts w:ascii="Times New Roman" w:hAnsi="Times New Roman" w:cs="Times New Roman"/>
          <w:b/>
          <w:sz w:val="20"/>
          <w:szCs w:val="20"/>
        </w:rPr>
      </w:pPr>
      <w:r w:rsidRPr="004640B7">
        <w:rPr>
          <w:rFonts w:ascii="Times New Roman" w:hAnsi="Times New Roman" w:cs="Times New Roman"/>
          <w:b/>
          <w:sz w:val="20"/>
          <w:szCs w:val="20"/>
        </w:rPr>
        <w:t>CONCLUSION</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This study demonstrates that waste cooking vegetable oil is a viable feedstock for biodiesel production, yielding a product with properties that meet ASTM standards and are comparable to those of conventional diesel. The pre-treatment process effectively reduces the FFA content, ensuring a high biodiesel yield of 85-90%. The produced biodiesel exhibits favorable properties, including appropriate density, reduced viscosity, and high flash and fire points, making it suitable for use in diesel engines. However, the slightly lower calorific value of the biodiesel compared to diesel suggests that it may be more suitable for blending with conventional diesel to enhance its energy content.</w:t>
      </w:r>
    </w:p>
    <w:p w:rsidR="00694F6F"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Overall, biodiesel production from waste cooking oil not only provides an alternative energy source but also contributes to waste management and environmental sustainability. The results of this study support the </w:t>
      </w:r>
      <w:r w:rsidRPr="000D6A9B">
        <w:rPr>
          <w:rFonts w:ascii="Times New Roman" w:hAnsi="Times New Roman" w:cs="Times New Roman"/>
          <w:sz w:val="20"/>
          <w:szCs w:val="20"/>
        </w:rPr>
        <w:lastRenderedPageBreak/>
        <w:t>broader adoption of waste cooking oil biodiesel, particularly in regions with abundant waste oil resources, as a means to reduce dependency on fossil fuels, lower greenhouse gas emissions, and promote a circular economy.</w:t>
      </w:r>
    </w:p>
    <w:p w:rsidR="00FC270F" w:rsidRDefault="00FC270F" w:rsidP="00FC270F">
      <w:pPr>
        <w:jc w:val="center"/>
        <w:rPr>
          <w:rFonts w:ascii="Times New Roman" w:hAnsi="Times New Roman" w:cs="Times New Roman"/>
          <w:b/>
          <w:sz w:val="20"/>
          <w:szCs w:val="20"/>
        </w:rPr>
      </w:pPr>
      <w:r w:rsidRPr="00FC270F">
        <w:rPr>
          <w:rFonts w:ascii="Times New Roman" w:hAnsi="Times New Roman" w:cs="Times New Roman"/>
          <w:b/>
          <w:sz w:val="20"/>
          <w:szCs w:val="20"/>
        </w:rPr>
        <w:t>RECOMMENDATION</w:t>
      </w:r>
    </w:p>
    <w:p w:rsidR="00FC270F" w:rsidRPr="00FC270F" w:rsidRDefault="00FC270F" w:rsidP="00FC270F">
      <w:pPr>
        <w:jc w:val="both"/>
        <w:rPr>
          <w:rFonts w:ascii="Times New Roman" w:hAnsi="Times New Roman" w:cs="Times New Roman"/>
          <w:sz w:val="20"/>
          <w:szCs w:val="20"/>
        </w:rPr>
      </w:pPr>
      <w:r>
        <w:rPr>
          <w:rFonts w:ascii="Times New Roman" w:hAnsi="Times New Roman" w:cs="Times New Roman"/>
          <w:sz w:val="20"/>
          <w:szCs w:val="20"/>
        </w:rPr>
        <w:t xml:space="preserve">The science of production of biodiesel from waste cooking vegetable oil is seen as a welcome development and should be adopted for sustainable development. </w:t>
      </w:r>
    </w:p>
    <w:p w:rsidR="00694F6F" w:rsidRPr="00242B16" w:rsidRDefault="00694F6F" w:rsidP="00694F6F">
      <w:pPr>
        <w:jc w:val="center"/>
        <w:rPr>
          <w:rFonts w:ascii="Times New Roman" w:hAnsi="Times New Roman" w:cs="Times New Roman"/>
          <w:b/>
          <w:sz w:val="20"/>
          <w:szCs w:val="20"/>
        </w:rPr>
      </w:pPr>
      <w:r w:rsidRPr="00242B16">
        <w:rPr>
          <w:rFonts w:ascii="Times New Roman" w:hAnsi="Times New Roman" w:cs="Times New Roman"/>
          <w:b/>
          <w:sz w:val="20"/>
          <w:szCs w:val="20"/>
        </w:rPr>
        <w:t>REFERENCES</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Agarwal, A.K.</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2020</w:t>
      </w:r>
      <w:r w:rsidRPr="00242B16">
        <w:rPr>
          <w:rFonts w:ascii="Times New Roman" w:hAnsi="Times New Roman" w:cs="Times New Roman"/>
          <w:sz w:val="20"/>
          <w:szCs w:val="20"/>
        </w:rPr>
        <w:t xml:space="preserve">). Biofuels (alcohols and biodiesel) applications as fuels. </w:t>
      </w:r>
      <w:r w:rsidRPr="00242B16">
        <w:rPr>
          <w:rFonts w:ascii="Times New Roman" w:hAnsi="Times New Roman" w:cs="Times New Roman"/>
          <w:i/>
          <w:iCs/>
          <w:sz w:val="20"/>
          <w:szCs w:val="20"/>
        </w:rPr>
        <w:t>Journal of Energy Conversion and Management, 52</w:t>
      </w:r>
      <w:r w:rsidRPr="00242B16">
        <w:rPr>
          <w:rFonts w:ascii="Times New Roman" w:hAnsi="Times New Roman" w:cs="Times New Roman"/>
          <w:sz w:val="20"/>
          <w:szCs w:val="20"/>
        </w:rPr>
        <w:t>(3), 127-130.</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 xml:space="preserve">ASTM D6751 (2010). ASTM’s Standard Specification for Biodiesel Fuel (B100) Blend Stock for Distillate Fuels. </w:t>
      </w:r>
      <w:r w:rsidRPr="00242B16">
        <w:rPr>
          <w:rFonts w:ascii="Times New Roman" w:hAnsi="Times New Roman" w:cs="Times New Roman"/>
          <w:i/>
          <w:iCs/>
          <w:sz w:val="20"/>
          <w:szCs w:val="20"/>
        </w:rPr>
        <w:t>Bio-resource Technology</w:t>
      </w:r>
      <w:r w:rsidRPr="00242B16">
        <w:rPr>
          <w:rFonts w:ascii="Times New Roman" w:hAnsi="Times New Roman" w:cs="Times New Roman"/>
          <w:sz w:val="20"/>
          <w:szCs w:val="20"/>
        </w:rPr>
        <w:t>, 32(27), 58-59.</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Canakci, M., &amp; Van Gerpen, J.</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2017</w:t>
      </w:r>
      <w:r w:rsidRPr="00242B16">
        <w:rPr>
          <w:rFonts w:ascii="Times New Roman" w:hAnsi="Times New Roman" w:cs="Times New Roman"/>
          <w:sz w:val="20"/>
          <w:szCs w:val="20"/>
        </w:rPr>
        <w:t xml:space="preserve">). Biodiesel production from oils and fats. </w:t>
      </w:r>
      <w:r w:rsidRPr="00242B16">
        <w:rPr>
          <w:rFonts w:ascii="Times New Roman" w:hAnsi="Times New Roman" w:cs="Times New Roman"/>
          <w:i/>
          <w:iCs/>
          <w:sz w:val="20"/>
          <w:szCs w:val="20"/>
        </w:rPr>
        <w:t>Fat Conversion Processes, 87</w:t>
      </w:r>
      <w:r w:rsidRPr="00242B16">
        <w:rPr>
          <w:rFonts w:ascii="Times New Roman" w:hAnsi="Times New Roman" w:cs="Times New Roman"/>
          <w:sz w:val="20"/>
          <w:szCs w:val="20"/>
        </w:rPr>
        <w:t>(57), 82-98.</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Garlapati, V.K., Kant, R., Kumari, A., Mahapatra, P., Das, P., &amp; Banerjee, R.</w:t>
      </w:r>
      <w:r w:rsidRPr="00242B16">
        <w:rPr>
          <w:rFonts w:ascii="Times New Roman" w:hAnsi="Times New Roman" w:cs="Times New Roman"/>
          <w:sz w:val="20"/>
          <w:szCs w:val="20"/>
        </w:rPr>
        <w:t xml:space="preserve"> (2013). Lipase mediated transesterification of Simarouba glauca oil: A new feedstock for biodiesel production. </w:t>
      </w:r>
      <w:r w:rsidRPr="00242B16">
        <w:rPr>
          <w:rFonts w:ascii="Times New Roman" w:hAnsi="Times New Roman" w:cs="Times New Roman"/>
          <w:i/>
          <w:iCs/>
          <w:sz w:val="20"/>
          <w:szCs w:val="20"/>
        </w:rPr>
        <w:t>Sustainable Chemical Processes, 3</w:t>
      </w:r>
      <w:r w:rsidRPr="00242B16">
        <w:rPr>
          <w:rFonts w:ascii="Times New Roman" w:hAnsi="Times New Roman" w:cs="Times New Roman"/>
          <w:sz w:val="20"/>
          <w:szCs w:val="20"/>
        </w:rPr>
        <w:t>(8), 78-79.</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 xml:space="preserve">Hossain, A. B. M. S., &amp; Boyce, A. N. (2009). Biodiesel Production from Waste Sunflower Cooking Oil as an Environmental Recycling Process and Renewable Energy. </w:t>
      </w:r>
      <w:r w:rsidRPr="00242B16">
        <w:rPr>
          <w:rFonts w:ascii="Times New Roman" w:hAnsi="Times New Roman" w:cs="Times New Roman"/>
          <w:i/>
          <w:iCs/>
          <w:sz w:val="20"/>
          <w:szCs w:val="20"/>
        </w:rPr>
        <w:t>Bulgarian Journal of Agricultural Science</w:t>
      </w:r>
      <w:r w:rsidRPr="00242B16">
        <w:rPr>
          <w:rFonts w:ascii="Times New Roman" w:hAnsi="Times New Roman" w:cs="Times New Roman"/>
          <w:sz w:val="20"/>
          <w:szCs w:val="20"/>
        </w:rPr>
        <w:t>, 15(4), 312-317.</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Jaichandar, S., &amp; Annamalai, K.</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2019</w:t>
      </w:r>
      <w:r w:rsidRPr="00242B16">
        <w:rPr>
          <w:rFonts w:ascii="Times New Roman" w:hAnsi="Times New Roman" w:cs="Times New Roman"/>
          <w:sz w:val="20"/>
          <w:szCs w:val="20"/>
        </w:rPr>
        <w:t xml:space="preserve">). The status of biodiesel as an alternative fuel for diesel engines – An overview. </w:t>
      </w:r>
      <w:r w:rsidRPr="00242B16">
        <w:rPr>
          <w:rFonts w:ascii="Times New Roman" w:hAnsi="Times New Roman" w:cs="Times New Roman"/>
          <w:i/>
          <w:iCs/>
          <w:sz w:val="20"/>
          <w:szCs w:val="20"/>
        </w:rPr>
        <w:t>Journal of Sustainable Energy &amp; Environment, 2</w:t>
      </w:r>
      <w:r w:rsidRPr="00242B16">
        <w:rPr>
          <w:rFonts w:ascii="Times New Roman" w:hAnsi="Times New Roman" w:cs="Times New Roman"/>
          <w:sz w:val="20"/>
          <w:szCs w:val="20"/>
        </w:rPr>
        <w:t>(6), 71-75.</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Mathiyazhagan, M., &amp; Ganapathi, A.</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2019</w:t>
      </w:r>
      <w:r w:rsidRPr="00242B16">
        <w:rPr>
          <w:rFonts w:ascii="Times New Roman" w:hAnsi="Times New Roman" w:cs="Times New Roman"/>
          <w:sz w:val="20"/>
          <w:szCs w:val="20"/>
        </w:rPr>
        <w:t xml:space="preserve">). Factors affecting biodiesel production. </w:t>
      </w:r>
      <w:r w:rsidRPr="00242B16">
        <w:rPr>
          <w:rFonts w:ascii="Times New Roman" w:hAnsi="Times New Roman" w:cs="Times New Roman"/>
          <w:i/>
          <w:iCs/>
          <w:sz w:val="20"/>
          <w:szCs w:val="20"/>
        </w:rPr>
        <w:t>Research in Plant Biology: Review Article, 1</w:t>
      </w:r>
      <w:r w:rsidRPr="00242B16">
        <w:rPr>
          <w:rFonts w:ascii="Times New Roman" w:hAnsi="Times New Roman" w:cs="Times New Roman"/>
          <w:sz w:val="20"/>
          <w:szCs w:val="20"/>
        </w:rPr>
        <w:t>(2), 01-05.</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Mulimani, H., Hebbal, O.D., &amp; Navindgi, M.C.</w:t>
      </w:r>
      <w:r w:rsidR="00851B4C">
        <w:rPr>
          <w:rFonts w:ascii="Times New Roman" w:hAnsi="Times New Roman" w:cs="Times New Roman"/>
          <w:sz w:val="20"/>
          <w:szCs w:val="20"/>
        </w:rPr>
        <w:t xml:space="preserve"> (2020</w:t>
      </w:r>
      <w:r w:rsidRPr="00242B16">
        <w:rPr>
          <w:rFonts w:ascii="Times New Roman" w:hAnsi="Times New Roman" w:cs="Times New Roman"/>
          <w:sz w:val="20"/>
          <w:szCs w:val="20"/>
        </w:rPr>
        <w:t xml:space="preserve">). Extraction of biodiesel from vegetable oils and their comparisons. </w:t>
      </w:r>
      <w:r w:rsidRPr="00242B16">
        <w:rPr>
          <w:rFonts w:ascii="Times New Roman" w:hAnsi="Times New Roman" w:cs="Times New Roman"/>
          <w:i/>
          <w:iCs/>
          <w:sz w:val="20"/>
          <w:szCs w:val="20"/>
        </w:rPr>
        <w:t>International Journal of Advanced Scientific Research and Technology, 2</w:t>
      </w:r>
      <w:r w:rsidRPr="00242B16">
        <w:rPr>
          <w:rFonts w:ascii="Times New Roman" w:hAnsi="Times New Roman" w:cs="Times New Roman"/>
          <w:sz w:val="20"/>
          <w:szCs w:val="20"/>
        </w:rPr>
        <w:t>(2), 242-250.</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Ogunwole, O.A.</w:t>
      </w:r>
      <w:r w:rsidRPr="00242B16">
        <w:rPr>
          <w:rFonts w:ascii="Times New Roman" w:hAnsi="Times New Roman" w:cs="Times New Roman"/>
          <w:sz w:val="20"/>
          <w:szCs w:val="20"/>
        </w:rPr>
        <w:t xml:space="preserve"> (</w:t>
      </w:r>
      <w:r w:rsidR="00851B4C">
        <w:rPr>
          <w:rFonts w:ascii="Times New Roman" w:hAnsi="Times New Roman" w:cs="Times New Roman"/>
          <w:sz w:val="20"/>
          <w:szCs w:val="20"/>
        </w:rPr>
        <w:t>2019</w:t>
      </w:r>
      <w:r w:rsidRPr="00242B16">
        <w:rPr>
          <w:rFonts w:ascii="Times New Roman" w:hAnsi="Times New Roman" w:cs="Times New Roman"/>
          <w:sz w:val="20"/>
          <w:szCs w:val="20"/>
        </w:rPr>
        <w:t xml:space="preserve">). Production of biodiesel from Jatropha curcas oil. </w:t>
      </w:r>
      <w:r w:rsidRPr="00242B16">
        <w:rPr>
          <w:rFonts w:ascii="Times New Roman" w:hAnsi="Times New Roman" w:cs="Times New Roman"/>
          <w:i/>
          <w:iCs/>
          <w:sz w:val="20"/>
          <w:szCs w:val="20"/>
        </w:rPr>
        <w:t>Research Journal of Chemical Sciences, 2</w:t>
      </w:r>
      <w:r w:rsidRPr="00242B16">
        <w:rPr>
          <w:rFonts w:ascii="Times New Roman" w:hAnsi="Times New Roman" w:cs="Times New Roman"/>
          <w:sz w:val="20"/>
          <w:szCs w:val="20"/>
        </w:rPr>
        <w:t>(11), 30-33.</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Parawira, W.</w:t>
      </w:r>
      <w:r w:rsidRPr="00242B16">
        <w:rPr>
          <w:rFonts w:ascii="Times New Roman" w:hAnsi="Times New Roman" w:cs="Times New Roman"/>
          <w:sz w:val="20"/>
          <w:szCs w:val="20"/>
        </w:rPr>
        <w:t xml:space="preserve"> (2010). Biodiesel production from Jatropha curcas: A review. </w:t>
      </w:r>
      <w:r w:rsidRPr="00242B16">
        <w:rPr>
          <w:rFonts w:ascii="Times New Roman" w:hAnsi="Times New Roman" w:cs="Times New Roman"/>
          <w:i/>
          <w:iCs/>
          <w:sz w:val="20"/>
          <w:szCs w:val="20"/>
        </w:rPr>
        <w:t>Scientific Research and Essays, 5</w:t>
      </w:r>
      <w:r w:rsidRPr="00242B16">
        <w:rPr>
          <w:rFonts w:ascii="Times New Roman" w:hAnsi="Times New Roman" w:cs="Times New Roman"/>
          <w:sz w:val="20"/>
          <w:szCs w:val="20"/>
        </w:rPr>
        <w:t>(14), 1796-1808.</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Shahid, E. M., Jamal, Y., Shah, A. N., Rumzan, N., &amp; Munsha, M. (</w:t>
      </w:r>
      <w:r w:rsidR="00851B4C">
        <w:rPr>
          <w:rFonts w:ascii="Times New Roman" w:hAnsi="Times New Roman" w:cs="Times New Roman"/>
          <w:sz w:val="20"/>
          <w:szCs w:val="20"/>
        </w:rPr>
        <w:t>2019</w:t>
      </w:r>
      <w:r w:rsidRPr="00242B16">
        <w:rPr>
          <w:rFonts w:ascii="Times New Roman" w:hAnsi="Times New Roman" w:cs="Times New Roman"/>
          <w:sz w:val="20"/>
          <w:szCs w:val="20"/>
        </w:rPr>
        <w:t xml:space="preserve">). Effect of Used Cooking Oil Methyl Ester on Compression Ignition Engine. </w:t>
      </w:r>
      <w:r w:rsidRPr="00242B16">
        <w:rPr>
          <w:rFonts w:ascii="Times New Roman" w:hAnsi="Times New Roman" w:cs="Times New Roman"/>
          <w:i/>
          <w:iCs/>
          <w:sz w:val="20"/>
          <w:szCs w:val="20"/>
        </w:rPr>
        <w:t>Journal of Quality and Technology Management</w:t>
      </w:r>
      <w:r w:rsidRPr="00242B16">
        <w:rPr>
          <w:rFonts w:ascii="Times New Roman" w:hAnsi="Times New Roman" w:cs="Times New Roman"/>
          <w:sz w:val="20"/>
          <w:szCs w:val="20"/>
        </w:rPr>
        <w:t>, 77(I2), 91-104.</w:t>
      </w: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sectPr w:rsidR="004B425E" w:rsidSect="004B425E">
          <w:type w:val="continuous"/>
          <w:pgSz w:w="12240" w:h="15840"/>
          <w:pgMar w:top="1440" w:right="1440" w:bottom="1440" w:left="1440" w:header="720" w:footer="720" w:gutter="0"/>
          <w:cols w:num="2" w:space="360"/>
          <w:docGrid w:linePitch="360"/>
        </w:sectPr>
      </w:pPr>
    </w:p>
    <w:p w:rsidR="004B425E" w:rsidRDefault="004B425E" w:rsidP="00755880">
      <w:pPr>
        <w:sectPr w:rsidR="004B425E" w:rsidSect="004B425E">
          <w:type w:val="continuous"/>
          <w:pgSz w:w="12240" w:h="15840"/>
          <w:pgMar w:top="1440" w:right="1440" w:bottom="1440" w:left="1440" w:header="720" w:footer="720" w:gutter="0"/>
          <w:cols w:space="360"/>
          <w:docGrid w:linePitch="360"/>
        </w:sectPr>
      </w:pPr>
    </w:p>
    <w:p w:rsidR="00755880" w:rsidRDefault="00755880" w:rsidP="004B425E">
      <w:pPr>
        <w:sectPr w:rsidR="00755880" w:rsidSect="004B425E">
          <w:type w:val="continuous"/>
          <w:pgSz w:w="12240" w:h="15840"/>
          <w:pgMar w:top="1440" w:right="1440" w:bottom="1440" w:left="1440" w:header="720" w:footer="720" w:gutter="0"/>
          <w:cols w:space="360"/>
          <w:docGrid w:linePitch="360"/>
        </w:sectPr>
      </w:pPr>
    </w:p>
    <w:p w:rsidR="004B425E" w:rsidRDefault="004B425E">
      <w:pPr>
        <w:sectPr w:rsidR="004B425E" w:rsidSect="004B425E">
          <w:type w:val="continuous"/>
          <w:pgSz w:w="12240" w:h="15840"/>
          <w:pgMar w:top="1440" w:right="1440" w:bottom="1440" w:left="1440" w:header="720" w:footer="720" w:gutter="0"/>
          <w:cols w:space="720"/>
          <w:docGrid w:linePitch="360"/>
        </w:sectPr>
      </w:pPr>
    </w:p>
    <w:p w:rsidR="0010188C" w:rsidRPr="0010188C" w:rsidRDefault="0010188C" w:rsidP="00694F6F"/>
    <w:sectPr w:rsidR="0010188C" w:rsidRPr="0010188C" w:rsidSect="007558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C3" w:rsidRDefault="001F4AC3" w:rsidP="009D3B08">
      <w:pPr>
        <w:spacing w:after="0" w:line="240" w:lineRule="auto"/>
      </w:pPr>
      <w:r>
        <w:separator/>
      </w:r>
    </w:p>
  </w:endnote>
  <w:endnote w:type="continuationSeparator" w:id="0">
    <w:p w:rsidR="001F4AC3" w:rsidRDefault="001F4AC3" w:rsidP="009D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84539"/>
      <w:docPartObj>
        <w:docPartGallery w:val="Page Numbers (Bottom of Page)"/>
        <w:docPartUnique/>
      </w:docPartObj>
    </w:sdtPr>
    <w:sdtEndPr>
      <w:rPr>
        <w:noProof/>
      </w:rPr>
    </w:sdtEndPr>
    <w:sdtContent>
      <w:p w:rsidR="009D3B08" w:rsidRDefault="009D3B08">
        <w:pPr>
          <w:pStyle w:val="Footer"/>
          <w:jc w:val="center"/>
        </w:pPr>
        <w:r>
          <w:fldChar w:fldCharType="begin"/>
        </w:r>
        <w:r>
          <w:instrText xml:space="preserve"> PAGE   \* MERGEFORMAT </w:instrText>
        </w:r>
        <w:r>
          <w:fldChar w:fldCharType="separate"/>
        </w:r>
        <w:r w:rsidR="007C018D">
          <w:rPr>
            <w:noProof/>
          </w:rPr>
          <w:t>5</w:t>
        </w:r>
        <w:r>
          <w:rPr>
            <w:noProof/>
          </w:rPr>
          <w:fldChar w:fldCharType="end"/>
        </w:r>
      </w:p>
    </w:sdtContent>
  </w:sdt>
  <w:p w:rsidR="009D3B08" w:rsidRDefault="009D3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C3" w:rsidRDefault="001F4AC3" w:rsidP="009D3B08">
      <w:pPr>
        <w:spacing w:after="0" w:line="240" w:lineRule="auto"/>
      </w:pPr>
      <w:r>
        <w:separator/>
      </w:r>
    </w:p>
  </w:footnote>
  <w:footnote w:type="continuationSeparator" w:id="0">
    <w:p w:rsidR="001F4AC3" w:rsidRDefault="001F4AC3" w:rsidP="009D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80"/>
    <w:rsid w:val="0010188C"/>
    <w:rsid w:val="001F4AC3"/>
    <w:rsid w:val="003439B4"/>
    <w:rsid w:val="003C52A6"/>
    <w:rsid w:val="004640B7"/>
    <w:rsid w:val="004B425E"/>
    <w:rsid w:val="005267ED"/>
    <w:rsid w:val="00597241"/>
    <w:rsid w:val="00632A67"/>
    <w:rsid w:val="00694F6F"/>
    <w:rsid w:val="00755880"/>
    <w:rsid w:val="007C018D"/>
    <w:rsid w:val="00851B4C"/>
    <w:rsid w:val="00930233"/>
    <w:rsid w:val="009D3B08"/>
    <w:rsid w:val="00C7690B"/>
    <w:rsid w:val="00DD0539"/>
    <w:rsid w:val="00E33B64"/>
    <w:rsid w:val="00F6692E"/>
    <w:rsid w:val="00FC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80"/>
    <w:rPr>
      <w:rFonts w:ascii="Tahoma" w:hAnsi="Tahoma" w:cs="Tahoma"/>
      <w:sz w:val="16"/>
      <w:szCs w:val="16"/>
    </w:rPr>
  </w:style>
  <w:style w:type="character" w:styleId="Hyperlink">
    <w:name w:val="Hyperlink"/>
    <w:basedOn w:val="DefaultParagraphFont"/>
    <w:uiPriority w:val="99"/>
    <w:unhideWhenUsed/>
    <w:rsid w:val="003439B4"/>
    <w:rPr>
      <w:color w:val="0000FF" w:themeColor="hyperlink"/>
      <w:u w:val="single"/>
    </w:rPr>
  </w:style>
  <w:style w:type="paragraph" w:styleId="Header">
    <w:name w:val="header"/>
    <w:basedOn w:val="Normal"/>
    <w:link w:val="HeaderChar"/>
    <w:uiPriority w:val="99"/>
    <w:unhideWhenUsed/>
    <w:rsid w:val="009D3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B08"/>
  </w:style>
  <w:style w:type="paragraph" w:styleId="Footer">
    <w:name w:val="footer"/>
    <w:basedOn w:val="Normal"/>
    <w:link w:val="FooterChar"/>
    <w:uiPriority w:val="99"/>
    <w:unhideWhenUsed/>
    <w:rsid w:val="009D3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80"/>
    <w:rPr>
      <w:rFonts w:ascii="Tahoma" w:hAnsi="Tahoma" w:cs="Tahoma"/>
      <w:sz w:val="16"/>
      <w:szCs w:val="16"/>
    </w:rPr>
  </w:style>
  <w:style w:type="character" w:styleId="Hyperlink">
    <w:name w:val="Hyperlink"/>
    <w:basedOn w:val="DefaultParagraphFont"/>
    <w:uiPriority w:val="99"/>
    <w:unhideWhenUsed/>
    <w:rsid w:val="003439B4"/>
    <w:rPr>
      <w:color w:val="0000FF" w:themeColor="hyperlink"/>
      <w:u w:val="single"/>
    </w:rPr>
  </w:style>
  <w:style w:type="paragraph" w:styleId="Header">
    <w:name w:val="header"/>
    <w:basedOn w:val="Normal"/>
    <w:link w:val="HeaderChar"/>
    <w:uiPriority w:val="99"/>
    <w:unhideWhenUsed/>
    <w:rsid w:val="009D3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B08"/>
  </w:style>
  <w:style w:type="paragraph" w:styleId="Footer">
    <w:name w:val="footer"/>
    <w:basedOn w:val="Normal"/>
    <w:link w:val="FooterChar"/>
    <w:uiPriority w:val="99"/>
    <w:unhideWhenUsed/>
    <w:rsid w:val="009D3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298039441076733E-2"/>
          <c:y val="2.2193942398879448E-2"/>
          <c:w val="0.76467291899805123"/>
          <c:h val="0.91287678995148058"/>
        </c:manualLayout>
      </c:layout>
      <c:bar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27.23</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2.8299999999999987</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2.2000000000000002</c:v>
                </c:pt>
              </c:numCache>
            </c:numRef>
          </c:val>
        </c:ser>
        <c:dLbls>
          <c:showLegendKey val="0"/>
          <c:showVal val="0"/>
          <c:showCatName val="0"/>
          <c:showSerName val="0"/>
          <c:showPercent val="0"/>
          <c:showBubbleSize val="0"/>
        </c:dLbls>
        <c:gapWidth val="150"/>
        <c:axId val="173626368"/>
        <c:axId val="172936000"/>
      </c:barChart>
      <c:catAx>
        <c:axId val="173626368"/>
        <c:scaling>
          <c:orientation val="minMax"/>
        </c:scaling>
        <c:delete val="0"/>
        <c:axPos val="b"/>
        <c:numFmt formatCode="General" sourceLinked="0"/>
        <c:majorTickMark val="out"/>
        <c:minorTickMark val="none"/>
        <c:tickLblPos val="nextTo"/>
        <c:crossAx val="172936000"/>
        <c:crosses val="autoZero"/>
        <c:auto val="1"/>
        <c:lblAlgn val="ctr"/>
        <c:lblOffset val="100"/>
        <c:noMultiLvlLbl val="0"/>
      </c:catAx>
      <c:valAx>
        <c:axId val="172936000"/>
        <c:scaling>
          <c:orientation val="minMax"/>
        </c:scaling>
        <c:delete val="0"/>
        <c:axPos val="l"/>
        <c:numFmt formatCode="General" sourceLinked="1"/>
        <c:majorTickMark val="out"/>
        <c:minorTickMark val="none"/>
        <c:tickLblPos val="nextTo"/>
        <c:crossAx val="173626368"/>
        <c:crosses val="autoZero"/>
        <c:crossBetween val="between"/>
      </c:valAx>
    </c:plotArea>
    <c:legend>
      <c:legendPos val="r"/>
      <c:layout>
        <c:manualLayout>
          <c:xMode val="edge"/>
          <c:yMode val="edge"/>
          <c:x val="0.55456998362439269"/>
          <c:y val="0.13021382011407631"/>
          <c:w val="0.43261665163869212"/>
          <c:h val="0.43588660557948666"/>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7988116068824659E-2"/>
          <c:y val="7.5803649543807014E-2"/>
          <c:w val="0.8128316556851668"/>
          <c:h val="0.82523440868825515"/>
        </c:manualLayout>
      </c:layout>
      <c:bar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0.92510000000000003</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0.87330000000000063</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0.82199999999999995</c:v>
                </c:pt>
              </c:numCache>
            </c:numRef>
          </c:val>
        </c:ser>
        <c:dLbls>
          <c:showLegendKey val="0"/>
          <c:showVal val="0"/>
          <c:showCatName val="0"/>
          <c:showSerName val="0"/>
          <c:showPercent val="0"/>
          <c:showBubbleSize val="0"/>
        </c:dLbls>
        <c:gapWidth val="150"/>
        <c:axId val="173625856"/>
        <c:axId val="172937728"/>
      </c:barChart>
      <c:catAx>
        <c:axId val="173625856"/>
        <c:scaling>
          <c:orientation val="minMax"/>
        </c:scaling>
        <c:delete val="0"/>
        <c:axPos val="b"/>
        <c:numFmt formatCode="General" sourceLinked="0"/>
        <c:majorTickMark val="out"/>
        <c:minorTickMark val="none"/>
        <c:tickLblPos val="nextTo"/>
        <c:crossAx val="172937728"/>
        <c:crosses val="autoZero"/>
        <c:auto val="1"/>
        <c:lblAlgn val="ctr"/>
        <c:lblOffset val="100"/>
        <c:noMultiLvlLbl val="0"/>
      </c:catAx>
      <c:valAx>
        <c:axId val="172937728"/>
        <c:scaling>
          <c:orientation val="minMax"/>
        </c:scaling>
        <c:delete val="0"/>
        <c:axPos val="l"/>
        <c:numFmt formatCode="General" sourceLinked="1"/>
        <c:majorTickMark val="out"/>
        <c:minorTickMark val="none"/>
        <c:tickLblPos val="nextTo"/>
        <c:crossAx val="173625856"/>
        <c:crosses val="autoZero"/>
        <c:crossBetween val="between"/>
      </c:valAx>
    </c:plotArea>
    <c:legend>
      <c:legendPos val="r"/>
      <c:layout>
        <c:manualLayout>
          <c:xMode val="edge"/>
          <c:yMode val="edge"/>
          <c:x val="0.61946901102355789"/>
          <c:y val="0.21041565846650037"/>
          <c:w val="0.36643009623797024"/>
          <c:h val="0.20876092840044741"/>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spPr>
        <a:noFill/>
        <a:ln w="25400">
          <a:noFill/>
        </a:ln>
      </c:spPr>
    </c:backWall>
    <c:plotArea>
      <c:layout>
        <c:manualLayout>
          <c:layoutTarget val="inner"/>
          <c:xMode val="edge"/>
          <c:yMode val="edge"/>
          <c:x val="9.3930589235500989E-2"/>
          <c:y val="5.5229817411246745E-2"/>
          <c:w val="0.82946482871910554"/>
          <c:h val="0.82014998012146467"/>
        </c:manualLayout>
      </c:layout>
      <c:bar3D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37</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36.1</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42.2</c:v>
                </c:pt>
              </c:numCache>
            </c:numRef>
          </c:val>
        </c:ser>
        <c:dLbls>
          <c:showLegendKey val="0"/>
          <c:showVal val="0"/>
          <c:showCatName val="0"/>
          <c:showSerName val="0"/>
          <c:showPercent val="0"/>
          <c:showBubbleSize val="0"/>
        </c:dLbls>
        <c:gapWidth val="150"/>
        <c:shape val="cylinder"/>
        <c:axId val="173628928"/>
        <c:axId val="172939456"/>
        <c:axId val="0"/>
      </c:bar3DChart>
      <c:catAx>
        <c:axId val="173628928"/>
        <c:scaling>
          <c:orientation val="minMax"/>
        </c:scaling>
        <c:delete val="0"/>
        <c:axPos val="b"/>
        <c:numFmt formatCode="General" sourceLinked="0"/>
        <c:majorTickMark val="out"/>
        <c:minorTickMark val="none"/>
        <c:tickLblPos val="nextTo"/>
        <c:crossAx val="172939456"/>
        <c:crosses val="autoZero"/>
        <c:auto val="1"/>
        <c:lblAlgn val="ctr"/>
        <c:lblOffset val="100"/>
        <c:noMultiLvlLbl val="0"/>
      </c:catAx>
      <c:valAx>
        <c:axId val="172939456"/>
        <c:scaling>
          <c:orientation val="minMax"/>
        </c:scaling>
        <c:delete val="0"/>
        <c:axPos val="l"/>
        <c:numFmt formatCode="General" sourceLinked="1"/>
        <c:majorTickMark val="out"/>
        <c:minorTickMark val="none"/>
        <c:tickLblPos val="nextTo"/>
        <c:crossAx val="173628928"/>
        <c:crosses val="autoZero"/>
        <c:crossBetween val="between"/>
      </c:valAx>
    </c:plotArea>
    <c:legend>
      <c:legendPos val="r"/>
      <c:layout>
        <c:manualLayout>
          <c:xMode val="edge"/>
          <c:yMode val="edge"/>
          <c:x val="0.69436269737050149"/>
          <c:y val="0.24244179697303098"/>
          <c:w val="0.30351259992310725"/>
          <c:h val="0.3346126566393137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143117526975118E-2"/>
          <c:y val="4.405761779777552E-2"/>
          <c:w val="0.74668908573928261"/>
          <c:h val="0.87453160631044136"/>
        </c:manualLayout>
      </c:layout>
      <c:barChart>
        <c:barDir val="col"/>
        <c:grouping val="clustered"/>
        <c:varyColors val="0"/>
        <c:ser>
          <c:idx val="0"/>
          <c:order val="0"/>
          <c:tx>
            <c:strRef>
              <c:f>Sheet1!$B$1</c:f>
              <c:strCache>
                <c:ptCount val="1"/>
                <c:pt idx="0">
                  <c:v>groudnut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226</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0">
                  <c:v>0</c:v>
                </c:pt>
                <c:pt idx="1">
                  <c:v>110</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55</c:v>
                </c:pt>
              </c:numCache>
            </c:numRef>
          </c:val>
        </c:ser>
        <c:dLbls>
          <c:showLegendKey val="0"/>
          <c:showVal val="0"/>
          <c:showCatName val="0"/>
          <c:showSerName val="0"/>
          <c:showPercent val="0"/>
          <c:showBubbleSize val="0"/>
        </c:dLbls>
        <c:gapWidth val="150"/>
        <c:axId val="282928640"/>
        <c:axId val="172938304"/>
      </c:barChart>
      <c:catAx>
        <c:axId val="282928640"/>
        <c:scaling>
          <c:orientation val="minMax"/>
        </c:scaling>
        <c:delete val="0"/>
        <c:axPos val="b"/>
        <c:numFmt formatCode="General" sourceLinked="0"/>
        <c:majorTickMark val="out"/>
        <c:minorTickMark val="none"/>
        <c:tickLblPos val="nextTo"/>
        <c:crossAx val="172938304"/>
        <c:crosses val="autoZero"/>
        <c:auto val="1"/>
        <c:lblAlgn val="ctr"/>
        <c:lblOffset val="100"/>
        <c:noMultiLvlLbl val="0"/>
      </c:catAx>
      <c:valAx>
        <c:axId val="172938304"/>
        <c:scaling>
          <c:orientation val="minMax"/>
        </c:scaling>
        <c:delete val="0"/>
        <c:axPos val="l"/>
        <c:numFmt formatCode="General" sourceLinked="1"/>
        <c:majorTickMark val="out"/>
        <c:minorTickMark val="none"/>
        <c:tickLblPos val="nextTo"/>
        <c:crossAx val="282928640"/>
        <c:crosses val="autoZero"/>
        <c:crossBetween val="between"/>
      </c:valAx>
      <c:spPr>
        <a:noFill/>
        <a:ln w="25400">
          <a:noFill/>
        </a:ln>
      </c:spPr>
    </c:plotArea>
    <c:legend>
      <c:legendPos val="r"/>
      <c:layout>
        <c:manualLayout>
          <c:xMode val="edge"/>
          <c:yMode val="edge"/>
          <c:x val="0.65225498552371663"/>
          <c:y val="0.17672437923840306"/>
          <c:w val="0.33493045972346241"/>
          <c:h val="0.3325312946700158"/>
        </c:manualLayout>
      </c:layout>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cp:lastPrinted>2026-05-23T11:35:00Z</cp:lastPrinted>
  <dcterms:created xsi:type="dcterms:W3CDTF">2026-05-23T12:13:00Z</dcterms:created>
  <dcterms:modified xsi:type="dcterms:W3CDTF">2026-05-25T08:07:00Z</dcterms:modified>
</cp:coreProperties>
</file>