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01F9" w14:textId="43BAB861" w:rsidR="00182E72" w:rsidRDefault="00182E72" w:rsidP="00724C64">
      <w:pPr>
        <w:spacing w:line="240" w:lineRule="auto"/>
        <w:rPr>
          <w:rFonts w:ascii="Times New Roman" w:eastAsia="Times New Roman" w:hAnsi="Times New Roman" w:cs="Times New Roman"/>
        </w:rPr>
      </w:pPr>
    </w:p>
    <w:p w14:paraId="33658A85" w14:textId="77777777" w:rsidR="00182E72" w:rsidRDefault="00182E72" w:rsidP="00724C64">
      <w:pPr>
        <w:spacing w:line="240" w:lineRule="auto"/>
        <w:jc w:val="center"/>
        <w:rPr>
          <w:rFonts w:ascii="Times New Roman" w:eastAsia="Times New Roman" w:hAnsi="Times New Roman" w:cs="Times New Roman"/>
        </w:rPr>
      </w:pPr>
    </w:p>
    <w:p w14:paraId="18F6ACD9" w14:textId="223C8E3C" w:rsidR="00182E72" w:rsidRPr="00C9496A" w:rsidRDefault="00182E72" w:rsidP="00724C64">
      <w:pPr>
        <w:spacing w:line="240" w:lineRule="auto"/>
        <w:jc w:val="center"/>
        <w:rPr>
          <w:rFonts w:ascii="Times New Roman" w:eastAsia="Times New Roman" w:hAnsi="Times New Roman" w:cs="Times New Roman"/>
          <w:b/>
          <w:sz w:val="30"/>
          <w:szCs w:val="30"/>
        </w:rPr>
      </w:pPr>
    </w:p>
    <w:p w14:paraId="4A51B8CE" w14:textId="7501A3A9" w:rsidR="00182E72" w:rsidRPr="004661D0" w:rsidRDefault="00480C90" w:rsidP="004661D0">
      <w:pPr>
        <w:spacing w:line="240" w:lineRule="auto"/>
        <w:jc w:val="center"/>
        <w:rPr>
          <w:rFonts w:ascii="Times New Roman" w:eastAsia="Times New Roman" w:hAnsi="Times New Roman" w:cs="Times New Roman"/>
          <w:b/>
          <w:sz w:val="32"/>
          <w:szCs w:val="32"/>
        </w:rPr>
      </w:pPr>
      <w:r w:rsidRPr="004661D0">
        <w:rPr>
          <w:rFonts w:ascii="Times New Roman" w:eastAsia="Times New Roman" w:hAnsi="Times New Roman" w:cs="Times New Roman"/>
          <w:b/>
          <w:sz w:val="32"/>
          <w:szCs w:val="32"/>
        </w:rPr>
        <w:t>Exploring the Role of Nutrition and Diet in Healthy Aging: A Secondary Research Analysis</w:t>
      </w:r>
    </w:p>
    <w:p w14:paraId="3C2B849D" w14:textId="77777777" w:rsidR="00182E72" w:rsidRDefault="00182E72" w:rsidP="00724C64">
      <w:pPr>
        <w:spacing w:line="240" w:lineRule="auto"/>
        <w:rPr>
          <w:rFonts w:ascii="Times New Roman" w:eastAsia="Times New Roman" w:hAnsi="Times New Roman" w:cs="Times New Roman"/>
          <w:b/>
        </w:rPr>
      </w:pPr>
    </w:p>
    <w:p w14:paraId="094CBDD9" w14:textId="6B4EAB79" w:rsidR="00182E72" w:rsidRPr="00A70455" w:rsidRDefault="00480C90" w:rsidP="00724C64">
      <w:pPr>
        <w:pStyle w:val="Heading2"/>
        <w:spacing w:line="240" w:lineRule="auto"/>
        <w:jc w:val="center"/>
        <w:rPr>
          <w:rFonts w:ascii="Times New Roman" w:hAnsi="Times New Roman" w:cs="Times New Roman"/>
          <w:b/>
          <w:bCs/>
          <w:sz w:val="28"/>
          <w:szCs w:val="28"/>
        </w:rPr>
      </w:pPr>
      <w:bookmarkStart w:id="0" w:name="_Abstract"/>
      <w:bookmarkStart w:id="1" w:name="_Toc212728105"/>
      <w:bookmarkStart w:id="2" w:name="_GoBack"/>
      <w:bookmarkEnd w:id="0"/>
      <w:bookmarkEnd w:id="2"/>
      <w:r w:rsidRPr="001804CE">
        <w:rPr>
          <w:rFonts w:ascii="Times New Roman" w:hAnsi="Times New Roman" w:cs="Times New Roman"/>
          <w:b/>
          <w:bCs/>
          <w:sz w:val="28"/>
          <w:szCs w:val="28"/>
        </w:rPr>
        <w:t>Abstract</w:t>
      </w:r>
      <w:bookmarkEnd w:id="1"/>
      <w:r>
        <w:rPr>
          <w:rFonts w:ascii="Times New Roman" w:eastAsia="Times New Roman" w:hAnsi="Times New Roman" w:cs="Times New Roman"/>
          <w:b/>
          <w:sz w:val="30"/>
          <w:szCs w:val="30"/>
          <w:u w:val="single"/>
        </w:rPr>
        <w:t xml:space="preserve"> </w:t>
      </w:r>
    </w:p>
    <w:p w14:paraId="4857EDAD" w14:textId="77777777" w:rsidR="00644246" w:rsidRDefault="00644246" w:rsidP="00644246">
      <w:pPr>
        <w:spacing w:line="240" w:lineRule="auto"/>
        <w:jc w:val="both"/>
        <w:rPr>
          <w:rFonts w:ascii="Times New Roman" w:eastAsia="Times New Roman" w:hAnsi="Times New Roman" w:cs="Times New Roman"/>
          <w:bCs/>
          <w:sz w:val="24"/>
          <w:szCs w:val="24"/>
        </w:rPr>
      </w:pPr>
      <w:r w:rsidRPr="00644246">
        <w:rPr>
          <w:rFonts w:ascii="Times New Roman" w:eastAsia="Times New Roman" w:hAnsi="Times New Roman" w:cs="Times New Roman"/>
          <w:b/>
          <w:sz w:val="24"/>
          <w:szCs w:val="24"/>
        </w:rPr>
        <w:t>Background:</w:t>
      </w:r>
      <w:r w:rsidRPr="00644246">
        <w:rPr>
          <w:rFonts w:ascii="Times New Roman" w:eastAsia="Times New Roman" w:hAnsi="Times New Roman" w:cs="Times New Roman"/>
          <w:bCs/>
          <w:sz w:val="24"/>
          <w:szCs w:val="24"/>
        </w:rPr>
        <w:t xml:space="preserve"> The growing number of the elderly population in India is facing a strong nutritional challenge which has dire consequences on general health, functional living, and quality of life. This paper aims to criticize the dietary condition of elderly in India and discuss the ways how healthy aging can be promoted through nutritious aging. </w:t>
      </w:r>
    </w:p>
    <w:p w14:paraId="45554115" w14:textId="77777777" w:rsidR="00644246" w:rsidRDefault="00644246" w:rsidP="00644246">
      <w:pPr>
        <w:spacing w:line="240" w:lineRule="auto"/>
        <w:jc w:val="both"/>
        <w:rPr>
          <w:rFonts w:ascii="Times New Roman" w:eastAsia="Times New Roman" w:hAnsi="Times New Roman" w:cs="Times New Roman"/>
          <w:bCs/>
          <w:sz w:val="24"/>
          <w:szCs w:val="24"/>
        </w:rPr>
      </w:pPr>
      <w:r w:rsidRPr="00644246">
        <w:rPr>
          <w:rFonts w:ascii="Times New Roman" w:eastAsia="Times New Roman" w:hAnsi="Times New Roman" w:cs="Times New Roman"/>
          <w:b/>
          <w:sz w:val="24"/>
          <w:szCs w:val="24"/>
        </w:rPr>
        <w:t>Methods:</w:t>
      </w:r>
      <w:r w:rsidRPr="00644246">
        <w:rPr>
          <w:rFonts w:ascii="Times New Roman" w:eastAsia="Times New Roman" w:hAnsi="Times New Roman" w:cs="Times New Roman"/>
          <w:bCs/>
          <w:sz w:val="24"/>
          <w:szCs w:val="24"/>
        </w:rPr>
        <w:t xml:space="preserve"> The extensive literature review and analysis of various academic papers examined the nutritional status, diet and related determinants among the elderly in various regions of India both rural and urban. </w:t>
      </w:r>
    </w:p>
    <w:p w14:paraId="2E624887" w14:textId="77777777" w:rsidR="00644246" w:rsidRDefault="00644246" w:rsidP="00644246">
      <w:pPr>
        <w:spacing w:line="240" w:lineRule="auto"/>
        <w:jc w:val="both"/>
        <w:rPr>
          <w:rFonts w:ascii="Times New Roman" w:eastAsia="Times New Roman" w:hAnsi="Times New Roman" w:cs="Times New Roman"/>
          <w:bCs/>
          <w:sz w:val="24"/>
          <w:szCs w:val="24"/>
        </w:rPr>
      </w:pPr>
      <w:r w:rsidRPr="00644246">
        <w:rPr>
          <w:rFonts w:ascii="Times New Roman" w:eastAsia="Times New Roman" w:hAnsi="Times New Roman" w:cs="Times New Roman"/>
          <w:b/>
          <w:sz w:val="24"/>
          <w:szCs w:val="24"/>
        </w:rPr>
        <w:t>Findings:</w:t>
      </w:r>
      <w:r w:rsidRPr="00644246">
        <w:rPr>
          <w:rFonts w:ascii="Times New Roman" w:eastAsia="Times New Roman" w:hAnsi="Times New Roman" w:cs="Times New Roman"/>
          <w:bCs/>
          <w:sz w:val="24"/>
          <w:szCs w:val="24"/>
        </w:rPr>
        <w:t xml:space="preserve"> The findings show that there is a high prevalence of undernutrition, risk of malnutrition, and deficiencies of nutrients in the elderly of the study groups. Socio economic, limited availability of nutritionally adequate foods, cultural factors, poor social support and chronic health conditions were found to be the major factors that led to suboptimal nutritional status. The study highlights the importance of regular nutritional evaluation, age-related nutrition and diet, community-based interventions and strategies to enhance food access and food security. </w:t>
      </w:r>
    </w:p>
    <w:p w14:paraId="6CC93DBC" w14:textId="77777777" w:rsidR="00644246" w:rsidRDefault="00644246" w:rsidP="00644246">
      <w:pPr>
        <w:spacing w:line="240" w:lineRule="auto"/>
        <w:jc w:val="both"/>
        <w:rPr>
          <w:rFonts w:ascii="Times New Roman" w:eastAsia="Times New Roman" w:hAnsi="Times New Roman" w:cs="Times New Roman"/>
          <w:bCs/>
          <w:sz w:val="24"/>
          <w:szCs w:val="24"/>
        </w:rPr>
      </w:pPr>
      <w:r w:rsidRPr="00644246">
        <w:rPr>
          <w:rFonts w:ascii="Times New Roman" w:eastAsia="Times New Roman" w:hAnsi="Times New Roman" w:cs="Times New Roman"/>
          <w:b/>
          <w:sz w:val="24"/>
          <w:szCs w:val="24"/>
        </w:rPr>
        <w:t>Conclusion:</w:t>
      </w:r>
      <w:r w:rsidRPr="00644246">
        <w:rPr>
          <w:rFonts w:ascii="Times New Roman" w:eastAsia="Times New Roman" w:hAnsi="Times New Roman" w:cs="Times New Roman"/>
          <w:bCs/>
          <w:sz w:val="24"/>
          <w:szCs w:val="24"/>
        </w:rPr>
        <w:t xml:space="preserve"> The nutritional status of aging populations in India requires a complex approach where there are multi-stakeholder involvement and the necessity to have tailor-made intervention. To improve the access to healthy foods and improve healthy aging, the incorporation of nutritional evaluation into regular practice, the development of culturally competent nutrition plans, encouraging community-based practices, and developing partnerships with local organizations can be implemented. Ongoing studies and data gathering is an essential part of the informed policy and targeted intervention. These multi-level measures can greatly enhance the nutritional condition, and overall health of older adults, and the process of healthy aging will be promoted, and the age-associated diseases and complications will be reduced. </w:t>
      </w:r>
    </w:p>
    <w:p w14:paraId="00782D96" w14:textId="36581924" w:rsidR="00182E72" w:rsidRPr="00644246" w:rsidRDefault="00644246" w:rsidP="00644246">
      <w:pPr>
        <w:spacing w:line="240" w:lineRule="auto"/>
        <w:jc w:val="both"/>
        <w:rPr>
          <w:rFonts w:ascii="Times New Roman" w:eastAsia="Times New Roman" w:hAnsi="Times New Roman" w:cs="Times New Roman"/>
          <w:bCs/>
          <w:sz w:val="24"/>
          <w:szCs w:val="24"/>
        </w:rPr>
      </w:pPr>
      <w:r w:rsidRPr="00644246">
        <w:rPr>
          <w:rFonts w:ascii="Times New Roman" w:eastAsia="Times New Roman" w:hAnsi="Times New Roman" w:cs="Times New Roman"/>
          <w:b/>
          <w:sz w:val="24"/>
          <w:szCs w:val="24"/>
        </w:rPr>
        <w:t>Keywords:</w:t>
      </w:r>
      <w:r w:rsidRPr="00644246">
        <w:rPr>
          <w:rFonts w:ascii="Times New Roman" w:eastAsia="Times New Roman" w:hAnsi="Times New Roman" w:cs="Times New Roman"/>
          <w:bCs/>
          <w:sz w:val="24"/>
          <w:szCs w:val="24"/>
        </w:rPr>
        <w:t xml:space="preserve"> Elderly nutrition, healthy aging, malnutrition, dietary interventions, community-based programs, nutritional assessment, food access, policy recommendations, India.</w:t>
      </w:r>
    </w:p>
    <w:p w14:paraId="41BF2A57" w14:textId="77777777" w:rsidR="00D74622" w:rsidRDefault="00D74622">
      <w:pPr>
        <w:rPr>
          <w:rFonts w:ascii="Times New Roman" w:hAnsi="Times New Roman" w:cs="Times New Roman"/>
          <w:b/>
          <w:bCs/>
          <w:sz w:val="28"/>
          <w:szCs w:val="28"/>
        </w:rPr>
      </w:pPr>
      <w:bookmarkStart w:id="3" w:name="_Introduction"/>
      <w:bookmarkStart w:id="4" w:name="_Toc212728106"/>
      <w:bookmarkEnd w:id="3"/>
      <w:r>
        <w:rPr>
          <w:rFonts w:ascii="Times New Roman" w:hAnsi="Times New Roman" w:cs="Times New Roman"/>
          <w:b/>
          <w:bCs/>
          <w:sz w:val="28"/>
          <w:szCs w:val="28"/>
        </w:rPr>
        <w:br w:type="page"/>
      </w:r>
    </w:p>
    <w:p w14:paraId="5C4F71D7" w14:textId="5A170F9F" w:rsidR="00182E72" w:rsidRPr="00A70455" w:rsidRDefault="00581E45" w:rsidP="00724C64">
      <w:pPr>
        <w:pStyle w:val="Heading2"/>
        <w:spacing w:line="240" w:lineRule="auto"/>
        <w:jc w:val="center"/>
        <w:rPr>
          <w:rFonts w:ascii="Times New Roman" w:hAnsi="Times New Roman" w:cs="Times New Roman"/>
          <w:b/>
          <w:bCs/>
          <w:sz w:val="28"/>
          <w:szCs w:val="28"/>
        </w:rPr>
      </w:pPr>
      <w:r w:rsidRPr="00A70455">
        <w:rPr>
          <w:rFonts w:ascii="Times New Roman" w:hAnsi="Times New Roman" w:cs="Times New Roman"/>
          <w:b/>
          <w:bCs/>
          <w:sz w:val="28"/>
          <w:szCs w:val="28"/>
        </w:rPr>
        <w:lastRenderedPageBreak/>
        <w:t>Chapter 1 - Introduction</w:t>
      </w:r>
      <w:bookmarkEnd w:id="4"/>
    </w:p>
    <w:p w14:paraId="1FC6FD20" w14:textId="77777777" w:rsidR="00681912" w:rsidRDefault="0072669A" w:rsidP="00AD64FF">
      <w:pPr>
        <w:spacing w:line="240" w:lineRule="auto"/>
        <w:jc w:val="both"/>
        <w:rPr>
          <w:rFonts w:ascii="Times New Roman" w:eastAsia="Times New Roman" w:hAnsi="Times New Roman" w:cs="Times New Roman"/>
          <w:sz w:val="24"/>
          <w:szCs w:val="24"/>
        </w:rPr>
      </w:pPr>
      <w:r w:rsidRPr="0072669A">
        <w:rPr>
          <w:rFonts w:ascii="Times New Roman" w:eastAsia="Times New Roman" w:hAnsi="Times New Roman" w:cs="Times New Roman"/>
          <w:sz w:val="24"/>
          <w:szCs w:val="24"/>
        </w:rPr>
        <w:t xml:space="preserve">The population trend in the world population presents a continuing trend of an ageing population structure that increases the need to encourage healthy ageing and protect the quality of life and wellbeing of the elderly. In this framework, nutrition and diet are crucial factors of health and lifespan, as they are closely interdependent with physiological alterations that come with the process of senescence. The intertwining of dietary habits, nutrient intake and physiological changes with age highlights the necessity to understand the various ways in which nutritional factors can influence the ageing process. </w:t>
      </w:r>
    </w:p>
    <w:p w14:paraId="42581502" w14:textId="77777777" w:rsidR="00E744CE" w:rsidRDefault="00E744CE" w:rsidP="00AD64FF">
      <w:pPr>
        <w:spacing w:line="240" w:lineRule="auto"/>
        <w:jc w:val="both"/>
        <w:rPr>
          <w:rFonts w:ascii="Times New Roman" w:eastAsia="Times New Roman" w:hAnsi="Times New Roman" w:cs="Times New Roman"/>
          <w:sz w:val="24"/>
          <w:szCs w:val="24"/>
        </w:rPr>
      </w:pPr>
    </w:p>
    <w:p w14:paraId="74BB5020" w14:textId="77777777" w:rsidR="00681912" w:rsidRDefault="0072669A" w:rsidP="00AD64FF">
      <w:pPr>
        <w:spacing w:line="240" w:lineRule="auto"/>
        <w:jc w:val="both"/>
        <w:rPr>
          <w:rFonts w:ascii="Times New Roman" w:eastAsia="Times New Roman" w:hAnsi="Times New Roman" w:cs="Times New Roman"/>
          <w:sz w:val="24"/>
          <w:szCs w:val="24"/>
        </w:rPr>
      </w:pPr>
      <w:r w:rsidRPr="0072669A">
        <w:rPr>
          <w:rFonts w:ascii="Times New Roman" w:eastAsia="Times New Roman" w:hAnsi="Times New Roman" w:cs="Times New Roman"/>
          <w:sz w:val="24"/>
          <w:szCs w:val="24"/>
        </w:rPr>
        <w:t xml:space="preserve">The current study is a secondary study that will involve a thorough investigation to help define the complex role of nutrition and diet in promoting healthy ageing. This research attempts to unravel the confounding factors in the nexus between dietary determinants and ageing outcomes by synthesizing and critically evaluating available literature based on various sources such as experimental studies, randomized controlled trials and large-scale epidemiological surveys. We will aim to determine how dietary patterns, micronutrient uptake, macronutrient balance and quality of the diet in general influence a continuum of healthy-ageing dimensions, i.e., physical health, cognitive and immune functionality, and psychological wellbeing. </w:t>
      </w:r>
    </w:p>
    <w:p w14:paraId="295F9812" w14:textId="77777777" w:rsidR="00E744CE" w:rsidRDefault="00E744CE" w:rsidP="00AD64FF">
      <w:pPr>
        <w:spacing w:line="240" w:lineRule="auto"/>
        <w:jc w:val="both"/>
        <w:rPr>
          <w:rFonts w:ascii="Times New Roman" w:eastAsia="Times New Roman" w:hAnsi="Times New Roman" w:cs="Times New Roman"/>
          <w:sz w:val="24"/>
          <w:szCs w:val="24"/>
        </w:rPr>
      </w:pPr>
    </w:p>
    <w:p w14:paraId="2B9E58D7" w14:textId="74C2EAEC" w:rsidR="00681912" w:rsidRDefault="0072669A" w:rsidP="00AD64FF">
      <w:pPr>
        <w:spacing w:line="240" w:lineRule="auto"/>
        <w:jc w:val="both"/>
        <w:rPr>
          <w:rFonts w:ascii="Times New Roman" w:eastAsia="Times New Roman" w:hAnsi="Times New Roman" w:cs="Times New Roman"/>
          <w:sz w:val="24"/>
          <w:szCs w:val="24"/>
        </w:rPr>
      </w:pPr>
      <w:r w:rsidRPr="0072669A">
        <w:rPr>
          <w:rFonts w:ascii="Times New Roman" w:eastAsia="Times New Roman" w:hAnsi="Times New Roman" w:cs="Times New Roman"/>
          <w:sz w:val="24"/>
          <w:szCs w:val="24"/>
        </w:rPr>
        <w:t xml:space="preserve">In addition, this study is expected to assess the effectiveness of dietary interventions, nutritional supplementation, and lifestyle modification in promoting successful ageing as well as reducing the development of age-related chronic diseases, including cardiovascular disease, neurodegenerative disorders, and metabolic syndromes. Through a critical evaluation of the available body of literature, the study will determine gaps in the methodology, inconsistencies and emerging trends and hence the areas that need to be prioritized in future scientific research and improvement. </w:t>
      </w:r>
    </w:p>
    <w:p w14:paraId="31042622" w14:textId="77777777" w:rsidR="00E744CE" w:rsidRDefault="00E744CE" w:rsidP="00AD64FF">
      <w:pPr>
        <w:spacing w:line="240" w:lineRule="auto"/>
        <w:jc w:val="both"/>
        <w:rPr>
          <w:rFonts w:ascii="Times New Roman" w:eastAsia="Times New Roman" w:hAnsi="Times New Roman" w:cs="Times New Roman"/>
          <w:sz w:val="24"/>
          <w:szCs w:val="24"/>
        </w:rPr>
      </w:pPr>
    </w:p>
    <w:p w14:paraId="476CA466" w14:textId="2FE97E48" w:rsidR="00182E72" w:rsidRPr="0072669A" w:rsidRDefault="0072669A" w:rsidP="00AD64FF">
      <w:pPr>
        <w:spacing w:line="240" w:lineRule="auto"/>
        <w:jc w:val="both"/>
        <w:rPr>
          <w:rFonts w:ascii="Times New Roman" w:eastAsia="Times New Roman" w:hAnsi="Times New Roman" w:cs="Times New Roman"/>
          <w:sz w:val="24"/>
          <w:szCs w:val="24"/>
        </w:rPr>
      </w:pPr>
      <w:r w:rsidRPr="0072669A">
        <w:rPr>
          <w:rFonts w:ascii="Times New Roman" w:eastAsia="Times New Roman" w:hAnsi="Times New Roman" w:cs="Times New Roman"/>
          <w:sz w:val="24"/>
          <w:szCs w:val="24"/>
        </w:rPr>
        <w:t>Therefore, the results of this investigation have significant implications on the policy of the health of the population, clinical practice, and personal behavioral approaches to nutrition and ageing. The study hopes to add to the development of evidence-based policies and interventions aimed at maximizing nutritional status, enhancing resilience to age-related health issues, and wellbeing across the lifespan with the explanation of the complex nexus between dietary exposures and healthy ageing.</w:t>
      </w:r>
    </w:p>
    <w:p w14:paraId="1E7155E7" w14:textId="40386896" w:rsidR="00182E72" w:rsidRPr="00A70455" w:rsidRDefault="00581E45" w:rsidP="00724C64">
      <w:pPr>
        <w:pStyle w:val="Heading2"/>
        <w:spacing w:line="240" w:lineRule="auto"/>
        <w:jc w:val="center"/>
        <w:rPr>
          <w:rFonts w:ascii="Times New Roman" w:hAnsi="Times New Roman" w:cs="Times New Roman"/>
          <w:b/>
          <w:bCs/>
          <w:sz w:val="28"/>
          <w:szCs w:val="28"/>
        </w:rPr>
      </w:pPr>
      <w:bookmarkStart w:id="5" w:name="_Research_Objective"/>
      <w:bookmarkStart w:id="6" w:name="_Toc212728107"/>
      <w:bookmarkEnd w:id="5"/>
      <w:r w:rsidRPr="00A70455">
        <w:rPr>
          <w:rFonts w:ascii="Times New Roman" w:hAnsi="Times New Roman" w:cs="Times New Roman"/>
          <w:b/>
          <w:bCs/>
          <w:sz w:val="28"/>
          <w:szCs w:val="28"/>
        </w:rPr>
        <w:t>Chapter 2 - Research Objective</w:t>
      </w:r>
      <w:bookmarkEnd w:id="6"/>
    </w:p>
    <w:p w14:paraId="7EA4C325" w14:textId="6A365912" w:rsidR="00182E72" w:rsidRPr="005753DF" w:rsidRDefault="00480C90" w:rsidP="00724C64">
      <w:pPr>
        <w:pStyle w:val="ListParagraph"/>
        <w:numPr>
          <w:ilvl w:val="0"/>
          <w:numId w:val="23"/>
        </w:numPr>
        <w:spacing w:line="240" w:lineRule="auto"/>
        <w:jc w:val="both"/>
        <w:rPr>
          <w:rFonts w:ascii="Times New Roman" w:eastAsia="Times New Roman" w:hAnsi="Times New Roman" w:cs="Times New Roman"/>
          <w:sz w:val="24"/>
          <w:szCs w:val="24"/>
        </w:rPr>
      </w:pPr>
      <w:r w:rsidRPr="005753DF">
        <w:rPr>
          <w:rFonts w:ascii="Times New Roman" w:eastAsia="Times New Roman" w:hAnsi="Times New Roman" w:cs="Times New Roman"/>
          <w:sz w:val="24"/>
          <w:szCs w:val="24"/>
        </w:rPr>
        <w:t>To systematically review and synthesize existing literature on the role of nutrition and diet in healthy aging,</w:t>
      </w:r>
    </w:p>
    <w:p w14:paraId="11DF614C" w14:textId="77777777" w:rsidR="00182E72" w:rsidRPr="00A70455" w:rsidRDefault="00182E72" w:rsidP="00724C64">
      <w:pPr>
        <w:spacing w:line="240" w:lineRule="auto"/>
        <w:jc w:val="both"/>
        <w:rPr>
          <w:b/>
          <w:sz w:val="24"/>
          <w:szCs w:val="24"/>
        </w:rPr>
      </w:pPr>
    </w:p>
    <w:p w14:paraId="5B373F43" w14:textId="0AB0E03A" w:rsidR="00182E72" w:rsidRPr="005753DF" w:rsidRDefault="00480C90" w:rsidP="00724C64">
      <w:pPr>
        <w:pStyle w:val="ListParagraph"/>
        <w:numPr>
          <w:ilvl w:val="0"/>
          <w:numId w:val="23"/>
        </w:numPr>
        <w:spacing w:line="240" w:lineRule="auto"/>
        <w:jc w:val="both"/>
        <w:rPr>
          <w:rFonts w:ascii="Times New Roman" w:eastAsia="Times New Roman" w:hAnsi="Times New Roman" w:cs="Times New Roman"/>
          <w:sz w:val="24"/>
          <w:szCs w:val="24"/>
        </w:rPr>
      </w:pPr>
      <w:r w:rsidRPr="005753DF">
        <w:rPr>
          <w:rFonts w:ascii="Times New Roman" w:eastAsia="Times New Roman" w:hAnsi="Times New Roman" w:cs="Times New Roman"/>
          <w:sz w:val="24"/>
          <w:szCs w:val="24"/>
        </w:rPr>
        <w:t>To identify key nutrients, dietary patterns, and lifestyle factors associated with promoting health and longevity in older adults.</w:t>
      </w:r>
    </w:p>
    <w:p w14:paraId="7182D710" w14:textId="77777777" w:rsidR="00182E72" w:rsidRPr="00A70455" w:rsidRDefault="00182E72" w:rsidP="00724C64">
      <w:pPr>
        <w:spacing w:line="240" w:lineRule="auto"/>
        <w:jc w:val="both"/>
        <w:rPr>
          <w:rFonts w:ascii="Times New Roman" w:eastAsia="Times New Roman" w:hAnsi="Times New Roman" w:cs="Times New Roman"/>
          <w:sz w:val="24"/>
          <w:szCs w:val="24"/>
        </w:rPr>
      </w:pPr>
    </w:p>
    <w:p w14:paraId="438165F7" w14:textId="3439D75A" w:rsidR="00182E72" w:rsidRPr="005753DF" w:rsidRDefault="00480C90" w:rsidP="00724C64">
      <w:pPr>
        <w:pStyle w:val="ListParagraph"/>
        <w:numPr>
          <w:ilvl w:val="0"/>
          <w:numId w:val="23"/>
        </w:numPr>
        <w:spacing w:line="240" w:lineRule="auto"/>
        <w:jc w:val="both"/>
        <w:rPr>
          <w:b/>
          <w:sz w:val="24"/>
          <w:szCs w:val="24"/>
        </w:rPr>
      </w:pPr>
      <w:r w:rsidRPr="005753DF">
        <w:rPr>
          <w:rFonts w:ascii="Times New Roman" w:eastAsia="Times New Roman" w:hAnsi="Times New Roman" w:cs="Times New Roman"/>
          <w:sz w:val="24"/>
          <w:szCs w:val="24"/>
        </w:rPr>
        <w:t>To assess the effectiveness of dietary interventions and nutritional strategies in supporting healthy aging outcomes.</w:t>
      </w:r>
    </w:p>
    <w:p w14:paraId="47793A3A" w14:textId="77777777" w:rsidR="00182E72" w:rsidRPr="00296BC5" w:rsidRDefault="00182E72" w:rsidP="00724C64">
      <w:pPr>
        <w:spacing w:line="240" w:lineRule="auto"/>
        <w:rPr>
          <w:b/>
          <w:sz w:val="28"/>
          <w:szCs w:val="28"/>
        </w:rPr>
      </w:pPr>
    </w:p>
    <w:p w14:paraId="10BB9B44" w14:textId="77777777" w:rsidR="00182E72" w:rsidRPr="00E967F6" w:rsidRDefault="00480C90" w:rsidP="00724C64">
      <w:pPr>
        <w:spacing w:line="240" w:lineRule="auto"/>
        <w:jc w:val="center"/>
        <w:rPr>
          <w:rFonts w:ascii="Times New Roman" w:eastAsia="Times New Roman" w:hAnsi="Times New Roman" w:cs="Times New Roman"/>
          <w:sz w:val="28"/>
          <w:szCs w:val="28"/>
          <w:u w:val="single"/>
        </w:rPr>
      </w:pPr>
      <w:r w:rsidRPr="00E967F6">
        <w:rPr>
          <w:rFonts w:ascii="Times New Roman" w:eastAsia="Times New Roman" w:hAnsi="Times New Roman" w:cs="Times New Roman"/>
          <w:b/>
          <w:sz w:val="28"/>
          <w:szCs w:val="28"/>
          <w:u w:val="single"/>
        </w:rPr>
        <w:t>Research questions</w:t>
      </w:r>
      <w:r w:rsidRPr="00E967F6">
        <w:rPr>
          <w:rFonts w:ascii="Times New Roman" w:eastAsia="Times New Roman" w:hAnsi="Times New Roman" w:cs="Times New Roman"/>
          <w:sz w:val="28"/>
          <w:szCs w:val="28"/>
          <w:u w:val="single"/>
        </w:rPr>
        <w:t xml:space="preserve"> </w:t>
      </w:r>
    </w:p>
    <w:p w14:paraId="08402B2A" w14:textId="77777777" w:rsidR="00182E72" w:rsidRPr="00296BC5" w:rsidRDefault="00182E72" w:rsidP="00724C64">
      <w:pPr>
        <w:spacing w:line="240" w:lineRule="auto"/>
        <w:rPr>
          <w:rFonts w:ascii="Times New Roman" w:eastAsia="Times New Roman" w:hAnsi="Times New Roman" w:cs="Times New Roman"/>
          <w:sz w:val="28"/>
          <w:szCs w:val="28"/>
        </w:rPr>
      </w:pPr>
    </w:p>
    <w:p w14:paraId="20C4AB39" w14:textId="7E7D72F9" w:rsidR="00182E72" w:rsidRPr="005753DF" w:rsidRDefault="00480C90" w:rsidP="00724C64">
      <w:pPr>
        <w:pStyle w:val="ListParagraph"/>
        <w:numPr>
          <w:ilvl w:val="0"/>
          <w:numId w:val="22"/>
        </w:numPr>
        <w:spacing w:line="240" w:lineRule="auto"/>
        <w:jc w:val="both"/>
        <w:rPr>
          <w:rFonts w:ascii="Times New Roman" w:eastAsia="Times New Roman" w:hAnsi="Times New Roman" w:cs="Times New Roman"/>
          <w:sz w:val="24"/>
          <w:szCs w:val="24"/>
        </w:rPr>
      </w:pPr>
      <w:r w:rsidRPr="005753DF">
        <w:rPr>
          <w:rFonts w:ascii="Times New Roman" w:eastAsia="Times New Roman" w:hAnsi="Times New Roman" w:cs="Times New Roman"/>
          <w:sz w:val="24"/>
          <w:szCs w:val="24"/>
        </w:rPr>
        <w:t>What does existing literature say about how nutrition and diet impact healthy aging?</w:t>
      </w:r>
    </w:p>
    <w:p w14:paraId="33E96FB1" w14:textId="77777777" w:rsidR="00182E72" w:rsidRPr="005753DF" w:rsidRDefault="00182E72" w:rsidP="00724C64">
      <w:pPr>
        <w:spacing w:line="240" w:lineRule="auto"/>
        <w:jc w:val="both"/>
        <w:rPr>
          <w:rFonts w:ascii="Times New Roman" w:eastAsia="Times New Roman" w:hAnsi="Times New Roman" w:cs="Times New Roman"/>
          <w:sz w:val="24"/>
          <w:szCs w:val="24"/>
        </w:rPr>
      </w:pPr>
    </w:p>
    <w:p w14:paraId="1D6EA5CE" w14:textId="6C7D7F2D" w:rsidR="00182E72" w:rsidRPr="005753DF" w:rsidRDefault="00480C90" w:rsidP="00724C64">
      <w:pPr>
        <w:pStyle w:val="ListParagraph"/>
        <w:numPr>
          <w:ilvl w:val="0"/>
          <w:numId w:val="22"/>
        </w:numPr>
        <w:spacing w:line="240" w:lineRule="auto"/>
        <w:jc w:val="both"/>
        <w:rPr>
          <w:rFonts w:ascii="Times New Roman" w:eastAsia="Times New Roman" w:hAnsi="Times New Roman" w:cs="Times New Roman"/>
          <w:sz w:val="24"/>
          <w:szCs w:val="24"/>
        </w:rPr>
      </w:pPr>
      <w:r w:rsidRPr="005753DF">
        <w:rPr>
          <w:rFonts w:ascii="Times New Roman" w:eastAsia="Times New Roman" w:hAnsi="Times New Roman" w:cs="Times New Roman"/>
          <w:sz w:val="24"/>
          <w:szCs w:val="24"/>
        </w:rPr>
        <w:t>What specific nutrients, dietary patterns, and lifestyle factors contribute to health and longevity in older adults?</w:t>
      </w:r>
    </w:p>
    <w:p w14:paraId="38DB94C5" w14:textId="77777777" w:rsidR="00182E72" w:rsidRPr="005753DF" w:rsidRDefault="00182E72" w:rsidP="00724C64">
      <w:pPr>
        <w:spacing w:line="240" w:lineRule="auto"/>
        <w:jc w:val="both"/>
        <w:rPr>
          <w:rFonts w:ascii="Times New Roman" w:eastAsia="Times New Roman" w:hAnsi="Times New Roman" w:cs="Times New Roman"/>
          <w:sz w:val="24"/>
          <w:szCs w:val="24"/>
        </w:rPr>
      </w:pPr>
    </w:p>
    <w:p w14:paraId="045A31A9" w14:textId="70B62A95" w:rsidR="00826F10" w:rsidRPr="00AD64FF" w:rsidRDefault="00480C90" w:rsidP="00724C64">
      <w:pPr>
        <w:pStyle w:val="ListParagraph"/>
        <w:numPr>
          <w:ilvl w:val="0"/>
          <w:numId w:val="22"/>
        </w:numPr>
        <w:spacing w:line="240" w:lineRule="auto"/>
        <w:jc w:val="both"/>
        <w:rPr>
          <w:b/>
          <w:sz w:val="24"/>
          <w:szCs w:val="24"/>
        </w:rPr>
      </w:pPr>
      <w:r w:rsidRPr="005753DF">
        <w:rPr>
          <w:rFonts w:ascii="Times New Roman" w:eastAsia="Times New Roman" w:hAnsi="Times New Roman" w:cs="Times New Roman"/>
          <w:sz w:val="24"/>
          <w:szCs w:val="24"/>
        </w:rPr>
        <w:t>How effective are dietary interventions and nutritional strategies in supporting healthy aging outcomes?</w:t>
      </w:r>
    </w:p>
    <w:p w14:paraId="7C51A003" w14:textId="57B6EBE3" w:rsidR="00182E72" w:rsidRPr="005753DF" w:rsidRDefault="00581E45" w:rsidP="00724C64">
      <w:pPr>
        <w:pStyle w:val="Heading2"/>
        <w:spacing w:line="240" w:lineRule="auto"/>
        <w:jc w:val="center"/>
        <w:rPr>
          <w:rFonts w:ascii="Times New Roman" w:hAnsi="Times New Roman" w:cs="Times New Roman"/>
          <w:b/>
          <w:bCs/>
          <w:sz w:val="28"/>
          <w:szCs w:val="28"/>
        </w:rPr>
      </w:pPr>
      <w:bookmarkStart w:id="7" w:name="_Methodology"/>
      <w:bookmarkStart w:id="8" w:name="_Toc212728108"/>
      <w:bookmarkEnd w:id="7"/>
      <w:r w:rsidRPr="005753DF">
        <w:rPr>
          <w:rFonts w:ascii="Times New Roman" w:hAnsi="Times New Roman" w:cs="Times New Roman"/>
          <w:b/>
          <w:bCs/>
          <w:sz w:val="28"/>
          <w:szCs w:val="28"/>
        </w:rPr>
        <w:t>Chapter 3 - Methodology</w:t>
      </w:r>
      <w:bookmarkEnd w:id="8"/>
    </w:p>
    <w:p w14:paraId="397D5FD7" w14:textId="04FA1148" w:rsidR="00D225A4" w:rsidRPr="00D225A4" w:rsidRDefault="00D225A4" w:rsidP="00D225A4">
      <w:pPr>
        <w:jc w:val="both"/>
        <w:rPr>
          <w:rFonts w:ascii="Times New Roman" w:hAnsi="Times New Roman" w:cs="Times New Roman"/>
          <w:sz w:val="24"/>
          <w:szCs w:val="24"/>
        </w:rPr>
      </w:pPr>
      <w:bookmarkStart w:id="9" w:name="_Review_of_Literature"/>
      <w:bookmarkStart w:id="10" w:name="_Toc212728109"/>
      <w:bookmarkEnd w:id="9"/>
      <w:r w:rsidRPr="00D225A4">
        <w:rPr>
          <w:rFonts w:ascii="Times New Roman" w:hAnsi="Times New Roman" w:cs="Times New Roman"/>
          <w:sz w:val="24"/>
          <w:szCs w:val="24"/>
        </w:rPr>
        <w:t>The framework that can be used to describe the methodology employed in this study is defined by a systematic secondary research design, which will focus on gathering, examining, and analyzing the available literature and information related to the role of nutrition and diet in healthy ageing. The sources of secondary data will include academic articles, technical reports, and peer-reviewed research published in quality journals and available in the established databases. The search strategy will use a broad range of keywords such as nutrition, diet and healthy ageing so as to cover the area exhaustively. The process of data synthesis will include qualitative content analysis and, where necessary, statistical analysis to outline common themes and trends. Quality appraisal instruments will be used to ensure rigor of the findings and these include the elements of study design, methodological strength, and internal validity. Ethical issues, which include preserving the confidentiality and anonymity of the participants, will be maintained in the research process at all times. Although the research recognizes the possible shortcomings, such as literature accessibility and the potential threat of selection bias, the study makes an effort to produce meaningful implications on policy development, clinical practice, and the further academic research in the area of nutrition and healthy ageing.</w:t>
      </w:r>
    </w:p>
    <w:p w14:paraId="2D667F77" w14:textId="2E882EEF" w:rsidR="00182E72" w:rsidRPr="000369E1" w:rsidRDefault="00581E45" w:rsidP="00724C64">
      <w:pPr>
        <w:pStyle w:val="Heading2"/>
        <w:spacing w:line="240" w:lineRule="auto"/>
        <w:jc w:val="center"/>
        <w:rPr>
          <w:rFonts w:ascii="Times New Roman" w:hAnsi="Times New Roman" w:cs="Times New Roman"/>
          <w:b/>
          <w:bCs/>
          <w:sz w:val="24"/>
          <w:szCs w:val="24"/>
        </w:rPr>
      </w:pPr>
      <w:r w:rsidRPr="000369E1">
        <w:rPr>
          <w:rFonts w:ascii="Times New Roman" w:hAnsi="Times New Roman" w:cs="Times New Roman"/>
          <w:b/>
          <w:bCs/>
          <w:sz w:val="28"/>
          <w:szCs w:val="28"/>
        </w:rPr>
        <w:t xml:space="preserve">Chapter 4 - </w:t>
      </w:r>
      <w:r w:rsidR="00036FFA" w:rsidRPr="000369E1">
        <w:rPr>
          <w:rFonts w:ascii="Times New Roman" w:hAnsi="Times New Roman" w:cs="Times New Roman"/>
          <w:b/>
          <w:bCs/>
          <w:sz w:val="28"/>
          <w:szCs w:val="28"/>
        </w:rPr>
        <w:t>Review of Literature</w:t>
      </w:r>
      <w:bookmarkEnd w:id="10"/>
    </w:p>
    <w:p w14:paraId="3700C3A9" w14:textId="08F20348" w:rsidR="001739D5"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The role of maintaining proper nutrition in old age has been continually highlighted in various researches carried out in India that have shown a complicated set of demographics, socioeconomic, and psychological factors that play a role in determining the nutritional condition of the elderly population. Regardless of the methodology differences, all studies point to the claim that undernutrition in the elderly is a major issue in terms of public health in both rural and urban communities (Rajan et al., 2020; Ramya et al., 2016; Lahiri et al., 2014). </w:t>
      </w:r>
    </w:p>
    <w:p w14:paraId="000312EB" w14:textId="77777777" w:rsidR="00E744CE" w:rsidRDefault="00E744CE" w:rsidP="00D225A4">
      <w:pPr>
        <w:spacing w:line="240" w:lineRule="auto"/>
        <w:jc w:val="both"/>
        <w:rPr>
          <w:rFonts w:ascii="Times New Roman" w:hAnsi="Times New Roman" w:cs="Times New Roman"/>
          <w:bCs/>
          <w:sz w:val="24"/>
          <w:szCs w:val="24"/>
        </w:rPr>
      </w:pPr>
    </w:p>
    <w:p w14:paraId="6C885CC0" w14:textId="7768A2D6" w:rsidR="00D03F33"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The empirical studies conducted in rural areas prove that old people are more vulnerable due to poverty, poor access to food and lack of health education. S. It was reported that 21.4 percent of elderly people in South Indian rural regions were malnourished and 32.65 percent were at risk (Palanivel Rajan et al., 2020). The same tendency was observed in West Bengal, where Surajit Lahiri and colleagues (2014) established that almost 30 percent of surveyed older adults were malnourished and more than 60 percent were at risk of being malnourished. Kalaiselvi et al. (2019) reported the prevalence of undernutrition as 24.8‛ in Puducherry, where the risk was more significant in males, the elderly, and low-income populations. The N. Arlappa et al. (1998) </w:t>
      </w:r>
      <w:r w:rsidRPr="001739D5">
        <w:rPr>
          <w:rFonts w:ascii="Times New Roman" w:hAnsi="Times New Roman" w:cs="Times New Roman"/>
          <w:bCs/>
          <w:sz w:val="24"/>
          <w:szCs w:val="24"/>
        </w:rPr>
        <w:lastRenderedPageBreak/>
        <w:t xml:space="preserve">evidence on large scale, which was based on the survey of the National Nutrition Monitoring Bureau, confirmed that older adults in rural areas often did not get the recommended dietary allowances, particularly the essential micronutrients, thus adding to the prevalence of chronic energy deficiency. On the whole, these results demonstrate inequalities in nutritious food and medical services access and indicate the need to implement low-cost, community-oriented nutrition </w:t>
      </w:r>
      <w:r w:rsidR="00E831D3" w:rsidRPr="001739D5">
        <w:rPr>
          <w:rFonts w:ascii="Times New Roman" w:hAnsi="Times New Roman" w:cs="Times New Roman"/>
          <w:bCs/>
          <w:sz w:val="24"/>
          <w:szCs w:val="24"/>
        </w:rPr>
        <w:t>programs</w:t>
      </w:r>
      <w:r w:rsidRPr="001739D5">
        <w:rPr>
          <w:rFonts w:ascii="Times New Roman" w:hAnsi="Times New Roman" w:cs="Times New Roman"/>
          <w:bCs/>
          <w:sz w:val="24"/>
          <w:szCs w:val="24"/>
        </w:rPr>
        <w:t xml:space="preserve"> that address susceptible rural communities. </w:t>
      </w:r>
    </w:p>
    <w:p w14:paraId="4C0A65C2" w14:textId="77777777" w:rsidR="00E744CE" w:rsidRDefault="00E744CE" w:rsidP="00D225A4">
      <w:pPr>
        <w:spacing w:line="240" w:lineRule="auto"/>
        <w:jc w:val="both"/>
        <w:rPr>
          <w:rFonts w:ascii="Times New Roman" w:hAnsi="Times New Roman" w:cs="Times New Roman"/>
          <w:bCs/>
          <w:sz w:val="24"/>
          <w:szCs w:val="24"/>
        </w:rPr>
      </w:pPr>
    </w:p>
    <w:p w14:paraId="173977ED" w14:textId="77777777" w:rsidR="0043166D"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City research indicates that malnutrition also exists among urban elderly, and this is mainly due to the psychosocial and economic reasons. Ramya et al. (2016) have discovered that 21.33 percent of elderly people in Bengaluru were malnourished and almost half were at risk, and illiteracy, economic dependency, and family support were found to be the primary factors. According to Luthra, Negi, and Ohri (2018), depression and cognitive impairment were significant factors that worsen the malnutrition condition of older adults in Dehradun. Although there is increased access to food, loneliness, loss of joint families, and lack of emotional support still pose a threat to overall dietary wellbeing of seniors in the city. These findings indicate that the urban geriatric nutrition interventions should include counselling, mental health services, and family-engagement </w:t>
      </w:r>
      <w:r w:rsidR="00E831D3" w:rsidRPr="001739D5">
        <w:rPr>
          <w:rFonts w:ascii="Times New Roman" w:hAnsi="Times New Roman" w:cs="Times New Roman"/>
          <w:bCs/>
          <w:sz w:val="24"/>
          <w:szCs w:val="24"/>
        </w:rPr>
        <w:t>programs</w:t>
      </w:r>
      <w:r w:rsidRPr="001739D5">
        <w:rPr>
          <w:rFonts w:ascii="Times New Roman" w:hAnsi="Times New Roman" w:cs="Times New Roman"/>
          <w:bCs/>
          <w:sz w:val="24"/>
          <w:szCs w:val="24"/>
        </w:rPr>
        <w:t xml:space="preserve"> in order to effectively deal with malnutrition. </w:t>
      </w:r>
    </w:p>
    <w:p w14:paraId="6C54225F" w14:textId="77777777" w:rsidR="00E744CE" w:rsidRDefault="00E744CE" w:rsidP="00D225A4">
      <w:pPr>
        <w:spacing w:line="240" w:lineRule="auto"/>
        <w:jc w:val="both"/>
        <w:rPr>
          <w:rFonts w:ascii="Times New Roman" w:hAnsi="Times New Roman" w:cs="Times New Roman"/>
          <w:bCs/>
          <w:sz w:val="24"/>
          <w:szCs w:val="24"/>
        </w:rPr>
      </w:pPr>
    </w:p>
    <w:p w14:paraId="770CF167" w14:textId="77777777" w:rsidR="00E744CE"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The </w:t>
      </w:r>
      <w:r w:rsidR="00E831D3" w:rsidRPr="001739D5">
        <w:rPr>
          <w:rFonts w:ascii="Times New Roman" w:hAnsi="Times New Roman" w:cs="Times New Roman"/>
          <w:bCs/>
          <w:sz w:val="24"/>
          <w:szCs w:val="24"/>
        </w:rPr>
        <w:t>institutionalized</w:t>
      </w:r>
      <w:r w:rsidRPr="001739D5">
        <w:rPr>
          <w:rFonts w:ascii="Times New Roman" w:hAnsi="Times New Roman" w:cs="Times New Roman"/>
          <w:bCs/>
          <w:sz w:val="24"/>
          <w:szCs w:val="24"/>
        </w:rPr>
        <w:t xml:space="preserve"> older adults deserve </w:t>
      </w:r>
      <w:r w:rsidR="00E831D3" w:rsidRPr="001739D5">
        <w:rPr>
          <w:rFonts w:ascii="Times New Roman" w:hAnsi="Times New Roman" w:cs="Times New Roman"/>
          <w:bCs/>
          <w:sz w:val="24"/>
          <w:szCs w:val="24"/>
        </w:rPr>
        <w:t>specialized</w:t>
      </w:r>
      <w:r w:rsidRPr="001739D5">
        <w:rPr>
          <w:rFonts w:ascii="Times New Roman" w:hAnsi="Times New Roman" w:cs="Times New Roman"/>
          <w:bCs/>
          <w:sz w:val="24"/>
          <w:szCs w:val="24"/>
        </w:rPr>
        <w:t xml:space="preserve"> attention. Saha, Basu, Ghosh, Saha, and Banerjee (2019) evaluated the nutritional risk level among older women who live in the old-age homes in South suburban Kolkata and found it to be quite high, which is directly associated with depressive symptoms. Interestingly, the income was not significantly correlated with the nutritional status suggesting that psychological wellbeing has more impact on the dietary adequacy in institutional settings. This highlights the urgency of psychosocial interventions coupled with nutritional support in facilities that take care of the elderly. </w:t>
      </w:r>
    </w:p>
    <w:p w14:paraId="077CC379" w14:textId="77777777" w:rsidR="00E744CE" w:rsidRDefault="00E744CE" w:rsidP="00D225A4">
      <w:pPr>
        <w:spacing w:line="240" w:lineRule="auto"/>
        <w:jc w:val="both"/>
        <w:rPr>
          <w:rFonts w:ascii="Times New Roman" w:hAnsi="Times New Roman" w:cs="Times New Roman"/>
          <w:bCs/>
          <w:sz w:val="24"/>
          <w:szCs w:val="24"/>
        </w:rPr>
      </w:pPr>
    </w:p>
    <w:p w14:paraId="04428357" w14:textId="77777777" w:rsidR="00E744CE"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Going beyond the </w:t>
      </w:r>
      <w:r w:rsidR="00E831D3" w:rsidRPr="001739D5">
        <w:rPr>
          <w:rFonts w:ascii="Times New Roman" w:hAnsi="Times New Roman" w:cs="Times New Roman"/>
          <w:bCs/>
          <w:sz w:val="24"/>
          <w:szCs w:val="24"/>
        </w:rPr>
        <w:t>localized</w:t>
      </w:r>
      <w:r w:rsidRPr="001739D5">
        <w:rPr>
          <w:rFonts w:ascii="Times New Roman" w:hAnsi="Times New Roman" w:cs="Times New Roman"/>
          <w:bCs/>
          <w:sz w:val="24"/>
          <w:szCs w:val="24"/>
        </w:rPr>
        <w:t xml:space="preserve"> research, Junaid Khan, Aparajita Chattopadhyay, and Subhojit Shaw (2022) used the data of the national levels in the analysis through anthropometric indices to compare the nutritional health of the older population in India in relation to regions. They also found significant geographical disparity implying that poor socioeconomic status, geographical isolation, and lack of access to healthcare are significant risk factors of malnutrition. Such national results support the necessity to create national nutrition policies that should be state-specific and consider regional economic and cultural diversity to enhance the health outcomes of older adults. </w:t>
      </w:r>
    </w:p>
    <w:p w14:paraId="03EEE396" w14:textId="77777777" w:rsidR="00E744CE" w:rsidRDefault="00E744CE" w:rsidP="00D225A4">
      <w:pPr>
        <w:spacing w:line="240" w:lineRule="auto"/>
        <w:jc w:val="both"/>
        <w:rPr>
          <w:rFonts w:ascii="Times New Roman" w:hAnsi="Times New Roman" w:cs="Times New Roman"/>
          <w:bCs/>
          <w:sz w:val="24"/>
          <w:szCs w:val="24"/>
        </w:rPr>
      </w:pPr>
    </w:p>
    <w:p w14:paraId="770288CE" w14:textId="5863B3A0" w:rsidR="00E744CE"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The evidence synthesis determines that there are a number of salient determinants of elderly malnutrition in the studies reviewed. Old age is always linked to deteriorating nutritional scores because of physiological alterations that decrease appetite and uptake of nutrients (Arlappa et al., 1998; Rajan et al., 2020). Malnutrition in older women is disproportionately higher, which can probably be caused by the chronic socioeconomic disadvantages (Lahiri et al., 2014; Saha et al., 2019). Nutritional risk is further exacerbated by economic dependence, illiteracy, and the lack of power to make decisions (Ramya et al., 2016). Furthermore, there are strong indirect impacts of mental health issues, especially depression, social isolation, and deteriorating functional abilities on dietary practices and intake (Luthra et al., 2018). Most of the studies use the Mini-Nutritional Assessment (MNA) as a standardized tool to measure both physical and psychosocial aspects of </w:t>
      </w:r>
      <w:r w:rsidRPr="001739D5">
        <w:rPr>
          <w:rFonts w:ascii="Times New Roman" w:hAnsi="Times New Roman" w:cs="Times New Roman"/>
          <w:bCs/>
          <w:sz w:val="24"/>
          <w:szCs w:val="24"/>
        </w:rPr>
        <w:lastRenderedPageBreak/>
        <w:t xml:space="preserve">nutritional wellness in older adults, which validates it as a reliable tool of nutritional surveillance in geriatric care (Rajan et al., 2020; Agarwalla et al., 2013). </w:t>
      </w:r>
    </w:p>
    <w:p w14:paraId="7EF1653B" w14:textId="77777777" w:rsidR="00E744CE" w:rsidRDefault="00E744CE" w:rsidP="00D225A4">
      <w:pPr>
        <w:spacing w:line="240" w:lineRule="auto"/>
        <w:jc w:val="both"/>
        <w:rPr>
          <w:rFonts w:ascii="Times New Roman" w:hAnsi="Times New Roman" w:cs="Times New Roman"/>
          <w:bCs/>
          <w:sz w:val="24"/>
          <w:szCs w:val="24"/>
        </w:rPr>
      </w:pPr>
    </w:p>
    <w:p w14:paraId="0DF3B459" w14:textId="071FAB5A" w:rsidR="00E64699" w:rsidRPr="00995228" w:rsidRDefault="001739D5" w:rsidP="00D225A4">
      <w:pPr>
        <w:spacing w:line="240" w:lineRule="auto"/>
        <w:jc w:val="both"/>
        <w:rPr>
          <w:rFonts w:ascii="Times New Roman" w:hAnsi="Times New Roman" w:cs="Times New Roman"/>
          <w:bCs/>
          <w:sz w:val="24"/>
          <w:szCs w:val="24"/>
          <w:lang w:val="en-US"/>
        </w:rPr>
      </w:pPr>
      <w:r w:rsidRPr="001739D5">
        <w:rPr>
          <w:rFonts w:ascii="Times New Roman" w:hAnsi="Times New Roman" w:cs="Times New Roman"/>
          <w:bCs/>
          <w:sz w:val="24"/>
          <w:szCs w:val="24"/>
        </w:rPr>
        <w:t xml:space="preserve">To sum up, the overall evidence confirms that malnutrition is still prevalent among the older age group of people in India, irrespective of the rural and urban set ups. Nutrition is an important cornerstone to healthy ageing, as evidenced by the interplay of physiological deterioration, socioeconomic impoverishment, and psychosocial distress. This literature confirms the urgency of integrated geriatric nutrition </w:t>
      </w:r>
      <w:r w:rsidR="00156A8F" w:rsidRPr="001739D5">
        <w:rPr>
          <w:rFonts w:ascii="Times New Roman" w:hAnsi="Times New Roman" w:cs="Times New Roman"/>
          <w:bCs/>
          <w:sz w:val="24"/>
          <w:szCs w:val="24"/>
        </w:rPr>
        <w:t>program</w:t>
      </w:r>
      <w:r w:rsidRPr="001739D5">
        <w:rPr>
          <w:rFonts w:ascii="Times New Roman" w:hAnsi="Times New Roman" w:cs="Times New Roman"/>
          <w:bCs/>
          <w:sz w:val="24"/>
          <w:szCs w:val="24"/>
        </w:rPr>
        <w:t xml:space="preserve"> implementation in form of nutrition education, food security measures, and integrated mental care. Community-based screening and policy-based interventions to preventative care and health, which guarantee equal access to food and health services, can significantly improve nutrition and improve the quality of life experienced by the rising elderly population in India.</w:t>
      </w:r>
    </w:p>
    <w:p w14:paraId="63A1BD6E" w14:textId="7025FA7E" w:rsidR="00182E72" w:rsidRPr="00995228" w:rsidRDefault="00581E45" w:rsidP="00724C64">
      <w:pPr>
        <w:pStyle w:val="Heading2"/>
        <w:spacing w:line="240" w:lineRule="auto"/>
        <w:jc w:val="center"/>
        <w:rPr>
          <w:rFonts w:ascii="Times New Roman" w:hAnsi="Times New Roman" w:cs="Times New Roman"/>
          <w:b/>
          <w:bCs/>
          <w:sz w:val="24"/>
          <w:szCs w:val="24"/>
        </w:rPr>
      </w:pPr>
      <w:bookmarkStart w:id="11" w:name="_Toc212728110"/>
      <w:r w:rsidRPr="000369E1">
        <w:rPr>
          <w:rFonts w:ascii="Times New Roman" w:hAnsi="Times New Roman" w:cs="Times New Roman"/>
          <w:b/>
          <w:bCs/>
          <w:sz w:val="28"/>
          <w:szCs w:val="28"/>
        </w:rPr>
        <w:t>Chapter 5 - Rational</w:t>
      </w:r>
      <w:r w:rsidR="00F83BA7" w:rsidRPr="000369E1">
        <w:rPr>
          <w:rFonts w:ascii="Times New Roman" w:hAnsi="Times New Roman" w:cs="Times New Roman"/>
          <w:b/>
          <w:bCs/>
          <w:sz w:val="28"/>
          <w:szCs w:val="28"/>
        </w:rPr>
        <w:t>e</w:t>
      </w:r>
      <w:r w:rsidRPr="000369E1">
        <w:rPr>
          <w:rFonts w:ascii="Times New Roman" w:hAnsi="Times New Roman" w:cs="Times New Roman"/>
          <w:b/>
          <w:bCs/>
          <w:sz w:val="28"/>
          <w:szCs w:val="28"/>
        </w:rPr>
        <w:t xml:space="preserve"> of this study</w:t>
      </w:r>
      <w:bookmarkEnd w:id="11"/>
    </w:p>
    <w:p w14:paraId="4536F670" w14:textId="77777777" w:rsidR="00F2718F" w:rsidRDefault="00DB0777" w:rsidP="00DB0777">
      <w:pPr>
        <w:spacing w:line="240" w:lineRule="auto"/>
        <w:jc w:val="both"/>
        <w:rPr>
          <w:rFonts w:ascii="Times New Roman" w:eastAsia="Times New Roman" w:hAnsi="Times New Roman" w:cs="Times New Roman"/>
          <w:sz w:val="24"/>
          <w:szCs w:val="24"/>
        </w:rPr>
      </w:pPr>
      <w:r w:rsidRPr="00DB0777">
        <w:rPr>
          <w:rFonts w:ascii="Times New Roman" w:eastAsia="Times New Roman" w:hAnsi="Times New Roman" w:cs="Times New Roman"/>
          <w:sz w:val="24"/>
          <w:szCs w:val="24"/>
        </w:rPr>
        <w:t xml:space="preserve">The world is aging like never before, and those over the age of 60 years are expected to increase by two times by 2050 (World Health Organization, 2022). The consequences of this demographic transition are a heavy burden on healthcare systems, policymakers, and society in general since older adults are more vulnerable to chronic diseases, functional impairment, and increased healthcare needs. </w:t>
      </w:r>
    </w:p>
    <w:p w14:paraId="527F1827" w14:textId="77777777" w:rsidR="00F2718F" w:rsidRDefault="00F2718F" w:rsidP="00DB0777">
      <w:pPr>
        <w:spacing w:line="240" w:lineRule="auto"/>
        <w:jc w:val="both"/>
        <w:rPr>
          <w:rFonts w:ascii="Times New Roman" w:eastAsia="Times New Roman" w:hAnsi="Times New Roman" w:cs="Times New Roman"/>
          <w:sz w:val="24"/>
          <w:szCs w:val="24"/>
        </w:rPr>
      </w:pPr>
    </w:p>
    <w:p w14:paraId="393E867A" w14:textId="77777777" w:rsidR="00F2718F" w:rsidRDefault="00DB0777" w:rsidP="00DB0777">
      <w:pPr>
        <w:spacing w:line="240" w:lineRule="auto"/>
        <w:jc w:val="both"/>
        <w:rPr>
          <w:rFonts w:ascii="Times New Roman" w:eastAsia="Times New Roman" w:hAnsi="Times New Roman" w:cs="Times New Roman"/>
          <w:sz w:val="24"/>
          <w:szCs w:val="24"/>
        </w:rPr>
      </w:pPr>
      <w:r w:rsidRPr="00DB0777">
        <w:rPr>
          <w:rFonts w:ascii="Times New Roman" w:eastAsia="Times New Roman" w:hAnsi="Times New Roman" w:cs="Times New Roman"/>
          <w:sz w:val="24"/>
          <w:szCs w:val="24"/>
        </w:rPr>
        <w:t xml:space="preserve">Malnutrition (including undernutrition and micronutrient deficiency) is a common but often overlooked issue among the elderly population. The reviewed literature in the analysis has consistently reported that malnutrition and risk thereof are very high among the elderly groups in various parts of India. </w:t>
      </w:r>
    </w:p>
    <w:p w14:paraId="29AD03FB" w14:textId="77777777" w:rsidR="00F2718F" w:rsidRDefault="00F2718F" w:rsidP="00DB0777">
      <w:pPr>
        <w:spacing w:line="240" w:lineRule="auto"/>
        <w:jc w:val="both"/>
        <w:rPr>
          <w:rFonts w:ascii="Times New Roman" w:eastAsia="Times New Roman" w:hAnsi="Times New Roman" w:cs="Times New Roman"/>
          <w:sz w:val="24"/>
          <w:szCs w:val="24"/>
        </w:rPr>
      </w:pPr>
    </w:p>
    <w:p w14:paraId="2A2F9875" w14:textId="77777777" w:rsidR="00F2718F" w:rsidRDefault="00DB0777" w:rsidP="00DB0777">
      <w:pPr>
        <w:spacing w:line="240" w:lineRule="auto"/>
        <w:jc w:val="both"/>
        <w:rPr>
          <w:rFonts w:ascii="Times New Roman" w:eastAsia="Times New Roman" w:hAnsi="Times New Roman" w:cs="Times New Roman"/>
          <w:sz w:val="24"/>
          <w:szCs w:val="24"/>
        </w:rPr>
      </w:pPr>
      <w:r w:rsidRPr="00DB0777">
        <w:rPr>
          <w:rFonts w:ascii="Times New Roman" w:eastAsia="Times New Roman" w:hAnsi="Times New Roman" w:cs="Times New Roman"/>
          <w:sz w:val="24"/>
          <w:szCs w:val="24"/>
        </w:rPr>
        <w:t xml:space="preserve">The physiological changes that come with age such as changes in metabolic rate, nutrient absorption and appetite control are some of the factors that lead to the development of nutrient deficiencies and malnutrition in the elderly (Ahmed and Haboubi, 2010). This susceptible population is further exposed to malnutrition due to socioeconomic factors like poverty, limited access to healthcare and food insecurity (Stratton et al., 2003). </w:t>
      </w:r>
    </w:p>
    <w:p w14:paraId="211B0118" w14:textId="77777777" w:rsidR="00F2718F" w:rsidRDefault="00F2718F" w:rsidP="00DB0777">
      <w:pPr>
        <w:spacing w:line="240" w:lineRule="auto"/>
        <w:jc w:val="both"/>
        <w:rPr>
          <w:rFonts w:ascii="Times New Roman" w:eastAsia="Times New Roman" w:hAnsi="Times New Roman" w:cs="Times New Roman"/>
          <w:sz w:val="24"/>
          <w:szCs w:val="24"/>
        </w:rPr>
      </w:pPr>
    </w:p>
    <w:p w14:paraId="0B240A13" w14:textId="77777777" w:rsidR="00156A8F" w:rsidRDefault="00DB0777" w:rsidP="00DB0777">
      <w:pPr>
        <w:spacing w:line="240" w:lineRule="auto"/>
        <w:jc w:val="both"/>
        <w:rPr>
          <w:rFonts w:ascii="Times New Roman" w:eastAsia="Times New Roman" w:hAnsi="Times New Roman" w:cs="Times New Roman"/>
          <w:sz w:val="24"/>
          <w:szCs w:val="24"/>
        </w:rPr>
      </w:pPr>
      <w:r w:rsidRPr="00DB0777">
        <w:rPr>
          <w:rFonts w:ascii="Times New Roman" w:eastAsia="Times New Roman" w:hAnsi="Times New Roman" w:cs="Times New Roman"/>
          <w:sz w:val="24"/>
          <w:szCs w:val="24"/>
        </w:rPr>
        <w:t xml:space="preserve">The challenge of malnutrition and the need to ensure all older demographics are in good nutritional health is crucial to the enhancement of healthy aging, reduction of the chronic disease burden, and overall quality of life. Proper nutrition is critical towards maintaining physical activity, cognitive abilities, and resistance to age-related diseases and impairments (Sanchez-Garcia et al., 2017). However, the literature review indicates that there is a lack of detailed, context-specific approaches and interventions aimed at addressing the individual nutritional needs and issues of older adults in different environments and socioenvironmental contexts. </w:t>
      </w:r>
    </w:p>
    <w:p w14:paraId="0D9363CC" w14:textId="77777777" w:rsidR="00156A8F" w:rsidRDefault="00156A8F" w:rsidP="00DB0777">
      <w:pPr>
        <w:spacing w:line="240" w:lineRule="auto"/>
        <w:jc w:val="both"/>
        <w:rPr>
          <w:rFonts w:ascii="Times New Roman" w:eastAsia="Times New Roman" w:hAnsi="Times New Roman" w:cs="Times New Roman"/>
          <w:sz w:val="24"/>
          <w:szCs w:val="24"/>
        </w:rPr>
      </w:pPr>
    </w:p>
    <w:p w14:paraId="0608128F" w14:textId="00A32371" w:rsidR="00296BC5" w:rsidRPr="000369E1" w:rsidRDefault="00DB0777" w:rsidP="00DB0777">
      <w:pPr>
        <w:spacing w:line="240" w:lineRule="auto"/>
        <w:jc w:val="both"/>
        <w:rPr>
          <w:rFonts w:ascii="Times New Roman" w:eastAsia="Times New Roman" w:hAnsi="Times New Roman" w:cs="Times New Roman"/>
          <w:sz w:val="24"/>
          <w:szCs w:val="24"/>
        </w:rPr>
      </w:pPr>
      <w:r w:rsidRPr="00DB0777">
        <w:rPr>
          <w:rFonts w:ascii="Times New Roman" w:eastAsia="Times New Roman" w:hAnsi="Times New Roman" w:cs="Times New Roman"/>
          <w:sz w:val="24"/>
          <w:szCs w:val="24"/>
        </w:rPr>
        <w:t>Through these research goals, researchers are able to generate meaningful findings and evidence-based interventions to design and implement effective nutritional interventions and strategies to enhance healthy aging. As a result, such studies can not only promote general health, living conditions, and quality of life in elderly people but also reduce the economic and social costs of age-related diseases and loss of functioning.</w:t>
      </w:r>
    </w:p>
    <w:p w14:paraId="69C31C03" w14:textId="3987743E" w:rsidR="00296BC5" w:rsidRPr="000369E1" w:rsidRDefault="00F83BA7" w:rsidP="00724C64">
      <w:pPr>
        <w:pStyle w:val="Heading2"/>
        <w:spacing w:line="240" w:lineRule="auto"/>
        <w:jc w:val="center"/>
        <w:rPr>
          <w:rFonts w:ascii="Times New Roman" w:hAnsi="Times New Roman" w:cs="Times New Roman"/>
          <w:b/>
          <w:bCs/>
        </w:rPr>
      </w:pPr>
      <w:bookmarkStart w:id="12" w:name="_Nutritional_Determinants_of"/>
      <w:bookmarkStart w:id="13" w:name="_Toc212728111"/>
      <w:bookmarkEnd w:id="12"/>
      <w:r w:rsidRPr="000369E1">
        <w:rPr>
          <w:rFonts w:ascii="Times New Roman" w:hAnsi="Times New Roman" w:cs="Times New Roman"/>
          <w:b/>
          <w:bCs/>
          <w:sz w:val="28"/>
          <w:szCs w:val="28"/>
        </w:rPr>
        <w:lastRenderedPageBreak/>
        <w:t xml:space="preserve">Chapter </w:t>
      </w:r>
      <w:r w:rsidR="00581E45" w:rsidRPr="000369E1">
        <w:rPr>
          <w:rFonts w:ascii="Times New Roman" w:hAnsi="Times New Roman" w:cs="Times New Roman"/>
          <w:b/>
          <w:bCs/>
          <w:sz w:val="28"/>
          <w:szCs w:val="28"/>
        </w:rPr>
        <w:t xml:space="preserve">6 </w:t>
      </w:r>
      <w:r w:rsidRPr="000369E1">
        <w:rPr>
          <w:rFonts w:ascii="Times New Roman" w:hAnsi="Times New Roman" w:cs="Times New Roman"/>
          <w:b/>
          <w:bCs/>
          <w:sz w:val="28"/>
          <w:szCs w:val="28"/>
        </w:rPr>
        <w:t>- Nutritional Determinants of Healthy Aging</w:t>
      </w:r>
      <w:bookmarkEnd w:id="13"/>
    </w:p>
    <w:p w14:paraId="7C9B1E3C" w14:textId="36E18426" w:rsidR="00182E72" w:rsidRPr="000369E1" w:rsidRDefault="00480C90" w:rsidP="00724C64">
      <w:pPr>
        <w:pStyle w:val="ListParagraph"/>
        <w:numPr>
          <w:ilvl w:val="0"/>
          <w:numId w:val="7"/>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Key Nutrients and Their Role in Promoting Longevity</w:t>
      </w:r>
    </w:p>
    <w:p w14:paraId="65E3EB7D" w14:textId="5ECC6064" w:rsidR="00182E72" w:rsidRPr="000369E1" w:rsidRDefault="004B41E7" w:rsidP="00724C64">
      <w:pPr>
        <w:spacing w:before="240" w:after="240" w:line="240" w:lineRule="auto"/>
        <w:jc w:val="both"/>
        <w:rPr>
          <w:rFonts w:ascii="Times New Roman" w:eastAsia="Times New Roman" w:hAnsi="Times New Roman" w:cs="Times New Roman"/>
          <w:sz w:val="24"/>
          <w:szCs w:val="24"/>
        </w:rPr>
      </w:pPr>
      <w:r w:rsidRPr="004B41E7">
        <w:rPr>
          <w:rFonts w:ascii="Times New Roman" w:eastAsia="Times New Roman" w:hAnsi="Times New Roman" w:cs="Times New Roman"/>
          <w:sz w:val="24"/>
          <w:szCs w:val="24"/>
        </w:rPr>
        <w:t>The research papers show that there are a number of important nutrients which have great roles to play in ensuring longevity and healthy aging among the elderly. It is also necessary to ensure sufficient consumption of these nutrients to support the different physiological processes, prevent the occurrence of age-related diseases, and overall wellness among the elderly population.</w:t>
      </w:r>
    </w:p>
    <w:p w14:paraId="73CE18D0" w14:textId="62FB08DD"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Protein:</w:t>
      </w:r>
    </w:p>
    <w:p w14:paraId="39C51DA2" w14:textId="6D3E7032" w:rsidR="00571039" w:rsidRPr="000369E1" w:rsidRDefault="00414A9E" w:rsidP="00724C64">
      <w:pPr>
        <w:spacing w:before="240" w:after="240" w:line="240" w:lineRule="auto"/>
        <w:jc w:val="both"/>
        <w:rPr>
          <w:rFonts w:ascii="Times New Roman" w:eastAsia="Times New Roman" w:hAnsi="Times New Roman" w:cs="Times New Roman"/>
          <w:sz w:val="24"/>
          <w:szCs w:val="24"/>
        </w:rPr>
      </w:pPr>
      <w:r w:rsidRPr="00414A9E">
        <w:rPr>
          <w:rFonts w:ascii="Times New Roman" w:eastAsia="Times New Roman" w:hAnsi="Times New Roman" w:cs="Times New Roman"/>
          <w:sz w:val="24"/>
          <w:szCs w:val="24"/>
        </w:rPr>
        <w:t>The percentage of the elderly who consumed insufficient protein was also high (62.57). Protein supplementation is important to retain muscle mass and strength, which would help to prevent sarcopenia (age-related muscle wasting) and frailty among elderly people. Oral nutritional supplementation may be used to supplement the protein and other nutrients deficiencies among the elderly population (Ramya et al.). Maintaining adequate protein intake by the diet and supplements among the older adults can greatly enhance the quality of life and minimize the risks of muscle atrophy and weakness.</w:t>
      </w:r>
    </w:p>
    <w:p w14:paraId="01D66DEC" w14:textId="49F6A98A"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Vitamins and Minerals:</w:t>
      </w:r>
    </w:p>
    <w:p w14:paraId="277A3478" w14:textId="77777777" w:rsidR="00070243"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According to the research by N. Arlappa et al., the elderly respondents showed high levels of deficiency in a number of vitamins and minerals, which are vitamin A, B 1, B 2, B 6, C, and folic acid. </w:t>
      </w:r>
    </w:p>
    <w:p w14:paraId="430A6C8F" w14:textId="77777777" w:rsidR="009308D1"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These nutrients are crucial to a number of physiological functions and their deficits may be disastrous to the older adults (Arlappa et al.). </w:t>
      </w:r>
    </w:p>
    <w:p w14:paraId="75029A56" w14:textId="77777777" w:rsidR="009308D1"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Vitamin B12 plays an important role in the cognitive impairment of geriatric individuals as well as prevention of neurological illnesses. It </w:t>
      </w:r>
      <w:r w:rsidR="009308D1" w:rsidRPr="00070243">
        <w:rPr>
          <w:rFonts w:ascii="Times New Roman" w:hAnsi="Times New Roman" w:cs="Times New Roman"/>
          <w:sz w:val="24"/>
          <w:szCs w:val="24"/>
        </w:rPr>
        <w:t>lacks</w:t>
      </w:r>
      <w:r w:rsidRPr="00070243">
        <w:rPr>
          <w:rFonts w:ascii="Times New Roman" w:hAnsi="Times New Roman" w:cs="Times New Roman"/>
          <w:sz w:val="24"/>
          <w:szCs w:val="24"/>
        </w:rPr>
        <w:t xml:space="preserve"> may result in anemia, cognitive impairment, and a higher likelihood of dementia, which are issues of concern in aging populations (Khan et al.). </w:t>
      </w:r>
    </w:p>
    <w:p w14:paraId="7D10F25B" w14:textId="77777777" w:rsidR="009308D1"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This indicates the importance of sufficient vitamin B 12 intake to maintain the health of the nervous system and eliminate these severe disorders. The lack of vitamin D is especially widespread among the aged participants of the city. Vitamin D plays a crucial role in terms of calcium absorption and bone health, which is, in its absence, may lead to osteoporosis and a higher risk of falls, fractures, a significant issue in elderly people (Luthra et al.). </w:t>
      </w:r>
    </w:p>
    <w:p w14:paraId="2CA8C12C" w14:textId="77777777" w:rsidR="009308D1"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Maintaining adequate levels of vitamin D is important in bone health and prevention of falls. Proper consumption of calcium is necessary to keep the bones healthy and osteoporosis among the elderly population (Rajan et al.). </w:t>
      </w:r>
    </w:p>
    <w:p w14:paraId="77D9FF06" w14:textId="77777777" w:rsidR="009308D1"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Also, iron deficiency anemia is found to be common in the participants who are elderly, which explains the importance of adequate iron consumption in preventing anemia and its related complications (Lahiri et al.). </w:t>
      </w:r>
    </w:p>
    <w:p w14:paraId="6234D126" w14:textId="61078083" w:rsidR="00571039" w:rsidRPr="00AD64FF"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These gaps are important to address in order to enhance the general health and quality of life among the elderly.</w:t>
      </w:r>
    </w:p>
    <w:p w14:paraId="2D541B61" w14:textId="5597BB98"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Antioxidants:</w:t>
      </w:r>
    </w:p>
    <w:p w14:paraId="1E8E7C4D" w14:textId="631C151B" w:rsidR="006E310B" w:rsidRPr="000369E1" w:rsidRDefault="005B2241" w:rsidP="00724C64">
      <w:pPr>
        <w:spacing w:before="240" w:after="240" w:line="240" w:lineRule="auto"/>
        <w:jc w:val="both"/>
        <w:rPr>
          <w:rFonts w:ascii="Times New Roman" w:eastAsia="Times New Roman" w:hAnsi="Times New Roman" w:cs="Times New Roman"/>
          <w:sz w:val="24"/>
          <w:szCs w:val="24"/>
        </w:rPr>
      </w:pPr>
      <w:r w:rsidRPr="005B2241">
        <w:rPr>
          <w:rFonts w:ascii="Times New Roman" w:eastAsia="Times New Roman" w:hAnsi="Times New Roman" w:cs="Times New Roman"/>
          <w:sz w:val="24"/>
          <w:szCs w:val="24"/>
        </w:rPr>
        <w:lastRenderedPageBreak/>
        <w:t>The research articles acknowledge the possible positive effect of antioxidants in enhancing healthy aging and longevity. The diet with a high content of fruits and vegetables containing antioxidants can be beneficial in decreasing the risk of chronic diseases and cognitive impairment in older adults (Khan et al.). Antioxidants may also serve to counteract the deleterious free radicals and alleviate oxidative stress and inflammation, which is linked to numerous aging disorders. This is one of the reasons why it is necessary to include antioxidant-rich foods in the diet to maintain a healthy body and prevent age-related diseases.</w:t>
      </w:r>
    </w:p>
    <w:p w14:paraId="5574000E" w14:textId="199C5C52"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Omega-3 Fatty Acids:</w:t>
      </w:r>
    </w:p>
    <w:p w14:paraId="396CCA20" w14:textId="4FA804CA" w:rsidR="00182E72" w:rsidRPr="00AD64FF" w:rsidRDefault="009E7612" w:rsidP="00AD64FF">
      <w:pPr>
        <w:jc w:val="both"/>
        <w:rPr>
          <w:rFonts w:ascii="Times New Roman" w:hAnsi="Times New Roman" w:cs="Times New Roman"/>
          <w:sz w:val="24"/>
          <w:szCs w:val="24"/>
        </w:rPr>
      </w:pPr>
      <w:r w:rsidRPr="009E7612">
        <w:rPr>
          <w:rFonts w:ascii="Times New Roman" w:hAnsi="Times New Roman" w:cs="Times New Roman"/>
          <w:sz w:val="24"/>
          <w:szCs w:val="24"/>
        </w:rPr>
        <w:t>In a study conducted by S. Kalaiselvia et al. it was discovered that a substantial number of the elderly respondents had suboptimal intake of the necessary fatty acids, which included omega-3 fatty acids. These omega-3 fatty acids, which are present in foods like fatty fish and vegetable oils, have been associated with many health advantages to older people, including heart health, brain health, and inflammation (Kalaiselvia et al.). Through proper intake of these important nutrients by means of a balanced and nutrient-dense diet, proper supplementation or fortification of regularly eaten foods, older adults will be in a better position to contribute to their general health and have a possible longevity. Elimination of nutrient deficiencies and encouragement of nutrient-rich nutrition systems is the key to healthy aging and longevity within the geriatric population. The research articles attach significance to these strategies to improve the well-being of the elderly population.</w:t>
      </w:r>
    </w:p>
    <w:p w14:paraId="1D92FF60" w14:textId="05A3C10D" w:rsidR="00182E72" w:rsidRPr="000369E1" w:rsidRDefault="00480C90" w:rsidP="00724C64">
      <w:pPr>
        <w:pStyle w:val="ListParagraph"/>
        <w:numPr>
          <w:ilvl w:val="0"/>
          <w:numId w:val="7"/>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Dietary Patterns Associated with Healthy Aging Outcomes</w:t>
      </w:r>
    </w:p>
    <w:p w14:paraId="2B5BBFDF" w14:textId="193C8D2D" w:rsidR="00182E72" w:rsidRPr="000369E1" w:rsidRDefault="009E7612" w:rsidP="00724C64">
      <w:pPr>
        <w:spacing w:before="240" w:after="240" w:line="240" w:lineRule="auto"/>
        <w:jc w:val="both"/>
        <w:rPr>
          <w:rFonts w:ascii="Times New Roman" w:eastAsia="Times New Roman" w:hAnsi="Times New Roman" w:cs="Times New Roman"/>
          <w:sz w:val="24"/>
          <w:szCs w:val="24"/>
        </w:rPr>
      </w:pPr>
      <w:r w:rsidRPr="009E7612">
        <w:rPr>
          <w:rFonts w:ascii="Times New Roman" w:eastAsia="Times New Roman" w:hAnsi="Times New Roman" w:cs="Times New Roman"/>
          <w:sz w:val="24"/>
          <w:szCs w:val="24"/>
        </w:rPr>
        <w:t>The research articles present information about certain eating habits that can lead to improved health results and healthy aging in the elderly. The studies, by analyzing the eating patterns and nutrient consumption of the studied elderly individuals, demonstrate the possible positive effects of some eating patterns in ensuring longevity and minimizing age-related diseases</w:t>
      </w:r>
      <w:r w:rsidRPr="000369E1">
        <w:rPr>
          <w:rFonts w:ascii="Times New Roman" w:eastAsia="Times New Roman" w:hAnsi="Times New Roman" w:cs="Times New Roman"/>
          <w:sz w:val="24"/>
          <w:szCs w:val="24"/>
        </w:rPr>
        <w:t>.</w:t>
      </w:r>
    </w:p>
    <w:p w14:paraId="79DC981D" w14:textId="4977E24A"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Plant-based Diets:</w:t>
      </w:r>
    </w:p>
    <w:p w14:paraId="51161A5B" w14:textId="0E7F8F69" w:rsidR="007E562F" w:rsidRPr="000369E1" w:rsidRDefault="00FC2FC6" w:rsidP="00724C64">
      <w:pPr>
        <w:spacing w:before="240" w:after="240" w:line="240" w:lineRule="auto"/>
        <w:jc w:val="both"/>
        <w:rPr>
          <w:rFonts w:ascii="Times New Roman" w:eastAsia="Times New Roman" w:hAnsi="Times New Roman" w:cs="Times New Roman"/>
          <w:sz w:val="24"/>
          <w:szCs w:val="24"/>
        </w:rPr>
      </w:pPr>
      <w:r w:rsidRPr="00FC2FC6">
        <w:rPr>
          <w:rFonts w:ascii="Times New Roman" w:eastAsia="Times New Roman" w:hAnsi="Times New Roman" w:cs="Times New Roman"/>
          <w:sz w:val="24"/>
          <w:szCs w:val="24"/>
        </w:rPr>
        <w:t>A high percentage (75.2) of the aged participants failed to take the necessary amounts of cereals, pulses and green leafy vegetables, which are great sources of vital nutrients including fiber, vitamins and minerals. This observation implies that there is a need to encourage eating habits that focus on intake of diverse nutrient-rich plant-based foods (Kalaiselvia et al.). Likewise, elderly individuals with a rich diet, fruits, vegetables, whole grains, and dairy products were at a lower risk of malnutrition as compared to those with a limited diet. This observation is in line with the advice of eating a diverse and balanced diet to help one age well (Khan et al.). To prevent malnutrition and maintain good health and long life, it is crucial to make older adults include as many nutrient-rich foods as possible in their diet.</w:t>
      </w:r>
    </w:p>
    <w:p w14:paraId="73E36BFF" w14:textId="5A4BB160"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Mediterranean-style Diets:</w:t>
      </w:r>
    </w:p>
    <w:p w14:paraId="77F7CD71" w14:textId="2F4C5686" w:rsidR="007E562F" w:rsidRPr="00AD64FF" w:rsidRDefault="0044113F" w:rsidP="00AD64FF">
      <w:pPr>
        <w:jc w:val="both"/>
        <w:rPr>
          <w:rFonts w:ascii="Times New Roman" w:hAnsi="Times New Roman" w:cs="Times New Roman"/>
          <w:sz w:val="24"/>
          <w:szCs w:val="24"/>
        </w:rPr>
      </w:pPr>
      <w:r w:rsidRPr="0044113F">
        <w:rPr>
          <w:rFonts w:ascii="Times New Roman" w:hAnsi="Times New Roman" w:cs="Times New Roman"/>
          <w:sz w:val="24"/>
          <w:szCs w:val="24"/>
        </w:rPr>
        <w:t xml:space="preserve">Although the research articles were not focused on assessing the Mediterranean dietary pattern, some findings are in line with the principles of the dietary approach. As an example, the nutrient adequacy of the elderly participants was better associated with a greater intake of fruits and </w:t>
      </w:r>
      <w:r w:rsidRPr="0044113F">
        <w:rPr>
          <w:rFonts w:ascii="Times New Roman" w:hAnsi="Times New Roman" w:cs="Times New Roman"/>
          <w:sz w:val="24"/>
          <w:szCs w:val="24"/>
        </w:rPr>
        <w:lastRenderedPageBreak/>
        <w:t>vegetables (Arlappa et al.). It has been well established that the Mediterranean diet, which focuses on the intake of plant-based foods, whole grains, lean proteins (especially fish), and healthy fats (especially olive oil) can be of help in decreasing the risk of chronic illnesses and extending life expectancy. The inclusion of the Mediterranean dietary elements in the food habits of the older adults can aid in enhancing the general health and well-being of the elderly</w:t>
      </w:r>
      <w:r w:rsidR="007E562F" w:rsidRPr="00AD64FF">
        <w:rPr>
          <w:rFonts w:ascii="Times New Roman" w:hAnsi="Times New Roman" w:cs="Times New Roman"/>
          <w:sz w:val="24"/>
          <w:szCs w:val="24"/>
        </w:rPr>
        <w:t>.</w:t>
      </w:r>
    </w:p>
    <w:p w14:paraId="4D516256" w14:textId="7E5A776D"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Dietary Diversity and Nutrient Density:</w:t>
      </w:r>
    </w:p>
    <w:p w14:paraId="51FF29DC" w14:textId="77777777" w:rsidR="001C3665" w:rsidRDefault="00502B36" w:rsidP="00502B36">
      <w:pPr>
        <w:jc w:val="both"/>
        <w:rPr>
          <w:rFonts w:ascii="Times New Roman" w:hAnsi="Times New Roman" w:cs="Times New Roman"/>
          <w:sz w:val="24"/>
          <w:szCs w:val="24"/>
        </w:rPr>
      </w:pPr>
      <w:r w:rsidRPr="00502B36">
        <w:rPr>
          <w:rFonts w:ascii="Times New Roman" w:hAnsi="Times New Roman" w:cs="Times New Roman"/>
          <w:sz w:val="24"/>
          <w:szCs w:val="24"/>
        </w:rPr>
        <w:t xml:space="preserve">Several researches have supported the importance of nutrient density and dietary diversity in enhancing healthy aging. The elderly with a varied diet, in terms of consuming fruits, vegetables, whole grains, and dairy products, had a lower risk of malnutrition in comparison with their counterparts with low dietary diversity (Khan et al.). Equally, the necessity of thorough nutritional evaluation and awareness campaigns that could help to identify malnutrition in elderly population at an early stage was recognized (Ramya et al.). These results underscore the relevance of a nutrient-rich diet in meeting the nutritional needs of older people. It was also observed that the focus was on the targeted nutritional programs of the aged, especially the low-income income groups (Rajan et al.). Such programs can promote nutrient density and dietary diversity, which is capable of dealing with nutrient deficiencies and promoting health among aging populations. </w:t>
      </w:r>
    </w:p>
    <w:p w14:paraId="503B5F43" w14:textId="088E311F" w:rsidR="007E562F" w:rsidRPr="00AD64FF" w:rsidRDefault="00502B36" w:rsidP="00502B36">
      <w:pPr>
        <w:jc w:val="both"/>
        <w:rPr>
          <w:rFonts w:ascii="Times New Roman" w:hAnsi="Times New Roman" w:cs="Times New Roman"/>
          <w:sz w:val="24"/>
          <w:szCs w:val="24"/>
        </w:rPr>
      </w:pPr>
      <w:r w:rsidRPr="00502B36">
        <w:rPr>
          <w:rFonts w:ascii="Times New Roman" w:hAnsi="Times New Roman" w:cs="Times New Roman"/>
          <w:sz w:val="24"/>
          <w:szCs w:val="24"/>
        </w:rPr>
        <w:t>The research on the dietary patterns and their relation to the healthy aging outcomes is reinforced by the data provided in the research articles used. The results point to the possible health advantages of plant-based nutrition, diet patterns that are Mediterranean-style, and the intake of a wide range of foods rich in nutrients in preventing aging, reducing the possibility of developing chronic illnesses, and improving the well-being of older adults.</w:t>
      </w:r>
    </w:p>
    <w:p w14:paraId="1493C1ED" w14:textId="097683B8" w:rsidR="00182E72" w:rsidRPr="000369E1" w:rsidRDefault="00480C90" w:rsidP="00724C64">
      <w:pPr>
        <w:pStyle w:val="ListParagraph"/>
        <w:numPr>
          <w:ilvl w:val="0"/>
          <w:numId w:val="7"/>
        </w:num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b/>
          <w:sz w:val="24"/>
          <w:szCs w:val="24"/>
        </w:rPr>
        <w:t>Lifestyle Factors Influencing Nutritional Status in Older Adults</w:t>
      </w:r>
    </w:p>
    <w:p w14:paraId="03835B79" w14:textId="6726EAB4" w:rsidR="00182E72" w:rsidRPr="000369E1" w:rsidRDefault="001C3665" w:rsidP="00724C64">
      <w:pPr>
        <w:spacing w:before="240" w:after="240" w:line="240" w:lineRule="auto"/>
        <w:jc w:val="both"/>
        <w:rPr>
          <w:rFonts w:ascii="Times New Roman" w:eastAsia="Times New Roman" w:hAnsi="Times New Roman" w:cs="Times New Roman"/>
          <w:sz w:val="24"/>
          <w:szCs w:val="24"/>
        </w:rPr>
      </w:pPr>
      <w:r w:rsidRPr="001C3665">
        <w:rPr>
          <w:rFonts w:ascii="Times New Roman" w:eastAsia="Times New Roman" w:hAnsi="Times New Roman" w:cs="Times New Roman"/>
          <w:sz w:val="24"/>
          <w:szCs w:val="24"/>
        </w:rPr>
        <w:t>The research articles show that other lifestyle factors can have a profound effect on the nutritional status of the elderly besides dietary habits. The factors can either support or hinder the ability of elderly people to acquire and sustain ideal nutrition, which has an effect on their overall health and well-being</w:t>
      </w:r>
      <w:r w:rsidRPr="000369E1">
        <w:rPr>
          <w:rFonts w:ascii="Times New Roman" w:eastAsia="Times New Roman" w:hAnsi="Times New Roman" w:cs="Times New Roman"/>
          <w:sz w:val="24"/>
          <w:szCs w:val="24"/>
        </w:rPr>
        <w:t>.</w:t>
      </w:r>
    </w:p>
    <w:p w14:paraId="6158D12D" w14:textId="6761C49B"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Physical Activity:</w:t>
      </w:r>
    </w:p>
    <w:p w14:paraId="22257201" w14:textId="2908E830" w:rsidR="007E562F" w:rsidRPr="00FD01FD" w:rsidRDefault="00FD01FD" w:rsidP="00FD01FD">
      <w:pPr>
        <w:jc w:val="both"/>
        <w:rPr>
          <w:rFonts w:ascii="Times New Roman" w:eastAsia="Times New Roman" w:hAnsi="Times New Roman" w:cs="Times New Roman"/>
          <w:sz w:val="24"/>
          <w:szCs w:val="24"/>
        </w:rPr>
      </w:pPr>
      <w:r w:rsidRPr="00FD01FD">
        <w:rPr>
          <w:rFonts w:ascii="Times New Roman" w:eastAsia="Times New Roman" w:hAnsi="Times New Roman" w:cs="Times New Roman"/>
          <w:sz w:val="24"/>
          <w:szCs w:val="24"/>
        </w:rPr>
        <w:t>It is reported that 52.7 per cent of the elderly participants had poor caloric intake, and one of the factors was the chewing and swallowing problems (Agarwalla et al.). Exercise may stimulate appetite, nutrient metabolism and muscle mass, which offset part of the physical constraints that lead to inadequate dietary consumption. This emphasizes the need to integrate physical exercises in the lifestyles of the elderly as a way of supplementing their diets and general well-being</w:t>
      </w:r>
      <w:r w:rsidR="007E562F" w:rsidRPr="00FD01FD">
        <w:rPr>
          <w:rFonts w:ascii="Times New Roman" w:eastAsia="Times New Roman" w:hAnsi="Times New Roman" w:cs="Times New Roman"/>
          <w:sz w:val="24"/>
          <w:szCs w:val="24"/>
        </w:rPr>
        <w:t>.</w:t>
      </w:r>
    </w:p>
    <w:p w14:paraId="4A668D20" w14:textId="0E31B45C"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Social Support and Living Arrangements:</w:t>
      </w:r>
    </w:p>
    <w:p w14:paraId="5B40E5A8" w14:textId="483E1775" w:rsidR="00182E72" w:rsidRPr="000369E1" w:rsidRDefault="00672E9D" w:rsidP="00724C64">
      <w:pPr>
        <w:spacing w:before="240" w:after="240" w:line="240" w:lineRule="auto"/>
        <w:jc w:val="both"/>
        <w:rPr>
          <w:rFonts w:ascii="Times New Roman" w:eastAsia="Times New Roman" w:hAnsi="Times New Roman" w:cs="Times New Roman"/>
          <w:sz w:val="24"/>
          <w:szCs w:val="24"/>
        </w:rPr>
      </w:pPr>
      <w:r w:rsidRPr="00672E9D">
        <w:rPr>
          <w:rFonts w:ascii="Times New Roman" w:eastAsia="Times New Roman" w:hAnsi="Times New Roman" w:cs="Times New Roman"/>
          <w:sz w:val="24"/>
          <w:szCs w:val="24"/>
        </w:rPr>
        <w:t xml:space="preserve">Santanu Saha et al. study established that a significant percentage of older women in old age facilities suffered psychological stress and depression, which were linked to high chances of </w:t>
      </w:r>
      <w:r w:rsidRPr="00672E9D">
        <w:rPr>
          <w:rFonts w:ascii="Times New Roman" w:eastAsia="Times New Roman" w:hAnsi="Times New Roman" w:cs="Times New Roman"/>
          <w:sz w:val="24"/>
          <w:szCs w:val="24"/>
        </w:rPr>
        <w:lastRenderedPageBreak/>
        <w:t>malnutrition. This observation highlights the role of social support and place of living in determining the nutritional status of elderly people. Individuals who live alone or do not have the necessary help of relatives and other caregivers can experience difficulties in the acquisition, preparation, and consumption of healthy food</w:t>
      </w:r>
      <w:r>
        <w:rPr>
          <w:rFonts w:ascii="Times New Roman" w:eastAsia="Times New Roman" w:hAnsi="Times New Roman" w:cs="Times New Roman"/>
          <w:sz w:val="24"/>
          <w:szCs w:val="24"/>
        </w:rPr>
        <w:t>.</w:t>
      </w:r>
    </w:p>
    <w:p w14:paraId="63B7407C" w14:textId="49968A50"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Economic Factors:</w:t>
      </w:r>
    </w:p>
    <w:p w14:paraId="3550A5D2" w14:textId="16C81873" w:rsidR="00966203" w:rsidRPr="00672E9D" w:rsidRDefault="00672E9D" w:rsidP="00724C64">
      <w:pPr>
        <w:spacing w:before="240" w:after="240" w:line="240" w:lineRule="auto"/>
        <w:jc w:val="both"/>
        <w:rPr>
          <w:rFonts w:ascii="Times New Roman" w:eastAsia="Times New Roman" w:hAnsi="Times New Roman" w:cs="Times New Roman"/>
          <w:sz w:val="24"/>
          <w:szCs w:val="24"/>
        </w:rPr>
      </w:pPr>
      <w:r w:rsidRPr="00672E9D">
        <w:rPr>
          <w:rFonts w:ascii="Times New Roman" w:eastAsia="Times New Roman" w:hAnsi="Times New Roman" w:cs="Times New Roman"/>
          <w:sz w:val="24"/>
          <w:szCs w:val="24"/>
        </w:rPr>
        <w:t>Among the elderly respondents, financial constraints were considered to be a major obstacle to proper caloric intake (Agarwalla et al.). On the same note, the poor nutritional status of the elderly participants was independently linked to low family income (Lahiri et al.). Scarcity of financial resources may lead to inability to access healthy foods and add to food insecurity, which, in turn, affects the dietary intake and nutritional status of elderly individuals adversely.</w:t>
      </w:r>
    </w:p>
    <w:p w14:paraId="78F19F63" w14:textId="60DDBAB5"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Mental Health and Cognitive Function:</w:t>
      </w:r>
    </w:p>
    <w:p w14:paraId="687C9246" w14:textId="6219BC33" w:rsidR="00182E72" w:rsidRPr="000369E1" w:rsidRDefault="002D1882" w:rsidP="00724C64">
      <w:pPr>
        <w:spacing w:before="240" w:after="240" w:line="240" w:lineRule="auto"/>
        <w:jc w:val="both"/>
        <w:rPr>
          <w:rFonts w:ascii="Times New Roman" w:eastAsia="Times New Roman" w:hAnsi="Times New Roman" w:cs="Times New Roman"/>
          <w:sz w:val="24"/>
          <w:szCs w:val="24"/>
        </w:rPr>
      </w:pPr>
      <w:r w:rsidRPr="002D1882">
        <w:rPr>
          <w:rFonts w:ascii="Times New Roman" w:eastAsia="Times New Roman" w:hAnsi="Times New Roman" w:cs="Times New Roman"/>
          <w:sz w:val="24"/>
          <w:szCs w:val="24"/>
        </w:rPr>
        <w:t>The same study by Santanu Saha et al. made the same observation, that is, psychological stress, depression, and a higher risk of malnutrition in elderly females living in old-age homes. Appetite, dietary habits and preparation or consumption of sufficient nutrition may be influenced by mental health conditions and cognitive impairments resulting in malnutrition and worsening of underlying health problems.</w:t>
      </w:r>
    </w:p>
    <w:p w14:paraId="0E046445" w14:textId="7850E065"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Oral Health and Dental Status:</w:t>
      </w:r>
    </w:p>
    <w:p w14:paraId="469F7767" w14:textId="036F7ECD" w:rsidR="00296BC5" w:rsidRPr="000369E1" w:rsidRDefault="002D1882" w:rsidP="00724C64">
      <w:pPr>
        <w:spacing w:before="240" w:after="240" w:line="240" w:lineRule="auto"/>
        <w:jc w:val="both"/>
        <w:rPr>
          <w:rFonts w:ascii="Times New Roman" w:eastAsia="Times New Roman" w:hAnsi="Times New Roman" w:cs="Times New Roman"/>
          <w:sz w:val="24"/>
          <w:szCs w:val="24"/>
        </w:rPr>
      </w:pPr>
      <w:r w:rsidRPr="002D1882">
        <w:rPr>
          <w:rFonts w:ascii="Times New Roman" w:eastAsia="Times New Roman" w:hAnsi="Times New Roman" w:cs="Times New Roman"/>
          <w:sz w:val="24"/>
          <w:szCs w:val="24"/>
        </w:rPr>
        <w:t>One of the causes of inadequate caloric intake among the elderly participants was referred to as chewing and swallowing problems (Agarwalla et al.). Dental problems and oral health may make it difficult to chew and eat some food, which may restrict the intake of certain foods and result in nutritional deficiency among the older adults. Taking into account these lifestyle factors and overcoming the possible obstacles or challenges, the health professionals and caregivers can more effectively assist the nutritional well-being of older adults. Promotion of physical activity, social bonding, access to affordable and healthy foods, mental health issues, and oral health care are some of the strategies that can be used in combination to achieve better nutritional status and overall health outcomes among aging populations</w:t>
      </w:r>
      <w:r w:rsidR="00966203" w:rsidRPr="000369E1">
        <w:rPr>
          <w:rFonts w:ascii="Times New Roman" w:eastAsia="Times New Roman" w:hAnsi="Times New Roman" w:cs="Times New Roman"/>
          <w:sz w:val="24"/>
          <w:szCs w:val="24"/>
        </w:rPr>
        <w:t>.</w:t>
      </w:r>
    </w:p>
    <w:p w14:paraId="214C21CB" w14:textId="2A48BF7D" w:rsidR="00182E72" w:rsidRPr="000369E1" w:rsidRDefault="00F83BA7" w:rsidP="00724C64">
      <w:pPr>
        <w:pStyle w:val="Heading2"/>
        <w:spacing w:line="240" w:lineRule="auto"/>
        <w:jc w:val="center"/>
        <w:rPr>
          <w:rFonts w:ascii="Times New Roman" w:hAnsi="Times New Roman" w:cs="Times New Roman"/>
          <w:b/>
          <w:bCs/>
          <w:sz w:val="28"/>
          <w:szCs w:val="28"/>
        </w:rPr>
      </w:pPr>
      <w:bookmarkStart w:id="14" w:name="_Effectiveness_of_Dietary"/>
      <w:bookmarkStart w:id="15" w:name="_Toc212728112"/>
      <w:bookmarkEnd w:id="14"/>
      <w:r w:rsidRPr="000369E1">
        <w:rPr>
          <w:rFonts w:ascii="Times New Roman" w:hAnsi="Times New Roman" w:cs="Times New Roman"/>
          <w:b/>
          <w:bCs/>
          <w:sz w:val="28"/>
          <w:szCs w:val="28"/>
        </w:rPr>
        <w:t xml:space="preserve">Chapter </w:t>
      </w:r>
      <w:r w:rsidR="00581E45" w:rsidRPr="000369E1">
        <w:rPr>
          <w:rFonts w:ascii="Times New Roman" w:hAnsi="Times New Roman" w:cs="Times New Roman"/>
          <w:b/>
          <w:bCs/>
          <w:sz w:val="28"/>
          <w:szCs w:val="28"/>
        </w:rPr>
        <w:t xml:space="preserve">7 </w:t>
      </w:r>
      <w:r w:rsidRPr="000369E1">
        <w:rPr>
          <w:rFonts w:ascii="Times New Roman" w:hAnsi="Times New Roman" w:cs="Times New Roman"/>
          <w:b/>
          <w:bCs/>
          <w:sz w:val="28"/>
          <w:szCs w:val="28"/>
        </w:rPr>
        <w:t>- Effectiveness of Dietary Interventions and Nutritional Strategies</w:t>
      </w:r>
      <w:bookmarkEnd w:id="15"/>
    </w:p>
    <w:p w14:paraId="00B92238" w14:textId="1D315078" w:rsidR="00182E72" w:rsidRPr="000369E1" w:rsidRDefault="00FF0555" w:rsidP="00724C64">
      <w:pPr>
        <w:spacing w:before="240" w:after="240" w:line="240" w:lineRule="auto"/>
        <w:jc w:val="both"/>
        <w:rPr>
          <w:rFonts w:ascii="Times New Roman" w:eastAsia="Times New Roman" w:hAnsi="Times New Roman" w:cs="Times New Roman"/>
          <w:sz w:val="24"/>
          <w:szCs w:val="24"/>
        </w:rPr>
      </w:pPr>
      <w:r w:rsidRPr="00FF0555">
        <w:rPr>
          <w:rFonts w:ascii="Times New Roman" w:eastAsia="Times New Roman" w:hAnsi="Times New Roman" w:cs="Times New Roman"/>
          <w:sz w:val="24"/>
          <w:szCs w:val="24"/>
        </w:rPr>
        <w:t>The problem of malnutrition and supporting the best nutritional condition in older adults requires a complex approach that integrates various interventions and methods. The effectiveness of these interventions has been evaluated systematically to determine the impact that these interventions have on dietary intake, nutrient status and overall health outcomes in the aged populations</w:t>
      </w:r>
    </w:p>
    <w:p w14:paraId="59627E08" w14:textId="2182A95C" w:rsidR="00182E72" w:rsidRPr="000369E1" w:rsidRDefault="00F83BA7" w:rsidP="00724C64">
      <w:pPr>
        <w:pStyle w:val="ListParagraph"/>
        <w:numPr>
          <w:ilvl w:val="0"/>
          <w:numId w:val="19"/>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Evaluation of Nutritional Supplementation and Fortification Programs</w:t>
      </w:r>
    </w:p>
    <w:p w14:paraId="3289E1E2" w14:textId="42047367" w:rsidR="00182E72" w:rsidRPr="000369E1" w:rsidRDefault="00E74BA9" w:rsidP="00724C64">
      <w:pPr>
        <w:spacing w:before="240" w:after="240" w:line="240" w:lineRule="auto"/>
        <w:jc w:val="both"/>
        <w:rPr>
          <w:rFonts w:ascii="Times New Roman" w:eastAsia="Times New Roman" w:hAnsi="Times New Roman" w:cs="Times New Roman"/>
          <w:sz w:val="24"/>
          <w:szCs w:val="24"/>
        </w:rPr>
      </w:pPr>
      <w:r w:rsidRPr="00E74BA9">
        <w:rPr>
          <w:rFonts w:ascii="Times New Roman" w:eastAsia="Times New Roman" w:hAnsi="Times New Roman" w:cs="Times New Roman"/>
          <w:sz w:val="24"/>
          <w:szCs w:val="24"/>
        </w:rPr>
        <w:t>Food fortification and nutritional supplementation have become the key interventions to address nutrient deficiencies and meet the nutritional needs of the elderly. The strategies presuppose special topicality, as the rates of malnutrition and lack of nutrients among the elderly are higher, as it is stated in numerous empirical studies</w:t>
      </w:r>
      <w:r w:rsidRPr="000369E1">
        <w:rPr>
          <w:rFonts w:ascii="Times New Roman" w:eastAsia="Times New Roman" w:hAnsi="Times New Roman" w:cs="Times New Roman"/>
          <w:sz w:val="24"/>
          <w:szCs w:val="24"/>
        </w:rPr>
        <w:t>.</w:t>
      </w:r>
    </w:p>
    <w:p w14:paraId="6EAB6C65" w14:textId="7DF3B90C" w:rsidR="00182E72" w:rsidRPr="000369E1" w:rsidRDefault="00480C90" w:rsidP="00724C64">
      <w:pPr>
        <w:pStyle w:val="ListParagraph"/>
        <w:numPr>
          <w:ilvl w:val="1"/>
          <w:numId w:val="10"/>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lastRenderedPageBreak/>
        <w:t>Oral Nutritional Supplements (ONS):</w:t>
      </w:r>
    </w:p>
    <w:p w14:paraId="48853B1B" w14:textId="616C9BA3" w:rsidR="004446FA" w:rsidRDefault="004446FA" w:rsidP="00724C6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446FA">
        <w:rPr>
          <w:rFonts w:ascii="Times New Roman" w:eastAsia="Times New Roman" w:hAnsi="Times New Roman" w:cs="Times New Roman"/>
          <w:sz w:val="24"/>
          <w:szCs w:val="24"/>
        </w:rPr>
        <w:t xml:space="preserve">he use of oral nutritional supplements (ONS), i. e. nutritionally enriched liquids or powders has been subject to considerable examination with regard to their efficacy in improving nutritional condition and health outcomes in elderly patients. Some studies have indicated the positive outcomes of ONS in this group of people. An example is that only 52.7 percent of the senior respondents acknowledged sufficient caloric intake, with the problem of chewing and swallowing being listed as the causative factors (Agarwalla et al.). In this case, ONS may be used as a convenient and easy mean to deliver necessary nutrients and supplement the caloric intake, therefore, potentially reducing the threat of malnutrition. </w:t>
      </w:r>
    </w:p>
    <w:p w14:paraId="4673BED4" w14:textId="77777777" w:rsidR="004446FA" w:rsidRDefault="004446FA" w:rsidP="00724C64">
      <w:pPr>
        <w:spacing w:before="240" w:after="240" w:line="240" w:lineRule="auto"/>
        <w:jc w:val="both"/>
        <w:rPr>
          <w:rFonts w:ascii="Times New Roman" w:eastAsia="Times New Roman" w:hAnsi="Times New Roman" w:cs="Times New Roman"/>
          <w:sz w:val="24"/>
          <w:szCs w:val="24"/>
        </w:rPr>
      </w:pPr>
      <w:r w:rsidRPr="004446FA">
        <w:rPr>
          <w:rFonts w:ascii="Times New Roman" w:eastAsia="Times New Roman" w:hAnsi="Times New Roman" w:cs="Times New Roman"/>
          <w:sz w:val="24"/>
          <w:szCs w:val="24"/>
        </w:rPr>
        <w:t xml:space="preserve">In addition, there was a significant proportion of elderly women living in aged-care facilities who were found to be either possibly malnourished or was at risk of malnutrition based on the Mini Nutritional Assessment (MNA) scale (Saha et al.). Under such circumstances, ONS can be considered the useful intervention to assist the nutritional requirements and prevent the further worsening of nutritional status. The efficacy of ONS in enhancing nutritional parameters of malnourished or at-risk elderly people is backed by empirical evidence. The systematic review by Milne et al. (2009) documented that ONS supplementation had significant effects of energy and protein intake, and improvement of weight, muscle strength and functional outcome in older adults. </w:t>
      </w:r>
    </w:p>
    <w:p w14:paraId="7AA329C1" w14:textId="3A39620F" w:rsidR="00966203" w:rsidRPr="004446FA" w:rsidRDefault="004446FA" w:rsidP="00724C64">
      <w:pPr>
        <w:spacing w:before="240" w:after="240" w:line="240" w:lineRule="auto"/>
        <w:jc w:val="both"/>
        <w:rPr>
          <w:rFonts w:ascii="Times New Roman" w:eastAsia="Times New Roman" w:hAnsi="Times New Roman" w:cs="Times New Roman"/>
          <w:sz w:val="24"/>
          <w:szCs w:val="24"/>
        </w:rPr>
      </w:pPr>
      <w:r w:rsidRPr="004446FA">
        <w:rPr>
          <w:rFonts w:ascii="Times New Roman" w:eastAsia="Times New Roman" w:hAnsi="Times New Roman" w:cs="Times New Roman"/>
          <w:sz w:val="24"/>
          <w:szCs w:val="24"/>
        </w:rPr>
        <w:t>It is also necessary to point out that the effectiveness of ONS can be determined by the length of supplementation, the compliance with the supplementation regimens, and the underlying conditions or comorbidity that discourages the absorption or utilization of the nutrients.</w:t>
      </w:r>
    </w:p>
    <w:p w14:paraId="315BD663" w14:textId="4CBFF191" w:rsidR="00182E72" w:rsidRPr="000369E1" w:rsidRDefault="00480C90" w:rsidP="00724C64">
      <w:pPr>
        <w:pStyle w:val="ListParagraph"/>
        <w:numPr>
          <w:ilvl w:val="1"/>
          <w:numId w:val="10"/>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Food Fortification:</w:t>
      </w:r>
    </w:p>
    <w:p w14:paraId="20E123CC" w14:textId="77777777" w:rsidR="00EB637B" w:rsidRDefault="00EB637B" w:rsidP="00724C64">
      <w:pPr>
        <w:spacing w:before="240" w:after="240" w:line="240" w:lineRule="auto"/>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 xml:space="preserve">Food fortification, which refers to the process of including vital nutrients in the food that people regularly consume, has also been examined as one of the solutions to supplement nutrient intake in older adults. The given strategy is aimed at addressing shortages that can occur in elderly populations because of the lack of dietary variety or access to foods rich in nutrients. Arlappa et al. exemplified the lack of the consumption of essential food categories: cereals, pulses, and green vegetables. In those instances, additives to staple foods or foods that are normally eaten with particular nutrients would alleviate these deficiencies and enhance the nutrient adequacy in general. </w:t>
      </w:r>
    </w:p>
    <w:p w14:paraId="3B46A59B" w14:textId="204C0ED1" w:rsidR="00EB637B" w:rsidRDefault="00EB637B" w:rsidP="00724C64">
      <w:pPr>
        <w:spacing w:before="240" w:after="240" w:line="240" w:lineRule="auto"/>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 xml:space="preserve">Enrichment with vital nutrients and minerals such as iron, folic acid and B vitamins of cereal grains has become common practice in many countries to help overcome nutrient deficiency among at risk groups such as the elderly. Similarly, nutritionally enriching dairy products with vitamin D and calcium is also a worthy approach towards bone health and osteoporosis prevention, which is a major problem in aging populations. Food fortification programs may have different levels of effectiveness based on the variables of the type of nutrient(s) being fortified, the level of fortification, the bioavailability and stability of the fortified nutrients, and the nutrition and food habits and preferences of the target cohort. </w:t>
      </w:r>
    </w:p>
    <w:p w14:paraId="2856A64B" w14:textId="107A34C2" w:rsidR="00966203" w:rsidRPr="000369E1" w:rsidRDefault="00EB637B" w:rsidP="00724C64">
      <w:pPr>
        <w:spacing w:before="240" w:after="240" w:line="240" w:lineRule="auto"/>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 xml:space="preserve">Therefore, there is an urgent need to consider the specific nutritional needs and dietary habits of older adults in order to design and execute fortification programs to ensure effectiveness and </w:t>
      </w:r>
      <w:r w:rsidRPr="00EB637B">
        <w:rPr>
          <w:rFonts w:ascii="Times New Roman" w:eastAsia="Times New Roman" w:hAnsi="Times New Roman" w:cs="Times New Roman"/>
          <w:sz w:val="24"/>
          <w:szCs w:val="24"/>
        </w:rPr>
        <w:lastRenderedPageBreak/>
        <w:t>acceptability. Both food fortification and nutritional supplementation therefore represent the potential solutions in correcting the nutrient deficiencies and meeting the nutritional needs of the aging population; but their application must be guided by stringent assessment and check up to measure the effects on the nutritional status, health conditions and well</w:t>
      </w:r>
      <w:r>
        <w:rPr>
          <w:rFonts w:ascii="Times New Roman" w:eastAsia="Times New Roman" w:hAnsi="Times New Roman" w:cs="Times New Roman"/>
          <w:sz w:val="24"/>
          <w:szCs w:val="24"/>
        </w:rPr>
        <w:t>-</w:t>
      </w:r>
      <w:r w:rsidRPr="00EB637B">
        <w:rPr>
          <w:rFonts w:ascii="Times New Roman" w:eastAsia="Times New Roman" w:hAnsi="Times New Roman" w:cs="Times New Roman"/>
          <w:sz w:val="24"/>
          <w:szCs w:val="24"/>
        </w:rPr>
        <w:t>being of the aging population</w:t>
      </w:r>
      <w:r w:rsidR="00966203" w:rsidRPr="000369E1">
        <w:rPr>
          <w:rFonts w:ascii="Times New Roman" w:eastAsia="Times New Roman" w:hAnsi="Times New Roman" w:cs="Times New Roman"/>
          <w:sz w:val="24"/>
          <w:szCs w:val="24"/>
        </w:rPr>
        <w:t>.</w:t>
      </w:r>
    </w:p>
    <w:p w14:paraId="69CF40E7" w14:textId="7259C105" w:rsidR="00182E72" w:rsidRPr="000369E1" w:rsidRDefault="00480C90" w:rsidP="00724C64">
      <w:pPr>
        <w:pStyle w:val="ListParagraph"/>
        <w:numPr>
          <w:ilvl w:val="0"/>
          <w:numId w:val="10"/>
        </w:num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b/>
          <w:sz w:val="24"/>
          <w:szCs w:val="24"/>
        </w:rPr>
        <w:t>Impact of Dietary Counseling and Education on Nutritional Outcomes</w:t>
      </w:r>
    </w:p>
    <w:p w14:paraId="5DD6F525" w14:textId="77777777" w:rsidR="00A542FC" w:rsidRDefault="008C135F" w:rsidP="00724C64">
      <w:pPr>
        <w:spacing w:before="240" w:after="240" w:line="240" w:lineRule="auto"/>
        <w:jc w:val="both"/>
        <w:rPr>
          <w:rFonts w:ascii="Times New Roman" w:eastAsia="Times New Roman" w:hAnsi="Times New Roman" w:cs="Times New Roman"/>
          <w:sz w:val="24"/>
          <w:szCs w:val="24"/>
        </w:rPr>
      </w:pPr>
      <w:r w:rsidRPr="008C135F">
        <w:rPr>
          <w:rFonts w:ascii="Times New Roman" w:eastAsia="Times New Roman" w:hAnsi="Times New Roman" w:cs="Times New Roman"/>
          <w:sz w:val="24"/>
          <w:szCs w:val="24"/>
        </w:rPr>
        <w:t xml:space="preserve">It is acknowledged that dietary counselling and nutrition education are effective interventions to improve the nutritional status of elderly people (Ramya M.S. et al.). The strategies aim at empowering the people with theoretical and practical skills on healthy eating habits, meal planning and food preparation, and also to counter any possible impediments to the best nutrition. </w:t>
      </w:r>
    </w:p>
    <w:p w14:paraId="57FB635C" w14:textId="77777777" w:rsidR="00A542FC" w:rsidRDefault="008C135F" w:rsidP="00724C64">
      <w:pPr>
        <w:spacing w:before="240" w:after="240" w:line="240" w:lineRule="auto"/>
        <w:jc w:val="both"/>
        <w:rPr>
          <w:rFonts w:ascii="Times New Roman" w:eastAsia="Times New Roman" w:hAnsi="Times New Roman" w:cs="Times New Roman"/>
          <w:sz w:val="24"/>
          <w:szCs w:val="24"/>
        </w:rPr>
      </w:pPr>
      <w:r w:rsidRPr="008C135F">
        <w:rPr>
          <w:rFonts w:ascii="Times New Roman" w:eastAsia="Times New Roman" w:hAnsi="Times New Roman" w:cs="Times New Roman"/>
          <w:sz w:val="24"/>
          <w:szCs w:val="24"/>
        </w:rPr>
        <w:t xml:space="preserve">A number of empirical studies reiterate the importance of dietary counselling and educational interventions in curbing the high level of malnutrition and the risk factor that is evident among the older population. As an example, a study reported that 21.33 per cent of the participants were malnourished and 47.33 per cent were at risk of malnutrition (Ramya M.S. et al.). The authors underlined the importance of thorough nutritional evaluation, oral nutritional support, and most of all, awareness interventions aimed at encouraging timely malnutrition identification. This observation underscores the possible role of specific nutrition education programs in creating awareness and empowering older adults to engage in healthy eating behaviors. Similarly, socio-economic factors like less household income and lower literacy levels became independent predictors of worse nutritional status among old age participants (Lahiri et al.). These findings imply that nutrition education and counselling programs must be designed in a manner that allows consideration of particular socio-economic and educational backgrounds in order to make sure that the information and the advice delivered can be affordable and relevant to the target audience. </w:t>
      </w:r>
    </w:p>
    <w:p w14:paraId="74FA2524" w14:textId="77777777" w:rsidR="00A542FC" w:rsidRDefault="008C135F" w:rsidP="00724C64">
      <w:pPr>
        <w:spacing w:before="240" w:after="240" w:line="240" w:lineRule="auto"/>
        <w:jc w:val="both"/>
        <w:rPr>
          <w:rFonts w:ascii="Times New Roman" w:eastAsia="Times New Roman" w:hAnsi="Times New Roman" w:cs="Times New Roman"/>
          <w:sz w:val="24"/>
          <w:szCs w:val="24"/>
        </w:rPr>
      </w:pPr>
      <w:r w:rsidRPr="008C135F">
        <w:rPr>
          <w:rFonts w:ascii="Times New Roman" w:eastAsia="Times New Roman" w:hAnsi="Times New Roman" w:cs="Times New Roman"/>
          <w:sz w:val="24"/>
          <w:szCs w:val="24"/>
        </w:rPr>
        <w:t xml:space="preserve">One to one dietary counselling sessions with trained health care practitioners or dieticians can provide the older adults with individualized information on the right type of diets they should take in accordance to their nutritional needs, clinical conditions and preferences. Possible barriers or obstacles to healthy eating, such as limited mobility, dental issues, or food insecurity can also be discussed during such sessions. The nutrition education programs in groups have also been introduced in various environments including community centers, senior living facilities and healthcare institutions (Rajan et al.). These community-based programs offer useful information about the nutrient needs, healthy food options, meal planning tips, and feasible cooking techniques that are more specifically tailored to the needs of the elderly. Various researches have proved that nutrition education interventions have positive results in terms of augmented dietary knowledge and attitudes, behaviors and augmented nutrient consumption and nutritional well-being of the elderly subjects. </w:t>
      </w:r>
    </w:p>
    <w:p w14:paraId="1E1A953A" w14:textId="621FB1F0" w:rsidR="00182E72" w:rsidRPr="000369E1" w:rsidRDefault="008C135F" w:rsidP="00724C64">
      <w:pPr>
        <w:spacing w:before="240" w:after="240" w:line="240" w:lineRule="auto"/>
        <w:jc w:val="both"/>
        <w:rPr>
          <w:rFonts w:ascii="Times New Roman" w:eastAsia="Times New Roman" w:hAnsi="Times New Roman" w:cs="Times New Roman"/>
          <w:sz w:val="24"/>
          <w:szCs w:val="24"/>
        </w:rPr>
      </w:pPr>
      <w:r w:rsidRPr="008C135F">
        <w:rPr>
          <w:rFonts w:ascii="Times New Roman" w:eastAsia="Times New Roman" w:hAnsi="Times New Roman" w:cs="Times New Roman"/>
          <w:sz w:val="24"/>
          <w:szCs w:val="24"/>
        </w:rPr>
        <w:t xml:space="preserve">It is however noted that the success of dietary counselling and education interventions depends on variables like the mode of delivery, duration and intensity of the programs, cultural and educational backgrounds of the participants, availability of resources and support systems that enable them to sustain the behavioral change. The barriers to the adoption of healthy eating habits, including financial factors, lack of access to healthy foods, or social support deficiency </w:t>
      </w:r>
      <w:r w:rsidRPr="008C135F">
        <w:rPr>
          <w:rFonts w:ascii="Times New Roman" w:eastAsia="Times New Roman" w:hAnsi="Times New Roman" w:cs="Times New Roman"/>
          <w:sz w:val="24"/>
          <w:szCs w:val="24"/>
        </w:rPr>
        <w:lastRenderedPageBreak/>
        <w:t>can be also addressed to increase the effects of culinary counselling and education interventions on older adults. Overall, the literature review indicates the promise of dietary counselling and nutrition education to enable older adults to make informed dietary choices and be in optimal nutritional condition through the knowledge and skills gained. Such interventions can be tailored to specific requirements and situations and together with other complementary measures like nutritional supplementation and community-based efforts can help to achieve improved health outcomes and quality of life among the aging populations</w:t>
      </w:r>
      <w:r w:rsidR="00D674D1" w:rsidRPr="000369E1">
        <w:rPr>
          <w:rFonts w:ascii="Times New Roman" w:eastAsia="Times New Roman" w:hAnsi="Times New Roman" w:cs="Times New Roman"/>
          <w:sz w:val="24"/>
          <w:szCs w:val="24"/>
        </w:rPr>
        <w:t>.</w:t>
      </w:r>
    </w:p>
    <w:p w14:paraId="7CDB8D2F" w14:textId="05608D89" w:rsidR="00182E72" w:rsidRPr="000369E1" w:rsidRDefault="00480C90" w:rsidP="00724C64">
      <w:pPr>
        <w:pStyle w:val="ListParagraph"/>
        <w:numPr>
          <w:ilvl w:val="0"/>
          <w:numId w:val="10"/>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Role of Community-Based Interventions in Improving Dietary Intake and Diversity</w:t>
      </w:r>
    </w:p>
    <w:p w14:paraId="702058DE" w14:textId="77777777" w:rsidR="00614381" w:rsidRDefault="003A3E66" w:rsidP="00724C64">
      <w:pPr>
        <w:spacing w:before="240" w:after="240" w:line="240" w:lineRule="auto"/>
        <w:jc w:val="both"/>
        <w:rPr>
          <w:rFonts w:ascii="Times New Roman" w:eastAsia="Times New Roman" w:hAnsi="Times New Roman" w:cs="Times New Roman"/>
          <w:sz w:val="24"/>
          <w:szCs w:val="24"/>
        </w:rPr>
      </w:pPr>
      <w:r w:rsidRPr="003A3E66">
        <w:rPr>
          <w:rFonts w:ascii="Times New Roman" w:eastAsia="Times New Roman" w:hAnsi="Times New Roman" w:cs="Times New Roman"/>
          <w:sz w:val="24"/>
          <w:szCs w:val="24"/>
        </w:rPr>
        <w:t xml:space="preserve">The community-based interventions have become an effective solution to the issue of malnutrition and dietary diversity promotion among elderly people (Rajan ⁫et al.). Such interventions usually include partnerships between healthcare providers, social services, community organizations and local stakeholders to establish ways of intervention that are designed to suit the particular needs and cultural contexts of the target population. A number of research articles support the significance of community-based interventions in addressing high levels of malnutrition and poor nutrient consumption that is seen among the elderly population, especially in rural and low-resource regions. </w:t>
      </w:r>
    </w:p>
    <w:p w14:paraId="3DDC633E" w14:textId="77777777" w:rsidR="00614381" w:rsidRDefault="003A3E66" w:rsidP="00724C64">
      <w:pPr>
        <w:spacing w:before="240" w:after="240" w:line="240" w:lineRule="auto"/>
        <w:jc w:val="both"/>
        <w:rPr>
          <w:rFonts w:ascii="Times New Roman" w:eastAsia="Times New Roman" w:hAnsi="Times New Roman" w:cs="Times New Roman"/>
          <w:sz w:val="24"/>
          <w:szCs w:val="24"/>
        </w:rPr>
      </w:pPr>
      <w:r w:rsidRPr="003A3E66">
        <w:rPr>
          <w:rFonts w:ascii="Times New Roman" w:eastAsia="Times New Roman" w:hAnsi="Times New Roman" w:cs="Times New Roman"/>
          <w:sz w:val="24"/>
          <w:szCs w:val="24"/>
        </w:rPr>
        <w:t xml:space="preserve">To illustrate this point, in a study carried out in a rural area of South India, it was noted that there was an alarming malnutrition and malnutrition risk among the elderly population (Rajan et al.). The authors emphasized the need to implement specific nutritional program memes and opportunistic screening that would enhance the quality of life and reduce negative health consequences of malnutrition among this population group. The Community-based interventions, like the mobile screening clinics or the community nutrition education campaigns would be important in dealing with these problems. On the same note, the high level of undernourishment among the elderly population in a rural region of Puducherry, South India, was pointed out (Kalaiselvi et al.). The authors proposed the need to take immediate intersectoral actions to address this significant public health problem, which might include community-based interventions and food security programs, including community gardens or local food distribution networks. </w:t>
      </w:r>
    </w:p>
    <w:p w14:paraId="67C2735C" w14:textId="29D079C6" w:rsidR="00614381" w:rsidRDefault="003A3E66" w:rsidP="00724C64">
      <w:pPr>
        <w:spacing w:before="240" w:after="240" w:line="240" w:lineRule="auto"/>
        <w:jc w:val="both"/>
        <w:rPr>
          <w:rFonts w:ascii="Times New Roman" w:eastAsia="Times New Roman" w:hAnsi="Times New Roman" w:cs="Times New Roman"/>
          <w:sz w:val="24"/>
          <w:szCs w:val="24"/>
        </w:rPr>
      </w:pPr>
      <w:r w:rsidRPr="003A3E66">
        <w:rPr>
          <w:rFonts w:ascii="Times New Roman" w:eastAsia="Times New Roman" w:hAnsi="Times New Roman" w:cs="Times New Roman"/>
          <w:sz w:val="24"/>
          <w:szCs w:val="24"/>
        </w:rPr>
        <w:t xml:space="preserve">A good example of such community-based intervention is the creation of community gardens or urban farms, where older adults can obtain locally grown produce (Khan ⁻ et al.). Involvement in such programs does not only help in the consumption of nutritious fruits and vegetables but also leads to physical activity, socialization, and a feeling of belonging to the community among the elderly citizens. Besides, community-based meal programs, including congregate meal locations or home-delivered meal programs have been established as a means to make sure that elderly people have balanced and nutritious meals (Agarwalla et al.). Such programs would be especially useful in tackling issues like loss of appetite, money, and caregiver choices that tend to add up to poor calorie consumption among the elderly participants. </w:t>
      </w:r>
    </w:p>
    <w:p w14:paraId="70094BC1" w14:textId="23FE2447" w:rsidR="00182E72" w:rsidRPr="000369E1" w:rsidRDefault="003A3E66" w:rsidP="00724C64">
      <w:pPr>
        <w:spacing w:before="240" w:after="240" w:line="240" w:lineRule="auto"/>
        <w:jc w:val="both"/>
        <w:rPr>
          <w:rFonts w:ascii="Times New Roman" w:eastAsia="Times New Roman" w:hAnsi="Times New Roman" w:cs="Times New Roman"/>
          <w:sz w:val="24"/>
          <w:szCs w:val="24"/>
        </w:rPr>
      </w:pPr>
      <w:r w:rsidRPr="003A3E66">
        <w:rPr>
          <w:rFonts w:ascii="Times New Roman" w:eastAsia="Times New Roman" w:hAnsi="Times New Roman" w:cs="Times New Roman"/>
          <w:sz w:val="24"/>
          <w:szCs w:val="24"/>
        </w:rPr>
        <w:t xml:space="preserve">Community-based interventions often use local organizations, volunteers and stakeholders, making use of available resources and infrastructure to create sustainable solutions to enhance ageing populations, dietary intake and dietary diversity (Arlappa et al.). These interventions however depend on the development of strong collaborations, communication and the involvement of the target communities to be successful. It is also necessary to deal with possible </w:t>
      </w:r>
      <w:r w:rsidRPr="003A3E66">
        <w:rPr>
          <w:rFonts w:ascii="Times New Roman" w:eastAsia="Times New Roman" w:hAnsi="Times New Roman" w:cs="Times New Roman"/>
          <w:sz w:val="24"/>
          <w:szCs w:val="24"/>
        </w:rPr>
        <w:lastRenderedPageBreak/>
        <w:t>obstacles, including insufficient resources, cultural attitudes, or accessibility, to provide the sustainability and the long-term effectiveness of such programs. All in all, the literature on the research highlights the promise of community-based interventions to overcome the broad spectrum of challenges related to malnutrition and dietary diversity among the older adult population, particularly in rural and low-resource communities. Using local resources, working with communities, and implementing a collaborative strategy, such interventions can help to improve dietary intake, gain access to healthy foods, and, eventually, promote the health of ageing populations</w:t>
      </w:r>
      <w:r w:rsidR="00D674D1" w:rsidRPr="000369E1">
        <w:rPr>
          <w:rFonts w:ascii="Times New Roman" w:eastAsia="Times New Roman" w:hAnsi="Times New Roman" w:cs="Times New Roman"/>
          <w:sz w:val="24"/>
          <w:szCs w:val="24"/>
        </w:rPr>
        <w:t>.</w:t>
      </w:r>
    </w:p>
    <w:p w14:paraId="2FAC14D7" w14:textId="4D0A9849" w:rsidR="00182E72" w:rsidRPr="000369E1" w:rsidRDefault="00480C90" w:rsidP="00724C64">
      <w:pPr>
        <w:pStyle w:val="ListParagraph"/>
        <w:numPr>
          <w:ilvl w:val="0"/>
          <w:numId w:val="10"/>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Challenges and Barriers in Implementing Nutritional Interventions for the Elderly</w:t>
      </w:r>
    </w:p>
    <w:p w14:paraId="77A83AF8" w14:textId="65B78815" w:rsidR="00182E72" w:rsidRPr="000369E1" w:rsidRDefault="00842C1D" w:rsidP="00724C64">
      <w:pPr>
        <w:spacing w:before="240" w:after="240" w:line="240" w:lineRule="auto"/>
        <w:jc w:val="both"/>
        <w:rPr>
          <w:rFonts w:ascii="Times New Roman" w:eastAsia="Times New Roman" w:hAnsi="Times New Roman" w:cs="Times New Roman"/>
          <w:sz w:val="24"/>
          <w:szCs w:val="24"/>
        </w:rPr>
      </w:pPr>
      <w:r w:rsidRPr="00842C1D">
        <w:rPr>
          <w:rFonts w:ascii="Times New Roman" w:eastAsia="Times New Roman" w:hAnsi="Times New Roman" w:cs="Times New Roman"/>
          <w:sz w:val="24"/>
          <w:szCs w:val="24"/>
        </w:rPr>
        <w:t>These research papers recognize that nutritional interventions are useful in the promotion of healthy aging; they also point out some of the challenges and barriers that may hinder successful implementation and effectiveness. These difficulties are caused by personal, social, and structural forces that should be considered to attain optimal effects of these interventions</w:t>
      </w:r>
      <w:r w:rsidRPr="000369E1">
        <w:rPr>
          <w:rFonts w:ascii="Times New Roman" w:eastAsia="Times New Roman" w:hAnsi="Times New Roman" w:cs="Times New Roman"/>
          <w:sz w:val="24"/>
          <w:szCs w:val="24"/>
        </w:rPr>
        <w:t>.</w:t>
      </w:r>
    </w:p>
    <w:p w14:paraId="0BEB2526" w14:textId="6B83DDFF" w:rsidR="00182E72" w:rsidRPr="000369E1" w:rsidRDefault="00480C90" w:rsidP="00724C64">
      <w:pPr>
        <w:pStyle w:val="ListParagraph"/>
        <w:numPr>
          <w:ilvl w:val="1"/>
          <w:numId w:val="10"/>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Individual Barriers:</w:t>
      </w:r>
    </w:p>
    <w:p w14:paraId="650C0792" w14:textId="77777777" w:rsidR="00E22A56" w:rsidRDefault="00E22A56" w:rsidP="00724C64">
      <w:pPr>
        <w:spacing w:before="240" w:after="240" w:line="240" w:lineRule="auto"/>
        <w:jc w:val="both"/>
        <w:rPr>
          <w:rFonts w:ascii="Times New Roman" w:eastAsia="Times New Roman" w:hAnsi="Times New Roman" w:cs="Times New Roman"/>
          <w:sz w:val="24"/>
          <w:szCs w:val="24"/>
        </w:rPr>
      </w:pPr>
      <w:r w:rsidRPr="00E22A56">
        <w:rPr>
          <w:rFonts w:ascii="Times New Roman" w:eastAsia="Times New Roman" w:hAnsi="Times New Roman" w:cs="Times New Roman"/>
          <w:sz w:val="24"/>
          <w:szCs w:val="24"/>
        </w:rPr>
        <w:t xml:space="preserve">Some of the studies have established factors at the individual level that may negatively affect the implementation and effectiveness of nutritional interventions among elderly individuals. As an example, the socio-economic status has been cited as a possible risk factor that causes malnutrition among older populations in India (Khan et⁻ al.). The issue of limited financial resources is a barrier to access to nutrient-rich foods, health care services, and involvement in interventions that involve out-of-pocket payments. In that regard, the lack of financial means, caregiver choice, and unawareness have been mentioned as factors contributing to poor caloric intake in the elderly sample (Agarwalla et al.). The results highlight the importance of combating economic barriers and increasing awareness about the need to eat well among elderly people and their caregivers. </w:t>
      </w:r>
    </w:p>
    <w:p w14:paraId="3AC6F013" w14:textId="0870A8E5" w:rsidR="00182E72" w:rsidRPr="000369E1" w:rsidRDefault="00E22A56" w:rsidP="00724C64">
      <w:pPr>
        <w:spacing w:before="240" w:after="240" w:line="240" w:lineRule="auto"/>
        <w:jc w:val="both"/>
        <w:rPr>
          <w:rFonts w:ascii="Times New Roman" w:eastAsia="Times New Roman" w:hAnsi="Times New Roman" w:cs="Times New Roman"/>
          <w:sz w:val="24"/>
          <w:szCs w:val="24"/>
        </w:rPr>
      </w:pPr>
      <w:r w:rsidRPr="00E22A56">
        <w:rPr>
          <w:rFonts w:ascii="Times New Roman" w:eastAsia="Times New Roman" w:hAnsi="Times New Roman" w:cs="Times New Roman"/>
          <w:sz w:val="24"/>
          <w:szCs w:val="24"/>
        </w:rPr>
        <w:t>Other issues like poor health literacy, cultural attitudes or choices that do not align with prescribed dietary habits as well as cognitive limitations that inhibit understanding or compliance with nutritional advice are major problems to successful intervention</w:t>
      </w:r>
      <w:r w:rsidR="00D674D1" w:rsidRPr="000369E1">
        <w:rPr>
          <w:rFonts w:ascii="Times New Roman" w:eastAsia="Times New Roman" w:hAnsi="Times New Roman" w:cs="Times New Roman"/>
          <w:sz w:val="24"/>
          <w:szCs w:val="24"/>
        </w:rPr>
        <w:t>.</w:t>
      </w:r>
    </w:p>
    <w:p w14:paraId="7CF4CE35" w14:textId="2B5846E2" w:rsidR="00182E72" w:rsidRPr="000369E1" w:rsidRDefault="00480C90" w:rsidP="00724C64">
      <w:pPr>
        <w:pStyle w:val="ListParagraph"/>
        <w:numPr>
          <w:ilvl w:val="1"/>
          <w:numId w:val="10"/>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Societal Barriers:</w:t>
      </w:r>
    </w:p>
    <w:p w14:paraId="5561A21B" w14:textId="67B9040E" w:rsidR="00D674D1" w:rsidRPr="000369E1" w:rsidRDefault="00896255" w:rsidP="00724C64">
      <w:pPr>
        <w:spacing w:before="240" w:after="240" w:line="240" w:lineRule="auto"/>
        <w:jc w:val="both"/>
        <w:rPr>
          <w:rFonts w:ascii="Times New Roman" w:eastAsia="Times New Roman" w:hAnsi="Times New Roman" w:cs="Times New Roman"/>
          <w:b/>
          <w:bCs/>
          <w:sz w:val="24"/>
          <w:szCs w:val="24"/>
        </w:rPr>
      </w:pPr>
      <w:r w:rsidRPr="00896255">
        <w:rPr>
          <w:rFonts w:ascii="Times New Roman" w:eastAsia="Times New Roman" w:hAnsi="Times New Roman" w:cs="Times New Roman"/>
          <w:sz w:val="24"/>
          <w:szCs w:val="24"/>
        </w:rPr>
        <w:t>The success of nutritional interventions can also be affected by societal barriers such as stigmatization of aging and malnutrition, insufficient social support networks, and limited access to community-based resources and programs designed to support older adults. As an illustration, high incidences of psychological stress and depression in old women in old-age homes have been linked to a high risk of malnutrition (Saha et al.). Community support systems, counseling services, and development of age-friendly environment is an important approach to addressing these societal and psychological factors in order to have an effective implementation of nutritional interventions</w:t>
      </w:r>
      <w:r w:rsidR="00D674D1" w:rsidRPr="000369E1">
        <w:rPr>
          <w:rFonts w:ascii="Times New Roman" w:eastAsia="Times New Roman" w:hAnsi="Times New Roman" w:cs="Times New Roman"/>
          <w:sz w:val="24"/>
          <w:szCs w:val="24"/>
        </w:rPr>
        <w:t>.</w:t>
      </w:r>
    </w:p>
    <w:p w14:paraId="10B45CD2" w14:textId="0231AE91" w:rsidR="00D674D1" w:rsidRPr="000369E1" w:rsidRDefault="00480C90" w:rsidP="00724C64">
      <w:pPr>
        <w:pStyle w:val="ListParagraph"/>
        <w:numPr>
          <w:ilvl w:val="1"/>
          <w:numId w:val="10"/>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Systemic Barriers:</w:t>
      </w:r>
      <w:bookmarkStart w:id="16" w:name="_Promoting_Healthy_Aging"/>
      <w:bookmarkEnd w:id="16"/>
    </w:p>
    <w:p w14:paraId="7708CC34" w14:textId="11B6AE91" w:rsidR="008A0967" w:rsidRDefault="008A0967" w:rsidP="00724C64">
      <w:pPr>
        <w:spacing w:before="240" w:after="240" w:line="240" w:lineRule="auto"/>
        <w:jc w:val="both"/>
        <w:rPr>
          <w:rFonts w:ascii="Times New Roman" w:eastAsia="Times New Roman" w:hAnsi="Times New Roman" w:cs="Times New Roman"/>
          <w:sz w:val="24"/>
          <w:szCs w:val="24"/>
        </w:rPr>
      </w:pPr>
      <w:r w:rsidRPr="008A0967">
        <w:rPr>
          <w:rFonts w:ascii="Times New Roman" w:eastAsia="Times New Roman" w:hAnsi="Times New Roman" w:cs="Times New Roman"/>
          <w:sz w:val="24"/>
          <w:szCs w:val="24"/>
        </w:rPr>
        <w:t xml:space="preserve">Systemic factors, including the insufficiency of funding or resources devoted to nutrition-related programs targeting the elderly, the lack of coordination in health care providers, social services, </w:t>
      </w:r>
      <w:r w:rsidRPr="008A0967">
        <w:rPr>
          <w:rFonts w:ascii="Times New Roman" w:eastAsia="Times New Roman" w:hAnsi="Times New Roman" w:cs="Times New Roman"/>
          <w:sz w:val="24"/>
          <w:szCs w:val="24"/>
        </w:rPr>
        <w:lastRenderedPageBreak/>
        <w:t xml:space="preserve">and community organizations, and the lack of training and education of health-care professionals on geriatric nutrition can be a significant impediment to the effectiveness of these efforts. The high prevalence of undernutrition in a rural region of Puducherry, South India, was highlighted (Kalaiselvi et al.). This underlines the role of collaboration among different sectors such as the health care, the social services, and the policy makers to develop all round and sustainable interventions. The additional in-depth investigation is needed to inform the future efforts to change the nutritional conditions and the general well-being of the aging demographic in cities (Luthra et al.). This illustrates the need to engage in continuous research and evidence-based practices to break systemic barriers and create effective interventions. </w:t>
      </w:r>
    </w:p>
    <w:p w14:paraId="0CD8B191" w14:textId="70A4A2DC" w:rsidR="008A0967" w:rsidRDefault="008A0967" w:rsidP="00724C64">
      <w:pPr>
        <w:spacing w:before="240" w:after="240" w:line="240" w:lineRule="auto"/>
        <w:jc w:val="both"/>
        <w:rPr>
          <w:rFonts w:ascii="Times New Roman" w:eastAsia="Times New Roman" w:hAnsi="Times New Roman" w:cs="Times New Roman"/>
          <w:sz w:val="24"/>
          <w:szCs w:val="24"/>
        </w:rPr>
      </w:pPr>
      <w:r w:rsidRPr="008A0967">
        <w:rPr>
          <w:rFonts w:ascii="Times New Roman" w:eastAsia="Times New Roman" w:hAnsi="Times New Roman" w:cs="Times New Roman"/>
          <w:sz w:val="24"/>
          <w:szCs w:val="24"/>
        </w:rPr>
        <w:t xml:space="preserve">These difficulties require a multidisciplinary strategy that meets the needs of individuals, supports community participation and encourages systematic reforms to make nutritional intervention to the aging population a priority and support. The possible solutions are the creation of culturally competent and customized teaching resources, specific outreach and screening initiatives, enhanced partnerships between health-care and community agencies, promotion of funding and resources, as well as the promotion of ongoing research and capacity-building. </w:t>
      </w:r>
    </w:p>
    <w:p w14:paraId="04FE9E16" w14:textId="011E9221" w:rsidR="00D674D1" w:rsidRPr="000369E1" w:rsidRDefault="008A0967" w:rsidP="00724C64">
      <w:pPr>
        <w:spacing w:before="240" w:after="240" w:line="240" w:lineRule="auto"/>
        <w:jc w:val="both"/>
        <w:rPr>
          <w:rFonts w:ascii="Times New Roman" w:eastAsia="Times New Roman" w:hAnsi="Times New Roman" w:cs="Times New Roman"/>
          <w:b/>
          <w:bCs/>
          <w:sz w:val="24"/>
          <w:szCs w:val="24"/>
        </w:rPr>
      </w:pPr>
      <w:r w:rsidRPr="008A0967">
        <w:rPr>
          <w:rFonts w:ascii="Times New Roman" w:eastAsia="Times New Roman" w:hAnsi="Times New Roman" w:cs="Times New Roman"/>
          <w:sz w:val="24"/>
          <w:szCs w:val="24"/>
        </w:rPr>
        <w:t>Through a systematic approach toward these challenges and barriers, health-care professionals, policy makers and community stakeholders can strive to ensure the successful implementation and sustainability of nutritional interventions in the long-term, which would enhance the health outcomes and quality of life of the older adults</w:t>
      </w:r>
      <w:r w:rsidR="00D674D1" w:rsidRPr="000369E1">
        <w:rPr>
          <w:rFonts w:ascii="Times New Roman" w:eastAsia="Times New Roman" w:hAnsi="Times New Roman" w:cs="Times New Roman"/>
          <w:sz w:val="24"/>
          <w:szCs w:val="24"/>
        </w:rPr>
        <w:t>.</w:t>
      </w:r>
    </w:p>
    <w:p w14:paraId="22385410" w14:textId="79EDC19A" w:rsidR="00182E72" w:rsidRPr="000369E1" w:rsidRDefault="00F83BA7" w:rsidP="00724C64">
      <w:pPr>
        <w:pStyle w:val="Heading2"/>
        <w:spacing w:line="240" w:lineRule="auto"/>
        <w:jc w:val="center"/>
        <w:rPr>
          <w:rFonts w:ascii="Times New Roman" w:hAnsi="Times New Roman" w:cs="Times New Roman"/>
          <w:b/>
          <w:bCs/>
          <w:sz w:val="28"/>
          <w:szCs w:val="28"/>
        </w:rPr>
      </w:pPr>
      <w:bookmarkStart w:id="17" w:name="_Toc212728113"/>
      <w:r w:rsidRPr="000369E1">
        <w:rPr>
          <w:rFonts w:ascii="Times New Roman" w:hAnsi="Times New Roman" w:cs="Times New Roman"/>
          <w:b/>
          <w:bCs/>
          <w:sz w:val="28"/>
          <w:szCs w:val="28"/>
        </w:rPr>
        <w:t xml:space="preserve">Chapter </w:t>
      </w:r>
      <w:r w:rsidR="00581E45" w:rsidRPr="000369E1">
        <w:rPr>
          <w:rFonts w:ascii="Times New Roman" w:hAnsi="Times New Roman" w:cs="Times New Roman"/>
          <w:b/>
          <w:bCs/>
          <w:sz w:val="28"/>
          <w:szCs w:val="28"/>
        </w:rPr>
        <w:t xml:space="preserve">8 </w:t>
      </w:r>
      <w:r w:rsidRPr="000369E1">
        <w:rPr>
          <w:rFonts w:ascii="Times New Roman" w:hAnsi="Times New Roman" w:cs="Times New Roman"/>
          <w:b/>
          <w:bCs/>
          <w:sz w:val="28"/>
          <w:szCs w:val="28"/>
        </w:rPr>
        <w:t>-Promoting Healthy Aging Through Nutrition</w:t>
      </w:r>
      <w:bookmarkEnd w:id="17"/>
    </w:p>
    <w:p w14:paraId="396B3B29" w14:textId="7DBC157A" w:rsidR="00F83BA7" w:rsidRPr="000369E1" w:rsidRDefault="00480C90" w:rsidP="00724C64">
      <w:p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sz w:val="24"/>
          <w:szCs w:val="24"/>
        </w:rPr>
        <w:t>Ensuring</w:t>
      </w:r>
      <w:r w:rsidR="00810483">
        <w:rPr>
          <w:rFonts w:ascii="Times New Roman" w:eastAsia="Times New Roman" w:hAnsi="Times New Roman" w:cs="Times New Roman"/>
          <w:sz w:val="24"/>
          <w:szCs w:val="24"/>
        </w:rPr>
        <w:t xml:space="preserve"> o</w:t>
      </w:r>
      <w:r w:rsidR="00810483" w:rsidRPr="00810483">
        <w:rPr>
          <w:rFonts w:ascii="Times New Roman" w:eastAsia="Times New Roman" w:hAnsi="Times New Roman" w:cs="Times New Roman"/>
          <w:sz w:val="24"/>
          <w:szCs w:val="24"/>
        </w:rPr>
        <w:t>ptimal nutritional status among aging populations is of the essence to the enhancement of overall health, minimization of the risk of chronic disease, and functional independence and quality of life. The research articles outline a spectrum of practices and measures that can be adopted to meet the dietary requirements of the elderly as well as help them to age in a healthy manner by applying suitable dietary habits</w:t>
      </w:r>
      <w:r w:rsidRPr="000369E1">
        <w:rPr>
          <w:rFonts w:ascii="Times New Roman" w:eastAsia="Times New Roman" w:hAnsi="Times New Roman" w:cs="Times New Roman"/>
          <w:sz w:val="24"/>
          <w:szCs w:val="24"/>
        </w:rPr>
        <w:t>.</w:t>
      </w:r>
    </w:p>
    <w:p w14:paraId="51BB0130" w14:textId="2DFA0220" w:rsidR="00182E72" w:rsidRPr="000369E1" w:rsidRDefault="00480C90" w:rsidP="00724C64">
      <w:pPr>
        <w:pStyle w:val="ListParagraph"/>
        <w:numPr>
          <w:ilvl w:val="0"/>
          <w:numId w:val="15"/>
        </w:num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b/>
          <w:sz w:val="24"/>
          <w:szCs w:val="24"/>
        </w:rPr>
        <w:t>Integrating Nutritional Assessments into Routine Geriatric Care</w:t>
      </w:r>
    </w:p>
    <w:p w14:paraId="294AB2C9" w14:textId="51AA85CD" w:rsidR="00182E72" w:rsidRPr="000369E1" w:rsidRDefault="00DE51E1" w:rsidP="00724C64">
      <w:pPr>
        <w:spacing w:before="240" w:after="240" w:line="240" w:lineRule="auto"/>
        <w:jc w:val="both"/>
        <w:rPr>
          <w:rFonts w:ascii="Times New Roman" w:eastAsia="Times New Roman" w:hAnsi="Times New Roman" w:cs="Times New Roman"/>
          <w:sz w:val="24"/>
          <w:szCs w:val="24"/>
        </w:rPr>
      </w:pPr>
      <w:r w:rsidRPr="00DE51E1">
        <w:rPr>
          <w:rFonts w:ascii="Times New Roman" w:eastAsia="Times New Roman" w:hAnsi="Times New Roman" w:cs="Times New Roman"/>
          <w:sz w:val="24"/>
          <w:szCs w:val="24"/>
        </w:rPr>
        <w:t>Periodic nutritional examinations will be essential to detect possible deficiencies or malnutrition threats in older adults and treat them. The papers highlight that validated screening and assessment tools should be integrated into routine geriatric practice, as this will allow the process of early diagnosis and prompt treatment. An example of this is provided by Rajan et al., who found a worrying rate of malnutrition (21.4</w:t>
      </w:r>
      <w:r w:rsidR="004357A4">
        <w:rPr>
          <w:rFonts w:ascii="Times New Roman" w:eastAsia="Times New Roman" w:hAnsi="Times New Roman" w:cs="Times New Roman"/>
          <w:sz w:val="24"/>
          <w:szCs w:val="24"/>
        </w:rPr>
        <w:t>%</w:t>
      </w:r>
      <w:r w:rsidRPr="00DE51E1">
        <w:rPr>
          <w:rFonts w:ascii="Times New Roman" w:eastAsia="Times New Roman" w:hAnsi="Times New Roman" w:cs="Times New Roman"/>
          <w:sz w:val="24"/>
          <w:szCs w:val="24"/>
        </w:rPr>
        <w:t xml:space="preserve">) and the risk of malnutrition (32.65) among the elderly in a rural South Indian community, by means of the Mini Nutritional Assessment (MNA) tool. These results highlight the need to have opportunistic screening to detect people at-risk and to put in place measures that will reduce the negative health outcomes of malnutrition in this susceptible population. Similarly, Saha et al. used MNA to assess elderly women in suburban Kolkata aged-care centers and found out that a significant percentage of them was either possibly malnourished or at risk of malnutrition. The authors emphasized the necessity of early nutritional intervention and demanded additional studies to clarify the causes and outcomes of the poor nutritional condition in the elderly. Having acknowledged the usefulness of the MNA as a potentially useful tool, Khan et al. also suggested the use of the validated instruments, including </w:t>
      </w:r>
      <w:r w:rsidRPr="00DE51E1">
        <w:rPr>
          <w:rFonts w:ascii="Times New Roman" w:eastAsia="Times New Roman" w:hAnsi="Times New Roman" w:cs="Times New Roman"/>
          <w:sz w:val="24"/>
          <w:szCs w:val="24"/>
        </w:rPr>
        <w:lastRenderedPageBreak/>
        <w:t>the MNA, the Subjective Global Assessment (SGA), or the Malnutrition Universal Screening Tool (MUST) in the regular health check-up or community-based screening programs. Luthra et al. also revealed the prevalence of malnutrition in the elderly population, as many of them claimed that they had not experienced any noticeable decrease in food consumption or weight loss within the past three months, which once again supports the importance of regular examinations. Incorporation of validated nutritional assessment instruments and standardization of screening procedures will enable healthcare practitioners to actively detect and manage nutritional issues in aging groups, and eventually lead to improved health outcomes, complications, and quality of life among older adults</w:t>
      </w:r>
      <w:r w:rsidR="00D674D1" w:rsidRPr="000369E1">
        <w:rPr>
          <w:rFonts w:ascii="Times New Roman" w:eastAsia="Times New Roman" w:hAnsi="Times New Roman" w:cs="Times New Roman"/>
          <w:sz w:val="24"/>
          <w:szCs w:val="24"/>
        </w:rPr>
        <w:t>.</w:t>
      </w:r>
    </w:p>
    <w:p w14:paraId="31B97F7E" w14:textId="0BA6E6D6" w:rsidR="00182E72" w:rsidRPr="000369E1" w:rsidRDefault="00480C90" w:rsidP="00724C64">
      <w:pPr>
        <w:pStyle w:val="ListParagraph"/>
        <w:numPr>
          <w:ilvl w:val="0"/>
          <w:numId w:val="15"/>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Developing Age-Specific Dietary Guidelines and Recommendation</w:t>
      </w:r>
    </w:p>
    <w:p w14:paraId="2C682036" w14:textId="70168C63" w:rsidR="00182E72" w:rsidRDefault="003109D7" w:rsidP="00724C64">
      <w:pPr>
        <w:spacing w:before="240" w:after="240" w:line="240" w:lineRule="auto"/>
        <w:jc w:val="both"/>
        <w:rPr>
          <w:rFonts w:ascii="Times New Roman" w:eastAsia="Times New Roman" w:hAnsi="Times New Roman" w:cs="Times New Roman"/>
          <w:sz w:val="24"/>
          <w:szCs w:val="24"/>
        </w:rPr>
      </w:pPr>
      <w:r w:rsidRPr="003109D7">
        <w:rPr>
          <w:rFonts w:ascii="Times New Roman" w:eastAsia="Times New Roman" w:hAnsi="Times New Roman" w:cs="Times New Roman"/>
          <w:sz w:val="24"/>
          <w:szCs w:val="24"/>
        </w:rPr>
        <w:t>With aging, the nutritional needs and dietary requirements of the individuals experience considerable changes because of the various physiological, social and economic factors. To meet these special requirements, it is important to create age-related dietary guidelines and recommendations that will support healthy ageing and prevent nutritional deficiencies and chronic diseases in old age. Arlappa et al. emphasized the essence of incorporating socioeconomic issues and diets in strategies that aimed at alleviating nutritional deficiencies that were common among the elderly in India. Their analysis revealed that most of the subjects were not able to cover recommended dietary allowances (RDAs) of essential nutrients and thus a high percentage of chronic energy deficiency (CED) according to Body Mass Index (BMI) especially in males and the lower-socioeconomic groups. These results underscore the need to have age-specific dietary recommendations that would take into account the specific socioeconomic conditions and cultural preferences of the elderly. On the same note, according to the study by Khan et al., the nutritional status of older adults in India is also affected by the geographic location and access to health services, which indicates that age-specific recommendations should also take into consideration the food availability in the area, and the possible obstacles to health service and food access. Also, the authors Lahiri et al. found that low family income and low literacy level can be used as an independent predictor of poor nutritional status among the elderly. In line with this, strategies to mitigate socioeconomic barriers should be included in guidelines, i.e. recommend affordable, accessible foods and some educational materials depending on different levels of literacy. Having acknowledged that the assessment of nutrition and awareness campaigns should be considered as a whole to ensure that malnutrition can be detected early on, Ramya et al. assume that age-related dietary recommendations should be perceived as a valuable source of data that could provide healthcare practitioners and caregivers with straightforward information about nutrient requirements, recommended food options, and portions that might be adjusted to the needs of older adults. Lastly, Kalaiselvi et al. recommend immediate inter-sectoral partnership to address the prevalence of undernutrition among rural Indian elderly group since the suggestions should be comprehensive, culturally sensitive, and consistent with region-specific resources</w:t>
      </w:r>
      <w:r w:rsidR="00500A8C" w:rsidRPr="000369E1">
        <w:rPr>
          <w:rFonts w:ascii="Times New Roman" w:eastAsia="Times New Roman" w:hAnsi="Times New Roman" w:cs="Times New Roman"/>
          <w:sz w:val="24"/>
          <w:szCs w:val="24"/>
        </w:rPr>
        <w:t>.</w:t>
      </w:r>
    </w:p>
    <w:p w14:paraId="60DE9E65" w14:textId="3DBDC91A" w:rsidR="00044CDA" w:rsidRPr="000369E1" w:rsidRDefault="00044CDA" w:rsidP="00724C64">
      <w:pPr>
        <w:spacing w:before="240" w:after="240" w:line="240" w:lineRule="auto"/>
        <w:jc w:val="both"/>
        <w:rPr>
          <w:rFonts w:ascii="Times New Roman" w:eastAsia="Times New Roman" w:hAnsi="Times New Roman" w:cs="Times New Roman"/>
          <w:sz w:val="24"/>
          <w:szCs w:val="24"/>
        </w:rPr>
      </w:pPr>
      <w:r w:rsidRPr="00044CDA">
        <w:rPr>
          <w:rFonts w:ascii="Times New Roman" w:eastAsia="Times New Roman" w:hAnsi="Times New Roman" w:cs="Times New Roman"/>
          <w:sz w:val="24"/>
          <w:szCs w:val="24"/>
        </w:rPr>
        <w:t>Healthcare providers and policymakers can enhance the nutritional adequacy of older adults by developing age-specific dietary guidelines and recommendations that consider the distinct physiological, social, economic, and cultural characteristics of the nutritional status of older adults to provide a more viable and accessible guidance to the vulnerable group to help them sustain healthy ageing, as well as to enhance their overall well-being.</w:t>
      </w:r>
    </w:p>
    <w:p w14:paraId="31A879C8" w14:textId="77777777" w:rsidR="00182E72" w:rsidRPr="000369E1" w:rsidRDefault="00480C90" w:rsidP="00724C64">
      <w:pPr>
        <w:numPr>
          <w:ilvl w:val="0"/>
          <w:numId w:val="15"/>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lastRenderedPageBreak/>
        <w:t>Strategies for Enhancing Food Access and Security for Older Adults</w:t>
      </w:r>
    </w:p>
    <w:p w14:paraId="3C6EF367" w14:textId="77777777" w:rsidR="00DF6DCA" w:rsidRDefault="00724FCD" w:rsidP="00724C64">
      <w:pPr>
        <w:spacing w:before="240" w:after="240" w:line="240" w:lineRule="auto"/>
        <w:jc w:val="both"/>
        <w:rPr>
          <w:rFonts w:ascii="Times New Roman" w:eastAsia="Times New Roman" w:hAnsi="Times New Roman" w:cs="Times New Roman"/>
          <w:sz w:val="24"/>
          <w:szCs w:val="24"/>
        </w:rPr>
      </w:pPr>
      <w:r w:rsidRPr="00724FCD">
        <w:rPr>
          <w:rFonts w:ascii="Times New Roman" w:eastAsia="Times New Roman" w:hAnsi="Times New Roman" w:cs="Times New Roman"/>
          <w:sz w:val="24"/>
          <w:szCs w:val="24"/>
        </w:rPr>
        <w:t xml:space="preserve">The access to healthy and affordable food is the vital aspect of helping to achieve healthy aging with the help of nutrition. The published research articles highlight various measures that can be taken to improve food access and safety of older adults as a way of overcoming the barriers and challenges that these individuals face when seeking to access sufficient and nutritious foods. An example is a study that has reported a high rate of undernutrition (24.8 0) among the older generation of people in a rural community in South India (Puducherry) in which 9.2 0 percent of the respondents were severely undernourished. Acute intersectoral actions were proposed in order to address this serious public health issue, which may include projects to enhance food security, including community gardens, local food distribution systems, or subsidized food schemes to low-income older people (Kalaiselvi et al.). </w:t>
      </w:r>
    </w:p>
    <w:p w14:paraId="4DAEE891" w14:textId="77777777" w:rsidR="00DF6DCA" w:rsidRDefault="00724FCD" w:rsidP="00724C64">
      <w:pPr>
        <w:spacing w:before="240" w:after="240" w:line="240" w:lineRule="auto"/>
        <w:jc w:val="both"/>
        <w:rPr>
          <w:rFonts w:ascii="Times New Roman" w:eastAsia="Times New Roman" w:hAnsi="Times New Roman" w:cs="Times New Roman"/>
          <w:sz w:val="24"/>
          <w:szCs w:val="24"/>
        </w:rPr>
      </w:pPr>
      <w:r w:rsidRPr="00724FCD">
        <w:rPr>
          <w:rFonts w:ascii="Times New Roman" w:eastAsia="Times New Roman" w:hAnsi="Times New Roman" w:cs="Times New Roman"/>
          <w:sz w:val="24"/>
          <w:szCs w:val="24"/>
        </w:rPr>
        <w:t xml:space="preserve">Older adults can have access to fresh and locally grown produce in community gardens and urban farms thus promoting intake of nutritious fruits and vegetables. Involvement in these programs could also promote physical activities, social and community interactions among elderly individuals, which would reduce certain social and psychological determinants of malnutrition. Another study found financial limitations as a significant impediment to proper caloric consumption among the older participants of the study. About 52.7 percent of the participants said they had poor caloric intake and some cited reasons such as financial issues, decision of caregivers and poor awareness. These economic obstacles can be alleviated by implementing programs, which offer financial support (or subsidies) to buy healthy foods, and enhancing food security among elderly individuals with low income (Agarwalla et al.). </w:t>
      </w:r>
    </w:p>
    <w:p w14:paraId="50390624" w14:textId="77777777" w:rsidR="00DF6DCA" w:rsidRDefault="00724FCD" w:rsidP="00724C64">
      <w:pPr>
        <w:spacing w:before="240" w:after="240" w:line="240" w:lineRule="auto"/>
        <w:jc w:val="both"/>
        <w:rPr>
          <w:rFonts w:ascii="Times New Roman" w:eastAsia="Times New Roman" w:hAnsi="Times New Roman" w:cs="Times New Roman"/>
          <w:sz w:val="24"/>
          <w:szCs w:val="24"/>
        </w:rPr>
      </w:pPr>
      <w:r w:rsidRPr="00724FCD">
        <w:rPr>
          <w:rFonts w:ascii="Times New Roman" w:eastAsia="Times New Roman" w:hAnsi="Times New Roman" w:cs="Times New Roman"/>
          <w:sz w:val="24"/>
          <w:szCs w:val="24"/>
        </w:rPr>
        <w:t xml:space="preserve">A study has indicated the impact of the geographic location on the Nutritional status and that measures need to be put to increase access to healthcare service and nutritional resources in remote or underserved communities. They can also be done through community-based meal programs, which may be in the form of congregate meal sites or home-delivered meal services to ensure that elderly people living in these communities can have healthy and nutritious meals, especially those who have difficulties preparing their own meals because of their physical or cognitive problems or because of social isolation (Khan et al.). Moreover, food habits and nutrient consumption were depending on the socioeconomic statuses, which highlights the significance of interventions taking into consideration these factors, including community participation. Collaborations with local organizations, community leaders, and stakeholders would allow locating and managing certain obstacles to food access and security and intervening with different needs and contexts unique to various communities (Arlappa et al.). </w:t>
      </w:r>
    </w:p>
    <w:p w14:paraId="75E2AED1" w14:textId="4A1CDC37" w:rsidR="00500A8C" w:rsidRPr="000369E1" w:rsidRDefault="00724FCD" w:rsidP="00724C64">
      <w:pPr>
        <w:spacing w:before="240" w:after="240" w:line="240" w:lineRule="auto"/>
        <w:jc w:val="both"/>
        <w:rPr>
          <w:rFonts w:ascii="Times New Roman" w:eastAsia="Times New Roman" w:hAnsi="Times New Roman" w:cs="Times New Roman"/>
          <w:sz w:val="24"/>
          <w:szCs w:val="24"/>
        </w:rPr>
      </w:pPr>
      <w:r w:rsidRPr="00724FCD">
        <w:rPr>
          <w:rFonts w:ascii="Times New Roman" w:eastAsia="Times New Roman" w:hAnsi="Times New Roman" w:cs="Times New Roman"/>
          <w:sz w:val="24"/>
          <w:szCs w:val="24"/>
        </w:rPr>
        <w:t>The necessity of additional in-depth investigation as a way of informing future intervention to enhance the nutritional conditions and health of the elderly population within the urban settings was recognized. This is the value of continuous research and data gathering to better understand what issues older adults have in their ability to access nutritious foods and specifically in urban areas and formulate specific approaches to deal with such problems (Luthra et al.). Through using communal gardens, food assistance plans, neighborhood-based meal services, and developing partnerships with community partners, healthcare providers, policymakers, and community organizations have the opportunity to collaboratively increase food access and food security among the elderly, and eventually improve healthy ageing by enhancing nutrition</w:t>
      </w:r>
      <w:r w:rsidR="00500A8C" w:rsidRPr="000369E1">
        <w:rPr>
          <w:rFonts w:ascii="Times New Roman" w:eastAsia="Times New Roman" w:hAnsi="Times New Roman" w:cs="Times New Roman"/>
          <w:sz w:val="24"/>
          <w:szCs w:val="24"/>
        </w:rPr>
        <w:t>.</w:t>
      </w:r>
    </w:p>
    <w:p w14:paraId="59EF24E2" w14:textId="7F9E45A4" w:rsidR="00182E72" w:rsidRPr="000369E1" w:rsidRDefault="00480C90" w:rsidP="00724C64">
      <w:pPr>
        <w:numPr>
          <w:ilvl w:val="0"/>
          <w:numId w:val="15"/>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lastRenderedPageBreak/>
        <w:t>Tailoring Nutritional Interventions to Address Socioeconomic and Cultural Factors</w:t>
      </w:r>
    </w:p>
    <w:p w14:paraId="4666D801" w14:textId="13AC4B1D" w:rsidR="00182E72" w:rsidRPr="000369E1" w:rsidRDefault="00A64075" w:rsidP="00724C64">
      <w:pPr>
        <w:spacing w:before="240" w:after="240" w:line="240" w:lineRule="auto"/>
        <w:jc w:val="both"/>
        <w:rPr>
          <w:rFonts w:ascii="Times New Roman" w:eastAsia="Times New Roman" w:hAnsi="Times New Roman" w:cs="Times New Roman"/>
          <w:sz w:val="24"/>
          <w:szCs w:val="24"/>
        </w:rPr>
      </w:pPr>
      <w:r w:rsidRPr="00A64075">
        <w:rPr>
          <w:rFonts w:ascii="Times New Roman" w:eastAsia="Times New Roman" w:hAnsi="Times New Roman" w:cs="Times New Roman"/>
          <w:sz w:val="24"/>
          <w:szCs w:val="24"/>
        </w:rPr>
        <w:t>The articles are always keen on the need to customize nutritional interventions to meet the individual socioeconomic and cultural determinants that can affect the diet of older people and their nutrition status. Unless these factors are put into consideration, interventions that are ineffective, culturally insensitive, or inaccessible by the target population can be implemented</w:t>
      </w:r>
      <w:r w:rsidRPr="000369E1">
        <w:rPr>
          <w:rFonts w:ascii="Times New Roman" w:eastAsia="Times New Roman" w:hAnsi="Times New Roman" w:cs="Times New Roman"/>
          <w:sz w:val="24"/>
          <w:szCs w:val="24"/>
        </w:rPr>
        <w:t>.</w:t>
      </w:r>
    </w:p>
    <w:p w14:paraId="72797966" w14:textId="6E53B4AB" w:rsidR="00182E72" w:rsidRPr="000369E1" w:rsidRDefault="00480C90" w:rsidP="00724C64">
      <w:pPr>
        <w:pStyle w:val="ListParagraph"/>
        <w:numPr>
          <w:ilvl w:val="1"/>
          <w:numId w:val="15"/>
        </w:num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b/>
          <w:sz w:val="24"/>
          <w:szCs w:val="24"/>
        </w:rPr>
        <w:t>Socioeconomic Factors</w:t>
      </w:r>
      <w:r w:rsidRPr="000369E1">
        <w:rPr>
          <w:rFonts w:ascii="Times New Roman" w:eastAsia="Times New Roman" w:hAnsi="Times New Roman" w:cs="Times New Roman"/>
          <w:sz w:val="24"/>
          <w:szCs w:val="24"/>
        </w:rPr>
        <w:t>:</w:t>
      </w:r>
    </w:p>
    <w:p w14:paraId="592F7B73" w14:textId="7DD42248" w:rsidR="00500A8C" w:rsidRPr="000369E1" w:rsidRDefault="00A64075" w:rsidP="00724C64">
      <w:pPr>
        <w:spacing w:before="240" w:after="240" w:line="240" w:lineRule="auto"/>
        <w:jc w:val="both"/>
        <w:rPr>
          <w:rFonts w:ascii="Times New Roman" w:eastAsia="Times New Roman" w:hAnsi="Times New Roman" w:cs="Times New Roman"/>
          <w:sz w:val="24"/>
          <w:szCs w:val="24"/>
        </w:rPr>
      </w:pPr>
      <w:r w:rsidRPr="00A64075">
        <w:rPr>
          <w:rFonts w:ascii="Times New Roman" w:eastAsia="Times New Roman" w:hAnsi="Times New Roman" w:cs="Times New Roman"/>
          <w:sz w:val="24"/>
          <w:szCs w:val="24"/>
        </w:rPr>
        <w:t>A study reported significant differences in food intake patterns and nutrient intake depending on the socioeconomic status. A greater percentage of the older people in the lower socioeconomic groups (58.9) failed to meet the recommended dietary allowances (RDA) of energy as compared to those in the higher socioeconomic groups (35.5). This tendency was noted in different vital nutrients, which is why actions that will alleviate economic obstacles and increase the availability of nutritious food need to be carried out (Arlappa et al.). In the same vein, other researchers found lower family income (OR = 0.45, p = 0.001), low literacy levels (OR = 0.41, p = 0.01) to be independently associated with low nutritional status among the elderly participants. These results emphasize the necessity of integrating financial assistance programs and creating educational resources that are tailored to different levels of literacy to make sure that the interventions are accessible and effective (Lahiri et al.)</w:t>
      </w:r>
      <w:r w:rsidR="00500A8C" w:rsidRPr="000369E1">
        <w:rPr>
          <w:rFonts w:ascii="Times New Roman" w:eastAsia="Times New Roman" w:hAnsi="Times New Roman" w:cs="Times New Roman"/>
          <w:sz w:val="24"/>
          <w:szCs w:val="24"/>
        </w:rPr>
        <w:t>.</w:t>
      </w:r>
    </w:p>
    <w:p w14:paraId="301BF79A" w14:textId="6A758E96" w:rsidR="00182E72" w:rsidRPr="000369E1" w:rsidRDefault="00480C90" w:rsidP="00724C64">
      <w:pPr>
        <w:pStyle w:val="ListParagraph"/>
        <w:numPr>
          <w:ilvl w:val="1"/>
          <w:numId w:val="15"/>
        </w:num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b/>
          <w:sz w:val="24"/>
          <w:szCs w:val="24"/>
        </w:rPr>
        <w:t>Cultural Factors:</w:t>
      </w:r>
    </w:p>
    <w:p w14:paraId="2C46EB11" w14:textId="5E1AE1CF" w:rsidR="00500A8C" w:rsidRPr="000369E1" w:rsidRDefault="00C827FA" w:rsidP="00724C64">
      <w:pPr>
        <w:spacing w:before="240" w:after="240" w:line="240" w:lineRule="auto"/>
        <w:jc w:val="both"/>
        <w:rPr>
          <w:rFonts w:ascii="Times New Roman" w:eastAsia="Times New Roman" w:hAnsi="Times New Roman" w:cs="Times New Roman"/>
          <w:sz w:val="24"/>
          <w:szCs w:val="24"/>
        </w:rPr>
      </w:pPr>
      <w:r w:rsidRPr="00C827FA">
        <w:rPr>
          <w:rFonts w:ascii="Times New Roman" w:eastAsia="Times New Roman" w:hAnsi="Times New Roman" w:cs="Times New Roman"/>
          <w:sz w:val="24"/>
          <w:szCs w:val="24"/>
        </w:rPr>
        <w:t>A study has recognized the role that cultural beliefs or preferences play in dietary practices. It has pointed out that interventions must be culturally sensitive and respectful to make them better accepted and effective. The authors observed that cultural beliefs and food preference could not be the same among the populations, and these variables should be taken into account when creating interventions (Junaid Khan et al.). Similarly, a different study realized that the issue of dietary habits and cultural inclinations should be taken into account in the development of approaches to the eradication of nutritional deficiencies that are widespread among the Indian elderly demographic. It emphasized on the importance of engaging community members and local stakeholders so that interventions have to align with cultural traditions and include food available locally and accepted by the culture (N. Arlappa et al.)</w:t>
      </w:r>
      <w:r w:rsidR="00500A8C" w:rsidRPr="000369E1">
        <w:rPr>
          <w:rFonts w:ascii="Times New Roman" w:eastAsia="Times New Roman" w:hAnsi="Times New Roman" w:cs="Times New Roman"/>
          <w:sz w:val="24"/>
          <w:szCs w:val="24"/>
        </w:rPr>
        <w:t xml:space="preserve">. </w:t>
      </w:r>
    </w:p>
    <w:p w14:paraId="09788A51" w14:textId="7C02E01C" w:rsidR="00182E72" w:rsidRPr="000369E1" w:rsidRDefault="00480C90" w:rsidP="00724C64">
      <w:pPr>
        <w:pStyle w:val="ListParagraph"/>
        <w:numPr>
          <w:ilvl w:val="1"/>
          <w:numId w:val="15"/>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Tailoring Strategies:</w:t>
      </w:r>
    </w:p>
    <w:p w14:paraId="277923A8" w14:textId="77777777" w:rsidR="006960AD" w:rsidRDefault="00A6678A" w:rsidP="00724C64">
      <w:pPr>
        <w:spacing w:before="240" w:after="240" w:line="240" w:lineRule="auto"/>
        <w:jc w:val="both"/>
        <w:rPr>
          <w:rFonts w:ascii="Times New Roman" w:eastAsia="Times New Roman" w:hAnsi="Times New Roman" w:cs="Times New Roman"/>
          <w:sz w:val="24"/>
          <w:szCs w:val="24"/>
        </w:rPr>
      </w:pPr>
      <w:r w:rsidRPr="00A6678A">
        <w:rPr>
          <w:rFonts w:ascii="Times New Roman" w:eastAsia="Times New Roman" w:hAnsi="Times New Roman" w:cs="Times New Roman"/>
          <w:sz w:val="24"/>
          <w:szCs w:val="24"/>
        </w:rPr>
        <w:t xml:space="preserve">The research articles have a number of strategies that will help to effectively tailor nutritional interventions. </w:t>
      </w:r>
    </w:p>
    <w:p w14:paraId="2388CBB5" w14:textId="77777777" w:rsidR="006960AD" w:rsidRDefault="00A6678A" w:rsidP="00724C64">
      <w:pPr>
        <w:spacing w:before="240" w:after="240" w:line="240" w:lineRule="auto"/>
        <w:jc w:val="both"/>
        <w:rPr>
          <w:rFonts w:ascii="Times New Roman" w:eastAsia="Times New Roman" w:hAnsi="Times New Roman" w:cs="Times New Roman"/>
          <w:sz w:val="24"/>
          <w:szCs w:val="24"/>
        </w:rPr>
      </w:pPr>
      <w:r w:rsidRPr="00A6678A">
        <w:rPr>
          <w:rFonts w:ascii="Times New Roman" w:eastAsia="Times New Roman" w:hAnsi="Times New Roman" w:cs="Times New Roman"/>
          <w:sz w:val="24"/>
          <w:szCs w:val="24"/>
        </w:rPr>
        <w:t xml:space="preserve">S. Kalaiselvi et al. (2016) recommended urgency intersectoral approaches to counteract the high levels of undernutrition (24.8 0) among the elderly population in a rural area in Puducherry, South India. The authors highlighted the need to implement community-based interventions and food insecurity, which might require support through the establishment of local </w:t>
      </w:r>
      <w:r w:rsidR="006960AD" w:rsidRPr="00A6678A">
        <w:rPr>
          <w:rFonts w:ascii="Times New Roman" w:eastAsia="Times New Roman" w:hAnsi="Times New Roman" w:cs="Times New Roman"/>
          <w:sz w:val="24"/>
          <w:szCs w:val="24"/>
        </w:rPr>
        <w:t>organizations</w:t>
      </w:r>
      <w:r w:rsidRPr="00A6678A">
        <w:rPr>
          <w:rFonts w:ascii="Times New Roman" w:eastAsia="Times New Roman" w:hAnsi="Times New Roman" w:cs="Times New Roman"/>
          <w:sz w:val="24"/>
          <w:szCs w:val="24"/>
        </w:rPr>
        <w:t xml:space="preserve"> and stakeholders to come up with culturally relevant and sustainable solutions. </w:t>
      </w:r>
    </w:p>
    <w:p w14:paraId="3E6D0D58" w14:textId="77777777" w:rsidR="006960AD" w:rsidRDefault="00A6678A" w:rsidP="00724C64">
      <w:pPr>
        <w:spacing w:before="240" w:after="240" w:line="240" w:lineRule="auto"/>
        <w:jc w:val="both"/>
        <w:rPr>
          <w:rFonts w:ascii="Times New Roman" w:eastAsia="Times New Roman" w:hAnsi="Times New Roman" w:cs="Times New Roman"/>
          <w:sz w:val="24"/>
          <w:szCs w:val="24"/>
        </w:rPr>
      </w:pPr>
      <w:r w:rsidRPr="00A6678A">
        <w:rPr>
          <w:rFonts w:ascii="Times New Roman" w:eastAsia="Times New Roman" w:hAnsi="Times New Roman" w:cs="Times New Roman"/>
          <w:sz w:val="24"/>
          <w:szCs w:val="24"/>
        </w:rPr>
        <w:t xml:space="preserve">Rashmi Agarwalla et al. (2023) found that financial constraints were a major impediment to adequate caloric intake in the elderly participants, and 52.7 per cent of the participants were not eating sufficiently enough caloric. The above discovery emphasizes the need to integrate </w:t>
      </w:r>
      <w:r w:rsidRPr="00A6678A">
        <w:rPr>
          <w:rFonts w:ascii="Times New Roman" w:eastAsia="Times New Roman" w:hAnsi="Times New Roman" w:cs="Times New Roman"/>
          <w:sz w:val="24"/>
          <w:szCs w:val="24"/>
        </w:rPr>
        <w:lastRenderedPageBreak/>
        <w:t xml:space="preserve">financial assistance </w:t>
      </w:r>
      <w:r w:rsidR="006960AD" w:rsidRPr="00A6678A">
        <w:rPr>
          <w:rFonts w:ascii="Times New Roman" w:eastAsia="Times New Roman" w:hAnsi="Times New Roman" w:cs="Times New Roman"/>
          <w:sz w:val="24"/>
          <w:szCs w:val="24"/>
        </w:rPr>
        <w:t>programs</w:t>
      </w:r>
      <w:r w:rsidRPr="00A6678A">
        <w:rPr>
          <w:rFonts w:ascii="Times New Roman" w:eastAsia="Times New Roman" w:hAnsi="Times New Roman" w:cs="Times New Roman"/>
          <w:sz w:val="24"/>
          <w:szCs w:val="24"/>
        </w:rPr>
        <w:t xml:space="preserve"> or subsidies to enhance people with </w:t>
      </w:r>
      <w:r w:rsidR="006960AD" w:rsidRPr="00A6678A">
        <w:rPr>
          <w:rFonts w:ascii="Times New Roman" w:eastAsia="Times New Roman" w:hAnsi="Times New Roman" w:cs="Times New Roman"/>
          <w:sz w:val="24"/>
          <w:szCs w:val="24"/>
        </w:rPr>
        <w:t>low-income</w:t>
      </w:r>
      <w:r w:rsidRPr="00A6678A">
        <w:rPr>
          <w:rFonts w:ascii="Times New Roman" w:eastAsia="Times New Roman" w:hAnsi="Times New Roman" w:cs="Times New Roman"/>
          <w:sz w:val="24"/>
          <w:szCs w:val="24"/>
        </w:rPr>
        <w:t xml:space="preserve"> access to nutritious foods as older adults. </w:t>
      </w:r>
    </w:p>
    <w:p w14:paraId="091A5953" w14:textId="77777777" w:rsidR="007E05A5" w:rsidRDefault="00A6678A" w:rsidP="00724C64">
      <w:pPr>
        <w:spacing w:before="240" w:after="240" w:line="240" w:lineRule="auto"/>
        <w:jc w:val="both"/>
        <w:rPr>
          <w:rFonts w:ascii="Times New Roman" w:eastAsia="Times New Roman" w:hAnsi="Times New Roman" w:cs="Times New Roman"/>
          <w:sz w:val="24"/>
          <w:szCs w:val="24"/>
        </w:rPr>
      </w:pPr>
      <w:r w:rsidRPr="00A6678A">
        <w:rPr>
          <w:rFonts w:ascii="Times New Roman" w:eastAsia="Times New Roman" w:hAnsi="Times New Roman" w:cs="Times New Roman"/>
          <w:sz w:val="24"/>
          <w:szCs w:val="24"/>
        </w:rPr>
        <w:t xml:space="preserve">The team of Junaid Khan et al. (2021) has observed that the nutritional status varies based on geographic location and access to health -care services, which implies the necessity to implement specific interventions that can potentially address the barriers to accessing nutritional resources in underserved or remote regions. </w:t>
      </w:r>
    </w:p>
    <w:p w14:paraId="30BF15BF" w14:textId="4826871E" w:rsidR="002F78BC" w:rsidRPr="000369E1" w:rsidRDefault="00A6678A" w:rsidP="00724C64">
      <w:pPr>
        <w:spacing w:before="240" w:after="240" w:line="240" w:lineRule="auto"/>
        <w:jc w:val="both"/>
        <w:rPr>
          <w:rFonts w:ascii="Times New Roman" w:eastAsia="Times New Roman" w:hAnsi="Times New Roman" w:cs="Times New Roman"/>
          <w:b/>
          <w:sz w:val="24"/>
          <w:szCs w:val="24"/>
          <w:u w:val="single"/>
        </w:rPr>
      </w:pPr>
      <w:r w:rsidRPr="00A6678A">
        <w:rPr>
          <w:rFonts w:ascii="Times New Roman" w:eastAsia="Times New Roman" w:hAnsi="Times New Roman" w:cs="Times New Roman"/>
          <w:sz w:val="24"/>
          <w:szCs w:val="24"/>
        </w:rPr>
        <w:t xml:space="preserve">With these tailoring strategies (collaboration with local stakeholders, financial assistance </w:t>
      </w:r>
      <w:r w:rsidR="006960AD" w:rsidRPr="00A6678A">
        <w:rPr>
          <w:rFonts w:ascii="Times New Roman" w:eastAsia="Times New Roman" w:hAnsi="Times New Roman" w:cs="Times New Roman"/>
          <w:sz w:val="24"/>
          <w:szCs w:val="24"/>
        </w:rPr>
        <w:t>programs</w:t>
      </w:r>
      <w:r w:rsidRPr="00A6678A">
        <w:rPr>
          <w:rFonts w:ascii="Times New Roman" w:eastAsia="Times New Roman" w:hAnsi="Times New Roman" w:cs="Times New Roman"/>
          <w:sz w:val="24"/>
          <w:szCs w:val="24"/>
        </w:rPr>
        <w:t xml:space="preserve">, and geographic barriers), health-care professionals, policymakers, and community </w:t>
      </w:r>
      <w:r w:rsidR="006960AD" w:rsidRPr="00A6678A">
        <w:rPr>
          <w:rFonts w:ascii="Times New Roman" w:eastAsia="Times New Roman" w:hAnsi="Times New Roman" w:cs="Times New Roman"/>
          <w:sz w:val="24"/>
          <w:szCs w:val="24"/>
        </w:rPr>
        <w:t>organizations</w:t>
      </w:r>
      <w:r w:rsidRPr="00A6678A">
        <w:rPr>
          <w:rFonts w:ascii="Times New Roman" w:eastAsia="Times New Roman" w:hAnsi="Times New Roman" w:cs="Times New Roman"/>
          <w:sz w:val="24"/>
          <w:szCs w:val="24"/>
        </w:rPr>
        <w:t xml:space="preserve"> have a chance to improve the acceptability, accessibility and efficacy of nutritional interventions and in the end improve the nutritional status of older adults with different socioeconomic and cultural backgrounds</w:t>
      </w:r>
      <w:r w:rsidR="00500A8C" w:rsidRPr="000369E1">
        <w:rPr>
          <w:rFonts w:ascii="Times New Roman" w:eastAsia="Times New Roman" w:hAnsi="Times New Roman" w:cs="Times New Roman"/>
          <w:sz w:val="24"/>
          <w:szCs w:val="24"/>
        </w:rPr>
        <w:t>.</w:t>
      </w:r>
    </w:p>
    <w:p w14:paraId="468F9350" w14:textId="7E4DB92D" w:rsidR="002F78BC" w:rsidRPr="000369E1" w:rsidRDefault="00367FD3" w:rsidP="00724C64">
      <w:pPr>
        <w:pStyle w:val="Heading2"/>
        <w:spacing w:line="240" w:lineRule="auto"/>
        <w:jc w:val="center"/>
        <w:rPr>
          <w:rFonts w:ascii="Times New Roman" w:hAnsi="Times New Roman" w:cs="Times New Roman"/>
          <w:b/>
          <w:bCs/>
          <w:sz w:val="28"/>
          <w:szCs w:val="28"/>
        </w:rPr>
      </w:pPr>
      <w:bookmarkStart w:id="18" w:name="_Chapter_4-_State"/>
      <w:bookmarkStart w:id="19" w:name="_Toc212728114"/>
      <w:bookmarkEnd w:id="18"/>
      <w:r w:rsidRPr="000369E1">
        <w:rPr>
          <w:rFonts w:ascii="Times New Roman" w:hAnsi="Times New Roman" w:cs="Times New Roman"/>
          <w:b/>
          <w:bCs/>
          <w:sz w:val="28"/>
          <w:szCs w:val="28"/>
        </w:rPr>
        <w:t xml:space="preserve">Chapter </w:t>
      </w:r>
      <w:r w:rsidR="00581E45" w:rsidRPr="000369E1">
        <w:rPr>
          <w:rFonts w:ascii="Times New Roman" w:hAnsi="Times New Roman" w:cs="Times New Roman"/>
          <w:b/>
          <w:bCs/>
          <w:sz w:val="28"/>
          <w:szCs w:val="28"/>
        </w:rPr>
        <w:t xml:space="preserve">9 </w:t>
      </w:r>
      <w:r w:rsidRPr="000369E1">
        <w:rPr>
          <w:rFonts w:ascii="Times New Roman" w:hAnsi="Times New Roman" w:cs="Times New Roman"/>
          <w:b/>
          <w:bCs/>
          <w:sz w:val="28"/>
          <w:szCs w:val="28"/>
        </w:rPr>
        <w:t xml:space="preserve">- </w:t>
      </w:r>
      <w:r w:rsidR="00113076" w:rsidRPr="000369E1">
        <w:rPr>
          <w:rFonts w:ascii="Times New Roman" w:hAnsi="Times New Roman" w:cs="Times New Roman"/>
          <w:b/>
          <w:bCs/>
          <w:sz w:val="28"/>
          <w:szCs w:val="28"/>
        </w:rPr>
        <w:t>State intervention</w:t>
      </w:r>
      <w:bookmarkEnd w:id="19"/>
    </w:p>
    <w:p w14:paraId="10440CAC" w14:textId="4F433649" w:rsidR="00113076" w:rsidRPr="000369E1" w:rsidRDefault="00113076" w:rsidP="00724C64">
      <w:pPr>
        <w:pStyle w:val="whitespace-pre-wrap"/>
        <w:numPr>
          <w:ilvl w:val="0"/>
          <w:numId w:val="20"/>
        </w:numPr>
        <w:jc w:val="both"/>
        <w:rPr>
          <w:b/>
          <w:bCs/>
        </w:rPr>
      </w:pPr>
      <w:r w:rsidRPr="000369E1">
        <w:rPr>
          <w:b/>
          <w:bCs/>
        </w:rPr>
        <w:t>Research Findings:</w:t>
      </w:r>
    </w:p>
    <w:p w14:paraId="2514A869" w14:textId="2CCE077D" w:rsidR="00113076" w:rsidRPr="000369E1" w:rsidRDefault="007E05A5" w:rsidP="00724C64">
      <w:pPr>
        <w:pStyle w:val="whitespace-pre-wrap"/>
        <w:jc w:val="both"/>
      </w:pPr>
      <w:r w:rsidRPr="007E05A5">
        <w:rPr>
          <w:lang w:val="en"/>
        </w:rPr>
        <w:t>The research papers engage in a collective expression of the terribly high rate of undernutrition, malnutrition risk and nutrient deficiencies among the older adults in different areas and specifically in rural and low resource areas in India. As an example, 21.4% of the elderly respondents were malnourished, and 32.65% were in danger of malnutrition in an Indian rural locality (Rajan et al., 2020). Similarly, Ramya M.S. et al. (2017) found that 21.33 per cent of the population was malnourished, and 47.33 per cent was at risk of malnutrition in an urban centre of Bengaluru. Among the major causes of the impaired nutritional status of elderly individuals, the following issues are identified socioeconomic barriers, inability to access nutritious foods, cultural factors, social support deficit, and chronic health problems (Lahiri et al., 2015; Saha et al., 2014). Examples are that the poor protein consumption among the old population has been found by Arlappa et al. (2003) at 62.5% of the elderly studied, and a larger proportion (58.9) of the lower socioeconomic status group had poorer energy consumption relative to the higher socioeconomic group (35.5).</w:t>
      </w:r>
    </w:p>
    <w:p w14:paraId="248D9093" w14:textId="3BC11FD6" w:rsidR="00113076" w:rsidRPr="000369E1" w:rsidRDefault="00113076" w:rsidP="00724C64">
      <w:pPr>
        <w:pStyle w:val="whitespace-pre-wrap"/>
        <w:numPr>
          <w:ilvl w:val="0"/>
          <w:numId w:val="20"/>
        </w:numPr>
        <w:jc w:val="both"/>
        <w:rPr>
          <w:b/>
          <w:bCs/>
        </w:rPr>
      </w:pPr>
      <w:r w:rsidRPr="000369E1">
        <w:rPr>
          <w:b/>
          <w:bCs/>
        </w:rPr>
        <w:t>Government Initiatives: National Programme for the Health Care of Elderly (NPHCE)</w:t>
      </w:r>
    </w:p>
    <w:p w14:paraId="3564662D" w14:textId="5C54D6BF" w:rsidR="003E6104" w:rsidRDefault="006357D2" w:rsidP="00724C64">
      <w:pPr>
        <w:pStyle w:val="whitespace-pre-wrap"/>
        <w:jc w:val="both"/>
        <w:rPr>
          <w:lang w:val="en"/>
        </w:rPr>
      </w:pPr>
      <w:r w:rsidRPr="006357D2">
        <w:rPr>
          <w:lang w:val="en"/>
        </w:rPr>
        <w:t xml:space="preserve">In response to the rise in the elderly population in India, the Ministry of Health and Family Welfare introduced the National Program for the Health Care of Elderly (NPHCE) in 2010-11 to meet the nutritional requirements and healthcare issues of the aging population in India (Ministry of Health and Family Welfare, 2022). </w:t>
      </w:r>
    </w:p>
    <w:p w14:paraId="4461A6E9" w14:textId="27DBC6BF" w:rsidR="006357D2" w:rsidRPr="00B64E26" w:rsidRDefault="006357D2" w:rsidP="00724C64">
      <w:pPr>
        <w:pStyle w:val="whitespace-pre-wrap"/>
        <w:jc w:val="both"/>
        <w:rPr>
          <w:b/>
          <w:bCs/>
          <w:lang w:val="en"/>
        </w:rPr>
      </w:pPr>
      <w:r w:rsidRPr="00B64E26">
        <w:rPr>
          <w:b/>
          <w:bCs/>
          <w:lang w:val="en"/>
        </w:rPr>
        <w:t xml:space="preserve">The goals of the NPHCE are: </w:t>
      </w:r>
    </w:p>
    <w:p w14:paraId="360442A0" w14:textId="77777777" w:rsidR="006357D2" w:rsidRDefault="006357D2" w:rsidP="00724C64">
      <w:pPr>
        <w:pStyle w:val="whitespace-pre-wrap"/>
        <w:jc w:val="both"/>
        <w:rPr>
          <w:lang w:val="en"/>
        </w:rPr>
      </w:pPr>
      <w:r w:rsidRPr="006357D2">
        <w:rPr>
          <w:lang w:val="en"/>
        </w:rPr>
        <w:t xml:space="preserve">- Delivering affordable, accessible, and quality long-term, comprehensive, and dedicated care services to an ageing community. </w:t>
      </w:r>
    </w:p>
    <w:p w14:paraId="36D47DFF" w14:textId="77777777" w:rsidR="006357D2" w:rsidRDefault="006357D2" w:rsidP="00724C64">
      <w:pPr>
        <w:pStyle w:val="whitespace-pre-wrap"/>
        <w:jc w:val="both"/>
        <w:rPr>
          <w:lang w:val="en"/>
        </w:rPr>
      </w:pPr>
      <w:r w:rsidRPr="006357D2">
        <w:rPr>
          <w:lang w:val="en"/>
        </w:rPr>
        <w:lastRenderedPageBreak/>
        <w:t xml:space="preserve">- Introducing primary-care services in the district hospitals and sub-districts in the form of geriatric clinics, investigations, rehabilitation services, domiciliary visits, and caregiver-counselling. </w:t>
      </w:r>
    </w:p>
    <w:p w14:paraId="72437F0C" w14:textId="344923E3" w:rsidR="00113076" w:rsidRDefault="006357D2" w:rsidP="00724C64">
      <w:pPr>
        <w:pStyle w:val="whitespace-pre-wrap"/>
        <w:jc w:val="both"/>
      </w:pPr>
      <w:r w:rsidRPr="006357D2">
        <w:rPr>
          <w:lang w:val="en"/>
        </w:rPr>
        <w:t xml:space="preserve">- Providing tertiary care services with both outpatient and inpatient facilities, training of human resources in specializing in geriatric medicine, and research in Regional Geriatric </w:t>
      </w:r>
      <w:r w:rsidR="003E6104" w:rsidRPr="006357D2">
        <w:rPr>
          <w:lang w:val="en"/>
        </w:rPr>
        <w:t>Centers</w:t>
      </w:r>
      <w:r w:rsidRPr="006357D2">
        <w:rPr>
          <w:lang w:val="en"/>
        </w:rPr>
        <w:t xml:space="preserve"> and National </w:t>
      </w:r>
      <w:r w:rsidR="003E6104" w:rsidRPr="006357D2">
        <w:rPr>
          <w:lang w:val="en"/>
        </w:rPr>
        <w:t>Centers</w:t>
      </w:r>
      <w:r w:rsidRPr="006357D2">
        <w:rPr>
          <w:lang w:val="en"/>
        </w:rPr>
        <w:t xml:space="preserve"> of Aging</w:t>
      </w:r>
      <w:r w:rsidR="00113076" w:rsidRPr="000369E1">
        <w:t>.</w:t>
      </w:r>
    </w:p>
    <w:p w14:paraId="577BA10A" w14:textId="525E417A" w:rsidR="00B64E26" w:rsidRPr="000369E1" w:rsidRDefault="00B64E26" w:rsidP="00724C64">
      <w:pPr>
        <w:pStyle w:val="whitespace-pre-wrap"/>
        <w:jc w:val="both"/>
      </w:pPr>
      <w:r>
        <w:rPr>
          <w:lang w:val="en"/>
        </w:rPr>
        <w:t>I</w:t>
      </w:r>
      <w:r w:rsidRPr="00B64E26">
        <w:rPr>
          <w:lang w:val="en"/>
        </w:rPr>
        <w:t>n the interest of strengthening and increasing the scope of the NPHCE, there was the Longitudinal Aging Survey of India (LASI) which is conducted through a panel sample of older adults aged 45 years and above and covers all 30 states and 6 Union Territories (Ministry of Health &amp; Family Welfare, 2022). The survey is expected to give useful information and guide evidence-based policymaking to help in solving the health and nutritional issues affecting the old adult demographic.</w:t>
      </w:r>
    </w:p>
    <w:p w14:paraId="226DDA36" w14:textId="7E35DFAB" w:rsidR="00113076" w:rsidRPr="000369E1" w:rsidRDefault="00113076" w:rsidP="00724C64">
      <w:pPr>
        <w:pStyle w:val="whitespace-pre-wrap"/>
        <w:numPr>
          <w:ilvl w:val="0"/>
          <w:numId w:val="20"/>
        </w:numPr>
        <w:jc w:val="both"/>
        <w:rPr>
          <w:b/>
          <w:bCs/>
        </w:rPr>
      </w:pPr>
      <w:r w:rsidRPr="000369E1">
        <w:rPr>
          <w:b/>
          <w:bCs/>
        </w:rPr>
        <w:t>Strategies for Promoting Healthy Aging:</w:t>
      </w:r>
    </w:p>
    <w:p w14:paraId="68B7798F" w14:textId="77777777" w:rsidR="009F5324" w:rsidRDefault="00A04697" w:rsidP="00590D7C">
      <w:pPr>
        <w:pStyle w:val="whitespace-pre-wrap"/>
        <w:jc w:val="both"/>
        <w:rPr>
          <w:sz w:val="22"/>
          <w:szCs w:val="22"/>
          <w:lang w:val="en"/>
        </w:rPr>
      </w:pPr>
      <w:r w:rsidRPr="00A04697">
        <w:rPr>
          <w:sz w:val="22"/>
          <w:szCs w:val="22"/>
          <w:lang w:val="en"/>
        </w:rPr>
        <w:t>Following the combination of the research findings and the governmental initiatives via the NPHCE, the analysis focuses on the utilization of the different nutritional approaches and the community-based intervention to facilitate the healthy ageing of the elderly demographic in India. These include:</w:t>
      </w:r>
    </w:p>
    <w:p w14:paraId="031865B4" w14:textId="4AEF0A45" w:rsidR="009F5324" w:rsidRDefault="00A04697" w:rsidP="00590D7C">
      <w:pPr>
        <w:pStyle w:val="whitespace-pre-wrap"/>
        <w:jc w:val="both"/>
        <w:rPr>
          <w:sz w:val="22"/>
          <w:szCs w:val="22"/>
          <w:lang w:val="en"/>
        </w:rPr>
      </w:pPr>
      <w:r w:rsidRPr="00A04697">
        <w:rPr>
          <w:sz w:val="22"/>
          <w:szCs w:val="22"/>
          <w:lang w:val="en"/>
        </w:rPr>
        <w:t xml:space="preserve"> </w:t>
      </w:r>
      <w:r w:rsidR="009F5324">
        <w:rPr>
          <w:sz w:val="22"/>
          <w:szCs w:val="22"/>
          <w:lang w:val="en"/>
        </w:rPr>
        <w:t xml:space="preserve">1. </w:t>
      </w:r>
      <w:r w:rsidRPr="00A04697">
        <w:rPr>
          <w:sz w:val="22"/>
          <w:szCs w:val="22"/>
          <w:lang w:val="en"/>
        </w:rPr>
        <w:t xml:space="preserve">Creating age-specific dietary guidelines and recommendations taking into account the socioeconomic and cultural data (Arlappa et al., 2003; Khan et al., 2023). </w:t>
      </w:r>
    </w:p>
    <w:p w14:paraId="25905994" w14:textId="2F58F317" w:rsidR="009F5324" w:rsidRDefault="009F5324" w:rsidP="00590D7C">
      <w:pPr>
        <w:pStyle w:val="whitespace-pre-wrap"/>
        <w:jc w:val="both"/>
        <w:rPr>
          <w:sz w:val="22"/>
          <w:szCs w:val="22"/>
          <w:lang w:val="en"/>
        </w:rPr>
      </w:pPr>
      <w:r>
        <w:rPr>
          <w:sz w:val="22"/>
          <w:szCs w:val="22"/>
          <w:lang w:val="en"/>
        </w:rPr>
        <w:t xml:space="preserve">2. </w:t>
      </w:r>
      <w:r w:rsidR="00A04697" w:rsidRPr="00A04697">
        <w:rPr>
          <w:sz w:val="22"/>
          <w:szCs w:val="22"/>
          <w:lang w:val="en"/>
        </w:rPr>
        <w:t xml:space="preserve">Improving food security and access by implementing programs like community gardens, food assistance programs, and partnership with local stakeholders (Kalaiselvi et al., 2016). </w:t>
      </w:r>
    </w:p>
    <w:p w14:paraId="1D776013" w14:textId="2703B79B" w:rsidR="009F5324" w:rsidRDefault="009F5324" w:rsidP="00590D7C">
      <w:pPr>
        <w:pStyle w:val="whitespace-pre-wrap"/>
        <w:jc w:val="both"/>
        <w:rPr>
          <w:sz w:val="22"/>
          <w:szCs w:val="22"/>
          <w:lang w:val="en"/>
        </w:rPr>
      </w:pPr>
      <w:r>
        <w:rPr>
          <w:sz w:val="22"/>
          <w:szCs w:val="22"/>
          <w:lang w:val="en"/>
        </w:rPr>
        <w:t xml:space="preserve">3. </w:t>
      </w:r>
      <w:r w:rsidR="00A04697" w:rsidRPr="00A04697">
        <w:rPr>
          <w:sz w:val="22"/>
          <w:szCs w:val="22"/>
          <w:lang w:val="en"/>
        </w:rPr>
        <w:t xml:space="preserve">Introducing community-based strategies, including nutrition education campaigns, mobile screening clinics, and meal-programs, to target vulnerable groups and encourage dietary diversity (Pawar, 2022). </w:t>
      </w:r>
    </w:p>
    <w:p w14:paraId="24CD03C6" w14:textId="7BD286B4" w:rsidR="009F5324" w:rsidRDefault="009F5324" w:rsidP="00590D7C">
      <w:pPr>
        <w:pStyle w:val="whitespace-pre-wrap"/>
        <w:jc w:val="both"/>
        <w:rPr>
          <w:sz w:val="22"/>
          <w:szCs w:val="22"/>
          <w:lang w:val="en"/>
        </w:rPr>
      </w:pPr>
      <w:r>
        <w:rPr>
          <w:sz w:val="22"/>
          <w:szCs w:val="22"/>
          <w:lang w:val="en"/>
        </w:rPr>
        <w:t>4.</w:t>
      </w:r>
      <w:r w:rsidR="00A04697" w:rsidRPr="00A04697">
        <w:rPr>
          <w:sz w:val="22"/>
          <w:szCs w:val="22"/>
          <w:lang w:val="en"/>
        </w:rPr>
        <w:t xml:space="preserve"> Incorporating regular nutritional evaluation into geriatric care models and community-based screening interventions to identify in early-onset and provide the relevant interventions (Rajan et al., 2020; Saha et al., 2014).</w:t>
      </w:r>
    </w:p>
    <w:p w14:paraId="68CA6713" w14:textId="21DEA92D" w:rsidR="00296BC5" w:rsidRDefault="00A04697" w:rsidP="00590D7C">
      <w:pPr>
        <w:pStyle w:val="whitespace-pre-wrap"/>
        <w:jc w:val="both"/>
        <w:rPr>
          <w:sz w:val="22"/>
          <w:szCs w:val="22"/>
        </w:rPr>
      </w:pPr>
      <w:r w:rsidRPr="00A04697">
        <w:rPr>
          <w:sz w:val="22"/>
          <w:szCs w:val="22"/>
          <w:lang w:val="en"/>
        </w:rPr>
        <w:t xml:space="preserve"> </w:t>
      </w:r>
      <w:r w:rsidR="009F5324">
        <w:rPr>
          <w:sz w:val="22"/>
          <w:szCs w:val="22"/>
          <w:lang w:val="en"/>
        </w:rPr>
        <w:t>5.</w:t>
      </w:r>
      <w:r w:rsidRPr="00A04697">
        <w:rPr>
          <w:sz w:val="22"/>
          <w:szCs w:val="22"/>
          <w:lang w:val="en"/>
        </w:rPr>
        <w:t xml:space="preserve"> Adopting socioeconomic and cultural-specific interventions, including leaders, elders, and local organizations, as a way of promoting culturally relevant and sustainable resolutions (</w:t>
      </w:r>
      <w:r w:rsidR="009F5324" w:rsidRPr="009F5324">
        <w:rPr>
          <w:sz w:val="22"/>
          <w:szCs w:val="22"/>
          <w:lang w:val="en"/>
        </w:rPr>
        <w:t>Khan et al., 2023; Luthra et al., 2018</w:t>
      </w:r>
      <w:r w:rsidRPr="00A04697">
        <w:rPr>
          <w:sz w:val="22"/>
          <w:szCs w:val="22"/>
          <w:lang w:val="en"/>
        </w:rPr>
        <w:t>)</w:t>
      </w:r>
      <w:r w:rsidR="00113076" w:rsidRPr="000369E1">
        <w:rPr>
          <w:sz w:val="22"/>
          <w:szCs w:val="22"/>
        </w:rPr>
        <w:t>.</w:t>
      </w:r>
    </w:p>
    <w:p w14:paraId="06720511" w14:textId="1C249879" w:rsidR="00230036" w:rsidRPr="00590D7C" w:rsidRDefault="00230036" w:rsidP="00590D7C">
      <w:pPr>
        <w:pStyle w:val="whitespace-pre-wrap"/>
        <w:jc w:val="both"/>
        <w:rPr>
          <w:sz w:val="22"/>
          <w:szCs w:val="22"/>
        </w:rPr>
      </w:pPr>
      <w:r w:rsidRPr="00230036">
        <w:rPr>
          <w:sz w:val="22"/>
          <w:szCs w:val="22"/>
          <w:lang w:val="en"/>
        </w:rPr>
        <w:t>The integrated recommendations of the research with the efforts of the government such as the NPHCE, it is possible to create the comprehensive strategy aimed at tackling malnutrition, promoting the optimal levels of nutrient consumption, as well as helping the individuals in India to age successfully.</w:t>
      </w:r>
    </w:p>
    <w:p w14:paraId="716B2B2F" w14:textId="5997EAF8" w:rsidR="00710633" w:rsidRPr="000369E1" w:rsidRDefault="00581E45" w:rsidP="00724C64">
      <w:pPr>
        <w:pStyle w:val="Heading2"/>
        <w:spacing w:line="240" w:lineRule="auto"/>
        <w:jc w:val="center"/>
        <w:rPr>
          <w:rFonts w:ascii="Times New Roman" w:hAnsi="Times New Roman" w:cs="Times New Roman"/>
          <w:b/>
          <w:bCs/>
          <w:sz w:val="28"/>
          <w:szCs w:val="28"/>
        </w:rPr>
      </w:pPr>
      <w:bookmarkStart w:id="20" w:name="_Recommendation"/>
      <w:bookmarkStart w:id="21" w:name="_Toc212728115"/>
      <w:bookmarkEnd w:id="20"/>
      <w:r w:rsidRPr="000369E1">
        <w:rPr>
          <w:rFonts w:ascii="Times New Roman" w:hAnsi="Times New Roman" w:cs="Times New Roman"/>
          <w:b/>
          <w:bCs/>
          <w:sz w:val="28"/>
          <w:szCs w:val="28"/>
        </w:rPr>
        <w:t>Chapter 10 - Recommendation</w:t>
      </w:r>
      <w:bookmarkEnd w:id="21"/>
    </w:p>
    <w:p w14:paraId="1D401221" w14:textId="77777777" w:rsidR="007D698A"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The mitigation of malnutrition and food insecurity in the elderly population, especially those who represent the marginalized population and underserved communities, requires a multi-faceted and holistic approach through the principles of social justice and equity. A strong </w:t>
      </w:r>
      <w:r w:rsidRPr="00304B42">
        <w:rPr>
          <w:rFonts w:ascii="Times New Roman" w:eastAsia="Times New Roman" w:hAnsi="Times New Roman" w:cs="Times New Roman"/>
          <w:sz w:val="24"/>
          <w:szCs w:val="24"/>
        </w:rPr>
        <w:lastRenderedPageBreak/>
        <w:t xml:space="preserve">national policy and action plan should be developed by the government that addresses this issue first, in order to promote intersectoral cooperation among the various stakeholders, the government agencies, health care providers, social welfare </w:t>
      </w:r>
      <w:r w:rsidR="009938F0" w:rsidRPr="00304B42">
        <w:rPr>
          <w:rFonts w:ascii="Times New Roman" w:eastAsia="Times New Roman" w:hAnsi="Times New Roman" w:cs="Times New Roman"/>
          <w:sz w:val="24"/>
          <w:szCs w:val="24"/>
        </w:rPr>
        <w:t>organizations</w:t>
      </w:r>
      <w:r w:rsidRPr="00304B42">
        <w:rPr>
          <w:rFonts w:ascii="Times New Roman" w:eastAsia="Times New Roman" w:hAnsi="Times New Roman" w:cs="Times New Roman"/>
          <w:sz w:val="24"/>
          <w:szCs w:val="24"/>
        </w:rPr>
        <w:t xml:space="preserve"> and community groups. </w:t>
      </w:r>
    </w:p>
    <w:p w14:paraId="44BCD5F3" w14:textId="77777777" w:rsidR="007D698A"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One of these strategies should also be to develop a system of community-based </w:t>
      </w:r>
      <w:r w:rsidR="009938F0" w:rsidRPr="00304B42">
        <w:rPr>
          <w:rFonts w:ascii="Times New Roman" w:eastAsia="Times New Roman" w:hAnsi="Times New Roman" w:cs="Times New Roman"/>
          <w:sz w:val="24"/>
          <w:szCs w:val="24"/>
        </w:rPr>
        <w:t>programs</w:t>
      </w:r>
      <w:r w:rsidRPr="00304B42">
        <w:rPr>
          <w:rFonts w:ascii="Times New Roman" w:eastAsia="Times New Roman" w:hAnsi="Times New Roman" w:cs="Times New Roman"/>
          <w:sz w:val="24"/>
          <w:szCs w:val="24"/>
        </w:rPr>
        <w:t xml:space="preserve"> ensuring the availability of affordable and nutritious food to the older adults. This may include </w:t>
      </w:r>
      <w:r w:rsidR="009938F0" w:rsidRPr="00304B42">
        <w:rPr>
          <w:rFonts w:ascii="Times New Roman" w:eastAsia="Times New Roman" w:hAnsi="Times New Roman" w:cs="Times New Roman"/>
          <w:sz w:val="24"/>
          <w:szCs w:val="24"/>
        </w:rPr>
        <w:t>subsidized</w:t>
      </w:r>
      <w:r w:rsidRPr="00304B42">
        <w:rPr>
          <w:rFonts w:ascii="Times New Roman" w:eastAsia="Times New Roman" w:hAnsi="Times New Roman" w:cs="Times New Roman"/>
          <w:sz w:val="24"/>
          <w:szCs w:val="24"/>
        </w:rPr>
        <w:t xml:space="preserve"> food distribution schemes, community gardens and localized food banks that are specific to the aged. Also, financial assistance schemes and income support </w:t>
      </w:r>
      <w:r w:rsidR="009938F0" w:rsidRPr="00304B42">
        <w:rPr>
          <w:rFonts w:ascii="Times New Roman" w:eastAsia="Times New Roman" w:hAnsi="Times New Roman" w:cs="Times New Roman"/>
          <w:sz w:val="24"/>
          <w:szCs w:val="24"/>
        </w:rPr>
        <w:t>programs</w:t>
      </w:r>
      <w:r w:rsidRPr="00304B42">
        <w:rPr>
          <w:rFonts w:ascii="Times New Roman" w:eastAsia="Times New Roman" w:hAnsi="Times New Roman" w:cs="Times New Roman"/>
          <w:sz w:val="24"/>
          <w:szCs w:val="24"/>
        </w:rPr>
        <w:t xml:space="preserve"> should be introduced to curb the economic hurdle that limits access to healthy foods and healthcare services among the low-income and economically disadvantaged elderly. </w:t>
      </w:r>
    </w:p>
    <w:p w14:paraId="194B394C" w14:textId="77777777" w:rsidR="007D698A"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It is also important to promote social inclusion and solve the problem of isolation of the aging population. Government positions should be used to promote the formation of community kitchens and congregate meal locations in collaboration with the local </w:t>
      </w:r>
      <w:r w:rsidR="009938F0" w:rsidRPr="00304B42">
        <w:rPr>
          <w:rFonts w:ascii="Times New Roman" w:eastAsia="Times New Roman" w:hAnsi="Times New Roman" w:cs="Times New Roman"/>
          <w:sz w:val="24"/>
          <w:szCs w:val="24"/>
        </w:rPr>
        <w:t>organizations</w:t>
      </w:r>
      <w:r w:rsidRPr="00304B42">
        <w:rPr>
          <w:rFonts w:ascii="Times New Roman" w:eastAsia="Times New Roman" w:hAnsi="Times New Roman" w:cs="Times New Roman"/>
          <w:sz w:val="24"/>
          <w:szCs w:val="24"/>
        </w:rPr>
        <w:t xml:space="preserve"> and volunteers. Such programs would benefit not only by offering healthy food but also by offering socialization and social support, particularly in solitary or isolated individuals. </w:t>
      </w:r>
    </w:p>
    <w:p w14:paraId="59B7B18A" w14:textId="77777777" w:rsidR="00006696"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It is imperative to improve the access and availability of the available public healthcare services, and incorporate an overall nutritional evaluation and counselling of older individuals. Timely identification and treatment of malnutrition and nutrient deficiencies should be given a higher priority as older adults should be provided with the required support and interventions to preserve their health and well-being. </w:t>
      </w:r>
    </w:p>
    <w:p w14:paraId="0F709933" w14:textId="77777777" w:rsidR="00006696"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Education and awareness </w:t>
      </w:r>
      <w:r w:rsidR="009938F0" w:rsidRPr="00304B42">
        <w:rPr>
          <w:rFonts w:ascii="Times New Roman" w:eastAsia="Times New Roman" w:hAnsi="Times New Roman" w:cs="Times New Roman"/>
          <w:sz w:val="24"/>
          <w:szCs w:val="24"/>
        </w:rPr>
        <w:t>programs</w:t>
      </w:r>
      <w:r w:rsidRPr="00304B42">
        <w:rPr>
          <w:rFonts w:ascii="Times New Roman" w:eastAsia="Times New Roman" w:hAnsi="Times New Roman" w:cs="Times New Roman"/>
          <w:sz w:val="24"/>
          <w:szCs w:val="24"/>
        </w:rPr>
        <w:t xml:space="preserve"> should be created and put in place to encourage healthy ageing by taking appropriate nutrition. Such initiatives must be aimed at the elderly, caregivers, families and the community at large to create a shared sense of the understanding and commitment to the nutritional needs of the elderly.</w:t>
      </w:r>
    </w:p>
    <w:p w14:paraId="4E7551D0" w14:textId="77777777" w:rsidR="00006696"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It is imperative to invest in the research and data-collection projects in order to understand the peculiarities of the nutritional issues older adults face in various socioeconomic and cultural settings. Such evidence based can be used to develop specific interventions and policies that meet the needs of different populations. </w:t>
      </w:r>
    </w:p>
    <w:p w14:paraId="6ECF31CA" w14:textId="77777777" w:rsidR="00CB6850"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More importantly, active participation and the inclusion of older adults and their representatives should be of the main focus in planning, implementation, and evaluation of the policies and programs designed to enhance their nutritional status and health as a whole. Their voices and experiences should be incorporated in the </w:t>
      </w:r>
      <w:r w:rsidR="009938F0" w:rsidRPr="00304B42">
        <w:rPr>
          <w:rFonts w:ascii="Times New Roman" w:eastAsia="Times New Roman" w:hAnsi="Times New Roman" w:cs="Times New Roman"/>
          <w:sz w:val="24"/>
          <w:szCs w:val="24"/>
        </w:rPr>
        <w:t>decision-making</w:t>
      </w:r>
      <w:r w:rsidRPr="00304B42">
        <w:rPr>
          <w:rFonts w:ascii="Times New Roman" w:eastAsia="Times New Roman" w:hAnsi="Times New Roman" w:cs="Times New Roman"/>
          <w:sz w:val="24"/>
          <w:szCs w:val="24"/>
        </w:rPr>
        <w:t xml:space="preserve"> processes whereby interventions are sensitive to their needs and preferences. </w:t>
      </w:r>
    </w:p>
    <w:p w14:paraId="690B833E" w14:textId="77777777" w:rsidR="00CB6850"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Finally, the government should make sure that every policy and program concerning the nutritional requirements of the older adults should be based on the concept of social justice, equity, and human rights. The focus must be made on empowerment and support of the most vulnerable and </w:t>
      </w:r>
      <w:r w:rsidR="009938F0" w:rsidRPr="00304B42">
        <w:rPr>
          <w:rFonts w:ascii="Times New Roman" w:eastAsia="Times New Roman" w:hAnsi="Times New Roman" w:cs="Times New Roman"/>
          <w:sz w:val="24"/>
          <w:szCs w:val="24"/>
        </w:rPr>
        <w:t>marginalized</w:t>
      </w:r>
      <w:r w:rsidRPr="00304B42">
        <w:rPr>
          <w:rFonts w:ascii="Times New Roman" w:eastAsia="Times New Roman" w:hAnsi="Times New Roman" w:cs="Times New Roman"/>
          <w:sz w:val="24"/>
          <w:szCs w:val="24"/>
        </w:rPr>
        <w:t xml:space="preserve"> groups of the elderly population to maintain their rights to proper nutrition, health, and dignity. </w:t>
      </w:r>
    </w:p>
    <w:p w14:paraId="12F0A566" w14:textId="1DB5F883" w:rsidR="00BE04EA" w:rsidRPr="000369E1"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Through an all-encompassing and inclusive strategy that will take into account the multidimensional determinants of malnutrition and food insecurity among the elderly, the government can show its desire to bring about social justice and develop a </w:t>
      </w:r>
      <w:r w:rsidR="009938F0" w:rsidRPr="00304B42">
        <w:rPr>
          <w:rFonts w:ascii="Times New Roman" w:eastAsia="Times New Roman" w:hAnsi="Times New Roman" w:cs="Times New Roman"/>
          <w:sz w:val="24"/>
          <w:szCs w:val="24"/>
        </w:rPr>
        <w:t>fairer</w:t>
      </w:r>
      <w:r w:rsidRPr="00304B42">
        <w:rPr>
          <w:rFonts w:ascii="Times New Roman" w:eastAsia="Times New Roman" w:hAnsi="Times New Roman" w:cs="Times New Roman"/>
          <w:sz w:val="24"/>
          <w:szCs w:val="24"/>
        </w:rPr>
        <w:t xml:space="preserve"> society that </w:t>
      </w:r>
      <w:r w:rsidRPr="00304B42">
        <w:rPr>
          <w:rFonts w:ascii="Times New Roman" w:eastAsia="Times New Roman" w:hAnsi="Times New Roman" w:cs="Times New Roman"/>
          <w:sz w:val="24"/>
          <w:szCs w:val="24"/>
        </w:rPr>
        <w:lastRenderedPageBreak/>
        <w:t>would embrace and support the well-being of its members, irrespective of age and social economic status</w:t>
      </w:r>
      <w:r w:rsidR="00DE3AEC" w:rsidRPr="000369E1">
        <w:rPr>
          <w:rFonts w:ascii="Times New Roman" w:eastAsia="Times New Roman" w:hAnsi="Times New Roman" w:cs="Times New Roman"/>
          <w:sz w:val="24"/>
          <w:szCs w:val="24"/>
        </w:rPr>
        <w:t>.</w:t>
      </w:r>
    </w:p>
    <w:p w14:paraId="1BD0D467" w14:textId="369C13C1" w:rsidR="00182E72" w:rsidRPr="000369E1" w:rsidRDefault="00581E45" w:rsidP="00724C64">
      <w:pPr>
        <w:pStyle w:val="Heading2"/>
        <w:spacing w:line="240" w:lineRule="auto"/>
        <w:jc w:val="center"/>
        <w:rPr>
          <w:rFonts w:ascii="Times New Roman" w:hAnsi="Times New Roman" w:cs="Times New Roman"/>
          <w:b/>
          <w:bCs/>
          <w:sz w:val="28"/>
          <w:szCs w:val="28"/>
        </w:rPr>
      </w:pPr>
      <w:bookmarkStart w:id="22" w:name="_Conclusion"/>
      <w:bookmarkStart w:id="23" w:name="_Toc212728116"/>
      <w:bookmarkEnd w:id="22"/>
      <w:r w:rsidRPr="000369E1">
        <w:rPr>
          <w:rFonts w:ascii="Times New Roman" w:hAnsi="Times New Roman" w:cs="Times New Roman"/>
          <w:b/>
          <w:bCs/>
          <w:sz w:val="28"/>
          <w:szCs w:val="28"/>
        </w:rPr>
        <w:t>Chapter 11 - Conclusion</w:t>
      </w:r>
      <w:bookmarkEnd w:id="23"/>
    </w:p>
    <w:p w14:paraId="50EB32BA" w14:textId="77777777" w:rsidR="00FD5349" w:rsidRDefault="00CB6850" w:rsidP="00724C64">
      <w:pPr>
        <w:spacing w:line="240" w:lineRule="auto"/>
        <w:jc w:val="both"/>
        <w:rPr>
          <w:rFonts w:ascii="Times New Roman" w:eastAsia="Times New Roman" w:hAnsi="Times New Roman" w:cs="Times New Roman"/>
          <w:sz w:val="24"/>
          <w:szCs w:val="24"/>
        </w:rPr>
      </w:pPr>
      <w:r w:rsidRPr="00CB6850">
        <w:rPr>
          <w:rFonts w:ascii="Times New Roman" w:eastAsia="Times New Roman" w:hAnsi="Times New Roman" w:cs="Times New Roman"/>
          <w:sz w:val="24"/>
          <w:szCs w:val="24"/>
        </w:rPr>
        <w:t xml:space="preserve">The proliferating age population in India is facing a major health care challenge that is marked with rampant malnutrition and insufficient nutrient consumption. The overall results of the study articles depict a disturbingly high incidence of under-nutrition, malnutrition threat, and nutrient deficiencies among the older adults in different areas, especially in the rural and low-resource areas. The results highlight the necessity of the development of the most effective strategies and interventions to support the unique nutritional requirement of this risk population. </w:t>
      </w:r>
    </w:p>
    <w:p w14:paraId="56BBDB95" w14:textId="77777777" w:rsidR="00FD5349" w:rsidRDefault="00CB6850" w:rsidP="00724C64">
      <w:pPr>
        <w:spacing w:line="240" w:lineRule="auto"/>
        <w:jc w:val="both"/>
        <w:rPr>
          <w:rFonts w:ascii="Times New Roman" w:eastAsia="Times New Roman" w:hAnsi="Times New Roman" w:cs="Times New Roman"/>
          <w:sz w:val="24"/>
          <w:szCs w:val="24"/>
        </w:rPr>
      </w:pPr>
      <w:r w:rsidRPr="00CB6850">
        <w:rPr>
          <w:rFonts w:ascii="Times New Roman" w:eastAsia="Times New Roman" w:hAnsi="Times New Roman" w:cs="Times New Roman"/>
          <w:sz w:val="24"/>
          <w:szCs w:val="24"/>
        </w:rPr>
        <w:t xml:space="preserve">There are various ideal causes that have been enumerated as having led to the poor nutritional state of the older adults and they include socioeconomic barriers, inadequate access to healthy diets, cultural factors, social support, and chronic illnesses. These aspects tend to overlap and contribute to the risk of malnutrition, resulting in such negative outcomes as impaired physical and cognitive abilities, predisposition to infections, and a decrease in the overall quality of life. </w:t>
      </w:r>
    </w:p>
    <w:p w14:paraId="16384517" w14:textId="77777777" w:rsidR="00B31EEC" w:rsidRDefault="00B31EEC" w:rsidP="00724C64">
      <w:pPr>
        <w:spacing w:line="240" w:lineRule="auto"/>
        <w:jc w:val="both"/>
        <w:rPr>
          <w:rFonts w:ascii="Times New Roman" w:eastAsia="Times New Roman" w:hAnsi="Times New Roman" w:cs="Times New Roman"/>
          <w:sz w:val="24"/>
          <w:szCs w:val="24"/>
        </w:rPr>
      </w:pPr>
    </w:p>
    <w:p w14:paraId="0251F698" w14:textId="77777777" w:rsidR="00B31EEC" w:rsidRDefault="00CB6850" w:rsidP="00724C64">
      <w:pPr>
        <w:spacing w:line="240" w:lineRule="auto"/>
        <w:jc w:val="both"/>
        <w:rPr>
          <w:rFonts w:ascii="Times New Roman" w:eastAsia="Times New Roman" w:hAnsi="Times New Roman" w:cs="Times New Roman"/>
          <w:sz w:val="24"/>
          <w:szCs w:val="24"/>
        </w:rPr>
      </w:pPr>
      <w:r w:rsidRPr="00CB6850">
        <w:rPr>
          <w:rFonts w:ascii="Times New Roman" w:eastAsia="Times New Roman" w:hAnsi="Times New Roman" w:cs="Times New Roman"/>
          <w:sz w:val="24"/>
          <w:szCs w:val="24"/>
        </w:rPr>
        <w:t xml:space="preserve">In order to address this urgent problem, a complex solution is needed, which will engage the wide range of stakeholders and make use of different strategies. Routine nutritional assessments should be incorporated in geriatric care and </w:t>
      </w:r>
      <w:r w:rsidR="00FD5349" w:rsidRPr="00CB6850">
        <w:rPr>
          <w:rFonts w:ascii="Times New Roman" w:eastAsia="Times New Roman" w:hAnsi="Times New Roman" w:cs="Times New Roman"/>
          <w:sz w:val="24"/>
          <w:szCs w:val="24"/>
        </w:rPr>
        <w:t>community-based</w:t>
      </w:r>
      <w:r w:rsidRPr="00CB6850">
        <w:rPr>
          <w:rFonts w:ascii="Times New Roman" w:eastAsia="Times New Roman" w:hAnsi="Times New Roman" w:cs="Times New Roman"/>
          <w:sz w:val="24"/>
          <w:szCs w:val="24"/>
        </w:rPr>
        <w:t xml:space="preserve"> screening programs to be able to identify the condition and initiate timely interventions. To make sure that older adults receive practical and accessible guidance, it is possible to develop age-specific dietary guidelines and recommendations that consider the socioeconomic and cultural aspects. </w:t>
      </w:r>
    </w:p>
    <w:p w14:paraId="1C359E49" w14:textId="77777777" w:rsidR="00B31EEC" w:rsidRDefault="00B31EEC" w:rsidP="00724C64">
      <w:pPr>
        <w:spacing w:line="240" w:lineRule="auto"/>
        <w:jc w:val="both"/>
        <w:rPr>
          <w:rFonts w:ascii="Times New Roman" w:eastAsia="Times New Roman" w:hAnsi="Times New Roman" w:cs="Times New Roman"/>
          <w:sz w:val="24"/>
          <w:szCs w:val="24"/>
        </w:rPr>
      </w:pPr>
    </w:p>
    <w:p w14:paraId="50FD14A4" w14:textId="77777777" w:rsidR="00B31EEC" w:rsidRDefault="00CB6850" w:rsidP="00724C64">
      <w:pPr>
        <w:spacing w:line="240" w:lineRule="auto"/>
        <w:jc w:val="both"/>
        <w:rPr>
          <w:rFonts w:ascii="Times New Roman" w:eastAsia="Times New Roman" w:hAnsi="Times New Roman" w:cs="Times New Roman"/>
          <w:sz w:val="24"/>
          <w:szCs w:val="24"/>
        </w:rPr>
      </w:pPr>
      <w:r w:rsidRPr="00CB6850">
        <w:rPr>
          <w:rFonts w:ascii="Times New Roman" w:eastAsia="Times New Roman" w:hAnsi="Times New Roman" w:cs="Times New Roman"/>
          <w:sz w:val="24"/>
          <w:szCs w:val="24"/>
        </w:rPr>
        <w:t xml:space="preserve">Economic barriers, including food access and security, can be overcome by promoting access to nutritious foods by community gardens, food assistance programs, partnerships with local stakeholders, and other efforts. The intervention strategies that can be used in the community such as nutrition education campaigns, mobile screening clinics, and meal programs have the potential to address the vulnerable populations and promote dietary diversity. Demandingly, the interventions should be custom-defined to meet socioeconomic and cultural factors to determine their acceptability, accessibility, and effectiveness. Engagement of the community leaders, elders, and local organizations can encourage the development of culturally appropriate and sustainable solutions that appeal to the target population. Also, ongoing research and data gathering play a crucial role in the process of informing evidence-based policy making, discovering new challenges and creating specific interventions to work with various elderly groups in various regions and environments. </w:t>
      </w:r>
    </w:p>
    <w:p w14:paraId="60D7C1FB" w14:textId="77777777" w:rsidR="00B31EEC" w:rsidRDefault="00B31EEC" w:rsidP="00724C64">
      <w:pPr>
        <w:spacing w:line="240" w:lineRule="auto"/>
        <w:jc w:val="both"/>
        <w:rPr>
          <w:rFonts w:ascii="Times New Roman" w:eastAsia="Times New Roman" w:hAnsi="Times New Roman" w:cs="Times New Roman"/>
          <w:sz w:val="24"/>
          <w:szCs w:val="24"/>
        </w:rPr>
      </w:pPr>
    </w:p>
    <w:p w14:paraId="3061DC28" w14:textId="180DB4A4" w:rsidR="00182E72" w:rsidRPr="000369E1" w:rsidRDefault="00CB6850" w:rsidP="00724C64">
      <w:pPr>
        <w:spacing w:line="240" w:lineRule="auto"/>
        <w:jc w:val="both"/>
        <w:rPr>
          <w:rFonts w:ascii="Times New Roman" w:eastAsia="Times New Roman" w:hAnsi="Times New Roman" w:cs="Times New Roman"/>
          <w:sz w:val="24"/>
          <w:szCs w:val="24"/>
        </w:rPr>
      </w:pPr>
      <w:r w:rsidRPr="00CB6850">
        <w:rPr>
          <w:rFonts w:ascii="Times New Roman" w:eastAsia="Times New Roman" w:hAnsi="Times New Roman" w:cs="Times New Roman"/>
          <w:sz w:val="24"/>
          <w:szCs w:val="24"/>
        </w:rPr>
        <w:t>The adoption of an interdisciplinary method of combining all these strategies and recommendations can help policymakers, healthcare professionals, and society stakeholders to work together to transform the nutritional condition and well-being of the ageing populations in India. Optimal nutrition can help to promote healthy ageing by lowering the frequency of age-associated illnesses and improvements in functional independence, as well as providing older adults with a dignified and rewarding life. The nutritional needs of the aged population can only be met on a long-term basis, through a joint effort, and an understanding of the complex dimension of this issue. Through concerted action and evidence-based policies, the enabling environment can be created that will enable older adults to gain access to and sustain proper nutrition that will eventually facilitate their general health, well-being, and quality of life</w:t>
      </w:r>
      <w:r w:rsidRPr="000369E1">
        <w:rPr>
          <w:rFonts w:ascii="Times New Roman" w:eastAsia="Times New Roman" w:hAnsi="Times New Roman" w:cs="Times New Roman"/>
          <w:sz w:val="24"/>
          <w:szCs w:val="24"/>
        </w:rPr>
        <w:t>.</w:t>
      </w:r>
    </w:p>
    <w:p w14:paraId="4412A075" w14:textId="77777777" w:rsidR="00D211BC" w:rsidRDefault="00D211BC" w:rsidP="00724C64">
      <w:pPr>
        <w:spacing w:line="240" w:lineRule="auto"/>
        <w:rPr>
          <w:rFonts w:ascii="Times New Roman" w:hAnsi="Times New Roman" w:cs="Times New Roman"/>
          <w:b/>
          <w:bCs/>
          <w:sz w:val="28"/>
          <w:szCs w:val="28"/>
        </w:rPr>
      </w:pPr>
      <w:bookmarkStart w:id="24" w:name="_References"/>
      <w:bookmarkEnd w:id="24"/>
      <w:r>
        <w:rPr>
          <w:rFonts w:ascii="Times New Roman" w:hAnsi="Times New Roman" w:cs="Times New Roman"/>
          <w:b/>
          <w:bCs/>
          <w:sz w:val="28"/>
          <w:szCs w:val="28"/>
        </w:rPr>
        <w:lastRenderedPageBreak/>
        <w:br w:type="page"/>
      </w:r>
    </w:p>
    <w:p w14:paraId="077CC942" w14:textId="776A4CD6" w:rsidR="00182E72" w:rsidRPr="00414623" w:rsidRDefault="00480C90" w:rsidP="00724C64">
      <w:pPr>
        <w:pStyle w:val="Heading2"/>
        <w:spacing w:line="240" w:lineRule="auto"/>
        <w:jc w:val="center"/>
        <w:rPr>
          <w:rFonts w:ascii="Times New Roman" w:hAnsi="Times New Roman" w:cs="Times New Roman"/>
          <w:b/>
          <w:bCs/>
          <w:sz w:val="28"/>
          <w:szCs w:val="28"/>
        </w:rPr>
      </w:pPr>
      <w:bookmarkStart w:id="25" w:name="_Toc212728117"/>
      <w:r w:rsidRPr="00414623">
        <w:rPr>
          <w:rFonts w:ascii="Times New Roman" w:hAnsi="Times New Roman" w:cs="Times New Roman"/>
          <w:b/>
          <w:bCs/>
          <w:sz w:val="28"/>
          <w:szCs w:val="28"/>
        </w:rPr>
        <w:lastRenderedPageBreak/>
        <w:t>References</w:t>
      </w:r>
      <w:bookmarkEnd w:id="25"/>
    </w:p>
    <w:p w14:paraId="59419898" w14:textId="77777777" w:rsidR="00182E72" w:rsidRDefault="00182E72" w:rsidP="00724C64">
      <w:pPr>
        <w:spacing w:line="240" w:lineRule="auto"/>
        <w:rPr>
          <w:rFonts w:ascii="Times New Roman" w:eastAsia="Times New Roman" w:hAnsi="Times New Roman" w:cs="Times New Roman"/>
        </w:rPr>
      </w:pPr>
    </w:p>
    <w:p w14:paraId="4487D679" w14:textId="4470C8BF"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Ramya M. S., Ranganath T. S., Jyothi Jadhav, &amp; Swetha N. B. (2017). Assessing the nutritional status among the elderly and factors influencing it: A cross-sectional study in an urban area, Bengaluru.International Journal of Community Medicine and Public Health</w:t>
      </w:r>
      <w:proofErr w:type="gramStart"/>
      <w:r w:rsidRPr="00414623">
        <w:rPr>
          <w:rFonts w:ascii="Times New Roman" w:eastAsia="Times New Roman" w:hAnsi="Times New Roman" w:cs="Times New Roman"/>
          <w:sz w:val="24"/>
          <w:szCs w:val="24"/>
        </w:rPr>
        <w:t>,May</w:t>
      </w:r>
      <w:proofErr w:type="gramEnd"/>
      <w:r w:rsidRPr="00414623">
        <w:rPr>
          <w:rFonts w:ascii="Times New Roman" w:eastAsia="Times New Roman" w:hAnsi="Times New Roman" w:cs="Times New Roman"/>
          <w:sz w:val="24"/>
          <w:szCs w:val="24"/>
        </w:rPr>
        <w:t xml:space="preserve"> 2017,Vol 4,Issue 5</w:t>
      </w:r>
      <w:r w:rsidR="00BB0D6B" w:rsidRPr="00414623">
        <w:rPr>
          <w:rFonts w:ascii="Times New Roman" w:eastAsia="Times New Roman" w:hAnsi="Times New Roman" w:cs="Times New Roman"/>
          <w:sz w:val="24"/>
          <w:szCs w:val="24"/>
        </w:rPr>
        <w:t xml:space="preserve">. </w:t>
      </w:r>
      <w:hyperlink r:id="rId9" w:history="1">
        <w:r w:rsidR="00BB0D6B" w:rsidRPr="00414623">
          <w:rPr>
            <w:rStyle w:val="Hyperlink"/>
            <w:rFonts w:ascii="Times New Roman" w:eastAsia="Times New Roman" w:hAnsi="Times New Roman" w:cs="Times New Roman"/>
            <w:sz w:val="24"/>
            <w:szCs w:val="24"/>
          </w:rPr>
          <w:t>https://www.ijcmph.com/index.php/ijcmph/article/view/1210</w:t>
        </w:r>
      </w:hyperlink>
      <w:r w:rsidR="00BB0D6B" w:rsidRPr="00414623">
        <w:rPr>
          <w:rFonts w:ascii="Times New Roman" w:eastAsia="Times New Roman" w:hAnsi="Times New Roman" w:cs="Times New Roman"/>
          <w:sz w:val="24"/>
          <w:szCs w:val="24"/>
        </w:rPr>
        <w:t xml:space="preserve"> </w:t>
      </w:r>
    </w:p>
    <w:p w14:paraId="59DD686F"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2A3BBA9F" w14:textId="60669134"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S. Palanivel Rajan, S. Jeevithan, D. Shanmugapriya, &amp; L. Padmavathy. Nutritional status assessment among elderly population in a rural area of South India.International Journal of Community Medicine and Public Health,July 2020,Vol 7,Issue 7</w:t>
      </w:r>
      <w:r w:rsidR="00BB0D6B" w:rsidRPr="00414623">
        <w:rPr>
          <w:rFonts w:ascii="Times New Roman" w:eastAsia="Times New Roman" w:hAnsi="Times New Roman" w:cs="Times New Roman"/>
          <w:sz w:val="24"/>
          <w:szCs w:val="24"/>
        </w:rPr>
        <w:t xml:space="preserve">. </w:t>
      </w:r>
      <w:hyperlink r:id="rId10" w:history="1">
        <w:r w:rsidR="00BB0D6B" w:rsidRPr="00414623">
          <w:rPr>
            <w:rStyle w:val="Hyperlink"/>
            <w:rFonts w:ascii="Times New Roman" w:eastAsia="Times New Roman" w:hAnsi="Times New Roman" w:cs="Times New Roman"/>
            <w:sz w:val="24"/>
            <w:szCs w:val="24"/>
          </w:rPr>
          <w:t>https://www.ijcmph.com/index.php/ijcmph/article/view/6530</w:t>
        </w:r>
      </w:hyperlink>
      <w:r w:rsidR="00BB0D6B" w:rsidRPr="00414623">
        <w:rPr>
          <w:rFonts w:ascii="Times New Roman" w:eastAsia="Times New Roman" w:hAnsi="Times New Roman" w:cs="Times New Roman"/>
          <w:sz w:val="24"/>
          <w:szCs w:val="24"/>
        </w:rPr>
        <w:t xml:space="preserve"> </w:t>
      </w:r>
    </w:p>
    <w:p w14:paraId="70CD1C91"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5073375C" w14:textId="1DFC3D6C"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 xml:space="preserve">N. Arlappa MBBS , N. Balakrishna MSc, PhD , Sharad Kumar MA, MPhil , G. N. V. Brahmam MBBS, DPH &amp; K. Vijayaraghavan MBBS, MSc(AN) MSc (Comm. Hlth.) (2003) Diet and Nutritional Status of the Elderly in Rural India, Journal of Nutrition For the Elderly, 22:4, 35-52, DOI: 10.1300/J052v22n04_03, </w:t>
      </w:r>
      <w:hyperlink r:id="rId11">
        <w:r w:rsidR="00182E72" w:rsidRPr="00414623">
          <w:rPr>
            <w:rFonts w:ascii="Times New Roman" w:eastAsia="Times New Roman" w:hAnsi="Times New Roman" w:cs="Times New Roman"/>
            <w:color w:val="1155CC"/>
            <w:sz w:val="24"/>
            <w:szCs w:val="24"/>
            <w:u w:val="single"/>
          </w:rPr>
          <w:t>http://dx.doi.org/10.1300/J052v22n04_03</w:t>
        </w:r>
      </w:hyperlink>
    </w:p>
    <w:p w14:paraId="7F252E3E"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6F1F96D7" w14:textId="07CDD9B2"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Agarwalla, R., Saikia, A. M., &amp; Baruah, R. Assessment of the nutritional status of the elderly and its correlates.Journal of Family and Community Medicine,January 2015,Vol 22,Issue 1,39-43</w:t>
      </w:r>
      <w:r w:rsidR="00BB0D6B" w:rsidRPr="00414623">
        <w:rPr>
          <w:rFonts w:ascii="Times New Roman" w:eastAsia="Times New Roman" w:hAnsi="Times New Roman" w:cs="Times New Roman"/>
          <w:sz w:val="24"/>
          <w:szCs w:val="24"/>
        </w:rPr>
        <w:t xml:space="preserve">. </w:t>
      </w:r>
      <w:hyperlink r:id="rId12" w:history="1">
        <w:r w:rsidR="00BB0D6B" w:rsidRPr="00414623">
          <w:rPr>
            <w:rStyle w:val="Hyperlink"/>
            <w:rFonts w:ascii="Times New Roman" w:eastAsia="Times New Roman" w:hAnsi="Times New Roman" w:cs="Times New Roman"/>
            <w:sz w:val="24"/>
            <w:szCs w:val="24"/>
          </w:rPr>
          <w:t>https://www.ncbi.nlm.nih.gov/pmc/articles/PMC4317993/</w:t>
        </w:r>
      </w:hyperlink>
      <w:r w:rsidR="00BB0D6B" w:rsidRPr="00414623">
        <w:rPr>
          <w:rFonts w:ascii="Times New Roman" w:eastAsia="Times New Roman" w:hAnsi="Times New Roman" w:cs="Times New Roman"/>
          <w:sz w:val="24"/>
          <w:szCs w:val="24"/>
        </w:rPr>
        <w:t xml:space="preserve"> </w:t>
      </w:r>
    </w:p>
    <w:p w14:paraId="5AD4CC59"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2B415361" w14:textId="53927B1F"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Saha, S., Basu, A., Ghosh, S., Saha, A. K., &amp; Banerjee, U. Assessment of Nutritional Risk and Its Associated Factors among Elderly Women of Old Age Homes of South Suburban Kolkata, West Bengal, India.Journal of Clinical and Diagnostic Research. 2014 Feb, Vol-8(2):118-120,</w:t>
      </w:r>
      <w:r w:rsidR="000369E1">
        <w:rPr>
          <w:rFonts w:ascii="Times New Roman" w:eastAsia="Times New Roman" w:hAnsi="Times New Roman" w:cs="Times New Roman"/>
          <w:sz w:val="24"/>
          <w:szCs w:val="24"/>
        </w:rPr>
        <w:t xml:space="preserve"> </w:t>
      </w:r>
      <w:r w:rsidRPr="00414623">
        <w:rPr>
          <w:rFonts w:ascii="Times New Roman" w:eastAsia="Times New Roman" w:hAnsi="Times New Roman" w:cs="Times New Roman"/>
          <w:sz w:val="24"/>
          <w:szCs w:val="24"/>
        </w:rPr>
        <w:t>DOI: 10.7860/JCDR/2014/8321.4024</w:t>
      </w:r>
      <w:r w:rsidR="00BB0D6B" w:rsidRPr="00414623">
        <w:rPr>
          <w:rFonts w:ascii="Times New Roman" w:eastAsia="Times New Roman" w:hAnsi="Times New Roman" w:cs="Times New Roman"/>
          <w:sz w:val="24"/>
          <w:szCs w:val="24"/>
        </w:rPr>
        <w:t xml:space="preserve">. </w:t>
      </w:r>
      <w:hyperlink r:id="rId13" w:history="1">
        <w:r w:rsidR="00BB0D6B" w:rsidRPr="00414623">
          <w:rPr>
            <w:rStyle w:val="Hyperlink"/>
            <w:rFonts w:ascii="Times New Roman" w:eastAsia="Times New Roman" w:hAnsi="Times New Roman" w:cs="Times New Roman"/>
            <w:sz w:val="24"/>
            <w:szCs w:val="24"/>
          </w:rPr>
          <w:t>https://www.ncbi.nlm.nih.gov/pmc/articles/PMC3972524/</w:t>
        </w:r>
      </w:hyperlink>
      <w:r w:rsidR="00BB0D6B" w:rsidRPr="00414623">
        <w:rPr>
          <w:rFonts w:ascii="Times New Roman" w:eastAsia="Times New Roman" w:hAnsi="Times New Roman" w:cs="Times New Roman"/>
          <w:sz w:val="24"/>
          <w:szCs w:val="24"/>
        </w:rPr>
        <w:t xml:space="preserve"> </w:t>
      </w:r>
    </w:p>
    <w:p w14:paraId="77559AEB"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042886B6" w14:textId="30B05264"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Khan, J., Chattopadhyay, A., &amp; Shaw, S. Assessment of nutritional status using anthropometric index among older adult and elderly population in India.</w:t>
      </w:r>
    </w:p>
    <w:p w14:paraId="21C498C2" w14:textId="77777777" w:rsidR="00182E72" w:rsidRPr="00414623" w:rsidRDefault="001F6637" w:rsidP="00724C64">
      <w:pPr>
        <w:spacing w:line="240" w:lineRule="auto"/>
        <w:ind w:left="1440" w:hanging="720"/>
        <w:rPr>
          <w:rFonts w:ascii="Times New Roman" w:eastAsia="Times New Roman" w:hAnsi="Times New Roman" w:cs="Times New Roman"/>
          <w:sz w:val="24"/>
          <w:szCs w:val="24"/>
        </w:rPr>
      </w:pPr>
      <w:hyperlink r:id="rId14">
        <w:r w:rsidR="00182E72" w:rsidRPr="00414623">
          <w:rPr>
            <w:rFonts w:ascii="Times New Roman" w:eastAsia="Times New Roman" w:hAnsi="Times New Roman" w:cs="Times New Roman"/>
            <w:color w:val="1155CC"/>
            <w:sz w:val="24"/>
            <w:szCs w:val="24"/>
            <w:u w:val="single"/>
          </w:rPr>
          <w:t>https://doi.org/10.1038/s41598-023-39167-6</w:t>
        </w:r>
      </w:hyperlink>
    </w:p>
    <w:p w14:paraId="1489E56B"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0E251D80" w14:textId="358A451B"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Lahiri, S., Biswas, A., Santra, S., &amp; Lahiri, S. K. Assessment of nutritional status among elderly population in a rural area of West Bengal, India.International Journal of Medical Science and Public Health,2015,Vol 4,Issue 4</w:t>
      </w:r>
      <w:r w:rsidR="00BB0D6B" w:rsidRPr="00414623">
        <w:rPr>
          <w:rFonts w:ascii="Times New Roman" w:eastAsia="Times New Roman" w:hAnsi="Times New Roman" w:cs="Times New Roman"/>
          <w:sz w:val="24"/>
          <w:szCs w:val="24"/>
        </w:rPr>
        <w:t xml:space="preserve">. </w:t>
      </w:r>
      <w:hyperlink r:id="rId15" w:history="1">
        <w:r w:rsidR="00BB0D6B" w:rsidRPr="00414623">
          <w:rPr>
            <w:rStyle w:val="Hyperlink"/>
            <w:rFonts w:ascii="Times New Roman" w:eastAsia="Times New Roman" w:hAnsi="Times New Roman" w:cs="Times New Roman"/>
            <w:sz w:val="24"/>
            <w:szCs w:val="24"/>
          </w:rPr>
          <w:t>https://www.researchgate.net/publication/273491834_Assessment_of_nutritional_status_among_elderly_population_in_a_rural_area_of_West_Bengal_India</w:t>
        </w:r>
      </w:hyperlink>
      <w:r w:rsidR="00BB0D6B" w:rsidRPr="00414623">
        <w:rPr>
          <w:rFonts w:ascii="Times New Roman" w:eastAsia="Times New Roman" w:hAnsi="Times New Roman" w:cs="Times New Roman"/>
          <w:sz w:val="24"/>
          <w:szCs w:val="24"/>
        </w:rPr>
        <w:t xml:space="preserve"> </w:t>
      </w:r>
    </w:p>
    <w:p w14:paraId="01D6A05D"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40E974DE" w14:textId="0932EDBA"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Kalaiselvi, S., Arjumand, Y., Jayalakshmy, R., Gomathi, R., Pruthu, T., &amp; Palanivel, C. (Year). Prevalence of under-nutrition, associated factors and perceived nutritional status among elderly in a rural area of Puducherry, South India.</w:t>
      </w:r>
      <w:r w:rsidR="00BB0D6B" w:rsidRPr="00414623">
        <w:rPr>
          <w:rFonts w:ascii="Times New Roman" w:eastAsia="Times New Roman" w:hAnsi="Times New Roman" w:cs="Times New Roman"/>
          <w:sz w:val="24"/>
          <w:szCs w:val="24"/>
        </w:rPr>
        <w:t xml:space="preserve"> </w:t>
      </w:r>
      <w:hyperlink r:id="rId16" w:history="1">
        <w:r w:rsidR="00BB0D6B" w:rsidRPr="00414623">
          <w:rPr>
            <w:rStyle w:val="Hyperlink"/>
            <w:rFonts w:ascii="Times New Roman" w:eastAsia="Times New Roman" w:hAnsi="Times New Roman" w:cs="Times New Roman"/>
            <w:sz w:val="24"/>
            <w:szCs w:val="24"/>
          </w:rPr>
          <w:t>https://pubmed.ncbi.nlm.nih.gov/27039114/</w:t>
        </w:r>
      </w:hyperlink>
      <w:r w:rsidR="00BB0D6B" w:rsidRPr="00414623">
        <w:rPr>
          <w:rFonts w:ascii="Times New Roman" w:eastAsia="Times New Roman" w:hAnsi="Times New Roman" w:cs="Times New Roman"/>
          <w:sz w:val="24"/>
          <w:szCs w:val="24"/>
        </w:rPr>
        <w:t xml:space="preserve"> </w:t>
      </w:r>
    </w:p>
    <w:p w14:paraId="2A71F75B"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5735396C" w14:textId="21D2AE35"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lastRenderedPageBreak/>
        <w:t>Luthra, M. S., Negi, K. S., &amp; Ohri, P. (2018). A study on nutritional status of elderly and its correlates from urban field practice areas of SGRRIM&amp;HS, Dehradun. *Indian Journal of Forensic and Community Medicine*, *5*(3), 202-207. DOI: 10.18231/2394-6776.2018.0046</w:t>
      </w:r>
      <w:r w:rsidR="00BB0D6B" w:rsidRPr="00414623">
        <w:rPr>
          <w:rFonts w:ascii="Times New Roman" w:eastAsia="Times New Roman" w:hAnsi="Times New Roman" w:cs="Times New Roman"/>
          <w:sz w:val="24"/>
          <w:szCs w:val="24"/>
        </w:rPr>
        <w:t xml:space="preserve">. </w:t>
      </w:r>
      <w:hyperlink r:id="rId17" w:history="1">
        <w:r w:rsidR="00BB0D6B" w:rsidRPr="00414623">
          <w:rPr>
            <w:rStyle w:val="Hyperlink"/>
            <w:rFonts w:ascii="Times New Roman" w:eastAsia="Times New Roman" w:hAnsi="Times New Roman" w:cs="Times New Roman"/>
            <w:sz w:val="24"/>
            <w:szCs w:val="24"/>
          </w:rPr>
          <w:t>https://www.ijfcm.org/article-details/7583</w:t>
        </w:r>
      </w:hyperlink>
      <w:r w:rsidR="00BB0D6B" w:rsidRPr="00414623">
        <w:rPr>
          <w:rFonts w:ascii="Times New Roman" w:eastAsia="Times New Roman" w:hAnsi="Times New Roman" w:cs="Times New Roman"/>
          <w:sz w:val="24"/>
          <w:szCs w:val="24"/>
        </w:rPr>
        <w:t xml:space="preserve"> </w:t>
      </w:r>
    </w:p>
    <w:p w14:paraId="2FE8B6BB" w14:textId="6D712AF9" w:rsidR="00182E72" w:rsidRPr="00414623" w:rsidRDefault="001F6637" w:rsidP="00724C64">
      <w:pPr>
        <w:spacing w:line="240" w:lineRule="auto"/>
        <w:ind w:left="1440" w:hanging="720"/>
        <w:rPr>
          <w:rFonts w:ascii="Times New Roman" w:eastAsia="Times New Roman" w:hAnsi="Times New Roman" w:cs="Times New Roman"/>
          <w:color w:val="E5DFEC" w:themeColor="accent4" w:themeTint="33"/>
          <w:sz w:val="24"/>
          <w:szCs w:val="24"/>
        </w:rPr>
      </w:pPr>
      <w:hyperlink r:id="rId18" w:history="1">
        <w:r w:rsidR="00D5292D" w:rsidRPr="00414623">
          <w:rPr>
            <w:rStyle w:val="Hyperlink"/>
            <w:rFonts w:ascii="Times New Roman" w:eastAsia="Times New Roman" w:hAnsi="Times New Roman" w:cs="Times New Roman"/>
            <w:sz w:val="24"/>
            <w:szCs w:val="24"/>
          </w:rPr>
          <w:t>https://pib.gov.in/PressReleaseIframePage.aspx?PRID=1843844</w:t>
        </w:r>
      </w:hyperlink>
      <w:r w:rsidR="00581E45" w:rsidRPr="00414623">
        <w:rPr>
          <w:rFonts w:ascii="Times New Roman" w:eastAsia="Times New Roman" w:hAnsi="Times New Roman" w:cs="Times New Roman"/>
          <w:color w:val="E5DFEC" w:themeColor="accent4" w:themeTint="33"/>
          <w:sz w:val="24"/>
          <w:szCs w:val="24"/>
        </w:rPr>
        <w:t xml:space="preserve">   </w:t>
      </w:r>
    </w:p>
    <w:sectPr w:rsidR="00182E72" w:rsidRPr="00414623">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B926B" w14:textId="77777777" w:rsidR="001F6637" w:rsidRDefault="001F6637" w:rsidP="00786613">
      <w:pPr>
        <w:spacing w:line="240" w:lineRule="auto"/>
      </w:pPr>
      <w:r>
        <w:separator/>
      </w:r>
    </w:p>
  </w:endnote>
  <w:endnote w:type="continuationSeparator" w:id="0">
    <w:p w14:paraId="547C3B4E" w14:textId="77777777" w:rsidR="001F6637" w:rsidRDefault="001F6637" w:rsidP="00786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660605"/>
      <w:docPartObj>
        <w:docPartGallery w:val="Page Numbers (Bottom of Page)"/>
        <w:docPartUnique/>
      </w:docPartObj>
    </w:sdtPr>
    <w:sdtEndPr>
      <w:rPr>
        <w:color w:val="7F7F7F" w:themeColor="background1" w:themeShade="7F"/>
        <w:spacing w:val="60"/>
      </w:rPr>
    </w:sdtEndPr>
    <w:sdtContent>
      <w:p w14:paraId="48786C86" w14:textId="08830C80" w:rsidR="00786613" w:rsidRDefault="0078661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72827" w:rsidRPr="00272827">
          <w:rPr>
            <w:b/>
            <w:bCs/>
            <w:noProof/>
          </w:rPr>
          <w:t>1</w:t>
        </w:r>
        <w:r>
          <w:rPr>
            <w:b/>
            <w:bCs/>
            <w:noProof/>
          </w:rPr>
          <w:fldChar w:fldCharType="end"/>
        </w:r>
        <w:r>
          <w:rPr>
            <w:b/>
            <w:bCs/>
          </w:rPr>
          <w:t xml:space="preserve"> | </w:t>
        </w:r>
        <w:r>
          <w:rPr>
            <w:color w:val="7F7F7F" w:themeColor="background1" w:themeShade="7F"/>
            <w:spacing w:val="60"/>
          </w:rPr>
          <w:t>Page</w:t>
        </w:r>
      </w:p>
    </w:sdtContent>
  </w:sdt>
  <w:p w14:paraId="6375DF22" w14:textId="77777777" w:rsidR="00786613" w:rsidRDefault="00786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ECBDD" w14:textId="77777777" w:rsidR="001F6637" w:rsidRDefault="001F6637" w:rsidP="00786613">
      <w:pPr>
        <w:spacing w:line="240" w:lineRule="auto"/>
      </w:pPr>
      <w:r>
        <w:separator/>
      </w:r>
    </w:p>
  </w:footnote>
  <w:footnote w:type="continuationSeparator" w:id="0">
    <w:p w14:paraId="1815D4E1" w14:textId="77777777" w:rsidR="001F6637" w:rsidRDefault="001F6637" w:rsidP="007866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45"/>
    <w:multiLevelType w:val="multilevel"/>
    <w:tmpl w:val="7E308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A5C2C"/>
    <w:multiLevelType w:val="hybridMultilevel"/>
    <w:tmpl w:val="0DDE3D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0B5B34"/>
    <w:multiLevelType w:val="hybridMultilevel"/>
    <w:tmpl w:val="86E817D8"/>
    <w:lvl w:ilvl="0" w:tplc="2A4E3CE0">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F646F"/>
    <w:multiLevelType w:val="multilevel"/>
    <w:tmpl w:val="685AD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7037DB"/>
    <w:multiLevelType w:val="multilevel"/>
    <w:tmpl w:val="F5486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871543D"/>
    <w:multiLevelType w:val="hybridMultilevel"/>
    <w:tmpl w:val="090C812C"/>
    <w:lvl w:ilvl="0" w:tplc="E82204B4">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050BA"/>
    <w:multiLevelType w:val="multilevel"/>
    <w:tmpl w:val="D388A3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D364F3E"/>
    <w:multiLevelType w:val="multilevel"/>
    <w:tmpl w:val="785601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7C97F55"/>
    <w:multiLevelType w:val="multilevel"/>
    <w:tmpl w:val="520C3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1DB6E05"/>
    <w:multiLevelType w:val="multilevel"/>
    <w:tmpl w:val="380EE91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nsid w:val="367D145D"/>
    <w:multiLevelType w:val="multilevel"/>
    <w:tmpl w:val="D690CB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DB45B1"/>
    <w:multiLevelType w:val="multilevel"/>
    <w:tmpl w:val="32F418C8"/>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4A40907"/>
    <w:multiLevelType w:val="multilevel"/>
    <w:tmpl w:val="F2F09D8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93420D9"/>
    <w:multiLevelType w:val="hybridMultilevel"/>
    <w:tmpl w:val="F1A856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A9F716D"/>
    <w:multiLevelType w:val="hybridMultilevel"/>
    <w:tmpl w:val="CD024C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E1F3AF1"/>
    <w:multiLevelType w:val="hybridMultilevel"/>
    <w:tmpl w:val="A86A6B74"/>
    <w:lvl w:ilvl="0" w:tplc="A1860B3E">
      <w:start w:val="1"/>
      <w:numFmt w:val="decimal"/>
      <w:lvlText w:val="%1."/>
      <w:lvlJc w:val="left"/>
      <w:pPr>
        <w:ind w:left="570" w:hanging="360"/>
      </w:pPr>
      <w:rPr>
        <w:rFonts w:hint="default"/>
      </w:rPr>
    </w:lvl>
    <w:lvl w:ilvl="1" w:tplc="40090019" w:tentative="1">
      <w:start w:val="1"/>
      <w:numFmt w:val="lowerLetter"/>
      <w:lvlText w:val="%2."/>
      <w:lvlJc w:val="left"/>
      <w:pPr>
        <w:ind w:left="1290" w:hanging="360"/>
      </w:pPr>
    </w:lvl>
    <w:lvl w:ilvl="2" w:tplc="4009001B" w:tentative="1">
      <w:start w:val="1"/>
      <w:numFmt w:val="lowerRoman"/>
      <w:lvlText w:val="%3."/>
      <w:lvlJc w:val="right"/>
      <w:pPr>
        <w:ind w:left="2010" w:hanging="180"/>
      </w:pPr>
    </w:lvl>
    <w:lvl w:ilvl="3" w:tplc="4009000F" w:tentative="1">
      <w:start w:val="1"/>
      <w:numFmt w:val="decimal"/>
      <w:lvlText w:val="%4."/>
      <w:lvlJc w:val="left"/>
      <w:pPr>
        <w:ind w:left="2730" w:hanging="360"/>
      </w:pPr>
    </w:lvl>
    <w:lvl w:ilvl="4" w:tplc="40090019" w:tentative="1">
      <w:start w:val="1"/>
      <w:numFmt w:val="lowerLetter"/>
      <w:lvlText w:val="%5."/>
      <w:lvlJc w:val="left"/>
      <w:pPr>
        <w:ind w:left="3450" w:hanging="360"/>
      </w:pPr>
    </w:lvl>
    <w:lvl w:ilvl="5" w:tplc="4009001B" w:tentative="1">
      <w:start w:val="1"/>
      <w:numFmt w:val="lowerRoman"/>
      <w:lvlText w:val="%6."/>
      <w:lvlJc w:val="right"/>
      <w:pPr>
        <w:ind w:left="4170" w:hanging="180"/>
      </w:pPr>
    </w:lvl>
    <w:lvl w:ilvl="6" w:tplc="4009000F" w:tentative="1">
      <w:start w:val="1"/>
      <w:numFmt w:val="decimal"/>
      <w:lvlText w:val="%7."/>
      <w:lvlJc w:val="left"/>
      <w:pPr>
        <w:ind w:left="4890" w:hanging="360"/>
      </w:pPr>
    </w:lvl>
    <w:lvl w:ilvl="7" w:tplc="40090019" w:tentative="1">
      <w:start w:val="1"/>
      <w:numFmt w:val="lowerLetter"/>
      <w:lvlText w:val="%8."/>
      <w:lvlJc w:val="left"/>
      <w:pPr>
        <w:ind w:left="5610" w:hanging="360"/>
      </w:pPr>
    </w:lvl>
    <w:lvl w:ilvl="8" w:tplc="4009001B" w:tentative="1">
      <w:start w:val="1"/>
      <w:numFmt w:val="lowerRoman"/>
      <w:lvlText w:val="%9."/>
      <w:lvlJc w:val="right"/>
      <w:pPr>
        <w:ind w:left="6330" w:hanging="180"/>
      </w:pPr>
    </w:lvl>
  </w:abstractNum>
  <w:abstractNum w:abstractNumId="16">
    <w:nsid w:val="521953AF"/>
    <w:multiLevelType w:val="hybridMultilevel"/>
    <w:tmpl w:val="037E4C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4BF65FC"/>
    <w:multiLevelType w:val="hybridMultilevel"/>
    <w:tmpl w:val="9AAC43A0"/>
    <w:lvl w:ilvl="0" w:tplc="E82204B4">
      <w:start w:val="1"/>
      <w:numFmt w:val="decimal"/>
      <w:lvlText w:val="%1."/>
      <w:lvlJc w:val="left"/>
      <w:pPr>
        <w:ind w:left="1440" w:hanging="360"/>
      </w:pPr>
      <w:rPr>
        <w:rFonts w:ascii="Times New Roman" w:hAnsi="Times New Roman" w:cs="Times New Roman"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E3E2091"/>
    <w:multiLevelType w:val="hybridMultilevel"/>
    <w:tmpl w:val="784427EC"/>
    <w:lvl w:ilvl="0" w:tplc="4550924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6ED76C5D"/>
    <w:multiLevelType w:val="hybridMultilevel"/>
    <w:tmpl w:val="47CAA2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7E3006E"/>
    <w:multiLevelType w:val="hybridMultilevel"/>
    <w:tmpl w:val="78525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35263"/>
    <w:multiLevelType w:val="multilevel"/>
    <w:tmpl w:val="A83E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AF55ACB"/>
    <w:multiLevelType w:val="hybridMultilevel"/>
    <w:tmpl w:val="EFAAD3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F844868"/>
    <w:multiLevelType w:val="hybridMultilevel"/>
    <w:tmpl w:val="58A426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21"/>
  </w:num>
  <w:num w:numId="3">
    <w:abstractNumId w:val="4"/>
  </w:num>
  <w:num w:numId="4">
    <w:abstractNumId w:val="11"/>
  </w:num>
  <w:num w:numId="5">
    <w:abstractNumId w:val="23"/>
  </w:num>
  <w:num w:numId="6">
    <w:abstractNumId w:val="18"/>
  </w:num>
  <w:num w:numId="7">
    <w:abstractNumId w:val="6"/>
  </w:num>
  <w:num w:numId="8">
    <w:abstractNumId w:val="7"/>
  </w:num>
  <w:num w:numId="9">
    <w:abstractNumId w:val="10"/>
  </w:num>
  <w:num w:numId="10">
    <w:abstractNumId w:val="12"/>
  </w:num>
  <w:num w:numId="11">
    <w:abstractNumId w:val="14"/>
  </w:num>
  <w:num w:numId="12">
    <w:abstractNumId w:val="16"/>
  </w:num>
  <w:num w:numId="13">
    <w:abstractNumId w:val="19"/>
  </w:num>
  <w:num w:numId="14">
    <w:abstractNumId w:val="15"/>
  </w:num>
  <w:num w:numId="15">
    <w:abstractNumId w:val="9"/>
  </w:num>
  <w:num w:numId="16">
    <w:abstractNumId w:val="3"/>
  </w:num>
  <w:num w:numId="17">
    <w:abstractNumId w:val="0"/>
  </w:num>
  <w:num w:numId="18">
    <w:abstractNumId w:val="13"/>
  </w:num>
  <w:num w:numId="19">
    <w:abstractNumId w:val="1"/>
  </w:num>
  <w:num w:numId="20">
    <w:abstractNumId w:val="22"/>
  </w:num>
  <w:num w:numId="21">
    <w:abstractNumId w:val="20"/>
  </w:num>
  <w:num w:numId="22">
    <w:abstractNumId w:val="2"/>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E72"/>
    <w:rsid w:val="00006696"/>
    <w:rsid w:val="000200AD"/>
    <w:rsid w:val="000369E1"/>
    <w:rsid w:val="00036FFA"/>
    <w:rsid w:val="000401C7"/>
    <w:rsid w:val="00044CDA"/>
    <w:rsid w:val="00070243"/>
    <w:rsid w:val="0007629B"/>
    <w:rsid w:val="0009155C"/>
    <w:rsid w:val="00092C0C"/>
    <w:rsid w:val="000A45FE"/>
    <w:rsid w:val="000C4382"/>
    <w:rsid w:val="0010424B"/>
    <w:rsid w:val="00113076"/>
    <w:rsid w:val="001564A6"/>
    <w:rsid w:val="00156A8F"/>
    <w:rsid w:val="001739D5"/>
    <w:rsid w:val="001804CE"/>
    <w:rsid w:val="00180DD4"/>
    <w:rsid w:val="00182E72"/>
    <w:rsid w:val="00194408"/>
    <w:rsid w:val="001C2822"/>
    <w:rsid w:val="001C3665"/>
    <w:rsid w:val="001C685F"/>
    <w:rsid w:val="001E6055"/>
    <w:rsid w:val="001F6637"/>
    <w:rsid w:val="00203677"/>
    <w:rsid w:val="002250F2"/>
    <w:rsid w:val="00230036"/>
    <w:rsid w:val="00272827"/>
    <w:rsid w:val="00296BC5"/>
    <w:rsid w:val="002C502D"/>
    <w:rsid w:val="002D1882"/>
    <w:rsid w:val="002F6A5F"/>
    <w:rsid w:val="002F78BC"/>
    <w:rsid w:val="00304B42"/>
    <w:rsid w:val="003109D7"/>
    <w:rsid w:val="003202D1"/>
    <w:rsid w:val="003634E7"/>
    <w:rsid w:val="00367FD3"/>
    <w:rsid w:val="00376EB2"/>
    <w:rsid w:val="00390E23"/>
    <w:rsid w:val="003A3E66"/>
    <w:rsid w:val="003E6104"/>
    <w:rsid w:val="00414623"/>
    <w:rsid w:val="00414A9E"/>
    <w:rsid w:val="0043166D"/>
    <w:rsid w:val="004357A4"/>
    <w:rsid w:val="0044113F"/>
    <w:rsid w:val="004446FA"/>
    <w:rsid w:val="004661D0"/>
    <w:rsid w:val="00480C90"/>
    <w:rsid w:val="004B41E7"/>
    <w:rsid w:val="00500A8C"/>
    <w:rsid w:val="00502B36"/>
    <w:rsid w:val="005076AC"/>
    <w:rsid w:val="00553390"/>
    <w:rsid w:val="00571039"/>
    <w:rsid w:val="005753DF"/>
    <w:rsid w:val="00581E45"/>
    <w:rsid w:val="00590D7C"/>
    <w:rsid w:val="005B2241"/>
    <w:rsid w:val="00614381"/>
    <w:rsid w:val="00630EB8"/>
    <w:rsid w:val="006357D2"/>
    <w:rsid w:val="00635B4F"/>
    <w:rsid w:val="00644246"/>
    <w:rsid w:val="00662674"/>
    <w:rsid w:val="00672E9D"/>
    <w:rsid w:val="00681912"/>
    <w:rsid w:val="00693E72"/>
    <w:rsid w:val="006960AD"/>
    <w:rsid w:val="006B2796"/>
    <w:rsid w:val="006E310B"/>
    <w:rsid w:val="00710633"/>
    <w:rsid w:val="00724C64"/>
    <w:rsid w:val="00724FCD"/>
    <w:rsid w:val="0072669A"/>
    <w:rsid w:val="00786613"/>
    <w:rsid w:val="007D698A"/>
    <w:rsid w:val="007E05A5"/>
    <w:rsid w:val="007E562F"/>
    <w:rsid w:val="00810483"/>
    <w:rsid w:val="008223A3"/>
    <w:rsid w:val="00823504"/>
    <w:rsid w:val="00826F10"/>
    <w:rsid w:val="00831A1F"/>
    <w:rsid w:val="00842C1D"/>
    <w:rsid w:val="00896255"/>
    <w:rsid w:val="008A0967"/>
    <w:rsid w:val="008C135F"/>
    <w:rsid w:val="008E4B8A"/>
    <w:rsid w:val="009308D1"/>
    <w:rsid w:val="00966203"/>
    <w:rsid w:val="009938F0"/>
    <w:rsid w:val="00995228"/>
    <w:rsid w:val="009B41B6"/>
    <w:rsid w:val="009E3628"/>
    <w:rsid w:val="009E7612"/>
    <w:rsid w:val="009F0752"/>
    <w:rsid w:val="009F5324"/>
    <w:rsid w:val="00A04697"/>
    <w:rsid w:val="00A542FC"/>
    <w:rsid w:val="00A64075"/>
    <w:rsid w:val="00A6678A"/>
    <w:rsid w:val="00A70455"/>
    <w:rsid w:val="00A8664C"/>
    <w:rsid w:val="00AD64FF"/>
    <w:rsid w:val="00B05CB7"/>
    <w:rsid w:val="00B31EEC"/>
    <w:rsid w:val="00B64E26"/>
    <w:rsid w:val="00B719E2"/>
    <w:rsid w:val="00B92789"/>
    <w:rsid w:val="00BB0D6B"/>
    <w:rsid w:val="00BD30AE"/>
    <w:rsid w:val="00BD5ACD"/>
    <w:rsid w:val="00BE04EA"/>
    <w:rsid w:val="00C0047C"/>
    <w:rsid w:val="00C36F4E"/>
    <w:rsid w:val="00C674B9"/>
    <w:rsid w:val="00C821A5"/>
    <w:rsid w:val="00C827FA"/>
    <w:rsid w:val="00C9496A"/>
    <w:rsid w:val="00C963A7"/>
    <w:rsid w:val="00CB6850"/>
    <w:rsid w:val="00D03F33"/>
    <w:rsid w:val="00D211BC"/>
    <w:rsid w:val="00D225A4"/>
    <w:rsid w:val="00D40067"/>
    <w:rsid w:val="00D454CA"/>
    <w:rsid w:val="00D5292D"/>
    <w:rsid w:val="00D674D1"/>
    <w:rsid w:val="00D74622"/>
    <w:rsid w:val="00DB0777"/>
    <w:rsid w:val="00DE3AEC"/>
    <w:rsid w:val="00DE51E1"/>
    <w:rsid w:val="00DF6DCA"/>
    <w:rsid w:val="00E22A56"/>
    <w:rsid w:val="00E30EFA"/>
    <w:rsid w:val="00E64699"/>
    <w:rsid w:val="00E744CE"/>
    <w:rsid w:val="00E74BA9"/>
    <w:rsid w:val="00E831D3"/>
    <w:rsid w:val="00E967F6"/>
    <w:rsid w:val="00EB637B"/>
    <w:rsid w:val="00EC2309"/>
    <w:rsid w:val="00F2718F"/>
    <w:rsid w:val="00F71C81"/>
    <w:rsid w:val="00F773A1"/>
    <w:rsid w:val="00F83BA7"/>
    <w:rsid w:val="00FC2FC6"/>
    <w:rsid w:val="00FD01FD"/>
    <w:rsid w:val="00FD5349"/>
    <w:rsid w:val="00FF05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376EB2"/>
    <w:rPr>
      <w:color w:val="0000FF" w:themeColor="hyperlink"/>
      <w:u w:val="single"/>
    </w:rPr>
  </w:style>
  <w:style w:type="character" w:customStyle="1" w:styleId="UnresolvedMention">
    <w:name w:val="Unresolved Mention"/>
    <w:basedOn w:val="DefaultParagraphFont"/>
    <w:uiPriority w:val="99"/>
    <w:semiHidden/>
    <w:unhideWhenUsed/>
    <w:rsid w:val="00376EB2"/>
    <w:rPr>
      <w:color w:val="605E5C"/>
      <w:shd w:val="clear" w:color="auto" w:fill="E1DFDD"/>
    </w:rPr>
  </w:style>
  <w:style w:type="character" w:styleId="FollowedHyperlink">
    <w:name w:val="FollowedHyperlink"/>
    <w:basedOn w:val="DefaultParagraphFont"/>
    <w:uiPriority w:val="99"/>
    <w:semiHidden/>
    <w:unhideWhenUsed/>
    <w:rsid w:val="00E30EFA"/>
    <w:rPr>
      <w:color w:val="800080" w:themeColor="followedHyperlink"/>
      <w:u w:val="single"/>
    </w:rPr>
  </w:style>
  <w:style w:type="paragraph" w:styleId="Header">
    <w:name w:val="header"/>
    <w:basedOn w:val="Normal"/>
    <w:link w:val="HeaderChar"/>
    <w:uiPriority w:val="99"/>
    <w:unhideWhenUsed/>
    <w:rsid w:val="00786613"/>
    <w:pPr>
      <w:tabs>
        <w:tab w:val="center" w:pos="4513"/>
        <w:tab w:val="right" w:pos="9026"/>
      </w:tabs>
      <w:spacing w:line="240" w:lineRule="auto"/>
    </w:pPr>
  </w:style>
  <w:style w:type="character" w:customStyle="1" w:styleId="HeaderChar">
    <w:name w:val="Header Char"/>
    <w:basedOn w:val="DefaultParagraphFont"/>
    <w:link w:val="Header"/>
    <w:uiPriority w:val="99"/>
    <w:rsid w:val="00786613"/>
  </w:style>
  <w:style w:type="paragraph" w:styleId="Footer">
    <w:name w:val="footer"/>
    <w:basedOn w:val="Normal"/>
    <w:link w:val="FooterChar"/>
    <w:uiPriority w:val="99"/>
    <w:unhideWhenUsed/>
    <w:rsid w:val="00786613"/>
    <w:pPr>
      <w:tabs>
        <w:tab w:val="center" w:pos="4513"/>
        <w:tab w:val="right" w:pos="9026"/>
      </w:tabs>
      <w:spacing w:line="240" w:lineRule="auto"/>
    </w:pPr>
  </w:style>
  <w:style w:type="character" w:customStyle="1" w:styleId="FooterChar">
    <w:name w:val="Footer Char"/>
    <w:basedOn w:val="DefaultParagraphFont"/>
    <w:link w:val="Footer"/>
    <w:uiPriority w:val="99"/>
    <w:rsid w:val="00786613"/>
  </w:style>
  <w:style w:type="paragraph" w:styleId="ListParagraph">
    <w:name w:val="List Paragraph"/>
    <w:basedOn w:val="Normal"/>
    <w:uiPriority w:val="34"/>
    <w:qFormat/>
    <w:rsid w:val="00F83BA7"/>
    <w:pPr>
      <w:ind w:left="720"/>
      <w:contextualSpacing/>
    </w:pPr>
  </w:style>
  <w:style w:type="paragraph" w:customStyle="1" w:styleId="whitespace-pre-wrap">
    <w:name w:val="whitespace-pre-wrap"/>
    <w:basedOn w:val="Normal"/>
    <w:rsid w:val="002F78BC"/>
    <w:pPr>
      <w:spacing w:before="100" w:beforeAutospacing="1" w:after="100" w:afterAutospacing="1" w:line="240" w:lineRule="auto"/>
    </w:pPr>
    <w:rPr>
      <w:rFonts w:ascii="Times New Roman" w:eastAsia="Times New Roman" w:hAnsi="Times New Roman" w:cs="Times New Roman"/>
      <w:sz w:val="24"/>
      <w:szCs w:val="24"/>
      <w:lang w:val="en-IN"/>
    </w:rPr>
  </w:style>
  <w:style w:type="paragraph" w:customStyle="1" w:styleId="whitespace-normal">
    <w:name w:val="whitespace-normal"/>
    <w:basedOn w:val="Normal"/>
    <w:rsid w:val="00113076"/>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NormalWeb">
    <w:name w:val="Normal (Web)"/>
    <w:basedOn w:val="Normal"/>
    <w:uiPriority w:val="99"/>
    <w:semiHidden/>
    <w:unhideWhenUsed/>
    <w:rsid w:val="00571039"/>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TOCHeading">
    <w:name w:val="TOC Heading"/>
    <w:basedOn w:val="Heading1"/>
    <w:next w:val="Normal"/>
    <w:uiPriority w:val="39"/>
    <w:unhideWhenUsed/>
    <w:qFormat/>
    <w:rsid w:val="00B719E2"/>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bidi="hi-IN"/>
    </w:rPr>
  </w:style>
  <w:style w:type="paragraph" w:styleId="TOC1">
    <w:name w:val="toc 1"/>
    <w:basedOn w:val="Normal"/>
    <w:next w:val="Normal"/>
    <w:autoRedefine/>
    <w:uiPriority w:val="39"/>
    <w:unhideWhenUsed/>
    <w:rsid w:val="00B719E2"/>
    <w:pPr>
      <w:spacing w:after="100"/>
    </w:pPr>
  </w:style>
  <w:style w:type="paragraph" w:styleId="TOC2">
    <w:name w:val="toc 2"/>
    <w:basedOn w:val="Normal"/>
    <w:next w:val="Normal"/>
    <w:autoRedefine/>
    <w:uiPriority w:val="39"/>
    <w:unhideWhenUsed/>
    <w:rsid w:val="00B719E2"/>
    <w:pPr>
      <w:spacing w:after="100"/>
      <w:ind w:left="220"/>
    </w:pPr>
  </w:style>
  <w:style w:type="paragraph" w:styleId="BalloonText">
    <w:name w:val="Balloon Text"/>
    <w:basedOn w:val="Normal"/>
    <w:link w:val="BalloonTextChar"/>
    <w:uiPriority w:val="99"/>
    <w:semiHidden/>
    <w:unhideWhenUsed/>
    <w:rsid w:val="002728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376EB2"/>
    <w:rPr>
      <w:color w:val="0000FF" w:themeColor="hyperlink"/>
      <w:u w:val="single"/>
    </w:rPr>
  </w:style>
  <w:style w:type="character" w:customStyle="1" w:styleId="UnresolvedMention">
    <w:name w:val="Unresolved Mention"/>
    <w:basedOn w:val="DefaultParagraphFont"/>
    <w:uiPriority w:val="99"/>
    <w:semiHidden/>
    <w:unhideWhenUsed/>
    <w:rsid w:val="00376EB2"/>
    <w:rPr>
      <w:color w:val="605E5C"/>
      <w:shd w:val="clear" w:color="auto" w:fill="E1DFDD"/>
    </w:rPr>
  </w:style>
  <w:style w:type="character" w:styleId="FollowedHyperlink">
    <w:name w:val="FollowedHyperlink"/>
    <w:basedOn w:val="DefaultParagraphFont"/>
    <w:uiPriority w:val="99"/>
    <w:semiHidden/>
    <w:unhideWhenUsed/>
    <w:rsid w:val="00E30EFA"/>
    <w:rPr>
      <w:color w:val="800080" w:themeColor="followedHyperlink"/>
      <w:u w:val="single"/>
    </w:rPr>
  </w:style>
  <w:style w:type="paragraph" w:styleId="Header">
    <w:name w:val="header"/>
    <w:basedOn w:val="Normal"/>
    <w:link w:val="HeaderChar"/>
    <w:uiPriority w:val="99"/>
    <w:unhideWhenUsed/>
    <w:rsid w:val="00786613"/>
    <w:pPr>
      <w:tabs>
        <w:tab w:val="center" w:pos="4513"/>
        <w:tab w:val="right" w:pos="9026"/>
      </w:tabs>
      <w:spacing w:line="240" w:lineRule="auto"/>
    </w:pPr>
  </w:style>
  <w:style w:type="character" w:customStyle="1" w:styleId="HeaderChar">
    <w:name w:val="Header Char"/>
    <w:basedOn w:val="DefaultParagraphFont"/>
    <w:link w:val="Header"/>
    <w:uiPriority w:val="99"/>
    <w:rsid w:val="00786613"/>
  </w:style>
  <w:style w:type="paragraph" w:styleId="Footer">
    <w:name w:val="footer"/>
    <w:basedOn w:val="Normal"/>
    <w:link w:val="FooterChar"/>
    <w:uiPriority w:val="99"/>
    <w:unhideWhenUsed/>
    <w:rsid w:val="00786613"/>
    <w:pPr>
      <w:tabs>
        <w:tab w:val="center" w:pos="4513"/>
        <w:tab w:val="right" w:pos="9026"/>
      </w:tabs>
      <w:spacing w:line="240" w:lineRule="auto"/>
    </w:pPr>
  </w:style>
  <w:style w:type="character" w:customStyle="1" w:styleId="FooterChar">
    <w:name w:val="Footer Char"/>
    <w:basedOn w:val="DefaultParagraphFont"/>
    <w:link w:val="Footer"/>
    <w:uiPriority w:val="99"/>
    <w:rsid w:val="00786613"/>
  </w:style>
  <w:style w:type="paragraph" w:styleId="ListParagraph">
    <w:name w:val="List Paragraph"/>
    <w:basedOn w:val="Normal"/>
    <w:uiPriority w:val="34"/>
    <w:qFormat/>
    <w:rsid w:val="00F83BA7"/>
    <w:pPr>
      <w:ind w:left="720"/>
      <w:contextualSpacing/>
    </w:pPr>
  </w:style>
  <w:style w:type="paragraph" w:customStyle="1" w:styleId="whitespace-pre-wrap">
    <w:name w:val="whitespace-pre-wrap"/>
    <w:basedOn w:val="Normal"/>
    <w:rsid w:val="002F78BC"/>
    <w:pPr>
      <w:spacing w:before="100" w:beforeAutospacing="1" w:after="100" w:afterAutospacing="1" w:line="240" w:lineRule="auto"/>
    </w:pPr>
    <w:rPr>
      <w:rFonts w:ascii="Times New Roman" w:eastAsia="Times New Roman" w:hAnsi="Times New Roman" w:cs="Times New Roman"/>
      <w:sz w:val="24"/>
      <w:szCs w:val="24"/>
      <w:lang w:val="en-IN"/>
    </w:rPr>
  </w:style>
  <w:style w:type="paragraph" w:customStyle="1" w:styleId="whitespace-normal">
    <w:name w:val="whitespace-normal"/>
    <w:basedOn w:val="Normal"/>
    <w:rsid w:val="00113076"/>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NormalWeb">
    <w:name w:val="Normal (Web)"/>
    <w:basedOn w:val="Normal"/>
    <w:uiPriority w:val="99"/>
    <w:semiHidden/>
    <w:unhideWhenUsed/>
    <w:rsid w:val="00571039"/>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TOCHeading">
    <w:name w:val="TOC Heading"/>
    <w:basedOn w:val="Heading1"/>
    <w:next w:val="Normal"/>
    <w:uiPriority w:val="39"/>
    <w:unhideWhenUsed/>
    <w:qFormat/>
    <w:rsid w:val="00B719E2"/>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bidi="hi-IN"/>
    </w:rPr>
  </w:style>
  <w:style w:type="paragraph" w:styleId="TOC1">
    <w:name w:val="toc 1"/>
    <w:basedOn w:val="Normal"/>
    <w:next w:val="Normal"/>
    <w:autoRedefine/>
    <w:uiPriority w:val="39"/>
    <w:unhideWhenUsed/>
    <w:rsid w:val="00B719E2"/>
    <w:pPr>
      <w:spacing w:after="100"/>
    </w:pPr>
  </w:style>
  <w:style w:type="paragraph" w:styleId="TOC2">
    <w:name w:val="toc 2"/>
    <w:basedOn w:val="Normal"/>
    <w:next w:val="Normal"/>
    <w:autoRedefine/>
    <w:uiPriority w:val="39"/>
    <w:unhideWhenUsed/>
    <w:rsid w:val="00B719E2"/>
    <w:pPr>
      <w:spacing w:after="100"/>
      <w:ind w:left="220"/>
    </w:pPr>
  </w:style>
  <w:style w:type="paragraph" w:styleId="BalloonText">
    <w:name w:val="Balloon Text"/>
    <w:basedOn w:val="Normal"/>
    <w:link w:val="BalloonTextChar"/>
    <w:uiPriority w:val="99"/>
    <w:semiHidden/>
    <w:unhideWhenUsed/>
    <w:rsid w:val="002728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4674">
      <w:bodyDiv w:val="1"/>
      <w:marLeft w:val="0"/>
      <w:marRight w:val="0"/>
      <w:marTop w:val="0"/>
      <w:marBottom w:val="0"/>
      <w:divBdr>
        <w:top w:val="none" w:sz="0" w:space="0" w:color="auto"/>
        <w:left w:val="none" w:sz="0" w:space="0" w:color="auto"/>
        <w:bottom w:val="none" w:sz="0" w:space="0" w:color="auto"/>
        <w:right w:val="none" w:sz="0" w:space="0" w:color="auto"/>
      </w:divBdr>
    </w:div>
    <w:div w:id="284506849">
      <w:bodyDiv w:val="1"/>
      <w:marLeft w:val="0"/>
      <w:marRight w:val="0"/>
      <w:marTop w:val="0"/>
      <w:marBottom w:val="0"/>
      <w:divBdr>
        <w:top w:val="none" w:sz="0" w:space="0" w:color="auto"/>
        <w:left w:val="none" w:sz="0" w:space="0" w:color="auto"/>
        <w:bottom w:val="none" w:sz="0" w:space="0" w:color="auto"/>
        <w:right w:val="none" w:sz="0" w:space="0" w:color="auto"/>
      </w:divBdr>
    </w:div>
    <w:div w:id="943222320">
      <w:bodyDiv w:val="1"/>
      <w:marLeft w:val="0"/>
      <w:marRight w:val="0"/>
      <w:marTop w:val="0"/>
      <w:marBottom w:val="0"/>
      <w:divBdr>
        <w:top w:val="none" w:sz="0" w:space="0" w:color="auto"/>
        <w:left w:val="none" w:sz="0" w:space="0" w:color="auto"/>
        <w:bottom w:val="none" w:sz="0" w:space="0" w:color="auto"/>
        <w:right w:val="none" w:sz="0" w:space="0" w:color="auto"/>
      </w:divBdr>
    </w:div>
    <w:div w:id="989939134">
      <w:bodyDiv w:val="1"/>
      <w:marLeft w:val="0"/>
      <w:marRight w:val="0"/>
      <w:marTop w:val="0"/>
      <w:marBottom w:val="0"/>
      <w:divBdr>
        <w:top w:val="none" w:sz="0" w:space="0" w:color="auto"/>
        <w:left w:val="none" w:sz="0" w:space="0" w:color="auto"/>
        <w:bottom w:val="none" w:sz="0" w:space="0" w:color="auto"/>
        <w:right w:val="none" w:sz="0" w:space="0" w:color="auto"/>
      </w:divBdr>
      <w:divsChild>
        <w:div w:id="1713076147">
          <w:marLeft w:val="0"/>
          <w:marRight w:val="0"/>
          <w:marTop w:val="0"/>
          <w:marBottom w:val="0"/>
          <w:divBdr>
            <w:top w:val="single" w:sz="2" w:space="0" w:color="E3E3E3"/>
            <w:left w:val="single" w:sz="2" w:space="0" w:color="E3E3E3"/>
            <w:bottom w:val="single" w:sz="2" w:space="0" w:color="E3E3E3"/>
            <w:right w:val="single" w:sz="2" w:space="0" w:color="E3E3E3"/>
          </w:divBdr>
          <w:divsChild>
            <w:div w:id="236521412">
              <w:marLeft w:val="0"/>
              <w:marRight w:val="0"/>
              <w:marTop w:val="0"/>
              <w:marBottom w:val="0"/>
              <w:divBdr>
                <w:top w:val="single" w:sz="2" w:space="0" w:color="E3E3E3"/>
                <w:left w:val="single" w:sz="2" w:space="0" w:color="E3E3E3"/>
                <w:bottom w:val="single" w:sz="2" w:space="0" w:color="E3E3E3"/>
                <w:right w:val="single" w:sz="2" w:space="0" w:color="E3E3E3"/>
              </w:divBdr>
              <w:divsChild>
                <w:div w:id="1293485373">
                  <w:marLeft w:val="0"/>
                  <w:marRight w:val="0"/>
                  <w:marTop w:val="0"/>
                  <w:marBottom w:val="0"/>
                  <w:divBdr>
                    <w:top w:val="single" w:sz="2" w:space="2" w:color="E3E3E3"/>
                    <w:left w:val="single" w:sz="2" w:space="0" w:color="E3E3E3"/>
                    <w:bottom w:val="single" w:sz="2" w:space="0" w:color="E3E3E3"/>
                    <w:right w:val="single" w:sz="2" w:space="0" w:color="E3E3E3"/>
                  </w:divBdr>
                  <w:divsChild>
                    <w:div w:id="655888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6581505">
      <w:bodyDiv w:val="1"/>
      <w:marLeft w:val="0"/>
      <w:marRight w:val="0"/>
      <w:marTop w:val="0"/>
      <w:marBottom w:val="0"/>
      <w:divBdr>
        <w:top w:val="none" w:sz="0" w:space="0" w:color="auto"/>
        <w:left w:val="none" w:sz="0" w:space="0" w:color="auto"/>
        <w:bottom w:val="none" w:sz="0" w:space="0" w:color="auto"/>
        <w:right w:val="none" w:sz="0" w:space="0" w:color="auto"/>
      </w:divBdr>
    </w:div>
    <w:div w:id="196649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mc/articles/PMC3972524/" TargetMode="External"/><Relationship Id="rId18" Type="http://schemas.openxmlformats.org/officeDocument/2006/relationships/hyperlink" Target="https://pib.gov.in/PressReleaseIframePage.aspx?PRID=18438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cbi.nlm.nih.gov/pmc/articles/PMC4317993/" TargetMode="External"/><Relationship Id="rId17" Type="http://schemas.openxmlformats.org/officeDocument/2006/relationships/hyperlink" Target="https://www.ijfcm.org/article-details/7583" TargetMode="External"/><Relationship Id="rId2" Type="http://schemas.openxmlformats.org/officeDocument/2006/relationships/numbering" Target="numbering.xml"/><Relationship Id="rId16" Type="http://schemas.openxmlformats.org/officeDocument/2006/relationships/hyperlink" Target="https://pubmed.ncbi.nlm.nih.gov/270391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300/J052v22n04_03" TargetMode="External"/><Relationship Id="rId5" Type="http://schemas.openxmlformats.org/officeDocument/2006/relationships/settings" Target="settings.xml"/><Relationship Id="rId15" Type="http://schemas.openxmlformats.org/officeDocument/2006/relationships/hyperlink" Target="https://www.researchgate.net/publication/273491834_Assessment_of_nutritional_status_among_elderly_population_in_a_rural_area_of_West_Bengal_India" TargetMode="External"/><Relationship Id="rId10" Type="http://schemas.openxmlformats.org/officeDocument/2006/relationships/hyperlink" Target="https://www.ijcmph.com/index.php/ijcmph/article/view/653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ijcmph.com/index.php/ijcmph/article/view/1210" TargetMode="External"/><Relationship Id="rId14" Type="http://schemas.openxmlformats.org/officeDocument/2006/relationships/hyperlink" Target="https://doi.org/10.1038/s41598-023-39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5220-AA89-463B-A061-0390775E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24</Pages>
  <Words>10774</Words>
  <Characters>61417</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 Kumar</dc:creator>
  <cp:lastModifiedBy>qwert</cp:lastModifiedBy>
  <cp:revision>104</cp:revision>
  <cp:lastPrinted>2026-02-09T16:04:00Z</cp:lastPrinted>
  <dcterms:created xsi:type="dcterms:W3CDTF">2025-10-30T08:11:00Z</dcterms:created>
  <dcterms:modified xsi:type="dcterms:W3CDTF">2026-05-26T08:22:00Z</dcterms:modified>
</cp:coreProperties>
</file>