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A5AFC" w14:textId="77777777" w:rsidR="0013788A" w:rsidRPr="002D0354" w:rsidRDefault="00993472">
      <w:pPr>
        <w:spacing w:before="720" w:after="120"/>
        <w:jc w:val="center"/>
        <w:rPr>
          <w:lang w:val="en-US"/>
        </w:rPr>
      </w:pPr>
      <w:r w:rsidRPr="002D0354">
        <w:rPr>
          <w:b/>
          <w:bCs/>
          <w:color w:val="1F3864"/>
          <w:sz w:val="52"/>
          <w:szCs w:val="52"/>
          <w:lang w:val="en-US"/>
        </w:rPr>
        <w:t>CREATIVE DESTRUCTION,</w:t>
      </w:r>
    </w:p>
    <w:p w14:paraId="57E147D1" w14:textId="77777777" w:rsidR="0013788A" w:rsidRPr="002D0354" w:rsidRDefault="00993472">
      <w:pPr>
        <w:spacing w:after="120"/>
        <w:jc w:val="center"/>
        <w:rPr>
          <w:lang w:val="en-US"/>
        </w:rPr>
      </w:pPr>
      <w:r w:rsidRPr="002D0354">
        <w:rPr>
          <w:b/>
          <w:bCs/>
          <w:color w:val="1F3864"/>
          <w:sz w:val="52"/>
          <w:szCs w:val="52"/>
          <w:lang w:val="en-US"/>
        </w:rPr>
        <w:t>DISRUPTIVE INNOVATION,</w:t>
      </w:r>
    </w:p>
    <w:p w14:paraId="788D07B2" w14:textId="77777777" w:rsidR="0013788A" w:rsidRPr="002D0354" w:rsidRDefault="00993472">
      <w:pPr>
        <w:pBdr>
          <w:bottom w:val="single" w:sz="6" w:space="8" w:color="2E75B6"/>
        </w:pBdr>
        <w:spacing w:after="240"/>
        <w:jc w:val="center"/>
        <w:rPr>
          <w:lang w:val="en-US"/>
        </w:rPr>
      </w:pPr>
      <w:r w:rsidRPr="002D0354">
        <w:rPr>
          <w:b/>
          <w:bCs/>
          <w:color w:val="2E75B6"/>
          <w:sz w:val="52"/>
          <w:szCs w:val="52"/>
          <w:lang w:val="en-US"/>
        </w:rPr>
        <w:t>AND ECONOMIC CHANGE</w:t>
      </w:r>
    </w:p>
    <w:p w14:paraId="4EA1FB41" w14:textId="2D887A9D" w:rsidR="0013788A" w:rsidRPr="002D0354" w:rsidRDefault="0013788A">
      <w:pPr>
        <w:spacing w:after="480"/>
        <w:jc w:val="center"/>
        <w:rPr>
          <w:lang w:val="en-US"/>
        </w:rPr>
      </w:pPr>
      <w:bookmarkStart w:id="0" w:name="_GoBack"/>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3788A" w14:paraId="477D901B" w14:textId="77777777">
        <w:tc>
          <w:tcPr>
            <w:tcW w:w="0" w:type="auto"/>
            <w:tcBorders>
              <w:top w:val="single" w:sz="6" w:space="0" w:color="2E75B6"/>
              <w:left w:val="thick" w:sz="18" w:space="0" w:color="1F3864"/>
              <w:bottom w:val="single" w:sz="6" w:space="0" w:color="2E75B6"/>
              <w:right w:val="single" w:sz="6" w:space="0" w:color="2E75B6"/>
            </w:tcBorders>
            <w:shd w:val="clear" w:color="auto" w:fill="EAF2FB"/>
            <w:tcMar>
              <w:top w:w="200" w:type="dxa"/>
              <w:left w:w="240" w:type="dxa"/>
              <w:bottom w:w="200" w:type="dxa"/>
              <w:right w:w="240" w:type="dxa"/>
            </w:tcMar>
          </w:tcPr>
          <w:p w14:paraId="3730C21B" w14:textId="77777777" w:rsidR="0013788A" w:rsidRPr="002D0354" w:rsidRDefault="00993472">
            <w:pPr>
              <w:spacing w:after="120"/>
              <w:rPr>
                <w:lang w:val="en-US"/>
              </w:rPr>
            </w:pPr>
            <w:r w:rsidRPr="002D0354">
              <w:rPr>
                <w:b/>
                <w:bCs/>
                <w:color w:val="1F3864"/>
                <w:lang w:val="en-US"/>
              </w:rPr>
              <w:t>ABSTRACT</w:t>
            </w:r>
          </w:p>
          <w:p w14:paraId="64936950" w14:textId="77777777" w:rsidR="0013788A" w:rsidRPr="002D0354" w:rsidRDefault="00993472">
            <w:pPr>
              <w:spacing w:after="120"/>
              <w:jc w:val="both"/>
              <w:rPr>
                <w:lang w:val="en-US"/>
              </w:rPr>
            </w:pPr>
            <w:r w:rsidRPr="002D0354">
              <w:rPr>
                <w:i/>
                <w:iCs/>
                <w:color w:val="1A1A2E"/>
                <w:sz w:val="20"/>
                <w:szCs w:val="20"/>
                <w:lang w:val="en-US"/>
              </w:rPr>
              <w:t>This paper examines the concept of creative destruction as developed by Joseph Schumpeter and extends it through the lens of disruptive innovation theory (Christensen, 1997) and modern innovation economics. Drawing on historical and contemporary examples—including the digital revolution, platform economies, and mobile financial services in Sub-Saharan Africa—the paper argues that creative destruction remains the defining logic of capitalist dynamics. We further explore the policy implications for firms and governments navigating accelerating cycles of innovation. The case of mobile telephony and mobile money in Cameroon (MTN Mobile Money, Orange Money) is analyzed as a paradigmatic instance of disruptive innovation in an emerging economy context.</w:t>
            </w:r>
          </w:p>
          <w:p w14:paraId="063C044C" w14:textId="3FE75E67" w:rsidR="0013788A" w:rsidRDefault="0013788A"/>
        </w:tc>
      </w:tr>
    </w:tbl>
    <w:p w14:paraId="370E3400" w14:textId="77777777" w:rsidR="0013788A" w:rsidRDefault="00993472">
      <w:r>
        <w:br w:type="page"/>
      </w:r>
    </w:p>
    <w:p w14:paraId="36EDB5D3" w14:textId="77777777" w:rsidR="0013788A" w:rsidRDefault="00993472">
      <w:pPr>
        <w:pStyle w:val="Heading1"/>
        <w:pBdr>
          <w:bottom w:val="single" w:sz="4" w:space="6" w:color="2E75B6"/>
        </w:pBdr>
      </w:pPr>
      <w:r>
        <w:lastRenderedPageBreak/>
        <w:t>1. Introduction</w:t>
      </w:r>
    </w:p>
    <w:p w14:paraId="5865209D" w14:textId="77777777" w:rsidR="0013788A" w:rsidRPr="002D0354" w:rsidRDefault="00993472">
      <w:pPr>
        <w:spacing w:before="80" w:after="80"/>
        <w:jc w:val="both"/>
        <w:rPr>
          <w:lang w:val="en-US"/>
        </w:rPr>
      </w:pPr>
      <w:r w:rsidRPr="002D0354">
        <w:rPr>
          <w:color w:val="1A1A2E"/>
          <w:lang w:val="en-US"/>
        </w:rPr>
        <w:t>Change is the lifeblood of capitalism. Yet not all change is equal: some innovations refine existing products incrementally, while others overturn entire industries, dissolve established firms, and reconfigure the economic landscape with startling speed. This latter, more radical form of change is what Joseph Schumpeter (1883–1950) famously described as creative destruction, and it constitutes the central focus of this paper.</w:t>
      </w:r>
    </w:p>
    <w:p w14:paraId="3AA11362" w14:textId="77777777" w:rsidR="0013788A" w:rsidRPr="002D0354" w:rsidRDefault="0013788A">
      <w:pPr>
        <w:spacing w:before="80"/>
        <w:rPr>
          <w:lang w:val="en-US"/>
        </w:rPr>
      </w:pPr>
    </w:p>
    <w:p w14:paraId="5071631A" w14:textId="77777777" w:rsidR="0013788A" w:rsidRPr="002D0354" w:rsidRDefault="00993472">
      <w:pPr>
        <w:spacing w:before="80" w:after="80"/>
        <w:jc w:val="both"/>
        <w:rPr>
          <w:lang w:val="en-US"/>
        </w:rPr>
      </w:pPr>
      <w:r w:rsidRPr="002D0354">
        <w:rPr>
          <w:color w:val="1A1A2E"/>
          <w:lang w:val="en-US"/>
        </w:rPr>
        <w:t>Schumpeter's insight, first fully articulated in Capitalism, Socialism and Democracy (1943), was deceptively simple: the essential fact about capitalism is not price competition within stable markets, but the perpetual gale of innovation that sweeps away old products, firms, and market structures to make room for new ones. Half a century later, Clayton Christensen (1997) refined this notion through his theory of disruptive innovation, identifying the specific mechanisms by which smaller entrants eventually overthrow industry incumbents.</w:t>
      </w:r>
    </w:p>
    <w:p w14:paraId="28F3C7BF" w14:textId="77777777" w:rsidR="0013788A" w:rsidRPr="002D0354" w:rsidRDefault="0013788A">
      <w:pPr>
        <w:spacing w:before="80"/>
        <w:rPr>
          <w:lang w:val="en-US"/>
        </w:rPr>
      </w:pPr>
    </w:p>
    <w:p w14:paraId="2B42A20F" w14:textId="77777777" w:rsidR="0013788A" w:rsidRPr="002D0354" w:rsidRDefault="00993472">
      <w:pPr>
        <w:spacing w:before="80" w:after="80"/>
        <w:jc w:val="both"/>
        <w:rPr>
          <w:lang w:val="en-US"/>
        </w:rPr>
      </w:pPr>
      <w:r w:rsidRPr="002D0354">
        <w:rPr>
          <w:color w:val="1A1A2E"/>
          <w:lang w:val="en-US"/>
        </w:rPr>
        <w:t>This paper builds on both frameworks to provide a structured account of creative destruction in the twenty-first century. Section 2 establishes the theoretical foundations; Section 3 situates creative destruction within the broader history of technological waves; Section 4 examines disruptive innovation as a micro-level mechanism; Section 5 analyzes the case of mobile money in Cameroon; Section 6 addresses platform economies as a contemporary expression of creative destruction; Section 7 considers policy implications; and Section 8 concludes.</w:t>
      </w:r>
    </w:p>
    <w:p w14:paraId="364FF1B7" w14:textId="77777777" w:rsidR="0013788A" w:rsidRPr="002D0354" w:rsidRDefault="0013788A">
      <w:pPr>
        <w:spacing w:before="80"/>
        <w:rPr>
          <w:lang w:val="en-US"/>
        </w:rPr>
      </w:pPr>
    </w:p>
    <w:p w14:paraId="33F8D246" w14:textId="77777777" w:rsidR="0013788A" w:rsidRPr="002D0354" w:rsidRDefault="00993472">
      <w:pPr>
        <w:pStyle w:val="Heading1"/>
        <w:pBdr>
          <w:bottom w:val="single" w:sz="4" w:space="6" w:color="2E75B6"/>
        </w:pBdr>
        <w:rPr>
          <w:lang w:val="en-US"/>
        </w:rPr>
      </w:pPr>
      <w:r w:rsidRPr="002D0354">
        <w:rPr>
          <w:lang w:val="en-US"/>
        </w:rPr>
        <w:t>2. Theoretical Foundations: Schumpeter and Creative Destruction</w:t>
      </w:r>
    </w:p>
    <w:p w14:paraId="6BA78445" w14:textId="77777777" w:rsidR="0013788A" w:rsidRPr="002D0354" w:rsidRDefault="00993472">
      <w:pPr>
        <w:pStyle w:val="Heading2"/>
        <w:rPr>
          <w:lang w:val="en-US"/>
        </w:rPr>
      </w:pPr>
      <w:r w:rsidRPr="002D0354">
        <w:rPr>
          <w:lang w:val="en-US"/>
        </w:rPr>
        <w:t>2.1 Schumpeter's Original Framework</w:t>
      </w:r>
    </w:p>
    <w:p w14:paraId="148A37CA" w14:textId="77777777" w:rsidR="0013788A" w:rsidRPr="002D0354" w:rsidRDefault="00993472">
      <w:pPr>
        <w:spacing w:before="80" w:after="80"/>
        <w:jc w:val="both"/>
        <w:rPr>
          <w:lang w:val="en-US"/>
        </w:rPr>
      </w:pPr>
      <w:r w:rsidRPr="002D0354">
        <w:rPr>
          <w:color w:val="1A1A2E"/>
          <w:lang w:val="en-US"/>
        </w:rPr>
        <w:t>Joseph Schumpeter, drawing on his earlier work in The Theory of Economic Development (1911), argued that economic development is not a smooth, equilibrium-tending process but one driven by discontinuous bursts of innovation. Entrepreneurs are the agents who break economic routines by introducing new combinations: new products, new production methods, new markets, new sources of supply, and new organizational forms (Schumpeter, 1911, p. 66).</w:t>
      </w:r>
    </w:p>
    <w:p w14:paraId="158B0971" w14:textId="77777777" w:rsidR="0013788A" w:rsidRPr="002D0354" w:rsidRDefault="0013788A">
      <w:pPr>
        <w:spacing w:before="80"/>
        <w:rPr>
          <w:lang w:val="en-US"/>
        </w:rPr>
      </w:pPr>
    </w:p>
    <w:p w14:paraId="11F5EB5A" w14:textId="77777777" w:rsidR="0013788A" w:rsidRDefault="00993472">
      <w:pPr>
        <w:spacing w:before="80" w:after="80"/>
        <w:jc w:val="both"/>
      </w:pPr>
      <w:r w:rsidRPr="002D0354">
        <w:rPr>
          <w:color w:val="1A1A2E"/>
          <w:lang w:val="en-US"/>
        </w:rPr>
        <w:t xml:space="preserve">In his later formulation, Schumpeter (1943) argued that capitalism's locus of innovation had shifted from heroic individual entrepreneurs to large corporate R&amp;D departments. Yet the underlying logic—innovation as a competitive weapon that renders existing capital stocks obsolete—remained intact. Schumpeter defined creative destruction as the process of industrial mutation that incessantly revolutionizes the economic structure from within, incessantly destroying the old one, incessantly creating a new one (1943, p. 83). </w:t>
      </w:r>
      <w:r>
        <w:rPr>
          <w:color w:val="1A1A2E"/>
        </w:rPr>
        <w:t>Three dimensions of this definition deserve emphasis:</w:t>
      </w:r>
    </w:p>
    <w:p w14:paraId="2252911F" w14:textId="77777777" w:rsidR="0013788A" w:rsidRDefault="0013788A">
      <w:pPr>
        <w:spacing w:before="80"/>
      </w:pPr>
    </w:p>
    <w:p w14:paraId="5496194B" w14:textId="77777777" w:rsidR="0013788A" w:rsidRPr="002D0354" w:rsidRDefault="00993472">
      <w:pPr>
        <w:pStyle w:val="ListParagraph"/>
        <w:numPr>
          <w:ilvl w:val="0"/>
          <w:numId w:val="2"/>
        </w:numPr>
        <w:spacing w:before="60" w:after="60"/>
        <w:jc w:val="both"/>
        <w:rPr>
          <w:lang w:val="en-US"/>
        </w:rPr>
      </w:pPr>
      <w:r w:rsidRPr="002D0354">
        <w:rPr>
          <w:b/>
          <w:bCs/>
          <w:color w:val="1A1A2E"/>
          <w:lang w:val="en-US"/>
        </w:rPr>
        <w:t xml:space="preserve">Endogenous: </w:t>
      </w:r>
      <w:r w:rsidRPr="002D0354">
        <w:rPr>
          <w:color w:val="1A1A2E"/>
          <w:lang w:val="en-US"/>
        </w:rPr>
        <w:t>arising from within the economic system, not from external shocks.</w:t>
      </w:r>
    </w:p>
    <w:p w14:paraId="1D553395" w14:textId="77777777" w:rsidR="0013788A" w:rsidRPr="002D0354" w:rsidRDefault="00993472">
      <w:pPr>
        <w:pStyle w:val="ListParagraph"/>
        <w:numPr>
          <w:ilvl w:val="0"/>
          <w:numId w:val="2"/>
        </w:numPr>
        <w:spacing w:before="60" w:after="60"/>
        <w:jc w:val="both"/>
        <w:rPr>
          <w:lang w:val="en-US"/>
        </w:rPr>
      </w:pPr>
      <w:r w:rsidRPr="002D0354">
        <w:rPr>
          <w:b/>
          <w:bCs/>
          <w:color w:val="1A1A2E"/>
          <w:lang w:val="en-US"/>
        </w:rPr>
        <w:t xml:space="preserve">Incessant: </w:t>
      </w:r>
      <w:r w:rsidRPr="002D0354">
        <w:rPr>
          <w:color w:val="1A1A2E"/>
          <w:lang w:val="en-US"/>
        </w:rPr>
        <w:t>a permanent feature of capitalism, not an episodic disruption.</w:t>
      </w:r>
    </w:p>
    <w:p w14:paraId="68A88CBB" w14:textId="77777777" w:rsidR="0013788A" w:rsidRPr="002D0354" w:rsidRDefault="00993472">
      <w:pPr>
        <w:pStyle w:val="ListParagraph"/>
        <w:numPr>
          <w:ilvl w:val="0"/>
          <w:numId w:val="2"/>
        </w:numPr>
        <w:spacing w:before="60" w:after="60"/>
        <w:jc w:val="both"/>
        <w:rPr>
          <w:lang w:val="en-US"/>
        </w:rPr>
      </w:pPr>
      <w:r w:rsidRPr="002D0354">
        <w:rPr>
          <w:b/>
          <w:bCs/>
          <w:color w:val="1A1A2E"/>
          <w:lang w:val="en-US"/>
        </w:rPr>
        <w:t xml:space="preserve">Structural: </w:t>
      </w:r>
      <w:r w:rsidRPr="002D0354">
        <w:rPr>
          <w:color w:val="1A1A2E"/>
          <w:lang w:val="en-US"/>
        </w:rPr>
        <w:t>transforming the architecture of markets and industries, not merely prices or quantities.</w:t>
      </w:r>
    </w:p>
    <w:p w14:paraId="252BC537" w14:textId="77777777" w:rsidR="0013788A" w:rsidRPr="002D0354" w:rsidRDefault="0013788A">
      <w:pPr>
        <w:spacing w:before="80"/>
        <w:rPr>
          <w:lang w:val="en-US"/>
        </w:rPr>
      </w:pPr>
    </w:p>
    <w:p w14:paraId="1B399C4F" w14:textId="77777777" w:rsidR="0013788A" w:rsidRPr="002D0354" w:rsidRDefault="00993472">
      <w:pPr>
        <w:pStyle w:val="Heading2"/>
        <w:rPr>
          <w:lang w:val="en-US"/>
        </w:rPr>
      </w:pPr>
      <w:r w:rsidRPr="002D0354">
        <w:rPr>
          <w:lang w:val="en-US"/>
        </w:rPr>
        <w:lastRenderedPageBreak/>
        <w:t>2.2 Neo-Schumpeterian Extensions</w:t>
      </w:r>
    </w:p>
    <w:p w14:paraId="0C2E4790" w14:textId="77777777" w:rsidR="0013788A" w:rsidRPr="002D0354" w:rsidRDefault="00993472">
      <w:pPr>
        <w:spacing w:before="80" w:after="80"/>
        <w:jc w:val="both"/>
        <w:rPr>
          <w:lang w:val="en-US"/>
        </w:rPr>
      </w:pPr>
      <w:r w:rsidRPr="002D0354">
        <w:rPr>
          <w:color w:val="1A1A2E"/>
          <w:lang w:val="en-US"/>
        </w:rPr>
        <w:t>Building on Schumpeter, neo-Schumpeterian economists Richard Nelson and Sidney Winter (1982) developed evolutionary economics, modeling the economy as a system of competing routines and capabilities. Firms survive not by optimizing against a fixed production function but by continuously adapting their organizational routines in response to competitive pressure.</w:t>
      </w:r>
    </w:p>
    <w:p w14:paraId="667C1004" w14:textId="77777777" w:rsidR="0013788A" w:rsidRPr="002D0354" w:rsidRDefault="0013788A">
      <w:pPr>
        <w:spacing w:before="80"/>
        <w:rPr>
          <w:lang w:val="en-US"/>
        </w:rPr>
      </w:pPr>
    </w:p>
    <w:p w14:paraId="407F45D7" w14:textId="77777777" w:rsidR="0013788A" w:rsidRPr="002D0354" w:rsidRDefault="00993472">
      <w:pPr>
        <w:spacing w:before="80" w:after="80"/>
        <w:jc w:val="both"/>
        <w:rPr>
          <w:lang w:val="en-US"/>
        </w:rPr>
      </w:pPr>
      <w:r w:rsidRPr="002D0354">
        <w:rPr>
          <w:color w:val="1A1A2E"/>
          <w:lang w:val="en-US"/>
        </w:rPr>
        <w:t>Aghion and Howitt (1992) formalized the Schumpeterian intuition in endogenous growth models where growth is driven by quality-improving innovations that render previous technologies obsolete—quality ladders. Empirically, this literature confirms that incumbent exit and entrant entry are strongly correlated with productivity growth (Foster, Haltiwanger &amp; Krizan, 2001). Acemoglu and Zilibotti (1997) further showed that diversification of economic activity enables more rapid adoption of frontier technologies, accelerating creative destruction in catch-up economies.</w:t>
      </w:r>
    </w:p>
    <w:p w14:paraId="6DA72185" w14:textId="77777777" w:rsidR="0013788A" w:rsidRPr="002D0354" w:rsidRDefault="0013788A">
      <w:pPr>
        <w:spacing w:before="80"/>
        <w:rPr>
          <w:lang w:val="en-US"/>
        </w:rPr>
      </w:pPr>
    </w:p>
    <w:p w14:paraId="3FBDD20B" w14:textId="77777777" w:rsidR="0013788A" w:rsidRPr="002D0354" w:rsidRDefault="00993472">
      <w:pPr>
        <w:pStyle w:val="Heading1"/>
        <w:pBdr>
          <w:bottom w:val="single" w:sz="4" w:space="6" w:color="2E75B6"/>
        </w:pBdr>
        <w:rPr>
          <w:lang w:val="en-US"/>
        </w:rPr>
      </w:pPr>
      <w:r w:rsidRPr="002D0354">
        <w:rPr>
          <w:lang w:val="en-US"/>
        </w:rPr>
        <w:t>3. Long Waves of Creative Destruction: A Historical Perspective</w:t>
      </w:r>
    </w:p>
    <w:p w14:paraId="702FCB08" w14:textId="77777777" w:rsidR="0013788A" w:rsidRPr="002D0354" w:rsidRDefault="00993472">
      <w:pPr>
        <w:pStyle w:val="Heading2"/>
        <w:rPr>
          <w:lang w:val="en-US"/>
        </w:rPr>
      </w:pPr>
      <w:r w:rsidRPr="002D0354">
        <w:rPr>
          <w:lang w:val="en-US"/>
        </w:rPr>
        <w:t>3.1 Kondratiev Waves and Technological Revolutions</w:t>
      </w:r>
    </w:p>
    <w:p w14:paraId="748CE658" w14:textId="77777777" w:rsidR="0013788A" w:rsidRPr="002D0354" w:rsidRDefault="00993472">
      <w:pPr>
        <w:spacing w:before="80" w:after="80"/>
        <w:jc w:val="both"/>
        <w:rPr>
          <w:lang w:val="en-US"/>
        </w:rPr>
      </w:pPr>
      <w:r w:rsidRPr="002D0354">
        <w:rPr>
          <w:color w:val="1A1A2E"/>
          <w:lang w:val="en-US"/>
        </w:rPr>
        <w:t>Nikolai Kondratiev (1926) identified approximately fifty-year economic cycles driven by clusters of basic innovations. Building on this, Carlota Perez (2002) developed a theory of technological revolutions, identifying five major surges since the Industrial Revolution, each powered by a new general-purpose technology (GPT).</w:t>
      </w:r>
    </w:p>
    <w:p w14:paraId="5C6DA24C"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14:paraId="6DEA59F6"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74F81FD6" w14:textId="77777777" w:rsidR="0013788A" w:rsidRDefault="00993472">
            <w:pPr>
              <w:jc w:val="center"/>
            </w:pPr>
            <w:r>
              <w:rPr>
                <w:b/>
                <w:bCs/>
                <w:color w:val="FFFFFF"/>
              </w:rPr>
              <w:t>Figure 1 — Five Technological Revolutions (Perez, 2002)</w:t>
            </w:r>
          </w:p>
        </w:tc>
      </w:tr>
      <w:tr w:rsidR="0013788A" w14:paraId="1D086E4A"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528A3112" w14:textId="77777777" w:rsidR="0013788A" w:rsidRDefault="00993472">
            <w:pPr>
              <w:jc w:val="center"/>
            </w:pPr>
            <w:r>
              <w:rPr>
                <w:b/>
                <w:bCs/>
                <w:color w:val="1F3864"/>
                <w:sz w:val="20"/>
                <w:szCs w:val="20"/>
              </w:rPr>
              <w:t>Wave</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1A895F60" w14:textId="77777777" w:rsidR="0013788A" w:rsidRDefault="00993472">
            <w:pPr>
              <w:jc w:val="center"/>
            </w:pPr>
            <w:r>
              <w:rPr>
                <w:b/>
                <w:bCs/>
                <w:color w:val="1F3864"/>
                <w:sz w:val="20"/>
                <w:szCs w:val="20"/>
              </w:rPr>
              <w:t>Core Technology</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231CA591" w14:textId="77777777" w:rsidR="0013788A" w:rsidRDefault="00993472">
            <w:pPr>
              <w:jc w:val="center"/>
            </w:pPr>
            <w:r>
              <w:rPr>
                <w:b/>
                <w:bCs/>
                <w:color w:val="1F3864"/>
                <w:sz w:val="20"/>
                <w:szCs w:val="20"/>
              </w:rPr>
              <w:t>Approximate Period</w:t>
            </w:r>
          </w:p>
        </w:tc>
      </w:tr>
      <w:tr w:rsidR="0013788A" w14:paraId="0DBC9F14"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77BD2B7" w14:textId="77777777" w:rsidR="0013788A" w:rsidRDefault="00993472">
            <w:r>
              <w:rPr>
                <w:color w:val="1A1A2E"/>
                <w:sz w:val="20"/>
                <w:szCs w:val="20"/>
              </w:rPr>
              <w:t>1st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44F9B69" w14:textId="77777777" w:rsidR="0013788A" w:rsidRPr="002D0354" w:rsidRDefault="00993472">
            <w:pPr>
              <w:rPr>
                <w:lang w:val="en-US"/>
              </w:rPr>
            </w:pPr>
            <w:r w:rsidRPr="002D0354">
              <w:rPr>
                <w:color w:val="1A1A2E"/>
                <w:sz w:val="20"/>
                <w:szCs w:val="20"/>
                <w:lang w:val="en-US"/>
              </w:rPr>
              <w:t>Water-powered mechanization (textiles, iron)</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D09D852" w14:textId="77777777" w:rsidR="0013788A" w:rsidRDefault="00993472">
            <w:r>
              <w:rPr>
                <w:color w:val="1A1A2E"/>
                <w:sz w:val="20"/>
                <w:szCs w:val="20"/>
              </w:rPr>
              <w:t>1771 – 1829</w:t>
            </w:r>
          </w:p>
        </w:tc>
      </w:tr>
      <w:tr w:rsidR="0013788A" w14:paraId="4773D743"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182F7B37" w14:textId="77777777" w:rsidR="0013788A" w:rsidRDefault="00993472">
            <w:r>
              <w:rPr>
                <w:color w:val="1A1A2E"/>
                <w:sz w:val="20"/>
                <w:szCs w:val="20"/>
              </w:rPr>
              <w:t>2nd Wave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096A240" w14:textId="77777777" w:rsidR="0013788A" w:rsidRDefault="00993472">
            <w:r>
              <w:rPr>
                <w:color w:val="1A1A2E"/>
                <w:sz w:val="20"/>
                <w:szCs w:val="20"/>
              </w:rPr>
              <w:t>Steam engine &amp; railways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5DDB7712" w14:textId="77777777" w:rsidR="0013788A" w:rsidRDefault="00993472">
            <w:r>
              <w:rPr>
                <w:color w:val="1A1A2E"/>
                <w:sz w:val="20"/>
                <w:szCs w:val="20"/>
              </w:rPr>
              <w:t>1829 – 1875</w:t>
            </w:r>
          </w:p>
        </w:tc>
      </w:tr>
      <w:tr w:rsidR="0013788A" w14:paraId="3CE4761E"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2160A7E" w14:textId="77777777" w:rsidR="0013788A" w:rsidRDefault="00993472">
            <w:r>
              <w:rPr>
                <w:color w:val="1A1A2E"/>
                <w:sz w:val="20"/>
                <w:szCs w:val="20"/>
              </w:rPr>
              <w:t>3rd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29D65DA" w14:textId="77777777" w:rsidR="0013788A" w:rsidRDefault="00993472">
            <w:r>
              <w:rPr>
                <w:color w:val="1A1A2E"/>
                <w:sz w:val="20"/>
                <w:szCs w:val="20"/>
              </w:rPr>
              <w:t>Steel, electricity &amp; heavy engineering</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B59537B" w14:textId="77777777" w:rsidR="0013788A" w:rsidRDefault="00993472">
            <w:r>
              <w:rPr>
                <w:color w:val="1A1A2E"/>
                <w:sz w:val="20"/>
                <w:szCs w:val="20"/>
              </w:rPr>
              <w:t>1875 – 1918</w:t>
            </w:r>
          </w:p>
        </w:tc>
      </w:tr>
      <w:tr w:rsidR="0013788A" w14:paraId="4ABC4D91"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23942DF9" w14:textId="77777777" w:rsidR="0013788A" w:rsidRDefault="00993472">
            <w:r>
              <w:rPr>
                <w:color w:val="1A1A2E"/>
                <w:sz w:val="20"/>
                <w:szCs w:val="20"/>
              </w:rPr>
              <w:t>4th Wave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6B47178" w14:textId="77777777" w:rsidR="0013788A" w:rsidRDefault="00993472">
            <w:r>
              <w:rPr>
                <w:color w:val="1A1A2E"/>
                <w:sz w:val="20"/>
                <w:szCs w:val="20"/>
              </w:rPr>
              <w:t>Oil, automobile &amp; mass production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5371AB0F" w14:textId="77777777" w:rsidR="0013788A" w:rsidRDefault="00993472">
            <w:r>
              <w:rPr>
                <w:color w:val="1A1A2E"/>
                <w:sz w:val="20"/>
                <w:szCs w:val="20"/>
              </w:rPr>
              <w:t>1918 – 1974</w:t>
            </w:r>
          </w:p>
        </w:tc>
      </w:tr>
      <w:tr w:rsidR="0013788A" w14:paraId="5752F5E8"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34F89BD4" w14:textId="77777777" w:rsidR="0013788A" w:rsidRDefault="00993472">
            <w:r>
              <w:rPr>
                <w:color w:val="1A1A2E"/>
                <w:sz w:val="20"/>
                <w:szCs w:val="20"/>
              </w:rPr>
              <w:t>5th Wave</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07ED9ED" w14:textId="77777777" w:rsidR="0013788A" w:rsidRDefault="00993472">
            <w:r>
              <w:rPr>
                <w:color w:val="1A1A2E"/>
                <w:sz w:val="20"/>
                <w:szCs w:val="20"/>
              </w:rPr>
              <w:t>Information &amp; telecommunication technologies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5D7B1EA1" w14:textId="77777777" w:rsidR="0013788A" w:rsidRDefault="00993472">
            <w:r>
              <w:rPr>
                <w:color w:val="1A1A2E"/>
                <w:sz w:val="20"/>
                <w:szCs w:val="20"/>
              </w:rPr>
              <w:t>1971 – present</w:t>
            </w:r>
          </w:p>
        </w:tc>
      </w:tr>
    </w:tbl>
    <w:p w14:paraId="24B0A2F2" w14:textId="77777777" w:rsidR="0013788A" w:rsidRDefault="0013788A">
      <w:pPr>
        <w:spacing w:before="80"/>
      </w:pPr>
    </w:p>
    <w:p w14:paraId="2767D357" w14:textId="77777777" w:rsidR="0013788A" w:rsidRPr="002D0354" w:rsidRDefault="00993472">
      <w:pPr>
        <w:spacing w:after="160"/>
        <w:jc w:val="center"/>
        <w:rPr>
          <w:lang w:val="en-US"/>
        </w:rPr>
      </w:pPr>
      <w:r w:rsidRPr="002D0354">
        <w:rPr>
          <w:i/>
          <w:iCs/>
          <w:color w:val="555555"/>
          <w:sz w:val="18"/>
          <w:szCs w:val="18"/>
          <w:lang w:val="en-US"/>
        </w:rPr>
        <w:t xml:space="preserve">Source: Adapted from Perez, C. (2002). </w:t>
      </w:r>
      <w:proofErr w:type="gramStart"/>
      <w:r w:rsidRPr="002D0354">
        <w:rPr>
          <w:i/>
          <w:iCs/>
          <w:color w:val="555555"/>
          <w:sz w:val="18"/>
          <w:szCs w:val="18"/>
          <w:lang w:val="en-US"/>
        </w:rPr>
        <w:t>Technological Revolutions and Financial Capital.</w:t>
      </w:r>
      <w:proofErr w:type="gramEnd"/>
      <w:r w:rsidRPr="002D0354">
        <w:rPr>
          <w:i/>
          <w:iCs/>
          <w:color w:val="555555"/>
          <w:sz w:val="18"/>
          <w:szCs w:val="18"/>
          <w:lang w:val="en-US"/>
        </w:rPr>
        <w:t xml:space="preserve"> Elgar.</w:t>
      </w:r>
    </w:p>
    <w:p w14:paraId="552377A3" w14:textId="77777777" w:rsidR="0013788A" w:rsidRPr="002D0354" w:rsidRDefault="0013788A">
      <w:pPr>
        <w:spacing w:before="80"/>
        <w:rPr>
          <w:lang w:val="en-US"/>
        </w:rPr>
      </w:pPr>
    </w:p>
    <w:p w14:paraId="4CB1898C" w14:textId="77777777" w:rsidR="0013788A" w:rsidRPr="002D0354" w:rsidRDefault="00993472">
      <w:pPr>
        <w:spacing w:before="80" w:after="80"/>
        <w:jc w:val="both"/>
        <w:rPr>
          <w:lang w:val="en-US"/>
        </w:rPr>
      </w:pPr>
      <w:r w:rsidRPr="002D0354">
        <w:rPr>
          <w:color w:val="1A1A2E"/>
          <w:lang w:val="en-US"/>
        </w:rPr>
        <w:t>Each wave exhibits a similar pattern: a period of technological installation driven by financial capital, a turning point—often a financial crisis—followed by a deployment phase in which the new paradigm diffuses through the economy (Perez, 2002). Creative destruction is most intense at the transition between waves, when the incumbent techno-economic paradigm is challenged by the emerging one.</w:t>
      </w:r>
    </w:p>
    <w:p w14:paraId="51F697D3" w14:textId="77777777" w:rsidR="0013788A" w:rsidRPr="002D0354" w:rsidRDefault="0013788A">
      <w:pPr>
        <w:spacing w:before="80"/>
        <w:rPr>
          <w:lang w:val="en-US"/>
        </w:rPr>
      </w:pPr>
    </w:p>
    <w:p w14:paraId="7C2B5CEE" w14:textId="77777777" w:rsidR="0013788A" w:rsidRPr="002D0354" w:rsidRDefault="00993472">
      <w:pPr>
        <w:pStyle w:val="Heading1"/>
        <w:pBdr>
          <w:bottom w:val="single" w:sz="4" w:space="6" w:color="2E75B6"/>
        </w:pBdr>
        <w:rPr>
          <w:lang w:val="en-US"/>
        </w:rPr>
      </w:pPr>
      <w:r w:rsidRPr="002D0354">
        <w:rPr>
          <w:lang w:val="en-US"/>
        </w:rPr>
        <w:lastRenderedPageBreak/>
        <w:t>4. Disruptive Innovation: The Micro-Mechanism of Creative Destruction</w:t>
      </w:r>
    </w:p>
    <w:p w14:paraId="26990A27" w14:textId="77777777" w:rsidR="0013788A" w:rsidRPr="002D0354" w:rsidRDefault="00993472">
      <w:pPr>
        <w:pStyle w:val="Heading2"/>
        <w:rPr>
          <w:lang w:val="en-US"/>
        </w:rPr>
      </w:pPr>
      <w:r w:rsidRPr="002D0354">
        <w:rPr>
          <w:lang w:val="en-US"/>
        </w:rPr>
        <w:t>4.1 Christensen's Disruptive Innovation Theory</w:t>
      </w:r>
    </w:p>
    <w:p w14:paraId="58273F07" w14:textId="77777777" w:rsidR="0013788A" w:rsidRPr="002D0354" w:rsidRDefault="00993472">
      <w:pPr>
        <w:spacing w:before="80" w:after="80"/>
        <w:jc w:val="both"/>
        <w:rPr>
          <w:lang w:val="en-US"/>
        </w:rPr>
      </w:pPr>
      <w:r w:rsidRPr="002D0354">
        <w:rPr>
          <w:color w:val="1A1A2E"/>
          <w:lang w:val="en-US"/>
        </w:rPr>
        <w:t>Clayton Christensen's The Innovator's Dilemma (1997) provided the most influential micro-level account of how creative destruction unfolds at the firm and industry level. Christensen distinguished between sustaining innovations—which improve established products along dimensions incumbent customers value—and disruptive innovations, which initially underperform but offer a different value proposition: simpler, cheaper, or more accessible.</w:t>
      </w:r>
    </w:p>
    <w:p w14:paraId="74A9C69B" w14:textId="77777777" w:rsidR="0013788A" w:rsidRPr="002D0354" w:rsidRDefault="0013788A">
      <w:pPr>
        <w:spacing w:before="80"/>
        <w:rPr>
          <w:lang w:val="en-US"/>
        </w:rPr>
      </w:pPr>
    </w:p>
    <w:p w14:paraId="30352B0F" w14:textId="77777777" w:rsidR="0013788A" w:rsidRPr="002D0354" w:rsidRDefault="00993472">
      <w:pPr>
        <w:spacing w:before="80" w:after="80"/>
        <w:jc w:val="both"/>
        <w:rPr>
          <w:lang w:val="en-US"/>
        </w:rPr>
      </w:pPr>
      <w:r w:rsidRPr="002D0354">
        <w:rPr>
          <w:color w:val="1A1A2E"/>
          <w:lang w:val="en-US"/>
        </w:rPr>
        <w:t>The disruptive mechanism operates through a well-documented sequence. Established firms, rationally serving their most profitable customers, consistently overshoot the performance requirements of lower-end or non-consuming segments. Entrants exploit these gaps, progressively improving performance until they meet mainstream demand and ultimately displace incumbents (Christensen &amp; Raynor, 2003).</w:t>
      </w:r>
    </w:p>
    <w:p w14:paraId="02C1B6F2"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88A" w14:paraId="353F6EF2" w14:textId="77777777">
        <w:tc>
          <w:tcPr>
            <w:tcW w:w="0" w:type="auto"/>
            <w:gridSpan w:val="2"/>
            <w:tcBorders>
              <w:top w:val="single" w:sz="3" w:space="0" w:color="2E75B6"/>
              <w:left w:val="single" w:sz="3" w:space="0" w:color="2E75B6"/>
              <w:bottom w:val="single" w:sz="3" w:space="0" w:color="2E75B6"/>
              <w:right w:val="single" w:sz="3" w:space="0" w:color="2E75B6"/>
            </w:tcBorders>
            <w:shd w:val="clear" w:color="auto" w:fill="1F3864"/>
            <w:tcMar>
              <w:top w:w="100" w:type="dxa"/>
              <w:left w:w="160" w:type="dxa"/>
              <w:bottom w:w="100" w:type="dxa"/>
              <w:right w:w="160" w:type="dxa"/>
            </w:tcMar>
          </w:tcPr>
          <w:p w14:paraId="5C9402E2" w14:textId="77777777" w:rsidR="0013788A" w:rsidRDefault="00993472">
            <w:pPr>
              <w:jc w:val="center"/>
            </w:pPr>
            <w:r>
              <w:rPr>
                <w:b/>
                <w:bCs/>
                <w:color w:val="FFFFFF"/>
              </w:rPr>
              <w:t>Figure 2 — Sustaining vs. Disruptive Innovation</w:t>
            </w:r>
          </w:p>
        </w:tc>
      </w:tr>
      <w:tr w:rsidR="0013788A" w14:paraId="619631A1" w14:textId="77777777">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5D901866" w14:textId="77777777" w:rsidR="0013788A" w:rsidRDefault="00993472">
            <w:pPr>
              <w:jc w:val="center"/>
            </w:pPr>
            <w:r>
              <w:rPr>
                <w:b/>
                <w:bCs/>
                <w:color w:val="1F3864"/>
                <w:sz w:val="21"/>
                <w:szCs w:val="21"/>
              </w:rPr>
              <w:t>Sustaining Innovation</w:t>
            </w:r>
          </w:p>
        </w:tc>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7C04DCC3" w14:textId="77777777" w:rsidR="0013788A" w:rsidRDefault="00993472">
            <w:pPr>
              <w:jc w:val="center"/>
            </w:pPr>
            <w:r>
              <w:rPr>
                <w:b/>
                <w:bCs/>
                <w:color w:val="1F3864"/>
                <w:sz w:val="21"/>
                <w:szCs w:val="21"/>
              </w:rPr>
              <w:t>Disruptive Innovation</w:t>
            </w:r>
          </w:p>
        </w:tc>
      </w:tr>
      <w:tr w:rsidR="0013788A" w14:paraId="262293DC" w14:textId="77777777">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59FAD304" w14:textId="77777777" w:rsidR="0013788A" w:rsidRPr="002D0354" w:rsidRDefault="00993472">
            <w:pPr>
              <w:spacing w:before="50" w:after="50"/>
              <w:rPr>
                <w:lang w:val="en-US"/>
              </w:rPr>
            </w:pPr>
            <w:r w:rsidRPr="002D0354">
              <w:rPr>
                <w:color w:val="1A1A2E"/>
                <w:sz w:val="20"/>
                <w:szCs w:val="20"/>
                <w:lang w:val="en-US"/>
              </w:rPr>
              <w:t>• Targets existing mainstream customers</w:t>
            </w:r>
          </w:p>
          <w:p w14:paraId="067E1F04" w14:textId="77777777" w:rsidR="0013788A" w:rsidRPr="002D0354" w:rsidRDefault="00993472">
            <w:pPr>
              <w:spacing w:before="50" w:after="50"/>
              <w:rPr>
                <w:lang w:val="en-US"/>
              </w:rPr>
            </w:pPr>
            <w:r w:rsidRPr="002D0354">
              <w:rPr>
                <w:color w:val="1A1A2E"/>
                <w:sz w:val="20"/>
                <w:szCs w:val="20"/>
                <w:lang w:val="en-US"/>
              </w:rPr>
              <w:t>• Improves performance on established metrics</w:t>
            </w:r>
          </w:p>
          <w:p w14:paraId="2F7898C6" w14:textId="77777777" w:rsidR="0013788A" w:rsidRPr="002D0354" w:rsidRDefault="00993472">
            <w:pPr>
              <w:spacing w:before="50" w:after="50"/>
              <w:rPr>
                <w:lang w:val="en-US"/>
              </w:rPr>
            </w:pPr>
            <w:r w:rsidRPr="002D0354">
              <w:rPr>
                <w:color w:val="1A1A2E"/>
                <w:sz w:val="20"/>
                <w:szCs w:val="20"/>
                <w:lang w:val="en-US"/>
              </w:rPr>
              <w:t>• Supports incumbent firms' strategies</w:t>
            </w:r>
          </w:p>
          <w:p w14:paraId="40899FDF" w14:textId="77777777" w:rsidR="0013788A" w:rsidRPr="002D0354" w:rsidRDefault="00993472">
            <w:pPr>
              <w:spacing w:before="50" w:after="50"/>
              <w:rPr>
                <w:lang w:val="en-US"/>
              </w:rPr>
            </w:pPr>
            <w:r w:rsidRPr="002D0354">
              <w:rPr>
                <w:color w:val="1A1A2E"/>
                <w:sz w:val="20"/>
                <w:szCs w:val="20"/>
                <w:lang w:val="en-US"/>
              </w:rPr>
              <w:t>• Higher margin, incremental improvement</w:t>
            </w:r>
          </w:p>
          <w:p w14:paraId="7AC713D6" w14:textId="77777777" w:rsidR="0013788A" w:rsidRPr="002D0354" w:rsidRDefault="00993472">
            <w:pPr>
              <w:spacing w:before="50" w:after="50"/>
              <w:rPr>
                <w:lang w:val="en-US"/>
              </w:rPr>
            </w:pPr>
            <w:r w:rsidRPr="002D0354">
              <w:rPr>
                <w:color w:val="1A1A2E"/>
                <w:sz w:val="20"/>
                <w:szCs w:val="20"/>
                <w:lang w:val="en-US"/>
              </w:rPr>
              <w:t>• Examples: faster processors, better cameras</w:t>
            </w:r>
          </w:p>
        </w:tc>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4250F32D" w14:textId="77777777" w:rsidR="0013788A" w:rsidRPr="002D0354" w:rsidRDefault="00993472">
            <w:pPr>
              <w:spacing w:before="50" w:after="50"/>
              <w:rPr>
                <w:lang w:val="en-US"/>
              </w:rPr>
            </w:pPr>
            <w:r w:rsidRPr="002D0354">
              <w:rPr>
                <w:color w:val="1A1A2E"/>
                <w:sz w:val="20"/>
                <w:szCs w:val="20"/>
                <w:lang w:val="en-US"/>
              </w:rPr>
              <w:t>• Targets overlooked or non-consumers</w:t>
            </w:r>
          </w:p>
          <w:p w14:paraId="368DD7B2" w14:textId="77777777" w:rsidR="0013788A" w:rsidRPr="002D0354" w:rsidRDefault="00993472">
            <w:pPr>
              <w:spacing w:before="50" w:after="50"/>
              <w:rPr>
                <w:lang w:val="en-US"/>
              </w:rPr>
            </w:pPr>
            <w:r w:rsidRPr="002D0354">
              <w:rPr>
                <w:color w:val="1A1A2E"/>
                <w:sz w:val="20"/>
                <w:szCs w:val="20"/>
                <w:lang w:val="en-US"/>
              </w:rPr>
              <w:t>• Initially inferior on established metrics</w:t>
            </w:r>
          </w:p>
          <w:p w14:paraId="7A98930A" w14:textId="77777777" w:rsidR="0013788A" w:rsidRPr="002D0354" w:rsidRDefault="00993472">
            <w:pPr>
              <w:spacing w:before="50" w:after="50"/>
              <w:rPr>
                <w:lang w:val="en-US"/>
              </w:rPr>
            </w:pPr>
            <w:r w:rsidRPr="002D0354">
              <w:rPr>
                <w:color w:val="1A1A2E"/>
                <w:sz w:val="20"/>
                <w:szCs w:val="20"/>
                <w:lang w:val="en-US"/>
              </w:rPr>
              <w:t>• Enables new business models and entrants</w:t>
            </w:r>
          </w:p>
          <w:p w14:paraId="4A4DDC7F" w14:textId="77777777" w:rsidR="0013788A" w:rsidRPr="002D0354" w:rsidRDefault="00993472">
            <w:pPr>
              <w:spacing w:before="50" w:after="50"/>
              <w:rPr>
                <w:lang w:val="en-US"/>
              </w:rPr>
            </w:pPr>
            <w:r w:rsidRPr="002D0354">
              <w:rPr>
                <w:color w:val="1A1A2E"/>
                <w:sz w:val="20"/>
                <w:szCs w:val="20"/>
                <w:lang w:val="en-US"/>
              </w:rPr>
              <w:t>• Lower margin initially, then expands market</w:t>
            </w:r>
          </w:p>
          <w:p w14:paraId="2810C356" w14:textId="77777777" w:rsidR="0013788A" w:rsidRDefault="00993472">
            <w:pPr>
              <w:spacing w:before="50" w:after="50"/>
            </w:pPr>
            <w:r>
              <w:rPr>
                <w:color w:val="1A1A2E"/>
                <w:sz w:val="20"/>
                <w:szCs w:val="20"/>
              </w:rPr>
              <w:t>• Examples: personal computers, smartphones</w:t>
            </w:r>
          </w:p>
        </w:tc>
      </w:tr>
    </w:tbl>
    <w:p w14:paraId="178F1BB1" w14:textId="77777777" w:rsidR="0013788A" w:rsidRDefault="0013788A">
      <w:pPr>
        <w:spacing w:before="80"/>
      </w:pPr>
    </w:p>
    <w:p w14:paraId="682614B0"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17F49768" w14:textId="77777777" w:rsidR="0013788A" w:rsidRPr="002D0354" w:rsidRDefault="0013788A">
      <w:pPr>
        <w:spacing w:before="80"/>
        <w:rPr>
          <w:lang w:val="en-US"/>
        </w:rPr>
      </w:pPr>
    </w:p>
    <w:p w14:paraId="1D6120BD" w14:textId="77777777" w:rsidR="0013788A" w:rsidRPr="002D0354" w:rsidRDefault="00993472">
      <w:pPr>
        <w:pStyle w:val="Heading2"/>
        <w:rPr>
          <w:lang w:val="en-US"/>
        </w:rPr>
      </w:pPr>
      <w:r w:rsidRPr="002D0354">
        <w:rPr>
          <w:lang w:val="en-US"/>
        </w:rPr>
        <w:t>4.2 Limitations and Critiques</w:t>
      </w:r>
    </w:p>
    <w:p w14:paraId="3231AFBA" w14:textId="77777777" w:rsidR="0013788A" w:rsidRPr="002D0354" w:rsidRDefault="00993472">
      <w:pPr>
        <w:spacing w:before="80" w:after="80"/>
        <w:jc w:val="both"/>
        <w:rPr>
          <w:lang w:val="en-US"/>
        </w:rPr>
      </w:pPr>
      <w:r w:rsidRPr="002D0354">
        <w:rPr>
          <w:color w:val="1A1A2E"/>
          <w:lang w:val="en-US"/>
        </w:rPr>
        <w:t>Critics, notably Jill Lepore (2014), have questioned the empirical robustness of Christensen's framework, arguing that it is selectively applied and does not adequately account for incumbents who successfully adapt. King and Baatartogtokh (2015) found that fewer than 10% of 77 cases Christensen presented met all the theory's criteria. Nevertheless, the underlying insight—that competitive dynamics are shaped by the tension between performance improvement and accessibility—remains empirically grounded in several industries.</w:t>
      </w:r>
    </w:p>
    <w:p w14:paraId="372F4DD5" w14:textId="77777777" w:rsidR="0013788A" w:rsidRPr="002D0354" w:rsidRDefault="0013788A">
      <w:pPr>
        <w:spacing w:before="80"/>
        <w:rPr>
          <w:lang w:val="en-US"/>
        </w:rPr>
      </w:pPr>
    </w:p>
    <w:p w14:paraId="2CC9C75C" w14:textId="77777777" w:rsidR="0013788A" w:rsidRPr="002D0354" w:rsidRDefault="00993472">
      <w:pPr>
        <w:rPr>
          <w:lang w:val="en-US"/>
        </w:rPr>
      </w:pPr>
      <w:r w:rsidRPr="002D0354">
        <w:rPr>
          <w:lang w:val="en-US"/>
        </w:rPr>
        <w:br w:type="page"/>
      </w:r>
    </w:p>
    <w:p w14:paraId="53F1EC3D" w14:textId="77777777" w:rsidR="0013788A" w:rsidRPr="002D0354" w:rsidRDefault="00993472">
      <w:pPr>
        <w:pStyle w:val="Heading1"/>
        <w:pBdr>
          <w:bottom w:val="single" w:sz="4" w:space="6" w:color="2E75B6"/>
        </w:pBdr>
        <w:rPr>
          <w:lang w:val="en-US"/>
        </w:rPr>
      </w:pPr>
      <w:r w:rsidRPr="002D0354">
        <w:rPr>
          <w:lang w:val="en-US"/>
        </w:rPr>
        <w:lastRenderedPageBreak/>
        <w:t>5. Creative Destruction in Emerging Economies: Mobile Money in Cameroon</w:t>
      </w:r>
    </w:p>
    <w:p w14:paraId="0300B582" w14:textId="77777777" w:rsidR="0013788A" w:rsidRPr="002D0354" w:rsidRDefault="00993472">
      <w:pPr>
        <w:pStyle w:val="Heading2"/>
        <w:rPr>
          <w:lang w:val="en-US"/>
        </w:rPr>
      </w:pPr>
      <w:r w:rsidRPr="002D0354">
        <w:rPr>
          <w:lang w:val="en-US"/>
        </w:rPr>
        <w:t>5.1 The Pre-Innovation Landscape</w:t>
      </w:r>
    </w:p>
    <w:p w14:paraId="4D3FEB6E" w14:textId="77777777" w:rsidR="0013788A" w:rsidRPr="002D0354" w:rsidRDefault="00993472">
      <w:pPr>
        <w:spacing w:before="80" w:after="80"/>
        <w:jc w:val="both"/>
        <w:rPr>
          <w:lang w:val="en-US"/>
        </w:rPr>
      </w:pPr>
      <w:r w:rsidRPr="002D0354">
        <w:rPr>
          <w:color w:val="1A1A2E"/>
          <w:lang w:val="en-US"/>
        </w:rPr>
        <w:t>Prior to the widespread diffusion of mobile telephony, Cameroon's communication and financial infrastructure exhibited classic signs of structural underdevelopment. Landline penetration remained below 2% of the population by 2000 (ITU, 2002). Traditional banking services reached fewer than 20% of adults, with rural and informal-sector workers largely excluded due to high transaction costs, minimum balance requirements, and geographic inaccessibility (World Bank, 2012).</w:t>
      </w:r>
    </w:p>
    <w:p w14:paraId="2837C570" w14:textId="77777777" w:rsidR="0013788A" w:rsidRPr="002D0354" w:rsidRDefault="0013788A">
      <w:pPr>
        <w:spacing w:before="80"/>
        <w:rPr>
          <w:lang w:val="en-US"/>
        </w:rPr>
      </w:pPr>
    </w:p>
    <w:p w14:paraId="7E9E286F" w14:textId="77777777" w:rsidR="0013788A" w:rsidRPr="002D0354" w:rsidRDefault="00993472">
      <w:pPr>
        <w:pStyle w:val="Heading2"/>
        <w:rPr>
          <w:lang w:val="en-US"/>
        </w:rPr>
      </w:pPr>
      <w:r w:rsidRPr="002D0354">
        <w:rPr>
          <w:lang w:val="en-US"/>
        </w:rPr>
        <w:t>5.2 The Disruptive Entry of Mobile Operators</w:t>
      </w:r>
    </w:p>
    <w:p w14:paraId="148226DC" w14:textId="77777777" w:rsidR="0013788A" w:rsidRPr="002D0354" w:rsidRDefault="00993472">
      <w:pPr>
        <w:spacing w:before="80" w:after="80"/>
        <w:jc w:val="both"/>
        <w:rPr>
          <w:lang w:val="en-US"/>
        </w:rPr>
      </w:pPr>
      <w:r w:rsidRPr="002D0354">
        <w:rPr>
          <w:color w:val="1A1A2E"/>
          <w:lang w:val="en-US"/>
        </w:rPr>
        <w:t>The liberalization of Cameroon's telecoms sector in the late 1990s opened the market to MTN (entering 1999) and Orange (2000), followed by Nexttel (2014). These entrants did not seek to improve on landline telephony; they bypassed it entirely, targeting populations with no prior access to telecommunications. In Christensen's terms, this was new-market disruption—creating a market where none previously existed.</w:t>
      </w:r>
    </w:p>
    <w:p w14:paraId="60197533" w14:textId="77777777" w:rsidR="0013788A" w:rsidRPr="002D0354" w:rsidRDefault="0013788A">
      <w:pPr>
        <w:spacing w:before="80"/>
        <w:rPr>
          <w:lang w:val="en-US"/>
        </w:rPr>
      </w:pPr>
    </w:p>
    <w:p w14:paraId="4BB216F8" w14:textId="77777777" w:rsidR="0013788A" w:rsidRPr="002D0354" w:rsidRDefault="00993472">
      <w:pPr>
        <w:spacing w:before="80" w:after="80"/>
        <w:jc w:val="both"/>
        <w:rPr>
          <w:lang w:val="en-US"/>
        </w:rPr>
      </w:pPr>
      <w:r w:rsidRPr="002D0354">
        <w:rPr>
          <w:color w:val="1A1A2E"/>
          <w:lang w:val="en-US"/>
        </w:rPr>
        <w:t>Mobile penetration grew from near-zero in 2000 to over 80% of the population by 2020 (ITU, 2021), rendering landline infrastructure largely obsolete and forcing the incumbent state operator, Camtel, into a dramatically diminished market position. The creative destruction dynamic was textbook Schumpeterian: a new organizational form destroyed an old one while dramatically expanding access to communication services.</w:t>
      </w:r>
    </w:p>
    <w:p w14:paraId="0A280216"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rsidRPr="0077463E" w14:paraId="5189584F"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3BE4BF3D" w14:textId="77777777" w:rsidR="0013788A" w:rsidRPr="002D0354" w:rsidRDefault="00993472">
            <w:pPr>
              <w:jc w:val="center"/>
              <w:rPr>
                <w:lang w:val="en-US"/>
              </w:rPr>
            </w:pPr>
            <w:r w:rsidRPr="002D0354">
              <w:rPr>
                <w:b/>
                <w:bCs/>
                <w:color w:val="FFFFFF"/>
                <w:lang w:val="en-US"/>
              </w:rPr>
              <w:t>Figure 3 — Telecom Market Transformation in Cameroon (2000–2022)</w:t>
            </w:r>
          </w:p>
        </w:tc>
      </w:tr>
      <w:tr w:rsidR="0013788A" w14:paraId="16A1E8E6"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1D0D9DAD" w14:textId="77777777" w:rsidR="0013788A" w:rsidRDefault="00993472">
            <w:pPr>
              <w:jc w:val="center"/>
            </w:pPr>
            <w:r>
              <w:rPr>
                <w:b/>
                <w:bCs/>
                <w:color w:val="1F3864"/>
                <w:sz w:val="20"/>
                <w:szCs w:val="20"/>
              </w:rPr>
              <w:t>Indicator</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2E66BA8F" w14:textId="77777777" w:rsidR="0013788A" w:rsidRDefault="00993472">
            <w:pPr>
              <w:jc w:val="center"/>
            </w:pPr>
            <w:r>
              <w:rPr>
                <w:b/>
                <w:bCs/>
                <w:color w:val="1F3864"/>
                <w:sz w:val="20"/>
                <w:szCs w:val="20"/>
              </w:rPr>
              <w:t>2000</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360FC915" w14:textId="77777777" w:rsidR="0013788A" w:rsidRDefault="00993472">
            <w:pPr>
              <w:jc w:val="center"/>
            </w:pPr>
            <w:r>
              <w:rPr>
                <w:b/>
                <w:bCs/>
                <w:color w:val="1F3864"/>
                <w:sz w:val="20"/>
                <w:szCs w:val="20"/>
              </w:rPr>
              <w:t>2022 (est.)</w:t>
            </w:r>
          </w:p>
        </w:tc>
      </w:tr>
      <w:tr w:rsidR="0013788A" w14:paraId="4E30A4E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5C7070DB" w14:textId="77777777" w:rsidR="0013788A" w:rsidRDefault="00993472">
            <w:r>
              <w:rPr>
                <w:color w:val="1A1A2E"/>
                <w:sz w:val="20"/>
                <w:szCs w:val="20"/>
              </w:rPr>
              <w:t>Landline penetration (% of population)</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0A66F54" w14:textId="77777777" w:rsidR="0013788A" w:rsidRDefault="00993472">
            <w:r>
              <w:rPr>
                <w:color w:val="1A1A2E"/>
                <w:sz w:val="20"/>
                <w:szCs w:val="20"/>
              </w:rPr>
              <w:t>~1.5%</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C09C753" w14:textId="77777777" w:rsidR="0013788A" w:rsidRDefault="00993472">
            <w:r>
              <w:rPr>
                <w:color w:val="1A1A2E"/>
                <w:sz w:val="20"/>
                <w:szCs w:val="20"/>
              </w:rPr>
              <w:t>~1.1%</w:t>
            </w:r>
          </w:p>
        </w:tc>
      </w:tr>
      <w:tr w:rsidR="0013788A" w14:paraId="712ECE7E"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B320A9B" w14:textId="77777777" w:rsidR="0013788A" w:rsidRDefault="00993472">
            <w:r>
              <w:rPr>
                <w:color w:val="1A1A2E"/>
                <w:sz w:val="20"/>
                <w:szCs w:val="20"/>
              </w:rPr>
              <w:t>Mobile penetration (% of population)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9CD9F00" w14:textId="77777777" w:rsidR="0013788A" w:rsidRDefault="00993472">
            <w:r>
              <w:rPr>
                <w:color w:val="1A1A2E"/>
                <w:sz w:val="20"/>
                <w:szCs w:val="20"/>
              </w:rPr>
              <w:t>~1%</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0596971" w14:textId="77777777" w:rsidR="0013788A" w:rsidRDefault="00993472">
            <w:r>
              <w:rPr>
                <w:color w:val="1A1A2E"/>
                <w:sz w:val="20"/>
                <w:szCs w:val="20"/>
              </w:rPr>
              <w:t>~83%</w:t>
            </w:r>
          </w:p>
        </w:tc>
      </w:tr>
      <w:tr w:rsidR="0013788A" w14:paraId="0CE12C2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2BB4ABB0" w14:textId="77777777" w:rsidR="0013788A" w:rsidRDefault="00993472">
            <w:r>
              <w:rPr>
                <w:color w:val="1A1A2E"/>
                <w:sz w:val="20"/>
                <w:szCs w:val="20"/>
              </w:rPr>
              <w:t>Mobile money accounts (millions)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D2B58C7" w14:textId="77777777" w:rsidR="0013788A" w:rsidRDefault="00993472">
            <w:r>
              <w:rPr>
                <w:color w:val="1A1A2E"/>
                <w:sz w:val="20"/>
                <w:szCs w:val="20"/>
              </w:rPr>
              <w:t>0</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2F99BF8" w14:textId="77777777" w:rsidR="0013788A" w:rsidRDefault="00993472">
            <w:r>
              <w:rPr>
                <w:color w:val="1A1A2E"/>
                <w:sz w:val="20"/>
                <w:szCs w:val="20"/>
              </w:rPr>
              <w:t>~9.8</w:t>
            </w:r>
          </w:p>
        </w:tc>
      </w:tr>
      <w:tr w:rsidR="0013788A" w14:paraId="209363AE"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5666F7D" w14:textId="77777777" w:rsidR="0013788A" w:rsidRDefault="00993472">
            <w:r>
              <w:rPr>
                <w:color w:val="1A1A2E"/>
                <w:sz w:val="20"/>
                <w:szCs w:val="20"/>
              </w:rPr>
              <w:t>Banked adult population (%)</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5CFDA2A" w14:textId="77777777" w:rsidR="0013788A" w:rsidRDefault="00993472">
            <w:r>
              <w:rPr>
                <w:color w:val="1A1A2E"/>
                <w:sz w:val="20"/>
                <w:szCs w:val="20"/>
              </w:rPr>
              <w:t>~18%</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1F1493D" w14:textId="77777777" w:rsidR="0013788A" w:rsidRDefault="00993472">
            <w:r>
              <w:rPr>
                <w:color w:val="1A1A2E"/>
                <w:sz w:val="20"/>
                <w:szCs w:val="20"/>
              </w:rPr>
              <w:t>~35%</w:t>
            </w:r>
          </w:p>
        </w:tc>
      </w:tr>
    </w:tbl>
    <w:p w14:paraId="5163DEBB" w14:textId="77777777" w:rsidR="0013788A" w:rsidRDefault="0013788A">
      <w:pPr>
        <w:spacing w:before="80"/>
      </w:pPr>
    </w:p>
    <w:p w14:paraId="7F649893" w14:textId="77777777" w:rsidR="0013788A" w:rsidRPr="002D0354" w:rsidRDefault="00993472">
      <w:pPr>
        <w:spacing w:after="160"/>
        <w:jc w:val="center"/>
        <w:rPr>
          <w:lang w:val="en-US"/>
        </w:rPr>
      </w:pPr>
      <w:r w:rsidRPr="002D0354">
        <w:rPr>
          <w:i/>
          <w:iCs/>
          <w:color w:val="555555"/>
          <w:sz w:val="18"/>
          <w:szCs w:val="18"/>
          <w:lang w:val="en-US"/>
        </w:rPr>
        <w:t>Sources: ITU World Telecoms Indicators (2021); World Bank Global Findex (2021); GSMA Mobile Economy SSA (2022).</w:t>
      </w:r>
    </w:p>
    <w:p w14:paraId="513E4E24" w14:textId="77777777" w:rsidR="0013788A" w:rsidRPr="002D0354" w:rsidRDefault="0013788A">
      <w:pPr>
        <w:spacing w:before="80"/>
        <w:rPr>
          <w:lang w:val="en-US"/>
        </w:rPr>
      </w:pPr>
    </w:p>
    <w:p w14:paraId="5E4895F7" w14:textId="77777777" w:rsidR="0013788A" w:rsidRPr="002D0354" w:rsidRDefault="00993472">
      <w:pPr>
        <w:pStyle w:val="Heading2"/>
        <w:rPr>
          <w:lang w:val="en-US"/>
        </w:rPr>
      </w:pPr>
      <w:r w:rsidRPr="002D0354">
        <w:rPr>
          <w:lang w:val="en-US"/>
        </w:rPr>
        <w:t>5.3 Mobile Money as Second-Order Disruption</w:t>
      </w:r>
    </w:p>
    <w:p w14:paraId="21AE0B3C" w14:textId="77777777" w:rsidR="0013788A" w:rsidRPr="002D0354" w:rsidRDefault="00993472">
      <w:pPr>
        <w:spacing w:before="80" w:after="80"/>
        <w:jc w:val="both"/>
        <w:rPr>
          <w:lang w:val="en-US"/>
        </w:rPr>
      </w:pPr>
      <w:r w:rsidRPr="002D0354">
        <w:rPr>
          <w:color w:val="1A1A2E"/>
          <w:lang w:val="en-US"/>
        </w:rPr>
        <w:t xml:space="preserve">The introduction of MTN Mobile Money (2010) and Orange Money (2011) constituted a second wave of creative destruction, this time targeting the banking sector. By leveraging mobile network infrastructure and agent networks, these services offered bill payments, person-to-person transfers, </w:t>
      </w:r>
      <w:r w:rsidRPr="002D0354">
        <w:rPr>
          <w:color w:val="1A1A2E"/>
          <w:lang w:val="en-US"/>
        </w:rPr>
        <w:lastRenderedPageBreak/>
        <w:t>and eventually savings and credit products to previously excluded populations. Transaction costs were a fraction of those charged by banks; geographic reach was vastly superior.</w:t>
      </w:r>
    </w:p>
    <w:p w14:paraId="2CF1C2DB" w14:textId="77777777" w:rsidR="0013788A" w:rsidRPr="002D0354" w:rsidRDefault="0013788A">
      <w:pPr>
        <w:spacing w:before="80"/>
        <w:rPr>
          <w:lang w:val="en-US"/>
        </w:rPr>
      </w:pPr>
    </w:p>
    <w:p w14:paraId="51CD1F07" w14:textId="77777777" w:rsidR="0013788A" w:rsidRPr="002D0354" w:rsidRDefault="00993472">
      <w:pPr>
        <w:spacing w:before="80" w:after="80"/>
        <w:jc w:val="both"/>
        <w:rPr>
          <w:lang w:val="en-US"/>
        </w:rPr>
      </w:pPr>
      <w:r w:rsidRPr="002D0354">
        <w:rPr>
          <w:color w:val="1A1A2E"/>
          <w:lang w:val="en-US"/>
        </w:rPr>
        <w:t>By 2022, active mobile money accounts in Cameroon exceeded 9.8 million, handling transactions equivalent to a significant share of GDP (GSMA, 2022). Traditional banks faced direct disintermediation in low-value segments. Some banks responded by developing mobile platforms or partnering with operators; others experienced declining transaction volumes. This mirrors Christensen's model: disruption originating at the low end of the market and progressively moving upmarket.</w:t>
      </w:r>
    </w:p>
    <w:p w14:paraId="452C36B8" w14:textId="77777777" w:rsidR="0013788A" w:rsidRPr="002D0354" w:rsidRDefault="0013788A">
      <w:pPr>
        <w:spacing w:before="80"/>
        <w:rPr>
          <w:lang w:val="en-US"/>
        </w:rPr>
      </w:pPr>
    </w:p>
    <w:p w14:paraId="4C3C0F41" w14:textId="77777777" w:rsidR="0013788A" w:rsidRPr="002D0354" w:rsidRDefault="00993472">
      <w:pPr>
        <w:pStyle w:val="Heading1"/>
        <w:pBdr>
          <w:bottom w:val="single" w:sz="4" w:space="6" w:color="2E75B6"/>
        </w:pBdr>
        <w:rPr>
          <w:lang w:val="en-US"/>
        </w:rPr>
      </w:pPr>
      <w:r w:rsidRPr="002D0354">
        <w:rPr>
          <w:lang w:val="en-US"/>
        </w:rPr>
        <w:t>6. The Platform Economy: Creative Destruction in the Digital Age</w:t>
      </w:r>
    </w:p>
    <w:p w14:paraId="3722055C" w14:textId="77777777" w:rsidR="0013788A" w:rsidRPr="002D0354" w:rsidRDefault="00993472">
      <w:pPr>
        <w:pStyle w:val="Heading2"/>
        <w:rPr>
          <w:lang w:val="en-US"/>
        </w:rPr>
      </w:pPr>
      <w:r w:rsidRPr="002D0354">
        <w:rPr>
          <w:lang w:val="en-US"/>
        </w:rPr>
        <w:t>6.1 Platform Dynamics and Winner-Takes-Most Competition</w:t>
      </w:r>
    </w:p>
    <w:p w14:paraId="2F345E9C" w14:textId="77777777" w:rsidR="0013788A" w:rsidRPr="002D0354" w:rsidRDefault="00993472">
      <w:pPr>
        <w:spacing w:before="80" w:after="80"/>
        <w:jc w:val="both"/>
        <w:rPr>
          <w:lang w:val="en-US"/>
        </w:rPr>
      </w:pPr>
      <w:r w:rsidRPr="002D0354">
        <w:rPr>
          <w:color w:val="1A1A2E"/>
          <w:lang w:val="en-US"/>
        </w:rPr>
        <w:t>The most recent wave of creative destruction is organized around digital platforms: multi-sided markets that connect buyers and sellers through network-effect-driven intermediaries (Rochet &amp; Tirole, 2003; Parker, Van Alstyne &amp; Choudary, 2016). Platforms such as Amazon, Uber, Airbnb, and their African equivalents (Jumia, Bolt) have disrupted retail, transportation, hospitality, and financial services by radically reducing transaction costs and unbundling previously integrated value chains.</w:t>
      </w:r>
    </w:p>
    <w:p w14:paraId="071E4564" w14:textId="77777777" w:rsidR="0013788A" w:rsidRPr="002D0354" w:rsidRDefault="0013788A">
      <w:pPr>
        <w:spacing w:before="80"/>
        <w:rPr>
          <w:lang w:val="en-US"/>
        </w:rPr>
      </w:pPr>
    </w:p>
    <w:p w14:paraId="2F58C214" w14:textId="77777777" w:rsidR="0013788A" w:rsidRPr="002D0354" w:rsidRDefault="00993472">
      <w:pPr>
        <w:spacing w:before="80" w:after="80"/>
        <w:jc w:val="both"/>
        <w:rPr>
          <w:lang w:val="en-US"/>
        </w:rPr>
      </w:pPr>
      <w:r w:rsidRPr="002D0354">
        <w:rPr>
          <w:color w:val="1A1A2E"/>
          <w:lang w:val="en-US"/>
        </w:rPr>
        <w:t>Crucially, platforms exhibit strong network effects: the value of the platform increases as more users join, creating virtuous growth cycles that favor winner-takes-most outcomes (Shapiro &amp; Varian, 1999). This intensifies creative destruction: once a platform achieves critical mass, incumbent firms that lack a platform strategy face existential competitive pressure, regardless of their operational efficiency.</w:t>
      </w:r>
    </w:p>
    <w:p w14:paraId="7B1A4E4E"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788A" w:rsidRPr="0077463E" w14:paraId="63654338" w14:textId="77777777">
        <w:tc>
          <w:tcPr>
            <w:tcW w:w="0" w:type="auto"/>
            <w:gridSpan w:val="3"/>
            <w:tcBorders>
              <w:top w:val="single" w:sz="4" w:space="0" w:color="2E75B6"/>
              <w:left w:val="single" w:sz="4" w:space="0" w:color="2E75B6"/>
              <w:bottom w:val="single" w:sz="4" w:space="0" w:color="2E75B6"/>
              <w:right w:val="single" w:sz="4" w:space="0" w:color="2E75B6"/>
            </w:tcBorders>
            <w:shd w:val="clear" w:color="auto" w:fill="1F3864"/>
            <w:tcMar>
              <w:top w:w="100" w:type="dxa"/>
              <w:left w:w="160" w:type="dxa"/>
              <w:bottom w:w="100" w:type="dxa"/>
              <w:right w:w="160" w:type="dxa"/>
            </w:tcMar>
          </w:tcPr>
          <w:p w14:paraId="3B3B0CC2" w14:textId="77777777" w:rsidR="0013788A" w:rsidRPr="002D0354" w:rsidRDefault="00993472">
            <w:pPr>
              <w:jc w:val="center"/>
              <w:rPr>
                <w:lang w:val="en-US"/>
              </w:rPr>
            </w:pPr>
            <w:r w:rsidRPr="002D0354">
              <w:rPr>
                <w:b/>
                <w:bCs/>
                <w:color w:val="FFFFFF"/>
                <w:lang w:val="en-US"/>
              </w:rPr>
              <w:t>Figure 4 — Sectors Disrupted by Platform Models</w:t>
            </w:r>
          </w:p>
        </w:tc>
      </w:tr>
      <w:tr w:rsidR="0013788A" w14:paraId="0E03BABD" w14:textId="77777777">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3ED0A5E4" w14:textId="77777777" w:rsidR="0013788A" w:rsidRDefault="00993472">
            <w:pPr>
              <w:jc w:val="center"/>
            </w:pPr>
            <w:r>
              <w:rPr>
                <w:b/>
                <w:bCs/>
                <w:color w:val="1F3864"/>
                <w:sz w:val="20"/>
                <w:szCs w:val="20"/>
              </w:rPr>
              <w:t>Sector</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657900E8" w14:textId="77777777" w:rsidR="0013788A" w:rsidRDefault="00993472">
            <w:pPr>
              <w:jc w:val="center"/>
            </w:pPr>
            <w:r>
              <w:rPr>
                <w:b/>
                <w:bCs/>
                <w:color w:val="1F3864"/>
                <w:sz w:val="20"/>
                <w:szCs w:val="20"/>
              </w:rPr>
              <w:t>Incumbent Model</w:t>
            </w:r>
          </w:p>
        </w:tc>
        <w:tc>
          <w:tcPr>
            <w:tcW w:w="3120" w:type="dxa"/>
            <w:tcBorders>
              <w:top w:val="single" w:sz="4" w:space="0" w:color="2E75B6"/>
              <w:left w:val="single" w:sz="4" w:space="0" w:color="2E75B6"/>
              <w:bottom w:val="single" w:sz="4" w:space="0" w:color="2E75B6"/>
              <w:right w:val="single" w:sz="4" w:space="0" w:color="2E75B6"/>
            </w:tcBorders>
            <w:shd w:val="clear" w:color="auto" w:fill="D6E4F0"/>
            <w:tcMar>
              <w:top w:w="80" w:type="dxa"/>
              <w:left w:w="120" w:type="dxa"/>
              <w:bottom w:w="80" w:type="dxa"/>
              <w:right w:w="120" w:type="dxa"/>
            </w:tcMar>
          </w:tcPr>
          <w:p w14:paraId="6E249F64" w14:textId="77777777" w:rsidR="0013788A" w:rsidRDefault="00993472">
            <w:pPr>
              <w:jc w:val="center"/>
            </w:pPr>
            <w:r>
              <w:rPr>
                <w:b/>
                <w:bCs/>
                <w:color w:val="1F3864"/>
                <w:sz w:val="20"/>
                <w:szCs w:val="20"/>
              </w:rPr>
              <w:t>Disruptive Platform</w:t>
            </w:r>
          </w:p>
        </w:tc>
      </w:tr>
      <w:tr w:rsidR="0013788A" w14:paraId="6389DD50"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01F9E6E" w14:textId="77777777" w:rsidR="0013788A" w:rsidRDefault="00993472">
            <w:r>
              <w:rPr>
                <w:color w:val="1A1A2E"/>
                <w:sz w:val="20"/>
                <w:szCs w:val="20"/>
              </w:rPr>
              <w:t>Retail</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180DBD87" w14:textId="77777777" w:rsidR="0013788A" w:rsidRDefault="00993472">
            <w:r>
              <w:rPr>
                <w:color w:val="1A1A2E"/>
                <w:sz w:val="20"/>
                <w:szCs w:val="20"/>
              </w:rPr>
              <w:t>Physical stores, catalogs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22C962B" w14:textId="77777777" w:rsidR="0013788A" w:rsidRDefault="00993472">
            <w:r>
              <w:rPr>
                <w:color w:val="1A1A2E"/>
                <w:sz w:val="20"/>
                <w:szCs w:val="20"/>
              </w:rPr>
              <w:t>Amazon, Jumia, Alibaba</w:t>
            </w:r>
          </w:p>
        </w:tc>
      </w:tr>
      <w:tr w:rsidR="0013788A" w14:paraId="2A1F32E5"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3AFC4345" w14:textId="77777777" w:rsidR="0013788A" w:rsidRDefault="00993472">
            <w:r>
              <w:rPr>
                <w:color w:val="1A1A2E"/>
                <w:sz w:val="20"/>
                <w:szCs w:val="20"/>
              </w:rPr>
              <w:t>Transportation</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AAD758B" w14:textId="77777777" w:rsidR="0013788A" w:rsidRDefault="00993472">
            <w:r>
              <w:rPr>
                <w:color w:val="1A1A2E"/>
                <w:sz w:val="20"/>
                <w:szCs w:val="20"/>
              </w:rPr>
              <w:t>Taxi companies, rentals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6B8360A3" w14:textId="77777777" w:rsidR="0013788A" w:rsidRDefault="00993472">
            <w:r>
              <w:rPr>
                <w:color w:val="1A1A2E"/>
                <w:sz w:val="20"/>
                <w:szCs w:val="20"/>
              </w:rPr>
              <w:t>Uber, Bolt, Lyft</w:t>
            </w:r>
          </w:p>
        </w:tc>
      </w:tr>
      <w:tr w:rsidR="0013788A" w14:paraId="5FCB0FA1"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9F04167" w14:textId="77777777" w:rsidR="0013788A" w:rsidRDefault="00993472">
            <w:r>
              <w:rPr>
                <w:color w:val="1A1A2E"/>
                <w:sz w:val="20"/>
                <w:szCs w:val="20"/>
              </w:rPr>
              <w:t>Hospitality</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6109C776" w14:textId="77777777" w:rsidR="0013788A" w:rsidRDefault="00993472">
            <w:r>
              <w:rPr>
                <w:color w:val="1A1A2E"/>
                <w:sz w:val="20"/>
                <w:szCs w:val="20"/>
              </w:rPr>
              <w:t>Hotels, travel agencies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4F35D8CD" w14:textId="77777777" w:rsidR="0013788A" w:rsidRDefault="00993472">
            <w:r>
              <w:rPr>
                <w:color w:val="1A1A2E"/>
                <w:sz w:val="20"/>
                <w:szCs w:val="20"/>
              </w:rPr>
              <w:t>Airbnb, Booking.com</w:t>
            </w:r>
          </w:p>
        </w:tc>
      </w:tr>
      <w:tr w:rsidR="0013788A" w14:paraId="4ED9A535" w14:textId="77777777">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0C23878E" w14:textId="77777777" w:rsidR="0013788A" w:rsidRDefault="00993472">
            <w:r>
              <w:rPr>
                <w:color w:val="1A1A2E"/>
                <w:sz w:val="20"/>
                <w:szCs w:val="20"/>
              </w:rPr>
              <w:t>Finance</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4A1413EC" w14:textId="77777777" w:rsidR="0013788A" w:rsidRDefault="00993472">
            <w:r>
              <w:rPr>
                <w:color w:val="1A1A2E"/>
                <w:sz w:val="20"/>
                <w:szCs w:val="20"/>
              </w:rPr>
              <w:t>Commercial banks, brokers</w:t>
            </w:r>
          </w:p>
        </w:tc>
        <w:tc>
          <w:tcPr>
            <w:tcW w:w="3120" w:type="dxa"/>
            <w:tcBorders>
              <w:top w:val="single" w:sz="4" w:space="0" w:color="2E75B6"/>
              <w:left w:val="single" w:sz="4" w:space="0" w:color="2E75B6"/>
              <w:bottom w:val="single" w:sz="4" w:space="0" w:color="2E75B6"/>
              <w:right w:val="single" w:sz="4" w:space="0" w:color="2E75B6"/>
            </w:tcBorders>
            <w:shd w:val="clear" w:color="auto" w:fill="F2F2F2"/>
            <w:tcMar>
              <w:top w:w="70" w:type="dxa"/>
              <w:left w:w="120" w:type="dxa"/>
              <w:bottom w:w="70" w:type="dxa"/>
              <w:right w:w="120" w:type="dxa"/>
            </w:tcMar>
          </w:tcPr>
          <w:p w14:paraId="7F4D2D8E" w14:textId="77777777" w:rsidR="0013788A" w:rsidRDefault="00993472">
            <w:r>
              <w:rPr>
                <w:color w:val="1A1A2E"/>
                <w:sz w:val="20"/>
                <w:szCs w:val="20"/>
              </w:rPr>
              <w:t>Fintech platforms, M-Pesa</w:t>
            </w:r>
          </w:p>
        </w:tc>
      </w:tr>
      <w:tr w:rsidR="0013788A" w14:paraId="0B9C1CCB" w14:textId="77777777">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EA3CF94" w14:textId="77777777" w:rsidR="0013788A" w:rsidRDefault="00993472">
            <w:r>
              <w:rPr>
                <w:color w:val="1A1A2E"/>
                <w:sz w:val="20"/>
                <w:szCs w:val="20"/>
              </w:rPr>
              <w:t>Media / Content</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3D5F14C4" w14:textId="77777777" w:rsidR="0013788A" w:rsidRDefault="00993472">
            <w:r>
              <w:rPr>
                <w:color w:val="1A1A2E"/>
                <w:sz w:val="20"/>
                <w:szCs w:val="20"/>
              </w:rPr>
              <w:t>TV networks, publishers</w:t>
            </w:r>
          </w:p>
        </w:tc>
        <w:tc>
          <w:tcPr>
            <w:tcW w:w="3120" w:type="dxa"/>
            <w:tcBorders>
              <w:top w:val="single" w:sz="4" w:space="0" w:color="2E75B6"/>
              <w:left w:val="single" w:sz="4" w:space="0" w:color="2E75B6"/>
              <w:bottom w:val="single" w:sz="4" w:space="0" w:color="2E75B6"/>
              <w:right w:val="single" w:sz="4" w:space="0" w:color="2E75B6"/>
            </w:tcBorders>
            <w:shd w:val="clear" w:color="auto" w:fill="FFFFFF"/>
            <w:tcMar>
              <w:top w:w="70" w:type="dxa"/>
              <w:left w:w="120" w:type="dxa"/>
              <w:bottom w:w="70" w:type="dxa"/>
              <w:right w:w="120" w:type="dxa"/>
            </w:tcMar>
          </w:tcPr>
          <w:p w14:paraId="03AC7F4B" w14:textId="77777777" w:rsidR="0013788A" w:rsidRDefault="00993472">
            <w:r>
              <w:rPr>
                <w:color w:val="1A1A2E"/>
                <w:sz w:val="20"/>
                <w:szCs w:val="20"/>
              </w:rPr>
              <w:t>Netflix, YouTube, Spotify</w:t>
            </w:r>
          </w:p>
        </w:tc>
      </w:tr>
    </w:tbl>
    <w:p w14:paraId="7F09423A" w14:textId="77777777" w:rsidR="0013788A" w:rsidRDefault="0013788A">
      <w:pPr>
        <w:spacing w:before="80"/>
      </w:pPr>
    </w:p>
    <w:p w14:paraId="213EAAE6"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7C2F0EE5" w14:textId="77777777" w:rsidR="0013788A" w:rsidRPr="002D0354" w:rsidRDefault="0013788A">
      <w:pPr>
        <w:spacing w:before="80"/>
        <w:rPr>
          <w:lang w:val="en-US"/>
        </w:rPr>
      </w:pPr>
    </w:p>
    <w:p w14:paraId="345B6320" w14:textId="77777777" w:rsidR="0013788A" w:rsidRPr="002D0354" w:rsidRDefault="00993472">
      <w:pPr>
        <w:pStyle w:val="Heading2"/>
        <w:rPr>
          <w:lang w:val="en-US"/>
        </w:rPr>
      </w:pPr>
      <w:r w:rsidRPr="002D0354">
        <w:rPr>
          <w:lang w:val="en-US"/>
        </w:rPr>
        <w:t>6.2 AI as the Next Wave of Creative Destruction</w:t>
      </w:r>
    </w:p>
    <w:p w14:paraId="30F686E3" w14:textId="77777777" w:rsidR="0013788A" w:rsidRPr="002D0354" w:rsidRDefault="00993472">
      <w:pPr>
        <w:spacing w:before="80" w:after="80"/>
        <w:jc w:val="both"/>
        <w:rPr>
          <w:lang w:val="en-US"/>
        </w:rPr>
      </w:pPr>
      <w:r w:rsidRPr="002D0354">
        <w:rPr>
          <w:color w:val="1A1A2E"/>
          <w:lang w:val="en-US"/>
        </w:rPr>
        <w:t xml:space="preserve">The rapid diffusion of artificial intelligence constitutes an emerging disruption with the potential to transform industries across the entire economy. AI-driven automation threatens to displace not only routine manual labor but also cognitive tasks in law, medicine, financial analysis, and software </w:t>
      </w:r>
      <w:r w:rsidRPr="002D0354">
        <w:rPr>
          <w:color w:val="1A1A2E"/>
          <w:lang w:val="en-US"/>
        </w:rPr>
        <w:lastRenderedPageBreak/>
        <w:t>development (Acemoglu &amp; Restrepo, 2019). The OECD (2023) estimates that 14% of jobs in OECD countries face high automation risk, with a further 32% likely to see significant task-level change.</w:t>
      </w:r>
    </w:p>
    <w:p w14:paraId="7CA17825" w14:textId="77777777" w:rsidR="0013788A" w:rsidRPr="002D0354" w:rsidRDefault="0013788A">
      <w:pPr>
        <w:spacing w:before="80"/>
        <w:rPr>
          <w:lang w:val="en-US"/>
        </w:rPr>
      </w:pPr>
    </w:p>
    <w:p w14:paraId="598B20CC" w14:textId="77777777" w:rsidR="0013788A" w:rsidRPr="002D0354" w:rsidRDefault="00993472">
      <w:pPr>
        <w:spacing w:before="80" w:after="80"/>
        <w:jc w:val="both"/>
        <w:rPr>
          <w:lang w:val="en-US"/>
        </w:rPr>
      </w:pPr>
      <w:r w:rsidRPr="002D0354">
        <w:rPr>
          <w:color w:val="1A1A2E"/>
          <w:lang w:val="en-US"/>
        </w:rPr>
        <w:t>For developing economies including Cameroon, AI presents both threats—accelerated hollowing out of entry-level service jobs—and opportunities: low-cost access to capabilities previously requiring expensive human expertise in healthcare diagnostics, agricultural advisory, and legal guidance. The creative-destructive logic applies: incumbents that fail to integrate AI face competitive pressure from AI-augmented entrants and new platform intermediaries.</w:t>
      </w:r>
    </w:p>
    <w:p w14:paraId="4976079A" w14:textId="77777777" w:rsidR="0013788A" w:rsidRPr="002D0354" w:rsidRDefault="0013788A">
      <w:pPr>
        <w:spacing w:before="80"/>
        <w:rPr>
          <w:lang w:val="en-US"/>
        </w:rPr>
      </w:pPr>
    </w:p>
    <w:p w14:paraId="57AF5802" w14:textId="77777777" w:rsidR="0013788A" w:rsidRPr="002D0354" w:rsidRDefault="00993472">
      <w:pPr>
        <w:pStyle w:val="Heading1"/>
        <w:pBdr>
          <w:bottom w:val="single" w:sz="4" w:space="6" w:color="2E75B6"/>
        </w:pBdr>
        <w:rPr>
          <w:lang w:val="en-US"/>
        </w:rPr>
      </w:pPr>
      <w:r w:rsidRPr="002D0354">
        <w:rPr>
          <w:lang w:val="en-US"/>
        </w:rPr>
        <w:t>7. Policy Implications: Managing Creative Destruction</w:t>
      </w:r>
    </w:p>
    <w:p w14:paraId="7CD02395" w14:textId="77777777" w:rsidR="0013788A" w:rsidRPr="002D0354" w:rsidRDefault="00993472">
      <w:pPr>
        <w:pStyle w:val="Heading2"/>
        <w:rPr>
          <w:lang w:val="en-US"/>
        </w:rPr>
      </w:pPr>
      <w:r w:rsidRPr="002D0354">
        <w:rPr>
          <w:lang w:val="en-US"/>
        </w:rPr>
        <w:t>7.1 Implications for Firms</w:t>
      </w:r>
    </w:p>
    <w:p w14:paraId="57F209AF" w14:textId="77777777" w:rsidR="0013788A" w:rsidRDefault="00993472">
      <w:pPr>
        <w:spacing w:before="80" w:after="80"/>
        <w:jc w:val="both"/>
      </w:pPr>
      <w:r w:rsidRPr="002D0354">
        <w:rPr>
          <w:color w:val="1A1A2E"/>
          <w:lang w:val="en-US"/>
        </w:rPr>
        <w:t xml:space="preserve">The central managerial lesson of creative destruction is that competitive advantage is inherently temporary (D'Aveni, 1994). Firms that mistake a period of competitive stability for a permanent equilibrium are vulnerable to disruption. </w:t>
      </w:r>
      <w:r>
        <w:rPr>
          <w:color w:val="1A1A2E"/>
        </w:rPr>
        <w:t>The strategic imperative is threefold:</w:t>
      </w:r>
    </w:p>
    <w:p w14:paraId="7B6A5078" w14:textId="77777777" w:rsidR="0013788A" w:rsidRDefault="0013788A">
      <w:pPr>
        <w:spacing w:before="80"/>
      </w:pPr>
    </w:p>
    <w:p w14:paraId="389DF9E4" w14:textId="77777777" w:rsidR="0013788A" w:rsidRPr="002D0354" w:rsidRDefault="00993472">
      <w:pPr>
        <w:pStyle w:val="ListParagraph"/>
        <w:numPr>
          <w:ilvl w:val="0"/>
          <w:numId w:val="3"/>
        </w:numPr>
        <w:spacing w:before="60" w:after="60"/>
        <w:jc w:val="both"/>
        <w:rPr>
          <w:lang w:val="en-US"/>
        </w:rPr>
      </w:pPr>
      <w:r w:rsidRPr="002D0354">
        <w:rPr>
          <w:b/>
          <w:bCs/>
          <w:color w:val="1A1A2E"/>
          <w:lang w:val="en-US"/>
        </w:rPr>
        <w:t xml:space="preserve">Anticipatory sensing: </w:t>
      </w:r>
      <w:r w:rsidRPr="002D0354">
        <w:rPr>
          <w:color w:val="1A1A2E"/>
          <w:lang w:val="en-US"/>
        </w:rPr>
        <w:t>monitoring emerging technologies, business models, and non-consumer segments that incumbents habitually overlook.</w:t>
      </w:r>
    </w:p>
    <w:p w14:paraId="1F8861B1" w14:textId="77777777" w:rsidR="0013788A" w:rsidRPr="002D0354" w:rsidRDefault="00993472">
      <w:pPr>
        <w:pStyle w:val="ListParagraph"/>
        <w:numPr>
          <w:ilvl w:val="0"/>
          <w:numId w:val="3"/>
        </w:numPr>
        <w:spacing w:before="60" w:after="60"/>
        <w:jc w:val="both"/>
        <w:rPr>
          <w:lang w:val="en-US"/>
        </w:rPr>
      </w:pPr>
      <w:r w:rsidRPr="002D0354">
        <w:rPr>
          <w:b/>
          <w:bCs/>
          <w:color w:val="1A1A2E"/>
          <w:lang w:val="en-US"/>
        </w:rPr>
        <w:t xml:space="preserve">Ambidextrous organization: </w:t>
      </w:r>
      <w:r w:rsidRPr="002D0354">
        <w:rPr>
          <w:color w:val="1A1A2E"/>
          <w:lang w:val="en-US"/>
        </w:rPr>
        <w:t>simultaneously exploiting existing competitive advantages and exploring new innovation trajectories through internal ventures, corporate venture capital, or acquisitions of innovative startups (March, 1991).</w:t>
      </w:r>
    </w:p>
    <w:p w14:paraId="4E18902D" w14:textId="77777777" w:rsidR="0013788A" w:rsidRPr="002D0354" w:rsidRDefault="00993472">
      <w:pPr>
        <w:pStyle w:val="ListParagraph"/>
        <w:numPr>
          <w:ilvl w:val="0"/>
          <w:numId w:val="3"/>
        </w:numPr>
        <w:spacing w:before="60" w:after="60"/>
        <w:jc w:val="both"/>
        <w:rPr>
          <w:lang w:val="en-US"/>
        </w:rPr>
      </w:pPr>
      <w:r w:rsidRPr="002D0354">
        <w:rPr>
          <w:b/>
          <w:bCs/>
          <w:color w:val="1A1A2E"/>
          <w:lang w:val="en-US"/>
        </w:rPr>
        <w:t xml:space="preserve">Platform orientation: </w:t>
      </w:r>
      <w:r w:rsidRPr="002D0354">
        <w:rPr>
          <w:color w:val="1A1A2E"/>
          <w:lang w:val="en-US"/>
        </w:rPr>
        <w:t>developing or participating in digital platform ecosystems rather than competing exclusively on product or price, as platforms enable rapid scaling and network-effect defensibility.</w:t>
      </w:r>
    </w:p>
    <w:p w14:paraId="1F5FF620" w14:textId="77777777" w:rsidR="0013788A" w:rsidRPr="002D0354" w:rsidRDefault="0013788A">
      <w:pPr>
        <w:spacing w:before="80"/>
        <w:rPr>
          <w:lang w:val="en-US"/>
        </w:rPr>
      </w:pPr>
    </w:p>
    <w:p w14:paraId="3F71F30E" w14:textId="77777777" w:rsidR="0013788A" w:rsidRPr="002D0354" w:rsidRDefault="00993472">
      <w:pPr>
        <w:pStyle w:val="Heading2"/>
        <w:rPr>
          <w:lang w:val="en-US"/>
        </w:rPr>
      </w:pPr>
      <w:r w:rsidRPr="002D0354">
        <w:rPr>
          <w:lang w:val="en-US"/>
        </w:rPr>
        <w:t>7.2 Implications for Governments and Development Policy</w:t>
      </w:r>
    </w:p>
    <w:p w14:paraId="11863A3A" w14:textId="77777777" w:rsidR="0013788A" w:rsidRPr="002D0354" w:rsidRDefault="00993472">
      <w:pPr>
        <w:spacing w:before="80" w:after="80"/>
        <w:jc w:val="both"/>
        <w:rPr>
          <w:lang w:val="en-US"/>
        </w:rPr>
      </w:pPr>
      <w:r w:rsidRPr="002D0354">
        <w:rPr>
          <w:color w:val="1A1A2E"/>
          <w:lang w:val="en-US"/>
        </w:rPr>
        <w:t>Creative destruction presents a fundamental policy dilemma: the same process that drives long-run productivity growth generates short-run unemployment, regional dislocation, and distributional conflict. Left unmanaged, creative destruction can exacerbate inequality and erode political support for open markets (Autor et al., 2016). Public policy must therefore address both sides of the equation.</w:t>
      </w:r>
    </w:p>
    <w:p w14:paraId="65748A40" w14:textId="77777777" w:rsidR="0013788A" w:rsidRPr="002D0354" w:rsidRDefault="0013788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88A" w:rsidRPr="0077463E" w14:paraId="7295C60A" w14:textId="77777777">
        <w:tc>
          <w:tcPr>
            <w:tcW w:w="0" w:type="auto"/>
            <w:gridSpan w:val="2"/>
            <w:tcBorders>
              <w:top w:val="single" w:sz="3" w:space="0" w:color="2E75B6"/>
              <w:left w:val="single" w:sz="3" w:space="0" w:color="2E75B6"/>
              <w:bottom w:val="single" w:sz="3" w:space="0" w:color="2E75B6"/>
              <w:right w:val="single" w:sz="3" w:space="0" w:color="2E75B6"/>
            </w:tcBorders>
            <w:shd w:val="clear" w:color="auto" w:fill="1F3864"/>
            <w:tcMar>
              <w:top w:w="100" w:type="dxa"/>
              <w:left w:w="160" w:type="dxa"/>
              <w:bottom w:w="100" w:type="dxa"/>
              <w:right w:w="160" w:type="dxa"/>
            </w:tcMar>
          </w:tcPr>
          <w:p w14:paraId="42E8A885" w14:textId="77777777" w:rsidR="0013788A" w:rsidRPr="002D0354" w:rsidRDefault="00993472">
            <w:pPr>
              <w:jc w:val="center"/>
              <w:rPr>
                <w:lang w:val="en-US"/>
              </w:rPr>
            </w:pPr>
            <w:r w:rsidRPr="002D0354">
              <w:rPr>
                <w:b/>
                <w:bCs/>
                <w:color w:val="FFFFFF"/>
                <w:lang w:val="en-US"/>
              </w:rPr>
              <w:t>Figure 5 — Policy Responses to Creative Destruction</w:t>
            </w:r>
          </w:p>
        </w:tc>
      </w:tr>
      <w:tr w:rsidR="0013788A" w14:paraId="517620F4" w14:textId="77777777">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76DB51A9" w14:textId="77777777" w:rsidR="0013788A" w:rsidRDefault="00993472">
            <w:pPr>
              <w:jc w:val="center"/>
            </w:pPr>
            <w:r>
              <w:rPr>
                <w:b/>
                <w:bCs/>
                <w:color w:val="1F3864"/>
                <w:sz w:val="21"/>
                <w:szCs w:val="21"/>
              </w:rPr>
              <w:t>Growth-Enabling Policies</w:t>
            </w:r>
          </w:p>
        </w:tc>
        <w:tc>
          <w:tcPr>
            <w:tcW w:w="4680" w:type="dxa"/>
            <w:tcBorders>
              <w:top w:val="single" w:sz="3" w:space="0" w:color="2E75B6"/>
              <w:left w:val="single" w:sz="3" w:space="0" w:color="2E75B6"/>
              <w:bottom w:val="single" w:sz="3" w:space="0" w:color="2E75B6"/>
              <w:right w:val="single" w:sz="3" w:space="0" w:color="2E75B6"/>
            </w:tcBorders>
            <w:shd w:val="clear" w:color="auto" w:fill="D6E4F0"/>
            <w:tcMar>
              <w:top w:w="80" w:type="dxa"/>
              <w:left w:w="120" w:type="dxa"/>
              <w:bottom w:w="80" w:type="dxa"/>
              <w:right w:w="120" w:type="dxa"/>
            </w:tcMar>
          </w:tcPr>
          <w:p w14:paraId="56D8AD1D" w14:textId="77777777" w:rsidR="0013788A" w:rsidRDefault="00993472">
            <w:pPr>
              <w:jc w:val="center"/>
            </w:pPr>
            <w:r>
              <w:rPr>
                <w:b/>
                <w:bCs/>
                <w:color w:val="1F3864"/>
                <w:sz w:val="21"/>
                <w:szCs w:val="21"/>
              </w:rPr>
              <w:t>Adjustment &amp; Inclusion Policies</w:t>
            </w:r>
          </w:p>
        </w:tc>
      </w:tr>
      <w:tr w:rsidR="0013788A" w:rsidRPr="0077463E" w14:paraId="37F67D7E" w14:textId="77777777">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3BDB0E4D" w14:textId="77777777" w:rsidR="0013788A" w:rsidRPr="002D0354" w:rsidRDefault="00993472">
            <w:pPr>
              <w:spacing w:before="50" w:after="50"/>
              <w:rPr>
                <w:lang w:val="en-US"/>
              </w:rPr>
            </w:pPr>
            <w:r w:rsidRPr="002D0354">
              <w:rPr>
                <w:color w:val="1A1A2E"/>
                <w:sz w:val="20"/>
                <w:szCs w:val="20"/>
                <w:lang w:val="en-US"/>
              </w:rPr>
              <w:t>• Invest in R&amp;D infrastructure and innovation ecosystems</w:t>
            </w:r>
          </w:p>
          <w:p w14:paraId="5DC07BC2" w14:textId="77777777" w:rsidR="0013788A" w:rsidRPr="002D0354" w:rsidRDefault="00993472">
            <w:pPr>
              <w:spacing w:before="50" w:after="50"/>
              <w:rPr>
                <w:lang w:val="en-US"/>
              </w:rPr>
            </w:pPr>
            <w:r w:rsidRPr="002D0354">
              <w:rPr>
                <w:color w:val="1A1A2E"/>
                <w:sz w:val="20"/>
                <w:szCs w:val="20"/>
                <w:lang w:val="en-US"/>
              </w:rPr>
              <w:t>• Streamline regulatory frameworks for new technologies</w:t>
            </w:r>
          </w:p>
          <w:p w14:paraId="3C58AEDF" w14:textId="77777777" w:rsidR="0013788A" w:rsidRPr="002D0354" w:rsidRDefault="00993472">
            <w:pPr>
              <w:spacing w:before="50" w:after="50"/>
              <w:rPr>
                <w:lang w:val="en-US"/>
              </w:rPr>
            </w:pPr>
            <w:r w:rsidRPr="002D0354">
              <w:rPr>
                <w:color w:val="1A1A2E"/>
                <w:sz w:val="20"/>
                <w:szCs w:val="20"/>
                <w:lang w:val="en-US"/>
              </w:rPr>
              <w:t>• Develop digital public infrastructure (broadband, digital ID)</w:t>
            </w:r>
          </w:p>
          <w:p w14:paraId="31398258" w14:textId="77777777" w:rsidR="0013788A" w:rsidRPr="002D0354" w:rsidRDefault="00993472">
            <w:pPr>
              <w:spacing w:before="50" w:after="50"/>
              <w:rPr>
                <w:lang w:val="en-US"/>
              </w:rPr>
            </w:pPr>
            <w:r w:rsidRPr="002D0354">
              <w:rPr>
                <w:color w:val="1A1A2E"/>
                <w:sz w:val="20"/>
                <w:szCs w:val="20"/>
                <w:lang w:val="en-US"/>
              </w:rPr>
              <w:t xml:space="preserve">• Support startup ecosystems and access to </w:t>
            </w:r>
            <w:r w:rsidRPr="002D0354">
              <w:rPr>
                <w:color w:val="1A1A2E"/>
                <w:sz w:val="20"/>
                <w:szCs w:val="20"/>
                <w:lang w:val="en-US"/>
              </w:rPr>
              <w:lastRenderedPageBreak/>
              <w:t>venture capital</w:t>
            </w:r>
          </w:p>
          <w:p w14:paraId="064A41F0" w14:textId="77777777" w:rsidR="0013788A" w:rsidRPr="002D0354" w:rsidRDefault="00993472">
            <w:pPr>
              <w:spacing w:before="50" w:after="50"/>
              <w:rPr>
                <w:lang w:val="en-US"/>
              </w:rPr>
            </w:pPr>
            <w:r w:rsidRPr="002D0354">
              <w:rPr>
                <w:color w:val="1A1A2E"/>
                <w:sz w:val="20"/>
                <w:szCs w:val="20"/>
                <w:lang w:val="en-US"/>
              </w:rPr>
              <w:t>• Reform IP regimes to balance incentives and diffusion</w:t>
            </w:r>
          </w:p>
        </w:tc>
        <w:tc>
          <w:tcPr>
            <w:tcW w:w="4680" w:type="dxa"/>
            <w:tcBorders>
              <w:top w:val="single" w:sz="3" w:space="0" w:color="2E75B6"/>
              <w:left w:val="single" w:sz="3" w:space="0" w:color="2E75B6"/>
              <w:bottom w:val="single" w:sz="3" w:space="0" w:color="2E75B6"/>
              <w:right w:val="single" w:sz="3" w:space="0" w:color="2E75B6"/>
            </w:tcBorders>
            <w:shd w:val="clear" w:color="auto" w:fill="FFFFFF"/>
            <w:tcMar>
              <w:top w:w="80" w:type="dxa"/>
              <w:left w:w="120" w:type="dxa"/>
              <w:bottom w:w="80" w:type="dxa"/>
              <w:right w:w="120" w:type="dxa"/>
            </w:tcMar>
          </w:tcPr>
          <w:p w14:paraId="69D0511A" w14:textId="77777777" w:rsidR="0013788A" w:rsidRPr="002D0354" w:rsidRDefault="00993472">
            <w:pPr>
              <w:spacing w:before="50" w:after="50"/>
              <w:rPr>
                <w:lang w:val="en-US"/>
              </w:rPr>
            </w:pPr>
            <w:r w:rsidRPr="002D0354">
              <w:rPr>
                <w:color w:val="1A1A2E"/>
                <w:sz w:val="20"/>
                <w:szCs w:val="20"/>
                <w:lang w:val="en-US"/>
              </w:rPr>
              <w:lastRenderedPageBreak/>
              <w:t>• Active labor market policies (retraining, upskilling)</w:t>
            </w:r>
          </w:p>
          <w:p w14:paraId="77C44622" w14:textId="77777777" w:rsidR="0013788A" w:rsidRPr="002D0354" w:rsidRDefault="00993472">
            <w:pPr>
              <w:spacing w:before="50" w:after="50"/>
              <w:rPr>
                <w:lang w:val="en-US"/>
              </w:rPr>
            </w:pPr>
            <w:r w:rsidRPr="002D0354">
              <w:rPr>
                <w:color w:val="1A1A2E"/>
                <w:sz w:val="20"/>
                <w:szCs w:val="20"/>
                <w:lang w:val="en-US"/>
              </w:rPr>
              <w:t>• Portable social protection not tied to incumbents</w:t>
            </w:r>
          </w:p>
          <w:p w14:paraId="3FC37193" w14:textId="77777777" w:rsidR="0013788A" w:rsidRPr="002D0354" w:rsidRDefault="00993472">
            <w:pPr>
              <w:spacing w:before="50" w:after="50"/>
              <w:rPr>
                <w:lang w:val="en-US"/>
              </w:rPr>
            </w:pPr>
            <w:r w:rsidRPr="002D0354">
              <w:rPr>
                <w:color w:val="1A1A2E"/>
                <w:sz w:val="20"/>
                <w:szCs w:val="20"/>
                <w:lang w:val="en-US"/>
              </w:rPr>
              <w:t>• Competition policy to distribute gains broadly</w:t>
            </w:r>
          </w:p>
          <w:p w14:paraId="47E8EB8B" w14:textId="77777777" w:rsidR="0013788A" w:rsidRPr="002D0354" w:rsidRDefault="00993472">
            <w:pPr>
              <w:spacing w:before="50" w:after="50"/>
              <w:rPr>
                <w:lang w:val="en-US"/>
              </w:rPr>
            </w:pPr>
            <w:r w:rsidRPr="002D0354">
              <w:rPr>
                <w:color w:val="1A1A2E"/>
                <w:sz w:val="20"/>
                <w:szCs w:val="20"/>
                <w:lang w:val="en-US"/>
              </w:rPr>
              <w:t>• Tax policy preventing winner-takes-all entrenchment</w:t>
            </w:r>
          </w:p>
          <w:p w14:paraId="4DA116DA" w14:textId="77777777" w:rsidR="0013788A" w:rsidRPr="002D0354" w:rsidRDefault="00993472">
            <w:pPr>
              <w:spacing w:before="50" w:after="50"/>
              <w:rPr>
                <w:lang w:val="en-US"/>
              </w:rPr>
            </w:pPr>
            <w:r w:rsidRPr="002D0354">
              <w:rPr>
                <w:color w:val="1A1A2E"/>
                <w:sz w:val="20"/>
                <w:szCs w:val="20"/>
                <w:lang w:val="en-US"/>
              </w:rPr>
              <w:t xml:space="preserve">• Inclusion strategies for informal and rural </w:t>
            </w:r>
            <w:r w:rsidRPr="002D0354">
              <w:rPr>
                <w:color w:val="1A1A2E"/>
                <w:sz w:val="20"/>
                <w:szCs w:val="20"/>
                <w:lang w:val="en-US"/>
              </w:rPr>
              <w:lastRenderedPageBreak/>
              <w:t>workers</w:t>
            </w:r>
          </w:p>
        </w:tc>
      </w:tr>
    </w:tbl>
    <w:p w14:paraId="06390B84" w14:textId="77777777" w:rsidR="0013788A" w:rsidRPr="002D0354" w:rsidRDefault="0013788A">
      <w:pPr>
        <w:spacing w:before="80"/>
        <w:rPr>
          <w:lang w:val="en-US"/>
        </w:rPr>
      </w:pPr>
    </w:p>
    <w:p w14:paraId="557B7808" w14:textId="77777777" w:rsidR="0013788A" w:rsidRPr="002D0354" w:rsidRDefault="00993472">
      <w:pPr>
        <w:spacing w:after="160"/>
        <w:jc w:val="center"/>
        <w:rPr>
          <w:lang w:val="en-US"/>
        </w:rPr>
      </w:pPr>
      <w:r w:rsidRPr="002D0354">
        <w:rPr>
          <w:i/>
          <w:iCs/>
          <w:color w:val="555555"/>
          <w:sz w:val="18"/>
          <w:szCs w:val="18"/>
          <w:lang w:val="en-US"/>
        </w:rPr>
        <w:t>Source: Author's synthesis from industry literature.</w:t>
      </w:r>
    </w:p>
    <w:p w14:paraId="7CB8A3C5" w14:textId="77777777" w:rsidR="0013788A" w:rsidRPr="002D0354" w:rsidRDefault="0013788A">
      <w:pPr>
        <w:spacing w:before="80"/>
        <w:rPr>
          <w:lang w:val="en-US"/>
        </w:rPr>
      </w:pPr>
    </w:p>
    <w:p w14:paraId="526FA6BD" w14:textId="77777777" w:rsidR="0013788A" w:rsidRPr="002D0354" w:rsidRDefault="00993472">
      <w:pPr>
        <w:spacing w:before="80" w:after="80"/>
        <w:jc w:val="both"/>
        <w:rPr>
          <w:lang w:val="en-US"/>
        </w:rPr>
      </w:pPr>
      <w:r w:rsidRPr="002D0354">
        <w:rPr>
          <w:color w:val="1A1A2E"/>
          <w:lang w:val="en-US"/>
        </w:rPr>
        <w:t>For Cameroon and Sub-Saharan Africa more broadly, this implies a dual policy agenda: leveraging mobile and digital infrastructure to accelerate technology adoption and financial inclusion, while simultaneously building the human capital—particularly in STEM education, digital literacy, and entrepreneurship—necessary to participate in innovation-driven growth.</w:t>
      </w:r>
    </w:p>
    <w:p w14:paraId="205C8956" w14:textId="77777777" w:rsidR="0013788A" w:rsidRPr="002D0354" w:rsidRDefault="0013788A">
      <w:pPr>
        <w:spacing w:before="80"/>
        <w:rPr>
          <w:lang w:val="en-US"/>
        </w:rPr>
      </w:pPr>
    </w:p>
    <w:p w14:paraId="190D7891" w14:textId="77777777" w:rsidR="0013788A" w:rsidRPr="002D0354" w:rsidRDefault="00993472">
      <w:pPr>
        <w:pStyle w:val="Heading1"/>
        <w:pBdr>
          <w:bottom w:val="single" w:sz="4" w:space="6" w:color="2E75B6"/>
        </w:pBdr>
        <w:rPr>
          <w:lang w:val="en-US"/>
        </w:rPr>
      </w:pPr>
      <w:r w:rsidRPr="002D0354">
        <w:rPr>
          <w:lang w:val="en-US"/>
        </w:rPr>
        <w:t>8. Conclusion</w:t>
      </w:r>
    </w:p>
    <w:p w14:paraId="34D721BA" w14:textId="77777777" w:rsidR="0013788A" w:rsidRPr="002D0354" w:rsidRDefault="00993472">
      <w:pPr>
        <w:spacing w:before="80" w:after="80"/>
        <w:jc w:val="both"/>
        <w:rPr>
          <w:lang w:val="en-US"/>
        </w:rPr>
      </w:pPr>
      <w:r w:rsidRPr="002D0354">
        <w:rPr>
          <w:color w:val="1A1A2E"/>
          <w:lang w:val="en-US"/>
        </w:rPr>
        <w:t>This paper has examined creative destruction as both a theoretical framework and an empirical phenomenon, tracing its intellectual lineage from Schumpeter through neo-Schumpeterian economics and Christensen's disruptive innovation theory, and examining its manifestations in historical technological waves, digital platform economies, and the transformative case of mobile money in Cameroon.</w:t>
      </w:r>
    </w:p>
    <w:p w14:paraId="3C35A840" w14:textId="77777777" w:rsidR="0013788A" w:rsidRPr="002D0354" w:rsidRDefault="0013788A">
      <w:pPr>
        <w:spacing w:before="80"/>
        <w:rPr>
          <w:lang w:val="en-US"/>
        </w:rPr>
      </w:pPr>
    </w:p>
    <w:p w14:paraId="71846442" w14:textId="77777777" w:rsidR="0013788A" w:rsidRPr="002D0354" w:rsidRDefault="00993472">
      <w:pPr>
        <w:spacing w:before="80" w:after="80"/>
        <w:jc w:val="both"/>
        <w:rPr>
          <w:lang w:val="en-US"/>
        </w:rPr>
      </w:pPr>
      <w:r w:rsidRPr="002D0354">
        <w:rPr>
          <w:color w:val="1A1A2E"/>
          <w:lang w:val="en-US"/>
        </w:rPr>
        <w:t>Several core conclusions emerge. First, creative destruction is the endogenous engine of long-run capitalist growth, not an exceptional or external shock. Second, disruptive innovation—the micro-level mechanism—typically originates at the margins of markets, targeting overlooked segments before moving upmarket to displace incumbents. Third, digital platforms and artificial intelligence represent the contemporary frontier of creative destruction, with increasingly rapid and global diffusion dynamics.</w:t>
      </w:r>
    </w:p>
    <w:p w14:paraId="7F071CFA" w14:textId="77777777" w:rsidR="0013788A" w:rsidRPr="002D0354" w:rsidRDefault="0013788A">
      <w:pPr>
        <w:spacing w:before="80"/>
        <w:rPr>
          <w:lang w:val="en-US"/>
        </w:rPr>
      </w:pPr>
    </w:p>
    <w:p w14:paraId="4EEF9D54" w14:textId="77777777" w:rsidR="0013788A" w:rsidRPr="002D0354" w:rsidRDefault="00993472">
      <w:pPr>
        <w:spacing w:before="80" w:after="80"/>
        <w:jc w:val="both"/>
        <w:rPr>
          <w:lang w:val="en-US"/>
        </w:rPr>
      </w:pPr>
      <w:r w:rsidRPr="002D0354">
        <w:rPr>
          <w:color w:val="1A1A2E"/>
          <w:lang w:val="en-US"/>
        </w:rPr>
        <w:t>Fourth, and crucially for emerging economies: the Cameroonian case demonstrates that disruptive innovation can unfold in low-income, infrastructure-scarce environments, often with dramatically inclusive outcomes. Mobile money has extended financial services to populations long excluded from formal banking, illustrating that creative destruction can be both economically efficient and socially progressive.</w:t>
      </w:r>
    </w:p>
    <w:p w14:paraId="597378C1" w14:textId="77777777" w:rsidR="0013788A" w:rsidRPr="002D0354" w:rsidRDefault="0013788A">
      <w:pPr>
        <w:spacing w:before="80"/>
        <w:rPr>
          <w:lang w:val="en-US"/>
        </w:rPr>
      </w:pPr>
    </w:p>
    <w:p w14:paraId="3DEC6AC4" w14:textId="77777777" w:rsidR="0013788A" w:rsidRPr="002D0354" w:rsidRDefault="00993472">
      <w:pPr>
        <w:spacing w:before="80" w:after="80"/>
        <w:jc w:val="both"/>
        <w:rPr>
          <w:lang w:val="en-US"/>
        </w:rPr>
      </w:pPr>
      <w:r w:rsidRPr="002D0354">
        <w:rPr>
          <w:color w:val="1A1A2E"/>
          <w:lang w:val="en-US"/>
        </w:rPr>
        <w:t>The policy challenge for firms and governments alike is to harness the growth-generating power of creative destruction while cushioning its distributional costs—ensuring that the benefits of innovation are broadly shared and that workers and communities displaced by technological change have genuine pathways to new opportunities. As Schumpeter recognized, capitalism's dynamism is inseparable from its turbulence. The task is not to suppress that turbulence but to navigate it wisely.</w:t>
      </w:r>
    </w:p>
    <w:p w14:paraId="31C8B533" w14:textId="0D103E0E" w:rsidR="0077463E" w:rsidRDefault="0077463E">
      <w:pPr>
        <w:rPr>
          <w:lang w:val="en-US"/>
        </w:rPr>
      </w:pPr>
      <w:r>
        <w:rPr>
          <w:lang w:val="en-US"/>
        </w:rPr>
        <w:br w:type="page"/>
      </w:r>
    </w:p>
    <w:p w14:paraId="7BDC30C1" w14:textId="77777777" w:rsidR="0013788A" w:rsidRPr="002D0354" w:rsidRDefault="00993472">
      <w:pPr>
        <w:pStyle w:val="Heading1"/>
        <w:pBdr>
          <w:bottom w:val="single" w:sz="4" w:space="6" w:color="2E75B6"/>
        </w:pBdr>
        <w:rPr>
          <w:lang w:val="en-US"/>
        </w:rPr>
      </w:pPr>
      <w:r w:rsidRPr="002D0354">
        <w:rPr>
          <w:lang w:val="en-US"/>
        </w:rPr>
        <w:lastRenderedPageBreak/>
        <w:t>References</w:t>
      </w:r>
    </w:p>
    <w:p w14:paraId="4947440A" w14:textId="77777777" w:rsidR="0013788A" w:rsidRPr="002D0354" w:rsidRDefault="00993472">
      <w:pPr>
        <w:spacing w:after="120"/>
        <w:rPr>
          <w:lang w:val="en-US"/>
        </w:rPr>
      </w:pPr>
      <w:proofErr w:type="gramStart"/>
      <w:r w:rsidRPr="002D0354">
        <w:rPr>
          <w:color w:val="1A1A2E"/>
          <w:sz w:val="20"/>
          <w:szCs w:val="20"/>
          <w:lang w:val="en-US"/>
        </w:rPr>
        <w:t>Acemoglu, D., &amp; Restrepo, P. (2019).</w:t>
      </w:r>
      <w:proofErr w:type="gramEnd"/>
      <w:r w:rsidRPr="002D0354">
        <w:rPr>
          <w:color w:val="1A1A2E"/>
          <w:sz w:val="20"/>
          <w:szCs w:val="20"/>
          <w:lang w:val="en-US"/>
        </w:rPr>
        <w:t xml:space="preserve"> Automation and New Tasks: How Technology Displaces and Reinstates Labor. </w:t>
      </w:r>
      <w:r w:rsidRPr="002D0354">
        <w:rPr>
          <w:i/>
          <w:iCs/>
          <w:color w:val="1A1A2E"/>
          <w:sz w:val="20"/>
          <w:szCs w:val="20"/>
          <w:lang w:val="en-US"/>
        </w:rPr>
        <w:t>Journal of Economic Perspectives, 33</w:t>
      </w:r>
      <w:r w:rsidRPr="002D0354">
        <w:rPr>
          <w:color w:val="1A1A2E"/>
          <w:sz w:val="20"/>
          <w:szCs w:val="20"/>
          <w:lang w:val="en-US"/>
        </w:rPr>
        <w:t>(2), 3–30.</w:t>
      </w:r>
    </w:p>
    <w:p w14:paraId="4E0A0B13" w14:textId="77777777" w:rsidR="0013788A" w:rsidRPr="002D0354" w:rsidRDefault="00993472">
      <w:pPr>
        <w:spacing w:after="120"/>
        <w:rPr>
          <w:lang w:val="en-US"/>
        </w:rPr>
      </w:pPr>
      <w:proofErr w:type="gramStart"/>
      <w:r w:rsidRPr="002D0354">
        <w:rPr>
          <w:color w:val="1A1A2E"/>
          <w:sz w:val="20"/>
          <w:szCs w:val="20"/>
          <w:lang w:val="en-US"/>
        </w:rPr>
        <w:t>Acemoglu, D., &amp; Zilibotti, F. (1997).</w:t>
      </w:r>
      <w:proofErr w:type="gramEnd"/>
      <w:r w:rsidRPr="002D0354">
        <w:rPr>
          <w:color w:val="1A1A2E"/>
          <w:sz w:val="20"/>
          <w:szCs w:val="20"/>
          <w:lang w:val="en-US"/>
        </w:rPr>
        <w:t xml:space="preserve"> Was Prometheus Unbound by Chance? </w:t>
      </w:r>
      <w:proofErr w:type="gramStart"/>
      <w:r w:rsidRPr="002D0354">
        <w:rPr>
          <w:color w:val="1A1A2E"/>
          <w:sz w:val="20"/>
          <w:szCs w:val="20"/>
          <w:lang w:val="en-US"/>
        </w:rPr>
        <w:t>Risk, Diversification, and Growth.</w:t>
      </w:r>
      <w:proofErr w:type="gramEnd"/>
      <w:r w:rsidRPr="002D0354">
        <w:rPr>
          <w:color w:val="1A1A2E"/>
          <w:sz w:val="20"/>
          <w:szCs w:val="20"/>
          <w:lang w:val="en-US"/>
        </w:rPr>
        <w:t xml:space="preserve"> </w:t>
      </w:r>
      <w:r w:rsidRPr="002D0354">
        <w:rPr>
          <w:i/>
          <w:iCs/>
          <w:color w:val="1A1A2E"/>
          <w:sz w:val="20"/>
          <w:szCs w:val="20"/>
          <w:lang w:val="en-US"/>
        </w:rPr>
        <w:t>Journal of Political Economy, 105</w:t>
      </w:r>
      <w:r w:rsidRPr="002D0354">
        <w:rPr>
          <w:color w:val="1A1A2E"/>
          <w:sz w:val="20"/>
          <w:szCs w:val="20"/>
          <w:lang w:val="en-US"/>
        </w:rPr>
        <w:t>(4), 709–751.</w:t>
      </w:r>
    </w:p>
    <w:p w14:paraId="7257B0C4" w14:textId="77777777" w:rsidR="0013788A" w:rsidRPr="002D0354" w:rsidRDefault="00993472">
      <w:pPr>
        <w:spacing w:after="120"/>
        <w:rPr>
          <w:lang w:val="en-US"/>
        </w:rPr>
      </w:pPr>
      <w:proofErr w:type="gramStart"/>
      <w:r w:rsidRPr="002D0354">
        <w:rPr>
          <w:color w:val="1A1A2E"/>
          <w:sz w:val="20"/>
          <w:szCs w:val="20"/>
          <w:lang w:val="en-US"/>
        </w:rPr>
        <w:t>Aghion, P., &amp; Howitt, P. (1992).</w:t>
      </w:r>
      <w:proofErr w:type="gramEnd"/>
      <w:r w:rsidRPr="002D0354">
        <w:rPr>
          <w:color w:val="1A1A2E"/>
          <w:sz w:val="20"/>
          <w:szCs w:val="20"/>
          <w:lang w:val="en-US"/>
        </w:rPr>
        <w:t xml:space="preserve"> A Model of Growth </w:t>
      </w:r>
      <w:proofErr w:type="gramStart"/>
      <w:r w:rsidRPr="002D0354">
        <w:rPr>
          <w:color w:val="1A1A2E"/>
          <w:sz w:val="20"/>
          <w:szCs w:val="20"/>
          <w:lang w:val="en-US"/>
        </w:rPr>
        <w:t>Through</w:t>
      </w:r>
      <w:proofErr w:type="gramEnd"/>
      <w:r w:rsidRPr="002D0354">
        <w:rPr>
          <w:color w:val="1A1A2E"/>
          <w:sz w:val="20"/>
          <w:szCs w:val="20"/>
          <w:lang w:val="en-US"/>
        </w:rPr>
        <w:t xml:space="preserve"> Creative Destruction. </w:t>
      </w:r>
      <w:r w:rsidRPr="002D0354">
        <w:rPr>
          <w:i/>
          <w:iCs/>
          <w:color w:val="1A1A2E"/>
          <w:sz w:val="20"/>
          <w:szCs w:val="20"/>
          <w:lang w:val="en-US"/>
        </w:rPr>
        <w:t>Econometrica, 60</w:t>
      </w:r>
      <w:r w:rsidRPr="002D0354">
        <w:rPr>
          <w:color w:val="1A1A2E"/>
          <w:sz w:val="20"/>
          <w:szCs w:val="20"/>
          <w:lang w:val="en-US"/>
        </w:rPr>
        <w:t>(2), 323–351.</w:t>
      </w:r>
    </w:p>
    <w:p w14:paraId="29253961" w14:textId="77777777" w:rsidR="0013788A" w:rsidRPr="002D0354" w:rsidRDefault="00993472">
      <w:pPr>
        <w:spacing w:after="120"/>
        <w:rPr>
          <w:lang w:val="en-US"/>
        </w:rPr>
      </w:pPr>
      <w:proofErr w:type="gramStart"/>
      <w:r w:rsidRPr="002D0354">
        <w:rPr>
          <w:color w:val="1A1A2E"/>
          <w:sz w:val="20"/>
          <w:szCs w:val="20"/>
          <w:lang w:val="en-US"/>
        </w:rPr>
        <w:t>Autor, D., Dorn, D., Hanson, G., &amp; Song, J. (2016).</w:t>
      </w:r>
      <w:proofErr w:type="gramEnd"/>
      <w:r w:rsidRPr="002D0354">
        <w:rPr>
          <w:color w:val="1A1A2E"/>
          <w:sz w:val="20"/>
          <w:szCs w:val="20"/>
          <w:lang w:val="en-US"/>
        </w:rPr>
        <w:t xml:space="preserve"> </w:t>
      </w:r>
      <w:proofErr w:type="gramStart"/>
      <w:r w:rsidRPr="002D0354">
        <w:rPr>
          <w:color w:val="1A1A2E"/>
          <w:sz w:val="20"/>
          <w:szCs w:val="20"/>
          <w:lang w:val="en-US"/>
        </w:rPr>
        <w:t>Foreign Competition and Domestic Innovation.</w:t>
      </w:r>
      <w:proofErr w:type="gramEnd"/>
      <w:r w:rsidRPr="002D0354">
        <w:rPr>
          <w:color w:val="1A1A2E"/>
          <w:sz w:val="20"/>
          <w:szCs w:val="20"/>
          <w:lang w:val="en-US"/>
        </w:rPr>
        <w:t xml:space="preserve"> </w:t>
      </w:r>
      <w:r w:rsidRPr="002D0354">
        <w:rPr>
          <w:i/>
          <w:iCs/>
          <w:color w:val="1A1A2E"/>
          <w:sz w:val="20"/>
          <w:szCs w:val="20"/>
          <w:lang w:val="en-US"/>
        </w:rPr>
        <w:t>NBER Working Paper No. 22879</w:t>
      </w:r>
      <w:r w:rsidRPr="002D0354">
        <w:rPr>
          <w:color w:val="1A1A2E"/>
          <w:sz w:val="20"/>
          <w:szCs w:val="20"/>
          <w:lang w:val="en-US"/>
        </w:rPr>
        <w:t>.</w:t>
      </w:r>
    </w:p>
    <w:p w14:paraId="1417008E" w14:textId="77777777" w:rsidR="0013788A" w:rsidRPr="002D0354" w:rsidRDefault="00993472">
      <w:pPr>
        <w:spacing w:after="120"/>
        <w:rPr>
          <w:lang w:val="en-US"/>
        </w:rPr>
      </w:pPr>
      <w:proofErr w:type="gramStart"/>
      <w:r w:rsidRPr="002D0354">
        <w:rPr>
          <w:color w:val="1A1A2E"/>
          <w:sz w:val="20"/>
          <w:szCs w:val="20"/>
          <w:lang w:val="en-US"/>
        </w:rPr>
        <w:t>Christensen, C. M. (1997).</w:t>
      </w:r>
      <w:proofErr w:type="gramEnd"/>
      <w:r w:rsidRPr="002D0354">
        <w:rPr>
          <w:color w:val="1A1A2E"/>
          <w:sz w:val="20"/>
          <w:szCs w:val="20"/>
          <w:lang w:val="en-US"/>
        </w:rPr>
        <w:t xml:space="preserve"> </w:t>
      </w:r>
      <w:r w:rsidRPr="002D0354">
        <w:rPr>
          <w:i/>
          <w:iCs/>
          <w:color w:val="1A1A2E"/>
          <w:sz w:val="20"/>
          <w:szCs w:val="20"/>
          <w:lang w:val="en-US"/>
        </w:rPr>
        <w:t>The Innovator's Dilemma: When New Technologies Cause Great Firms to Fail.</w:t>
      </w:r>
      <w:r w:rsidRPr="002D0354">
        <w:rPr>
          <w:color w:val="1A1A2E"/>
          <w:sz w:val="20"/>
          <w:szCs w:val="20"/>
          <w:lang w:val="en-US"/>
        </w:rPr>
        <w:t xml:space="preserve"> </w:t>
      </w:r>
      <w:proofErr w:type="gramStart"/>
      <w:r w:rsidRPr="002D0354">
        <w:rPr>
          <w:color w:val="1A1A2E"/>
          <w:sz w:val="20"/>
          <w:szCs w:val="20"/>
          <w:lang w:val="en-US"/>
        </w:rPr>
        <w:t>Harvard Business School Press.</w:t>
      </w:r>
      <w:proofErr w:type="gramEnd"/>
    </w:p>
    <w:p w14:paraId="517CF18C" w14:textId="77777777" w:rsidR="0013788A" w:rsidRPr="002D0354" w:rsidRDefault="00993472">
      <w:pPr>
        <w:spacing w:after="120"/>
        <w:rPr>
          <w:lang w:val="en-US"/>
        </w:rPr>
      </w:pPr>
      <w:proofErr w:type="gramStart"/>
      <w:r w:rsidRPr="002D0354">
        <w:rPr>
          <w:color w:val="1A1A2E"/>
          <w:sz w:val="20"/>
          <w:szCs w:val="20"/>
          <w:lang w:val="en-US"/>
        </w:rPr>
        <w:t>Christensen, C. M., &amp; Raynor, M. E. (2003).</w:t>
      </w:r>
      <w:proofErr w:type="gramEnd"/>
      <w:r w:rsidRPr="002D0354">
        <w:rPr>
          <w:color w:val="1A1A2E"/>
          <w:sz w:val="20"/>
          <w:szCs w:val="20"/>
          <w:lang w:val="en-US"/>
        </w:rPr>
        <w:t xml:space="preserve"> </w:t>
      </w:r>
      <w:proofErr w:type="gramStart"/>
      <w:r w:rsidRPr="002D0354">
        <w:rPr>
          <w:i/>
          <w:iCs/>
          <w:color w:val="1A1A2E"/>
          <w:sz w:val="20"/>
          <w:szCs w:val="20"/>
          <w:lang w:val="en-US"/>
        </w:rPr>
        <w:t>The Innovator's Solution.</w:t>
      </w:r>
      <w:proofErr w:type="gramEnd"/>
      <w:r w:rsidRPr="002D0354">
        <w:rPr>
          <w:color w:val="1A1A2E"/>
          <w:sz w:val="20"/>
          <w:szCs w:val="20"/>
          <w:lang w:val="en-US"/>
        </w:rPr>
        <w:t xml:space="preserve"> </w:t>
      </w:r>
      <w:proofErr w:type="gramStart"/>
      <w:r w:rsidRPr="002D0354">
        <w:rPr>
          <w:color w:val="1A1A2E"/>
          <w:sz w:val="20"/>
          <w:szCs w:val="20"/>
          <w:lang w:val="en-US"/>
        </w:rPr>
        <w:t>Harvard Business School Press.</w:t>
      </w:r>
      <w:proofErr w:type="gramEnd"/>
    </w:p>
    <w:p w14:paraId="414B56E9" w14:textId="77777777" w:rsidR="0013788A" w:rsidRPr="002D0354" w:rsidRDefault="00993472">
      <w:pPr>
        <w:spacing w:after="120"/>
        <w:rPr>
          <w:lang w:val="en-US"/>
        </w:rPr>
      </w:pPr>
      <w:r w:rsidRPr="002D0354">
        <w:rPr>
          <w:color w:val="1A1A2E"/>
          <w:sz w:val="20"/>
          <w:szCs w:val="20"/>
          <w:lang w:val="en-US"/>
        </w:rPr>
        <w:t xml:space="preserve">D'Aveni, R. (1994). </w:t>
      </w:r>
      <w:proofErr w:type="gramStart"/>
      <w:r w:rsidRPr="002D0354">
        <w:rPr>
          <w:i/>
          <w:iCs/>
          <w:color w:val="1A1A2E"/>
          <w:sz w:val="20"/>
          <w:szCs w:val="20"/>
          <w:lang w:val="en-US"/>
        </w:rPr>
        <w:t>Hypercompetition.</w:t>
      </w:r>
      <w:proofErr w:type="gramEnd"/>
      <w:r w:rsidRPr="002D0354">
        <w:rPr>
          <w:color w:val="1A1A2E"/>
          <w:sz w:val="20"/>
          <w:szCs w:val="20"/>
          <w:lang w:val="en-US"/>
        </w:rPr>
        <w:t xml:space="preserve"> Free Press.</w:t>
      </w:r>
    </w:p>
    <w:p w14:paraId="0251F454" w14:textId="77777777" w:rsidR="0013788A" w:rsidRPr="002D0354" w:rsidRDefault="00993472">
      <w:pPr>
        <w:spacing w:after="120"/>
        <w:rPr>
          <w:lang w:val="en-US"/>
        </w:rPr>
      </w:pPr>
      <w:r w:rsidRPr="002D0354">
        <w:rPr>
          <w:color w:val="1A1A2E"/>
          <w:sz w:val="20"/>
          <w:szCs w:val="20"/>
          <w:lang w:val="en-US"/>
        </w:rPr>
        <w:t xml:space="preserve">Foster, L., Haltiwanger, J., &amp; Krizan, C. J. (2001). Aggregate Productivity Growth: Lessons from Microeconomic Evidence. In Hulten, </w:t>
      </w:r>
      <w:proofErr w:type="gramStart"/>
      <w:r w:rsidRPr="002D0354">
        <w:rPr>
          <w:color w:val="1A1A2E"/>
          <w:sz w:val="20"/>
          <w:szCs w:val="20"/>
          <w:lang w:val="en-US"/>
        </w:rPr>
        <w:t>Dean &amp;</w:t>
      </w:r>
      <w:proofErr w:type="gramEnd"/>
      <w:r w:rsidRPr="002D0354">
        <w:rPr>
          <w:color w:val="1A1A2E"/>
          <w:sz w:val="20"/>
          <w:szCs w:val="20"/>
          <w:lang w:val="en-US"/>
        </w:rPr>
        <w:t xml:space="preserve"> Harper (Eds.), </w:t>
      </w:r>
      <w:r w:rsidRPr="002D0354">
        <w:rPr>
          <w:i/>
          <w:iCs/>
          <w:color w:val="1A1A2E"/>
          <w:sz w:val="20"/>
          <w:szCs w:val="20"/>
          <w:lang w:val="en-US"/>
        </w:rPr>
        <w:t>New Developments in Productivity Analysis</w:t>
      </w:r>
      <w:r w:rsidRPr="002D0354">
        <w:rPr>
          <w:color w:val="1A1A2E"/>
          <w:sz w:val="20"/>
          <w:szCs w:val="20"/>
          <w:lang w:val="en-US"/>
        </w:rPr>
        <w:t xml:space="preserve"> (pp. 303–363). </w:t>
      </w:r>
      <w:proofErr w:type="gramStart"/>
      <w:r w:rsidRPr="002D0354">
        <w:rPr>
          <w:color w:val="1A1A2E"/>
          <w:sz w:val="20"/>
          <w:szCs w:val="20"/>
          <w:lang w:val="en-US"/>
        </w:rPr>
        <w:t>University of Chicago Press.</w:t>
      </w:r>
      <w:proofErr w:type="gramEnd"/>
    </w:p>
    <w:p w14:paraId="1D16D92A" w14:textId="77777777" w:rsidR="0013788A" w:rsidRPr="002D0354" w:rsidRDefault="00993472">
      <w:pPr>
        <w:spacing w:after="120"/>
        <w:rPr>
          <w:lang w:val="en-US"/>
        </w:rPr>
      </w:pPr>
      <w:proofErr w:type="gramStart"/>
      <w:r w:rsidRPr="002D0354">
        <w:rPr>
          <w:color w:val="1A1A2E"/>
          <w:sz w:val="20"/>
          <w:szCs w:val="20"/>
          <w:lang w:val="en-US"/>
        </w:rPr>
        <w:t>GSMA.</w:t>
      </w:r>
      <w:proofErr w:type="gramEnd"/>
      <w:r w:rsidRPr="002D0354">
        <w:rPr>
          <w:color w:val="1A1A2E"/>
          <w:sz w:val="20"/>
          <w:szCs w:val="20"/>
          <w:lang w:val="en-US"/>
        </w:rPr>
        <w:t xml:space="preserve"> (2022). </w:t>
      </w:r>
      <w:proofErr w:type="gramStart"/>
      <w:r w:rsidRPr="002D0354">
        <w:rPr>
          <w:i/>
          <w:iCs/>
          <w:color w:val="1A1A2E"/>
          <w:sz w:val="20"/>
          <w:szCs w:val="20"/>
          <w:lang w:val="en-US"/>
        </w:rPr>
        <w:t>The</w:t>
      </w:r>
      <w:proofErr w:type="gramEnd"/>
      <w:r w:rsidRPr="002D0354">
        <w:rPr>
          <w:i/>
          <w:iCs/>
          <w:color w:val="1A1A2E"/>
          <w:sz w:val="20"/>
          <w:szCs w:val="20"/>
          <w:lang w:val="en-US"/>
        </w:rPr>
        <w:t xml:space="preserve"> Mobile Economy Sub-Saharan Africa 2022.</w:t>
      </w:r>
      <w:r w:rsidRPr="002D0354">
        <w:rPr>
          <w:color w:val="1A1A2E"/>
          <w:sz w:val="20"/>
          <w:szCs w:val="20"/>
          <w:lang w:val="en-US"/>
        </w:rPr>
        <w:t xml:space="preserve"> </w:t>
      </w:r>
      <w:proofErr w:type="gramStart"/>
      <w:r w:rsidRPr="002D0354">
        <w:rPr>
          <w:color w:val="1A1A2E"/>
          <w:sz w:val="20"/>
          <w:szCs w:val="20"/>
          <w:lang w:val="en-US"/>
        </w:rPr>
        <w:t>GSM Association.</w:t>
      </w:r>
      <w:proofErr w:type="gramEnd"/>
    </w:p>
    <w:p w14:paraId="1095DEE7" w14:textId="77777777" w:rsidR="0013788A" w:rsidRPr="002D0354" w:rsidRDefault="00993472">
      <w:pPr>
        <w:spacing w:after="120"/>
        <w:rPr>
          <w:lang w:val="en-US"/>
        </w:rPr>
      </w:pPr>
      <w:proofErr w:type="gramStart"/>
      <w:r w:rsidRPr="002D0354">
        <w:rPr>
          <w:color w:val="1A1A2E"/>
          <w:sz w:val="20"/>
          <w:szCs w:val="20"/>
          <w:lang w:val="en-US"/>
        </w:rPr>
        <w:t>ITU.</w:t>
      </w:r>
      <w:proofErr w:type="gramEnd"/>
      <w:r w:rsidRPr="002D0354">
        <w:rPr>
          <w:color w:val="1A1A2E"/>
          <w:sz w:val="20"/>
          <w:szCs w:val="20"/>
          <w:lang w:val="en-US"/>
        </w:rPr>
        <w:t xml:space="preserve"> </w:t>
      </w:r>
      <w:proofErr w:type="gramStart"/>
      <w:r w:rsidRPr="002D0354">
        <w:rPr>
          <w:color w:val="1A1A2E"/>
          <w:sz w:val="20"/>
          <w:szCs w:val="20"/>
          <w:lang w:val="en-US"/>
        </w:rPr>
        <w:t xml:space="preserve">(2021). </w:t>
      </w:r>
      <w:r w:rsidRPr="002D0354">
        <w:rPr>
          <w:i/>
          <w:iCs/>
          <w:color w:val="1A1A2E"/>
          <w:sz w:val="20"/>
          <w:szCs w:val="20"/>
          <w:lang w:val="en-US"/>
        </w:rPr>
        <w:t>World Telecommunication/ICT Indicators Database.</w:t>
      </w:r>
      <w:proofErr w:type="gramEnd"/>
      <w:r w:rsidRPr="002D0354">
        <w:rPr>
          <w:color w:val="1A1A2E"/>
          <w:sz w:val="20"/>
          <w:szCs w:val="20"/>
          <w:lang w:val="en-US"/>
        </w:rPr>
        <w:t xml:space="preserve"> </w:t>
      </w:r>
      <w:proofErr w:type="gramStart"/>
      <w:r w:rsidRPr="002D0354">
        <w:rPr>
          <w:color w:val="1A1A2E"/>
          <w:sz w:val="20"/>
          <w:szCs w:val="20"/>
          <w:lang w:val="en-US"/>
        </w:rPr>
        <w:t>International Telecommunication Union.</w:t>
      </w:r>
      <w:proofErr w:type="gramEnd"/>
    </w:p>
    <w:p w14:paraId="609508B3" w14:textId="77777777" w:rsidR="0013788A" w:rsidRPr="002D0354" w:rsidRDefault="00993472">
      <w:pPr>
        <w:spacing w:after="120"/>
        <w:rPr>
          <w:lang w:val="en-US"/>
        </w:rPr>
      </w:pPr>
      <w:proofErr w:type="gramStart"/>
      <w:r w:rsidRPr="002D0354">
        <w:rPr>
          <w:color w:val="1A1A2E"/>
          <w:sz w:val="20"/>
          <w:szCs w:val="20"/>
          <w:lang w:val="en-US"/>
        </w:rPr>
        <w:t>King, A., &amp; Baatartogtokh, B. (2015).</w:t>
      </w:r>
      <w:proofErr w:type="gramEnd"/>
      <w:r w:rsidRPr="002D0354">
        <w:rPr>
          <w:color w:val="1A1A2E"/>
          <w:sz w:val="20"/>
          <w:szCs w:val="20"/>
          <w:lang w:val="en-US"/>
        </w:rPr>
        <w:t xml:space="preserve"> How Useful Is the Theory of Disruptive Innovation? </w:t>
      </w:r>
      <w:r w:rsidRPr="002D0354">
        <w:rPr>
          <w:i/>
          <w:iCs/>
          <w:color w:val="1A1A2E"/>
          <w:sz w:val="20"/>
          <w:szCs w:val="20"/>
          <w:lang w:val="en-US"/>
        </w:rPr>
        <w:t>MIT Sloan Management Review, 57</w:t>
      </w:r>
      <w:r w:rsidRPr="002D0354">
        <w:rPr>
          <w:color w:val="1A1A2E"/>
          <w:sz w:val="20"/>
          <w:szCs w:val="20"/>
          <w:lang w:val="en-US"/>
        </w:rPr>
        <w:t>(1), 77–90.</w:t>
      </w:r>
    </w:p>
    <w:p w14:paraId="507BB17D" w14:textId="77777777" w:rsidR="0013788A" w:rsidRPr="002D0354" w:rsidRDefault="00993472">
      <w:pPr>
        <w:spacing w:after="120"/>
        <w:rPr>
          <w:lang w:val="en-US"/>
        </w:rPr>
      </w:pPr>
      <w:r w:rsidRPr="002D0354">
        <w:rPr>
          <w:color w:val="1A1A2E"/>
          <w:sz w:val="20"/>
          <w:szCs w:val="20"/>
          <w:lang w:val="en-US"/>
        </w:rPr>
        <w:t xml:space="preserve">Kondratiev, N. D. (1926). Die Langen Wellen der Konjunktur. </w:t>
      </w:r>
      <w:r w:rsidRPr="002D0354">
        <w:rPr>
          <w:i/>
          <w:iCs/>
          <w:color w:val="1A1A2E"/>
          <w:sz w:val="20"/>
          <w:szCs w:val="20"/>
          <w:lang w:val="en-US"/>
        </w:rPr>
        <w:t>Archiv fur Sozialwissenschaft und Sozialpolitik, 56</w:t>
      </w:r>
      <w:r w:rsidRPr="002D0354">
        <w:rPr>
          <w:color w:val="1A1A2E"/>
          <w:sz w:val="20"/>
          <w:szCs w:val="20"/>
          <w:lang w:val="en-US"/>
        </w:rPr>
        <w:t>, 573–609.</w:t>
      </w:r>
    </w:p>
    <w:p w14:paraId="3454E8EB" w14:textId="77777777" w:rsidR="0013788A" w:rsidRPr="002D0354" w:rsidRDefault="00993472">
      <w:pPr>
        <w:spacing w:after="120"/>
        <w:rPr>
          <w:lang w:val="en-US"/>
        </w:rPr>
      </w:pPr>
      <w:r w:rsidRPr="002D0354">
        <w:rPr>
          <w:color w:val="1A1A2E"/>
          <w:sz w:val="20"/>
          <w:szCs w:val="20"/>
          <w:lang w:val="en-US"/>
        </w:rPr>
        <w:t xml:space="preserve">Lepore, J. (2014, June 23). </w:t>
      </w:r>
      <w:proofErr w:type="gramStart"/>
      <w:r w:rsidRPr="002D0354">
        <w:rPr>
          <w:color w:val="1A1A2E"/>
          <w:sz w:val="20"/>
          <w:szCs w:val="20"/>
          <w:lang w:val="en-US"/>
        </w:rPr>
        <w:t>The Disruption Machine.</w:t>
      </w:r>
      <w:proofErr w:type="gramEnd"/>
      <w:r w:rsidRPr="002D0354">
        <w:rPr>
          <w:color w:val="1A1A2E"/>
          <w:sz w:val="20"/>
          <w:szCs w:val="20"/>
          <w:lang w:val="en-US"/>
        </w:rPr>
        <w:t xml:space="preserve"> </w:t>
      </w:r>
      <w:proofErr w:type="gramStart"/>
      <w:r w:rsidRPr="002D0354">
        <w:rPr>
          <w:i/>
          <w:iCs/>
          <w:color w:val="1A1A2E"/>
          <w:sz w:val="20"/>
          <w:szCs w:val="20"/>
          <w:lang w:val="en-US"/>
        </w:rPr>
        <w:t>The New Yorker.</w:t>
      </w:r>
      <w:proofErr w:type="gramEnd"/>
    </w:p>
    <w:p w14:paraId="3878576A" w14:textId="77777777" w:rsidR="0013788A" w:rsidRPr="002D0354" w:rsidRDefault="00993472">
      <w:pPr>
        <w:spacing w:after="120"/>
        <w:rPr>
          <w:lang w:val="en-US"/>
        </w:rPr>
      </w:pPr>
      <w:proofErr w:type="gramStart"/>
      <w:r w:rsidRPr="002D0354">
        <w:rPr>
          <w:color w:val="1A1A2E"/>
          <w:sz w:val="20"/>
          <w:szCs w:val="20"/>
          <w:lang w:val="en-US"/>
        </w:rPr>
        <w:t>March, J. G. (1991).</w:t>
      </w:r>
      <w:proofErr w:type="gramEnd"/>
      <w:r w:rsidRPr="002D0354">
        <w:rPr>
          <w:color w:val="1A1A2E"/>
          <w:sz w:val="20"/>
          <w:szCs w:val="20"/>
          <w:lang w:val="en-US"/>
        </w:rPr>
        <w:t xml:space="preserve"> </w:t>
      </w:r>
      <w:proofErr w:type="gramStart"/>
      <w:r w:rsidRPr="002D0354">
        <w:rPr>
          <w:color w:val="1A1A2E"/>
          <w:sz w:val="20"/>
          <w:szCs w:val="20"/>
          <w:lang w:val="en-US"/>
        </w:rPr>
        <w:t>Exploration and Exploitation in Organizational Learning.</w:t>
      </w:r>
      <w:proofErr w:type="gramEnd"/>
      <w:r w:rsidRPr="002D0354">
        <w:rPr>
          <w:color w:val="1A1A2E"/>
          <w:sz w:val="20"/>
          <w:szCs w:val="20"/>
          <w:lang w:val="en-US"/>
        </w:rPr>
        <w:t xml:space="preserve"> </w:t>
      </w:r>
      <w:r w:rsidRPr="002D0354">
        <w:rPr>
          <w:i/>
          <w:iCs/>
          <w:color w:val="1A1A2E"/>
          <w:sz w:val="20"/>
          <w:szCs w:val="20"/>
          <w:lang w:val="en-US"/>
        </w:rPr>
        <w:t>Organization Science, 2</w:t>
      </w:r>
      <w:r w:rsidRPr="002D0354">
        <w:rPr>
          <w:color w:val="1A1A2E"/>
          <w:sz w:val="20"/>
          <w:szCs w:val="20"/>
          <w:lang w:val="en-US"/>
        </w:rPr>
        <w:t>(1), 71–87.</w:t>
      </w:r>
    </w:p>
    <w:p w14:paraId="7BBE4164" w14:textId="77777777" w:rsidR="0013788A" w:rsidRPr="002D0354" w:rsidRDefault="00993472">
      <w:pPr>
        <w:spacing w:after="120"/>
        <w:rPr>
          <w:lang w:val="en-US"/>
        </w:rPr>
      </w:pPr>
      <w:r w:rsidRPr="002D0354">
        <w:rPr>
          <w:color w:val="1A1A2E"/>
          <w:sz w:val="20"/>
          <w:szCs w:val="20"/>
          <w:lang w:val="en-US"/>
        </w:rPr>
        <w:t xml:space="preserve">Nelson, R. R., &amp; </w:t>
      </w:r>
      <w:proofErr w:type="gramStart"/>
      <w:r w:rsidRPr="002D0354">
        <w:rPr>
          <w:color w:val="1A1A2E"/>
          <w:sz w:val="20"/>
          <w:szCs w:val="20"/>
          <w:lang w:val="en-US"/>
        </w:rPr>
        <w:t>Winter</w:t>
      </w:r>
      <w:proofErr w:type="gramEnd"/>
      <w:r w:rsidRPr="002D0354">
        <w:rPr>
          <w:color w:val="1A1A2E"/>
          <w:sz w:val="20"/>
          <w:szCs w:val="20"/>
          <w:lang w:val="en-US"/>
        </w:rPr>
        <w:t xml:space="preserve">, S. G. (1982). </w:t>
      </w:r>
      <w:proofErr w:type="gramStart"/>
      <w:r w:rsidRPr="002D0354">
        <w:rPr>
          <w:i/>
          <w:iCs/>
          <w:color w:val="1A1A2E"/>
          <w:sz w:val="20"/>
          <w:szCs w:val="20"/>
          <w:lang w:val="en-US"/>
        </w:rPr>
        <w:t>An Evolutionary Theory of Economic Change.</w:t>
      </w:r>
      <w:proofErr w:type="gramEnd"/>
      <w:r w:rsidRPr="002D0354">
        <w:rPr>
          <w:color w:val="1A1A2E"/>
          <w:sz w:val="20"/>
          <w:szCs w:val="20"/>
          <w:lang w:val="en-US"/>
        </w:rPr>
        <w:t xml:space="preserve"> </w:t>
      </w:r>
      <w:proofErr w:type="gramStart"/>
      <w:r w:rsidRPr="002D0354">
        <w:rPr>
          <w:color w:val="1A1A2E"/>
          <w:sz w:val="20"/>
          <w:szCs w:val="20"/>
          <w:lang w:val="en-US"/>
        </w:rPr>
        <w:t>Harvard University Press.</w:t>
      </w:r>
      <w:proofErr w:type="gramEnd"/>
    </w:p>
    <w:p w14:paraId="4CDF88E5" w14:textId="77777777" w:rsidR="0013788A" w:rsidRPr="002D0354" w:rsidRDefault="00993472">
      <w:pPr>
        <w:spacing w:after="120"/>
        <w:rPr>
          <w:lang w:val="en-US"/>
        </w:rPr>
      </w:pPr>
      <w:proofErr w:type="gramStart"/>
      <w:r w:rsidRPr="002D0354">
        <w:rPr>
          <w:color w:val="1A1A2E"/>
          <w:sz w:val="20"/>
          <w:szCs w:val="20"/>
          <w:lang w:val="en-US"/>
        </w:rPr>
        <w:t>OECD.</w:t>
      </w:r>
      <w:proofErr w:type="gramEnd"/>
      <w:r w:rsidRPr="002D0354">
        <w:rPr>
          <w:color w:val="1A1A2E"/>
          <w:sz w:val="20"/>
          <w:szCs w:val="20"/>
          <w:lang w:val="en-US"/>
        </w:rPr>
        <w:t xml:space="preserve"> (2023). </w:t>
      </w:r>
      <w:r w:rsidRPr="002D0354">
        <w:rPr>
          <w:i/>
          <w:iCs/>
          <w:color w:val="1A1A2E"/>
          <w:sz w:val="20"/>
          <w:szCs w:val="20"/>
          <w:lang w:val="en-US"/>
        </w:rPr>
        <w:t>OECD Employment Outlook 2023: Artificial Intelligence and the Labour Market.</w:t>
      </w:r>
      <w:r w:rsidRPr="002D0354">
        <w:rPr>
          <w:color w:val="1A1A2E"/>
          <w:sz w:val="20"/>
          <w:szCs w:val="20"/>
          <w:lang w:val="en-US"/>
        </w:rPr>
        <w:t xml:space="preserve"> OECD Publishing.</w:t>
      </w:r>
    </w:p>
    <w:p w14:paraId="3693A4DD" w14:textId="77777777" w:rsidR="0013788A" w:rsidRPr="002D0354" w:rsidRDefault="00993472">
      <w:pPr>
        <w:spacing w:after="120"/>
        <w:rPr>
          <w:lang w:val="en-US"/>
        </w:rPr>
      </w:pPr>
      <w:proofErr w:type="gramStart"/>
      <w:r w:rsidRPr="002D0354">
        <w:rPr>
          <w:color w:val="1A1A2E"/>
          <w:sz w:val="20"/>
          <w:szCs w:val="20"/>
          <w:lang w:val="en-US"/>
        </w:rPr>
        <w:t>Parker, G., Van Alstyne, M., &amp; Choudary, S. P. (2016).</w:t>
      </w:r>
      <w:proofErr w:type="gramEnd"/>
      <w:r w:rsidRPr="002D0354">
        <w:rPr>
          <w:color w:val="1A1A2E"/>
          <w:sz w:val="20"/>
          <w:szCs w:val="20"/>
          <w:lang w:val="en-US"/>
        </w:rPr>
        <w:t xml:space="preserve"> </w:t>
      </w:r>
      <w:proofErr w:type="gramStart"/>
      <w:r w:rsidRPr="002D0354">
        <w:rPr>
          <w:i/>
          <w:iCs/>
          <w:color w:val="1A1A2E"/>
          <w:sz w:val="20"/>
          <w:szCs w:val="20"/>
          <w:lang w:val="en-US"/>
        </w:rPr>
        <w:t>Platform Revolution.</w:t>
      </w:r>
      <w:proofErr w:type="gramEnd"/>
      <w:r w:rsidRPr="002D0354">
        <w:rPr>
          <w:color w:val="1A1A2E"/>
          <w:sz w:val="20"/>
          <w:szCs w:val="20"/>
          <w:lang w:val="en-US"/>
        </w:rPr>
        <w:t xml:space="preserve"> W. W. Norton.</w:t>
      </w:r>
    </w:p>
    <w:p w14:paraId="59288CCC" w14:textId="77777777" w:rsidR="0013788A" w:rsidRPr="002D0354" w:rsidRDefault="00993472">
      <w:pPr>
        <w:spacing w:after="120"/>
        <w:rPr>
          <w:lang w:val="en-US"/>
        </w:rPr>
      </w:pPr>
      <w:r w:rsidRPr="002D0354">
        <w:rPr>
          <w:color w:val="1A1A2E"/>
          <w:sz w:val="20"/>
          <w:szCs w:val="20"/>
          <w:lang w:val="en-US"/>
        </w:rPr>
        <w:t xml:space="preserve">Perez, C. (2002). </w:t>
      </w:r>
      <w:r w:rsidRPr="002D0354">
        <w:rPr>
          <w:i/>
          <w:iCs/>
          <w:color w:val="1A1A2E"/>
          <w:sz w:val="20"/>
          <w:szCs w:val="20"/>
          <w:lang w:val="en-US"/>
        </w:rPr>
        <w:t>Technological Revolutions and Financial Capital: The Dynamics of Bubbles and Golden Ages.</w:t>
      </w:r>
      <w:r w:rsidRPr="002D0354">
        <w:rPr>
          <w:color w:val="1A1A2E"/>
          <w:sz w:val="20"/>
          <w:szCs w:val="20"/>
          <w:lang w:val="en-US"/>
        </w:rPr>
        <w:t xml:space="preserve"> Edward Elgar.</w:t>
      </w:r>
    </w:p>
    <w:p w14:paraId="03AE5823" w14:textId="77777777" w:rsidR="0013788A" w:rsidRPr="002D0354" w:rsidRDefault="00993472">
      <w:pPr>
        <w:spacing w:after="120"/>
        <w:rPr>
          <w:lang w:val="en-US"/>
        </w:rPr>
      </w:pPr>
      <w:proofErr w:type="gramStart"/>
      <w:r w:rsidRPr="002D0354">
        <w:rPr>
          <w:color w:val="1A1A2E"/>
          <w:sz w:val="20"/>
          <w:szCs w:val="20"/>
          <w:lang w:val="en-US"/>
        </w:rPr>
        <w:t>Rochet, J.-C., &amp; Tirole, J. (2003).</w:t>
      </w:r>
      <w:proofErr w:type="gramEnd"/>
      <w:r w:rsidRPr="002D0354">
        <w:rPr>
          <w:color w:val="1A1A2E"/>
          <w:sz w:val="20"/>
          <w:szCs w:val="20"/>
          <w:lang w:val="en-US"/>
        </w:rPr>
        <w:t xml:space="preserve"> </w:t>
      </w:r>
      <w:proofErr w:type="gramStart"/>
      <w:r w:rsidRPr="002D0354">
        <w:rPr>
          <w:color w:val="1A1A2E"/>
          <w:sz w:val="20"/>
          <w:szCs w:val="20"/>
          <w:lang w:val="en-US"/>
        </w:rPr>
        <w:t>Platform Competition in Two-Sided Markets.</w:t>
      </w:r>
      <w:proofErr w:type="gramEnd"/>
      <w:r w:rsidRPr="002D0354">
        <w:rPr>
          <w:color w:val="1A1A2E"/>
          <w:sz w:val="20"/>
          <w:szCs w:val="20"/>
          <w:lang w:val="en-US"/>
        </w:rPr>
        <w:t xml:space="preserve"> </w:t>
      </w:r>
      <w:proofErr w:type="gramStart"/>
      <w:r w:rsidRPr="002D0354">
        <w:rPr>
          <w:i/>
          <w:iCs/>
          <w:color w:val="1A1A2E"/>
          <w:sz w:val="20"/>
          <w:szCs w:val="20"/>
          <w:lang w:val="en-US"/>
        </w:rPr>
        <w:t>Journal of the European Economic Association, 1</w:t>
      </w:r>
      <w:r w:rsidRPr="002D0354">
        <w:rPr>
          <w:color w:val="1A1A2E"/>
          <w:sz w:val="20"/>
          <w:szCs w:val="20"/>
          <w:lang w:val="en-US"/>
        </w:rPr>
        <w:t>(4), 990–1029.</w:t>
      </w:r>
      <w:proofErr w:type="gramEnd"/>
    </w:p>
    <w:p w14:paraId="5277EB04" w14:textId="77777777" w:rsidR="0013788A" w:rsidRPr="002D0354" w:rsidRDefault="00993472">
      <w:pPr>
        <w:spacing w:after="120"/>
        <w:rPr>
          <w:lang w:val="en-US"/>
        </w:rPr>
      </w:pPr>
      <w:r w:rsidRPr="002D0354">
        <w:rPr>
          <w:color w:val="1A1A2E"/>
          <w:sz w:val="20"/>
          <w:szCs w:val="20"/>
          <w:lang w:val="en-US"/>
        </w:rPr>
        <w:t xml:space="preserve">Schumpeter, J. A. (1911). </w:t>
      </w:r>
      <w:proofErr w:type="gramStart"/>
      <w:r w:rsidRPr="002D0354">
        <w:rPr>
          <w:i/>
          <w:iCs/>
          <w:color w:val="1A1A2E"/>
          <w:sz w:val="20"/>
          <w:szCs w:val="20"/>
          <w:lang w:val="en-US"/>
        </w:rPr>
        <w:t>The Theory of Economic Development.</w:t>
      </w:r>
      <w:proofErr w:type="gramEnd"/>
      <w:r w:rsidRPr="002D0354">
        <w:rPr>
          <w:color w:val="1A1A2E"/>
          <w:sz w:val="20"/>
          <w:szCs w:val="20"/>
          <w:lang w:val="en-US"/>
        </w:rPr>
        <w:t xml:space="preserve"> Harvard University Press (1934 translation).</w:t>
      </w:r>
    </w:p>
    <w:p w14:paraId="5D7FCA0C" w14:textId="77777777" w:rsidR="0013788A" w:rsidRPr="002D0354" w:rsidRDefault="00993472">
      <w:pPr>
        <w:spacing w:after="120"/>
        <w:rPr>
          <w:lang w:val="en-US"/>
        </w:rPr>
      </w:pPr>
      <w:r w:rsidRPr="002D0354">
        <w:rPr>
          <w:color w:val="1A1A2E"/>
          <w:sz w:val="20"/>
          <w:szCs w:val="20"/>
          <w:lang w:val="en-US"/>
        </w:rPr>
        <w:t xml:space="preserve">Schumpeter, J. A. (1943). </w:t>
      </w:r>
      <w:proofErr w:type="gramStart"/>
      <w:r w:rsidRPr="002D0354">
        <w:rPr>
          <w:i/>
          <w:iCs/>
          <w:color w:val="1A1A2E"/>
          <w:sz w:val="20"/>
          <w:szCs w:val="20"/>
          <w:lang w:val="en-US"/>
        </w:rPr>
        <w:t>Capitalism, Socialism and Democracy.</w:t>
      </w:r>
      <w:proofErr w:type="gramEnd"/>
      <w:r w:rsidRPr="002D0354">
        <w:rPr>
          <w:color w:val="1A1A2E"/>
          <w:sz w:val="20"/>
          <w:szCs w:val="20"/>
          <w:lang w:val="en-US"/>
        </w:rPr>
        <w:t xml:space="preserve"> </w:t>
      </w:r>
      <w:proofErr w:type="gramStart"/>
      <w:r w:rsidRPr="002D0354">
        <w:rPr>
          <w:color w:val="1A1A2E"/>
          <w:sz w:val="20"/>
          <w:szCs w:val="20"/>
          <w:lang w:val="en-US"/>
        </w:rPr>
        <w:t>Harper &amp; Brothers.</w:t>
      </w:r>
      <w:proofErr w:type="gramEnd"/>
    </w:p>
    <w:p w14:paraId="0A772726" w14:textId="77777777" w:rsidR="0013788A" w:rsidRPr="002D0354" w:rsidRDefault="00993472">
      <w:pPr>
        <w:spacing w:after="120"/>
        <w:rPr>
          <w:lang w:val="en-US"/>
        </w:rPr>
      </w:pPr>
      <w:proofErr w:type="gramStart"/>
      <w:r w:rsidRPr="002D0354">
        <w:rPr>
          <w:color w:val="1A1A2E"/>
          <w:sz w:val="20"/>
          <w:szCs w:val="20"/>
          <w:lang w:val="en-US"/>
        </w:rPr>
        <w:t>Shapiro, C., &amp; Varian, H. R. (1999).</w:t>
      </w:r>
      <w:proofErr w:type="gramEnd"/>
      <w:r w:rsidRPr="002D0354">
        <w:rPr>
          <w:color w:val="1A1A2E"/>
          <w:sz w:val="20"/>
          <w:szCs w:val="20"/>
          <w:lang w:val="en-US"/>
        </w:rPr>
        <w:t xml:space="preserve"> </w:t>
      </w:r>
      <w:r w:rsidRPr="002D0354">
        <w:rPr>
          <w:i/>
          <w:iCs/>
          <w:color w:val="1A1A2E"/>
          <w:sz w:val="20"/>
          <w:szCs w:val="20"/>
          <w:lang w:val="en-US"/>
        </w:rPr>
        <w:t>Information Rules: A Strategic Guide to the Network Economy.</w:t>
      </w:r>
      <w:r w:rsidRPr="002D0354">
        <w:rPr>
          <w:color w:val="1A1A2E"/>
          <w:sz w:val="20"/>
          <w:szCs w:val="20"/>
          <w:lang w:val="en-US"/>
        </w:rPr>
        <w:t xml:space="preserve"> </w:t>
      </w:r>
      <w:proofErr w:type="gramStart"/>
      <w:r w:rsidRPr="002D0354">
        <w:rPr>
          <w:color w:val="1A1A2E"/>
          <w:sz w:val="20"/>
          <w:szCs w:val="20"/>
          <w:lang w:val="en-US"/>
        </w:rPr>
        <w:t>Harvard Business School Press.</w:t>
      </w:r>
      <w:proofErr w:type="gramEnd"/>
    </w:p>
    <w:p w14:paraId="182588CA" w14:textId="77777777" w:rsidR="0013788A" w:rsidRDefault="00993472">
      <w:pPr>
        <w:spacing w:after="120"/>
      </w:pPr>
      <w:proofErr w:type="gramStart"/>
      <w:r w:rsidRPr="002D0354">
        <w:rPr>
          <w:color w:val="1A1A2E"/>
          <w:sz w:val="20"/>
          <w:szCs w:val="20"/>
          <w:lang w:val="en-US"/>
        </w:rPr>
        <w:t>World Bank.</w:t>
      </w:r>
      <w:proofErr w:type="gramEnd"/>
      <w:r w:rsidRPr="002D0354">
        <w:rPr>
          <w:color w:val="1A1A2E"/>
          <w:sz w:val="20"/>
          <w:szCs w:val="20"/>
          <w:lang w:val="en-US"/>
        </w:rPr>
        <w:t xml:space="preserve"> </w:t>
      </w:r>
      <w:proofErr w:type="gramStart"/>
      <w:r w:rsidRPr="002D0354">
        <w:rPr>
          <w:color w:val="1A1A2E"/>
          <w:sz w:val="20"/>
          <w:szCs w:val="20"/>
          <w:lang w:val="en-US"/>
        </w:rPr>
        <w:t xml:space="preserve">(2012). </w:t>
      </w:r>
      <w:r w:rsidRPr="002D0354">
        <w:rPr>
          <w:i/>
          <w:iCs/>
          <w:color w:val="1A1A2E"/>
          <w:sz w:val="20"/>
          <w:szCs w:val="20"/>
          <w:lang w:val="en-US"/>
        </w:rPr>
        <w:t>Financial Inclusion Data / Global Findex.</w:t>
      </w:r>
      <w:proofErr w:type="gramEnd"/>
      <w:r w:rsidRPr="002D0354">
        <w:rPr>
          <w:color w:val="1A1A2E"/>
          <w:sz w:val="20"/>
          <w:szCs w:val="20"/>
          <w:lang w:val="en-US"/>
        </w:rPr>
        <w:t xml:space="preserve"> </w:t>
      </w:r>
      <w:r>
        <w:rPr>
          <w:color w:val="1A1A2E"/>
          <w:sz w:val="20"/>
          <w:szCs w:val="20"/>
        </w:rPr>
        <w:t>World Bank Group.</w:t>
      </w:r>
    </w:p>
    <w:sectPr w:rsidR="0013788A">
      <w:headerReference w:type="default" r:id="rId8"/>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5E9D" w14:textId="77777777" w:rsidR="009D2258" w:rsidRDefault="009D2258">
      <w:r>
        <w:separator/>
      </w:r>
    </w:p>
  </w:endnote>
  <w:endnote w:type="continuationSeparator" w:id="0">
    <w:p w14:paraId="7EE7F3F6" w14:textId="77777777" w:rsidR="009D2258" w:rsidRDefault="009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976B" w14:textId="77777777" w:rsidR="0013788A" w:rsidRDefault="00993472">
    <w:pPr>
      <w:pBdr>
        <w:top w:val="single" w:sz="4" w:space="6" w:color="2E75B6"/>
      </w:pBdr>
      <w:tabs>
        <w:tab w:val="right" w:pos="9360"/>
      </w:tabs>
      <w:spacing w:before="120"/>
    </w:pPr>
    <w:r>
      <w:rPr>
        <w:color w:val="555555"/>
        <w:sz w:val="18"/>
        <w:szCs w:val="18"/>
      </w:rPr>
      <w:t>© 2025 TEUGUIA Fabrice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08CF" w14:textId="77777777" w:rsidR="009D2258" w:rsidRDefault="009D2258">
      <w:r>
        <w:separator/>
      </w:r>
    </w:p>
  </w:footnote>
  <w:footnote w:type="continuationSeparator" w:id="0">
    <w:p w14:paraId="3C34D238" w14:textId="77777777" w:rsidR="009D2258" w:rsidRDefault="009D2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427F" w14:textId="77777777" w:rsidR="0013788A" w:rsidRDefault="00993472">
    <w:pPr>
      <w:pBdr>
        <w:bottom w:val="single" w:sz="4" w:space="6" w:color="2E75B6"/>
      </w:pBdr>
      <w:spacing w:after="120"/>
    </w:pPr>
    <w:r>
      <w:rPr>
        <w:i/>
        <w:iCs/>
        <w:color w:val="555555"/>
        <w:sz w:val="18"/>
        <w:szCs w:val="18"/>
      </w:rPr>
      <w:t>Creative Destruction, Disruptive Innovation, and Economic Change</w:t>
    </w:r>
    <w:r>
      <w:rPr>
        <w:color w:val="2E75B6"/>
        <w:sz w:val="18"/>
        <w:szCs w:val="18"/>
      </w:rPr>
      <w:t xml:space="preserve">  |  TEUGUIA Fabrice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66B"/>
    <w:multiLevelType w:val="hybridMultilevel"/>
    <w:tmpl w:val="C16A8806"/>
    <w:lvl w:ilvl="0" w:tplc="E9249236">
      <w:start w:val="1"/>
      <w:numFmt w:val="bullet"/>
      <w:lvlText w:val="•"/>
      <w:lvlJc w:val="left"/>
      <w:pPr>
        <w:ind w:left="720" w:hanging="360"/>
      </w:pPr>
    </w:lvl>
    <w:lvl w:ilvl="1" w:tplc="A7BA02D6">
      <w:numFmt w:val="decimal"/>
      <w:lvlText w:val=""/>
      <w:lvlJc w:val="left"/>
    </w:lvl>
    <w:lvl w:ilvl="2" w:tplc="380812AC">
      <w:numFmt w:val="decimal"/>
      <w:lvlText w:val=""/>
      <w:lvlJc w:val="left"/>
    </w:lvl>
    <w:lvl w:ilvl="3" w:tplc="AEA689F8">
      <w:numFmt w:val="decimal"/>
      <w:lvlText w:val=""/>
      <w:lvlJc w:val="left"/>
    </w:lvl>
    <w:lvl w:ilvl="4" w:tplc="560675CC">
      <w:numFmt w:val="decimal"/>
      <w:lvlText w:val=""/>
      <w:lvlJc w:val="left"/>
    </w:lvl>
    <w:lvl w:ilvl="5" w:tplc="7AEE6F14">
      <w:numFmt w:val="decimal"/>
      <w:lvlText w:val=""/>
      <w:lvlJc w:val="left"/>
    </w:lvl>
    <w:lvl w:ilvl="6" w:tplc="CCD0F1C2">
      <w:numFmt w:val="decimal"/>
      <w:lvlText w:val=""/>
      <w:lvlJc w:val="left"/>
    </w:lvl>
    <w:lvl w:ilvl="7" w:tplc="30327394">
      <w:numFmt w:val="decimal"/>
      <w:lvlText w:val=""/>
      <w:lvlJc w:val="left"/>
    </w:lvl>
    <w:lvl w:ilvl="8" w:tplc="9508F6F2">
      <w:numFmt w:val="decimal"/>
      <w:lvlText w:val=""/>
      <w:lvlJc w:val="left"/>
    </w:lvl>
  </w:abstractNum>
  <w:abstractNum w:abstractNumId="1">
    <w:nsid w:val="29583C9C"/>
    <w:multiLevelType w:val="hybridMultilevel"/>
    <w:tmpl w:val="F8D22518"/>
    <w:lvl w:ilvl="0" w:tplc="5394ECF4">
      <w:start w:val="1"/>
      <w:numFmt w:val="bullet"/>
      <w:lvlText w:val="●"/>
      <w:lvlJc w:val="left"/>
      <w:pPr>
        <w:ind w:left="720" w:hanging="360"/>
      </w:pPr>
    </w:lvl>
    <w:lvl w:ilvl="1" w:tplc="11C05AB0">
      <w:start w:val="1"/>
      <w:numFmt w:val="bullet"/>
      <w:lvlText w:val="○"/>
      <w:lvlJc w:val="left"/>
      <w:pPr>
        <w:ind w:left="1440" w:hanging="360"/>
      </w:pPr>
    </w:lvl>
    <w:lvl w:ilvl="2" w:tplc="668EB60C">
      <w:start w:val="1"/>
      <w:numFmt w:val="bullet"/>
      <w:lvlText w:val="■"/>
      <w:lvlJc w:val="left"/>
      <w:pPr>
        <w:ind w:left="2160" w:hanging="360"/>
      </w:pPr>
    </w:lvl>
    <w:lvl w:ilvl="3" w:tplc="83FA6C64">
      <w:start w:val="1"/>
      <w:numFmt w:val="bullet"/>
      <w:lvlText w:val="●"/>
      <w:lvlJc w:val="left"/>
      <w:pPr>
        <w:ind w:left="2880" w:hanging="360"/>
      </w:pPr>
    </w:lvl>
    <w:lvl w:ilvl="4" w:tplc="C2BE8DA6">
      <w:start w:val="1"/>
      <w:numFmt w:val="bullet"/>
      <w:lvlText w:val="○"/>
      <w:lvlJc w:val="left"/>
      <w:pPr>
        <w:ind w:left="3600" w:hanging="360"/>
      </w:pPr>
    </w:lvl>
    <w:lvl w:ilvl="5" w:tplc="B1FC9466">
      <w:start w:val="1"/>
      <w:numFmt w:val="bullet"/>
      <w:lvlText w:val="■"/>
      <w:lvlJc w:val="left"/>
      <w:pPr>
        <w:ind w:left="4320" w:hanging="360"/>
      </w:pPr>
    </w:lvl>
    <w:lvl w:ilvl="6" w:tplc="86A849D2">
      <w:start w:val="1"/>
      <w:numFmt w:val="bullet"/>
      <w:lvlText w:val="●"/>
      <w:lvlJc w:val="left"/>
      <w:pPr>
        <w:ind w:left="5040" w:hanging="360"/>
      </w:pPr>
    </w:lvl>
    <w:lvl w:ilvl="7" w:tplc="88C6B322">
      <w:start w:val="1"/>
      <w:numFmt w:val="bullet"/>
      <w:lvlText w:val="●"/>
      <w:lvlJc w:val="left"/>
      <w:pPr>
        <w:ind w:left="5760" w:hanging="360"/>
      </w:pPr>
    </w:lvl>
    <w:lvl w:ilvl="8" w:tplc="9FEA736C">
      <w:start w:val="1"/>
      <w:numFmt w:val="bullet"/>
      <w:lvlText w:val="●"/>
      <w:lvlJc w:val="left"/>
      <w:pPr>
        <w:ind w:left="6480" w:hanging="360"/>
      </w:pPr>
    </w:lvl>
  </w:abstractNum>
  <w:abstractNum w:abstractNumId="2">
    <w:nsid w:val="67626967"/>
    <w:multiLevelType w:val="hybridMultilevel"/>
    <w:tmpl w:val="D0303728"/>
    <w:lvl w:ilvl="0" w:tplc="58307FCE">
      <w:start w:val="1"/>
      <w:numFmt w:val="decimal"/>
      <w:lvlText w:val="%1."/>
      <w:lvlJc w:val="left"/>
      <w:pPr>
        <w:ind w:left="720" w:hanging="360"/>
      </w:pPr>
    </w:lvl>
    <w:lvl w:ilvl="1" w:tplc="A10E2374">
      <w:numFmt w:val="decimal"/>
      <w:lvlText w:val=""/>
      <w:lvlJc w:val="left"/>
    </w:lvl>
    <w:lvl w:ilvl="2" w:tplc="630403F4">
      <w:numFmt w:val="decimal"/>
      <w:lvlText w:val=""/>
      <w:lvlJc w:val="left"/>
    </w:lvl>
    <w:lvl w:ilvl="3" w:tplc="F98CFD6C">
      <w:numFmt w:val="decimal"/>
      <w:lvlText w:val=""/>
      <w:lvlJc w:val="left"/>
    </w:lvl>
    <w:lvl w:ilvl="4" w:tplc="AA9E20F4">
      <w:numFmt w:val="decimal"/>
      <w:lvlText w:val=""/>
      <w:lvlJc w:val="left"/>
    </w:lvl>
    <w:lvl w:ilvl="5" w:tplc="70AA8346">
      <w:numFmt w:val="decimal"/>
      <w:lvlText w:val=""/>
      <w:lvlJc w:val="left"/>
    </w:lvl>
    <w:lvl w:ilvl="6" w:tplc="7E7A6B5A">
      <w:numFmt w:val="decimal"/>
      <w:lvlText w:val=""/>
      <w:lvlJc w:val="left"/>
    </w:lvl>
    <w:lvl w:ilvl="7" w:tplc="EF52CF7E">
      <w:numFmt w:val="decimal"/>
      <w:lvlText w:val=""/>
      <w:lvlJc w:val="left"/>
    </w:lvl>
    <w:lvl w:ilvl="8" w:tplc="AE36CED6">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8A"/>
    <w:rsid w:val="0013788A"/>
    <w:rsid w:val="002D0354"/>
    <w:rsid w:val="0051559D"/>
    <w:rsid w:val="0077463E"/>
    <w:rsid w:val="007922C7"/>
    <w:rsid w:val="0084215B"/>
    <w:rsid w:val="00993472"/>
    <w:rsid w:val="009D2258"/>
    <w:rsid w:val="00AE3690"/>
    <w:rsid w:val="00D31243"/>
  </w:rsids>
  <m:mathPr>
    <m:mathFont m:val="Cambria Math"/>
    <m:brkBin m:val="before"/>
    <m:brkBinSub m:val="--"/>
    <m:smallFrac m:val="0"/>
    <m:dispDef/>
    <m:lMargin m:val="0"/>
    <m:rMargin m:val="0"/>
    <m:defJc m:val="centerGroup"/>
    <m:wrapIndent m:val="1440"/>
    <m:intLim m:val="subSup"/>
    <m:naryLim m:val="undOvr"/>
  </m:mathPr>
  <w:themeFontLang w:val="fr-CM"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7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CM"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unhideWhenUsed/>
    <w:qFormat/>
    <w:pPr>
      <w:spacing w:before="28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ORCID">
    <w:name w:val="ORCID"/>
    <w:basedOn w:val="DefaultParagraphFont"/>
    <w:rsid w:val="002D0354"/>
    <w:rPr>
      <w:position w:val="0"/>
      <w:vertAlign w:val="superscript"/>
    </w:rPr>
  </w:style>
  <w:style w:type="paragraph" w:styleId="Header">
    <w:name w:val="header"/>
    <w:basedOn w:val="Normal"/>
    <w:link w:val="HeaderChar"/>
    <w:uiPriority w:val="99"/>
    <w:unhideWhenUsed/>
    <w:rsid w:val="0077463E"/>
    <w:pPr>
      <w:tabs>
        <w:tab w:val="center" w:pos="4536"/>
        <w:tab w:val="right" w:pos="9072"/>
      </w:tabs>
    </w:pPr>
  </w:style>
  <w:style w:type="character" w:customStyle="1" w:styleId="HeaderChar">
    <w:name w:val="Header Char"/>
    <w:basedOn w:val="DefaultParagraphFont"/>
    <w:link w:val="Header"/>
    <w:uiPriority w:val="99"/>
    <w:rsid w:val="0077463E"/>
  </w:style>
  <w:style w:type="paragraph" w:styleId="Footer">
    <w:name w:val="footer"/>
    <w:basedOn w:val="Normal"/>
    <w:link w:val="FooterChar"/>
    <w:uiPriority w:val="99"/>
    <w:unhideWhenUsed/>
    <w:rsid w:val="0077463E"/>
    <w:pPr>
      <w:tabs>
        <w:tab w:val="center" w:pos="4536"/>
        <w:tab w:val="right" w:pos="9072"/>
      </w:tabs>
    </w:pPr>
  </w:style>
  <w:style w:type="character" w:customStyle="1" w:styleId="FooterChar">
    <w:name w:val="Footer Char"/>
    <w:basedOn w:val="DefaultParagraphFont"/>
    <w:link w:val="Footer"/>
    <w:uiPriority w:val="99"/>
    <w:rsid w:val="00774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CM"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unhideWhenUsed/>
    <w:qFormat/>
    <w:pPr>
      <w:spacing w:before="28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ORCID">
    <w:name w:val="ORCID"/>
    <w:basedOn w:val="DefaultParagraphFont"/>
    <w:rsid w:val="002D0354"/>
    <w:rPr>
      <w:position w:val="0"/>
      <w:vertAlign w:val="superscript"/>
    </w:rPr>
  </w:style>
  <w:style w:type="paragraph" w:styleId="Header">
    <w:name w:val="header"/>
    <w:basedOn w:val="Normal"/>
    <w:link w:val="HeaderChar"/>
    <w:uiPriority w:val="99"/>
    <w:unhideWhenUsed/>
    <w:rsid w:val="0077463E"/>
    <w:pPr>
      <w:tabs>
        <w:tab w:val="center" w:pos="4536"/>
        <w:tab w:val="right" w:pos="9072"/>
      </w:tabs>
    </w:pPr>
  </w:style>
  <w:style w:type="character" w:customStyle="1" w:styleId="HeaderChar">
    <w:name w:val="Header Char"/>
    <w:basedOn w:val="DefaultParagraphFont"/>
    <w:link w:val="Header"/>
    <w:uiPriority w:val="99"/>
    <w:rsid w:val="0077463E"/>
  </w:style>
  <w:style w:type="paragraph" w:styleId="Footer">
    <w:name w:val="footer"/>
    <w:basedOn w:val="Normal"/>
    <w:link w:val="FooterChar"/>
    <w:uiPriority w:val="99"/>
    <w:unhideWhenUsed/>
    <w:rsid w:val="0077463E"/>
    <w:pPr>
      <w:tabs>
        <w:tab w:val="center" w:pos="4536"/>
        <w:tab w:val="right" w:pos="9072"/>
      </w:tabs>
    </w:pPr>
  </w:style>
  <w:style w:type="character" w:customStyle="1" w:styleId="FooterChar">
    <w:name w:val="Footer Char"/>
    <w:basedOn w:val="DefaultParagraphFont"/>
    <w:link w:val="Footer"/>
    <w:uiPriority w:val="99"/>
    <w:rsid w:val="0077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3046</Words>
  <Characters>17368</Characters>
  <Application>Microsoft Office Word</Application>
  <DocSecurity>0</DocSecurity>
  <Lines>144</Lines>
  <Paragraphs>40</Paragraphs>
  <ScaleCrop>false</ScaleCrop>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5</cp:revision>
  <dcterms:created xsi:type="dcterms:W3CDTF">2026-04-01T09:47:00Z</dcterms:created>
  <dcterms:modified xsi:type="dcterms:W3CDTF">2026-05-26T08:49:00Z</dcterms:modified>
</cp:coreProperties>
</file>