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727BB" w14:textId="77777777" w:rsidR="003F0834" w:rsidRPr="006D3D71" w:rsidRDefault="003F0834" w:rsidP="006D3D71">
      <w:pPr>
        <w:widowControl w:val="0"/>
        <w:autoSpaceDE w:val="0"/>
        <w:autoSpaceDN w:val="0"/>
        <w:spacing w:after="0" w:line="360" w:lineRule="auto"/>
        <w:rPr>
          <w:rFonts w:asciiTheme="majorBidi" w:eastAsia="Times New Roman" w:hAnsiTheme="majorBidi" w:cstheme="majorBidi"/>
          <w:b/>
          <w:sz w:val="24"/>
          <w:szCs w:val="24"/>
        </w:rPr>
      </w:pPr>
      <w:bookmarkStart w:id="0" w:name="_Toc83649269"/>
      <w:bookmarkStart w:id="1" w:name="_Toc84243937"/>
      <w:bookmarkStart w:id="2" w:name="_Toc164165527"/>
      <w:bookmarkStart w:id="3" w:name="_Toc164165671"/>
      <w:bookmarkStart w:id="4" w:name="_Toc164165964"/>
      <w:bookmarkStart w:id="5" w:name="_Toc192354186"/>
      <w:bookmarkStart w:id="6" w:name="_Toc192354751"/>
      <w:bookmarkStart w:id="7" w:name="_Toc192354919"/>
      <w:bookmarkStart w:id="8" w:name="_Toc192355034"/>
      <w:bookmarkStart w:id="9" w:name="_Hlk193279935"/>
    </w:p>
    <w:p w14:paraId="389C1916" w14:textId="77777777" w:rsidR="003F0834" w:rsidRPr="006D3D71" w:rsidRDefault="003F0834" w:rsidP="006D3D71">
      <w:pPr>
        <w:widowControl w:val="0"/>
        <w:autoSpaceDE w:val="0"/>
        <w:autoSpaceDN w:val="0"/>
        <w:spacing w:after="0" w:line="360" w:lineRule="auto"/>
        <w:jc w:val="center"/>
        <w:rPr>
          <w:rFonts w:asciiTheme="majorBidi" w:eastAsia="Times New Roman" w:hAnsiTheme="majorBidi" w:cstheme="majorBidi"/>
          <w:b/>
          <w:spacing w:val="-1"/>
          <w:sz w:val="24"/>
          <w:szCs w:val="24"/>
        </w:rPr>
      </w:pPr>
      <w:r w:rsidRPr="006D3D71">
        <w:rPr>
          <w:rFonts w:asciiTheme="majorBidi" w:eastAsia="Times New Roman" w:hAnsiTheme="majorBidi" w:cstheme="majorBidi"/>
          <w:b/>
          <w:spacing w:val="-1"/>
          <w:sz w:val="24"/>
          <w:szCs w:val="24"/>
        </w:rPr>
        <w:t>EFFECT OF RISK MANAGEMENT ON FINANCIAL PERFORMANCE OF COMMERCIAL BANKS IN RWANDA</w:t>
      </w:r>
    </w:p>
    <w:p w14:paraId="577B26E6" w14:textId="77777777" w:rsidR="003F0834" w:rsidRPr="006D3D71" w:rsidRDefault="003F0834" w:rsidP="006D3D71">
      <w:pPr>
        <w:widowControl w:val="0"/>
        <w:autoSpaceDE w:val="0"/>
        <w:autoSpaceDN w:val="0"/>
        <w:spacing w:after="0" w:line="360" w:lineRule="auto"/>
        <w:jc w:val="center"/>
        <w:rPr>
          <w:rFonts w:asciiTheme="majorBidi" w:eastAsia="Times New Roman" w:hAnsiTheme="majorBidi" w:cstheme="majorBidi"/>
          <w:b/>
          <w:spacing w:val="-1"/>
          <w:sz w:val="24"/>
          <w:szCs w:val="24"/>
        </w:rPr>
      </w:pPr>
    </w:p>
    <w:p w14:paraId="2A903174" w14:textId="77777777" w:rsidR="003F0834" w:rsidRPr="006D3D71" w:rsidRDefault="003F0834" w:rsidP="006D3D71">
      <w:pPr>
        <w:widowControl w:val="0"/>
        <w:autoSpaceDE w:val="0"/>
        <w:autoSpaceDN w:val="0"/>
        <w:spacing w:after="0" w:line="360" w:lineRule="auto"/>
        <w:jc w:val="center"/>
        <w:rPr>
          <w:rFonts w:asciiTheme="majorBidi" w:eastAsia="Times New Roman" w:hAnsiTheme="majorBidi" w:cstheme="majorBidi"/>
          <w:b/>
          <w:sz w:val="24"/>
          <w:szCs w:val="24"/>
        </w:rPr>
      </w:pPr>
    </w:p>
    <w:p w14:paraId="2CE25210" w14:textId="77777777" w:rsidR="00834718" w:rsidRPr="006D3D71" w:rsidRDefault="00834718" w:rsidP="006D3D71">
      <w:pPr>
        <w:spacing w:line="360" w:lineRule="auto"/>
        <w:jc w:val="both"/>
        <w:rPr>
          <w:rFonts w:asciiTheme="majorBidi" w:hAnsiTheme="majorBidi" w:cstheme="majorBidi"/>
          <w:sz w:val="24"/>
          <w:szCs w:val="24"/>
        </w:rPr>
      </w:pPr>
      <w:bookmarkStart w:id="10" w:name="_Toc183424750"/>
      <w:bookmarkStart w:id="11" w:name="_Toc183424942"/>
      <w:bookmarkStart w:id="12" w:name="_Toc183425093"/>
      <w:bookmarkStart w:id="13" w:name="_Toc183425184"/>
      <w:bookmarkStart w:id="14" w:name="_Toc183426870"/>
      <w:bookmarkStart w:id="15" w:name="_Toc185603919"/>
      <w:bookmarkStart w:id="16" w:name="_Toc193281869"/>
      <w:bookmarkStart w:id="17" w:name="_Toc193282177"/>
      <w:bookmarkStart w:id="18" w:name="_Toc193282343"/>
      <w:bookmarkStart w:id="19" w:name="_Toc183424751"/>
      <w:bookmarkStart w:id="20" w:name="_Toc183424943"/>
      <w:bookmarkStart w:id="21" w:name="_Toc183425094"/>
      <w:bookmarkStart w:id="22" w:name="_Toc183425185"/>
      <w:bookmarkStart w:id="23" w:name="_Toc183426871"/>
      <w:bookmarkStart w:id="24" w:name="_Toc185603920"/>
      <w:bookmarkStart w:id="25" w:name="_Toc193281870"/>
      <w:bookmarkStart w:id="26" w:name="_Toc193282178"/>
      <w:bookmarkStart w:id="27" w:name="_Toc193282344"/>
      <w:bookmarkStart w:id="28" w:name="_Toc183424752"/>
      <w:bookmarkStart w:id="29" w:name="_Toc183424944"/>
      <w:bookmarkStart w:id="30" w:name="_Toc183425095"/>
      <w:bookmarkStart w:id="31" w:name="_Toc183425186"/>
      <w:bookmarkStart w:id="32" w:name="_Toc183426872"/>
      <w:bookmarkStart w:id="33" w:name="_Toc185603921"/>
      <w:bookmarkStart w:id="34" w:name="_Toc193281871"/>
      <w:bookmarkStart w:id="35" w:name="_Toc193282179"/>
      <w:bookmarkStart w:id="36" w:name="_Toc193282345"/>
      <w:bookmarkStart w:id="37" w:name="_Toc193281872"/>
      <w:bookmarkStart w:id="38" w:name="_Toc193282180"/>
      <w:bookmarkStart w:id="39" w:name="_Toc193282346"/>
      <w:bookmarkStart w:id="40" w:name="_Toc31182361"/>
      <w:bookmarkStart w:id="41" w:name="_Toc31182588"/>
      <w:bookmarkStart w:id="42" w:name="_Toc43123842"/>
      <w:bookmarkStart w:id="43" w:name="_Toc43124076"/>
      <w:bookmarkStart w:id="44" w:name="_Toc46338255"/>
      <w:bookmarkStart w:id="45" w:name="_Toc46338612"/>
      <w:bookmarkStart w:id="46" w:name="_Toc46339112"/>
      <w:bookmarkStart w:id="47" w:name="_Toc72665406"/>
      <w:bookmarkStart w:id="48" w:name="_Toc72742660"/>
      <w:bookmarkStart w:id="49" w:name="_Toc73271883"/>
      <w:bookmarkStart w:id="50" w:name="_Toc193282181"/>
      <w:bookmarkStart w:id="51" w:name="_Toc193282347"/>
      <w:bookmarkStart w:id="52" w:name="_Toc193846404"/>
      <w:bookmarkStart w:id="53" w:name="_Toc75335679"/>
      <w:bookmarkStart w:id="54" w:name="_Toc79314253"/>
      <w:bookmarkStart w:id="55" w:name="_Toc183424755"/>
      <w:bookmarkStart w:id="56" w:name="_Toc183424947"/>
      <w:bookmarkStart w:id="57" w:name="_Toc183425098"/>
      <w:bookmarkStart w:id="58" w:name="_Toc183425189"/>
      <w:bookmarkStart w:id="59" w:name="_Toc183426875"/>
      <w:bookmarkStart w:id="60" w:name="_Toc185603924"/>
      <w:bookmarkStart w:id="61" w:name="_Toc193281874"/>
      <w:bookmarkStart w:id="62" w:name="_Toc193282182"/>
      <w:bookmarkStart w:id="63" w:name="_Toc193282348"/>
      <w:bookmarkStart w:id="64" w:name="_Toc118138116"/>
      <w:bookmarkStart w:id="65" w:name="_Toc160712426"/>
      <w:bookmarkStart w:id="66" w:name="_Toc163052479"/>
      <w:bookmarkStart w:id="67" w:name="_Toc163808356"/>
      <w:bookmarkStart w:id="68" w:name="_Toc163808479"/>
      <w:bookmarkStart w:id="69" w:name="_Toc183425099"/>
      <w:bookmarkStart w:id="70" w:name="_Toc183425190"/>
      <w:bookmarkStart w:id="71" w:name="_Toc183426876"/>
      <w:bookmarkStart w:id="72" w:name="_Toc193282183"/>
      <w:bookmarkStart w:id="73" w:name="_Toc193282349"/>
      <w:bookmarkStart w:id="74" w:name="_Toc193846405"/>
      <w:bookmarkStart w:id="75" w:name="_Toc79314255"/>
      <w:bookmarkStart w:id="76" w:name="_Toc113783826"/>
      <w:bookmarkStart w:id="77" w:name="_Toc118138117"/>
      <w:bookmarkStart w:id="78" w:name="_Toc160712427"/>
      <w:bookmarkStart w:id="79" w:name="_Toc163052480"/>
      <w:bookmarkStart w:id="80" w:name="_Toc163808357"/>
      <w:bookmarkStart w:id="81" w:name="_Toc163808480"/>
      <w:bookmarkStart w:id="82" w:name="_Toc183425100"/>
      <w:bookmarkStart w:id="83" w:name="_Toc183425191"/>
      <w:bookmarkStart w:id="84" w:name="_Toc183426877"/>
      <w:bookmarkStart w:id="85" w:name="_Toc193282184"/>
      <w:bookmarkStart w:id="86" w:name="_Toc193282350"/>
      <w:bookmarkStart w:id="87" w:name="_Toc193846406"/>
      <w:bookmarkStart w:id="88" w:name="_Toc331661502"/>
      <w:bookmarkStart w:id="89" w:name="_Toc430164767"/>
      <w:bookmarkStart w:id="90" w:name="_Toc457865876"/>
      <w:bookmarkStart w:id="91" w:name="_Toc458459621"/>
      <w:bookmarkStart w:id="92" w:name="_Toc458466208"/>
      <w:bookmarkStart w:id="93" w:name="_Toc459920373"/>
      <w:bookmarkStart w:id="94" w:name="_Toc494384675"/>
      <w:bookmarkStart w:id="95" w:name="_Toc494384787"/>
      <w:bookmarkStart w:id="96" w:name="_Toc494385012"/>
      <w:bookmarkStart w:id="97" w:name="_Toc495167908"/>
      <w:bookmarkStart w:id="98" w:name="_Toc495548341"/>
      <w:bookmarkStart w:id="99" w:name="_Toc499022388"/>
      <w:bookmarkStart w:id="100" w:name="_Toc524379188"/>
      <w:bookmarkStart w:id="101" w:name="_Toc524381185"/>
      <w:bookmarkStart w:id="102" w:name="_Toc524408286"/>
      <w:bookmarkStart w:id="103" w:name="_Toc524408396"/>
      <w:bookmarkStart w:id="104" w:name="_Toc4609418"/>
      <w:bookmarkStart w:id="105" w:name="_Toc4609554"/>
      <w:bookmarkStart w:id="106" w:name="_Toc6941494"/>
      <w:bookmarkStart w:id="107" w:name="_Toc20034552"/>
      <w:bookmarkStart w:id="108" w:name="_Toc20034651"/>
      <w:bookmarkStart w:id="109" w:name="_Toc20034750"/>
      <w:bookmarkStart w:id="110" w:name="_Toc22382404"/>
      <w:bookmarkStart w:id="111" w:name="_Toc25909786"/>
      <w:bookmarkStart w:id="112" w:name="_Toc35526911"/>
      <w:bookmarkStart w:id="113" w:name="_Toc43904595"/>
      <w:bookmarkStart w:id="114" w:name="_Toc49434697"/>
      <w:bookmarkStart w:id="115" w:name="_Toc49434980"/>
      <w:bookmarkStart w:id="116" w:name="_Toc53077788"/>
      <w:bookmarkStart w:id="117" w:name="_Toc55050398"/>
      <w:bookmarkStart w:id="118" w:name="_Toc55050668"/>
      <w:bookmarkStart w:id="119" w:name="_Toc80859135"/>
      <w:bookmarkStart w:id="120" w:name="_Toc83795184"/>
      <w:bookmarkStart w:id="121" w:name="_Toc83795315"/>
      <w:bookmarkStart w:id="122" w:name="_Toc83795426"/>
      <w:bookmarkStart w:id="123" w:name="_Toc83871063"/>
      <w:bookmarkStart w:id="124" w:name="_Toc83871175"/>
      <w:bookmarkStart w:id="125" w:name="_Toc85525429"/>
      <w:bookmarkStart w:id="126" w:name="_Toc121129839"/>
      <w:bookmarkStart w:id="127" w:name="_Toc121129951"/>
      <w:bookmarkStart w:id="128" w:name="_Toc121130063"/>
      <w:bookmarkStart w:id="129" w:name="_Toc151577894"/>
      <w:bookmarkStart w:id="130" w:name="_Toc151578013"/>
      <w:bookmarkStart w:id="131" w:name="_Toc161045755"/>
      <w:bookmarkStart w:id="132" w:name="_Toc161046271"/>
      <w:bookmarkStart w:id="133" w:name="_Toc161046396"/>
      <w:bookmarkStart w:id="134" w:name="_Toc161046520"/>
      <w:bookmarkStart w:id="135" w:name="_Toc161046644"/>
      <w:bookmarkStart w:id="136" w:name="_Toc183425102"/>
      <w:bookmarkStart w:id="137" w:name="_Toc183425193"/>
      <w:bookmarkStart w:id="138" w:name="_Toc183426879"/>
      <w:bookmarkStart w:id="139" w:name="_Toc193282185"/>
      <w:bookmarkStart w:id="140" w:name="_Toc193282351"/>
      <w:bookmarkStart w:id="141" w:name="_Toc193846407"/>
      <w:bookmarkStart w:id="142" w:name="_Toc457652398"/>
      <w:bookmarkStart w:id="143" w:name="_Toc458007120"/>
      <w:bookmarkStart w:id="144" w:name="_Toc458022066"/>
      <w:bookmarkStart w:id="145" w:name="_Toc458059792"/>
      <w:bookmarkStart w:id="146" w:name="_Toc458060107"/>
      <w:bookmarkStart w:id="147" w:name="_Toc458080952"/>
      <w:bookmarkStart w:id="148" w:name="_Toc193282187"/>
      <w:bookmarkStart w:id="149" w:name="_Toc193282353"/>
      <w:bookmarkStart w:id="150" w:name="_Toc193846408"/>
      <w:bookmarkStart w:id="151" w:name="_Toc193282188"/>
      <w:bookmarkStart w:id="152" w:name="_Toc193282354"/>
      <w:bookmarkStart w:id="153" w:name="_Toc193846409"/>
      <w:bookmarkStart w:id="154" w:name="_Toc193282189"/>
      <w:bookmarkStart w:id="155" w:name="_Toc193282355"/>
      <w:bookmarkStart w:id="156" w:name="_Toc193846410"/>
      <w:bookmarkStart w:id="157" w:name="_Toc457865880"/>
      <w:bookmarkStart w:id="158" w:name="_Toc458459626"/>
      <w:bookmarkStart w:id="159" w:name="_Toc458466213"/>
      <w:bookmarkStart w:id="160" w:name="_Toc459920378"/>
      <w:bookmarkStart w:id="161" w:name="_Toc494384680"/>
      <w:bookmarkStart w:id="162" w:name="_Toc494384792"/>
      <w:bookmarkStart w:id="163" w:name="_Toc494385017"/>
      <w:bookmarkStart w:id="164" w:name="_Toc495167912"/>
      <w:bookmarkStart w:id="165" w:name="_Toc495548345"/>
      <w:bookmarkStart w:id="166" w:name="_Toc499022392"/>
      <w:bookmarkStart w:id="167" w:name="_Toc507587387"/>
      <w:bookmarkStart w:id="168" w:name="_Toc507588116"/>
      <w:bookmarkStart w:id="169" w:name="_Toc507588466"/>
      <w:bookmarkStart w:id="170" w:name="_Toc507593093"/>
      <w:bookmarkStart w:id="171" w:name="_Toc509835460"/>
      <w:bookmarkStart w:id="172" w:name="_Toc509835580"/>
      <w:bookmarkStart w:id="173" w:name="_Toc509835700"/>
      <w:bookmarkStart w:id="174" w:name="_Toc514757562"/>
      <w:bookmarkStart w:id="175" w:name="_Toc514757682"/>
      <w:bookmarkStart w:id="176" w:name="_Toc18944877"/>
      <w:bookmarkStart w:id="177" w:name="_Toc18945173"/>
      <w:bookmarkStart w:id="178" w:name="_Toc26891767"/>
      <w:bookmarkStart w:id="179" w:name="_Toc31182356"/>
      <w:bookmarkStart w:id="180" w:name="_Toc31182583"/>
      <w:bookmarkStart w:id="181" w:name="_Toc43123838"/>
      <w:bookmarkStart w:id="182" w:name="_Toc43124072"/>
      <w:bookmarkStart w:id="183" w:name="_Toc46338251"/>
      <w:bookmarkStart w:id="184" w:name="_Toc46338608"/>
      <w:bookmarkStart w:id="185" w:name="_Toc46339108"/>
      <w:bookmarkStart w:id="186" w:name="_Toc72665402"/>
      <w:bookmarkStart w:id="187" w:name="_Toc72742656"/>
      <w:bookmarkStart w:id="188" w:name="_Toc73271879"/>
      <w:bookmarkStart w:id="189" w:name="_Toc129884223"/>
      <w:bookmarkStart w:id="190" w:name="_Toc130811499"/>
      <w:bookmarkStart w:id="191" w:name="_Toc130814398"/>
      <w:bookmarkStart w:id="192" w:name="_Toc140817648"/>
      <w:bookmarkStart w:id="193" w:name="_Toc153870446"/>
      <w:bookmarkStart w:id="194" w:name="_Toc153870608"/>
      <w:bookmarkStart w:id="195" w:name="_Toc153870735"/>
      <w:bookmarkStart w:id="196" w:name="_Toc153871032"/>
      <w:bookmarkStart w:id="197" w:name="_Toc163808361"/>
      <w:bookmarkStart w:id="198" w:name="_Toc163808484"/>
      <w:bookmarkStart w:id="199" w:name="_Toc183425105"/>
      <w:bookmarkStart w:id="200" w:name="_Toc183425196"/>
      <w:bookmarkStart w:id="201" w:name="_Toc183426882"/>
      <w:bookmarkStart w:id="202" w:name="_GoBack"/>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202"/>
    </w:p>
    <w:p w14:paraId="017308E8" w14:textId="77777777" w:rsidR="00834718" w:rsidRPr="006D3D71" w:rsidRDefault="00834718" w:rsidP="006D3D71">
      <w:pPr>
        <w:pStyle w:val="Heading2"/>
        <w:spacing w:line="360" w:lineRule="auto"/>
        <w:jc w:val="center"/>
        <w:rPr>
          <w:rStyle w:val="Strong"/>
          <w:rFonts w:asciiTheme="majorBidi" w:hAnsiTheme="majorBidi"/>
          <w:color w:val="auto"/>
          <w:sz w:val="24"/>
          <w:szCs w:val="24"/>
        </w:rPr>
      </w:pPr>
      <w:bookmarkStart w:id="203" w:name="_Toc193282190"/>
      <w:bookmarkStart w:id="204" w:name="_Toc193282356"/>
      <w:bookmarkStart w:id="205" w:name="_Toc193846411"/>
      <w:r w:rsidRPr="006D3D71">
        <w:rPr>
          <w:rStyle w:val="Strong"/>
          <w:rFonts w:asciiTheme="majorBidi" w:hAnsiTheme="majorBidi"/>
          <w:color w:val="auto"/>
          <w:sz w:val="24"/>
          <w:szCs w:val="24"/>
        </w:rPr>
        <w:t>ABSTRACT</w:t>
      </w:r>
      <w:bookmarkEnd w:id="203"/>
      <w:bookmarkEnd w:id="204"/>
      <w:bookmarkEnd w:id="205"/>
    </w:p>
    <w:p w14:paraId="5A83B65C" w14:textId="4A8277EA" w:rsidR="00F16DC1" w:rsidRPr="00065CE4" w:rsidRDefault="004150D2" w:rsidP="00065CE4">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 xml:space="preserve">The study examines the impact of credit risk management on the financial performance of commercial banks in Rwanda, focusing on GT Bank Plc from 2019 to 2023. The research is guided by three objectives: assessing the effectiveness of credit risk management at GT Bank Plc, analyzing its financial performance over the five-year period, and establishing the relationship between credit risk management practices and financial performance. A descriptive and correlational research design was adopted, utilizing </w:t>
      </w:r>
      <w:r w:rsidR="00065CE4">
        <w:rPr>
          <w:rFonts w:asciiTheme="majorBidi" w:hAnsiTheme="majorBidi" w:cstheme="majorBidi"/>
          <w:sz w:val="24"/>
          <w:szCs w:val="24"/>
        </w:rPr>
        <w:t xml:space="preserve">primary data from GT bank’s employees the </w:t>
      </w:r>
      <w:r w:rsidR="00065CE4" w:rsidRPr="0047315B">
        <w:rPr>
          <w:rFonts w:asciiTheme="majorBidi" w:hAnsiTheme="majorBidi" w:cstheme="majorBidi"/>
          <w:sz w:val="24"/>
          <w:szCs w:val="24"/>
        </w:rPr>
        <w:t>tot</w:t>
      </w:r>
      <w:r w:rsidR="00065CE4">
        <w:rPr>
          <w:rFonts w:asciiTheme="majorBidi" w:hAnsiTheme="majorBidi" w:cstheme="majorBidi"/>
          <w:sz w:val="24"/>
          <w:szCs w:val="24"/>
        </w:rPr>
        <w:t>al sample size of 59 respondents</w:t>
      </w:r>
      <w:r w:rsidR="00065CE4" w:rsidRPr="0047315B">
        <w:rPr>
          <w:rFonts w:asciiTheme="majorBidi" w:hAnsiTheme="majorBidi" w:cstheme="majorBidi"/>
          <w:sz w:val="24"/>
          <w:szCs w:val="24"/>
        </w:rPr>
        <w:t xml:space="preserve"> sel</w:t>
      </w:r>
      <w:r w:rsidR="00065CE4">
        <w:rPr>
          <w:rFonts w:asciiTheme="majorBidi" w:hAnsiTheme="majorBidi" w:cstheme="majorBidi"/>
          <w:sz w:val="24"/>
          <w:szCs w:val="24"/>
        </w:rPr>
        <w:t xml:space="preserve">ected for analysis.  and </w:t>
      </w:r>
      <w:r w:rsidRPr="006D3D71">
        <w:rPr>
          <w:rFonts w:asciiTheme="majorBidi" w:hAnsiTheme="majorBidi" w:cstheme="majorBidi"/>
          <w:sz w:val="24"/>
          <w:szCs w:val="24"/>
        </w:rPr>
        <w:t>secondary data from the bank's annual financial reports. Multiple linear regression analysis was applied to determine the effect of key credit risk management variables Borrower Creditworthiness Assessment, Credit Concentration Risk, Debt Restructuring &amp; Recovery Strategies, Credit Risk Monitoring Frequency, Collateral Management, and Credit Risk Rating Systems on financial performance indicators such as Return on Assets (ROA), Return on Equity (ROE), and</w:t>
      </w:r>
      <w:r w:rsidR="00065CE4">
        <w:rPr>
          <w:rFonts w:asciiTheme="majorBidi" w:hAnsiTheme="majorBidi" w:cstheme="majorBidi"/>
          <w:sz w:val="24"/>
          <w:szCs w:val="24"/>
        </w:rPr>
        <w:t xml:space="preserve"> Net Interest Margin (NIM). </w:t>
      </w:r>
      <w:r w:rsidR="00065CE4" w:rsidRPr="00065CE4">
        <w:rPr>
          <w:rFonts w:asciiTheme="majorBidi" w:hAnsiTheme="majorBidi" w:cstheme="majorBidi"/>
          <w:bCs/>
          <w:sz w:val="24"/>
          <w:szCs w:val="24"/>
        </w:rPr>
        <w:t>as reflected by high mean scores (4.64) and low standard deviations, indicating consistent views across departments. Similarly, perceptions of ROE are overwhelmingly positive, with 82.14% strongly agreeing that it has shown positive growth and 92.85% strongly agreeing that it is effectively managed for profitability, resulting in high mean scores (4.79 and 4.98). Likewise, ROA is seen as improving over the years, with 96.42% of employees strongly agreeing, and 83.92% affirming that it reflects strong financial performance, supported by high mean scores (4.95 and 4.79) and low standard deviations. These findings suggest a unified belief among employees that GT Bank effectively manages key financial indicators, ensuring sustained profitability and financial stability</w:t>
      </w:r>
      <w:r w:rsidR="008B14BC">
        <w:rPr>
          <w:rFonts w:asciiTheme="majorBidi" w:hAnsiTheme="majorBidi" w:cstheme="majorBidi"/>
          <w:bCs/>
          <w:sz w:val="24"/>
          <w:szCs w:val="24"/>
        </w:rPr>
        <w:t xml:space="preserve">, again </w:t>
      </w:r>
      <w:r w:rsidR="008B14BC">
        <w:rPr>
          <w:rFonts w:asciiTheme="majorBidi" w:hAnsiTheme="majorBidi" w:cstheme="majorBidi"/>
          <w:sz w:val="24"/>
          <w:szCs w:val="24"/>
        </w:rPr>
        <w:t>t</w:t>
      </w:r>
      <w:r w:rsidRPr="006D3D71">
        <w:rPr>
          <w:rFonts w:asciiTheme="majorBidi" w:hAnsiTheme="majorBidi" w:cstheme="majorBidi"/>
          <w:sz w:val="24"/>
          <w:szCs w:val="24"/>
        </w:rPr>
        <w:t xml:space="preserve">he findings reveal that credit risk management practices significantly influence financial performance, with a positive correlation between effective risk controls and improved profitability indicators. Regression results indicate that borrower creditworthiness assessment (β = 0.432, p = 0.021) and debt restructuring &amp; recovery strategies (β = 0.436, p = 0.001) have the most significant impact on financial </w:t>
      </w:r>
      <w:r w:rsidRPr="006D3D71">
        <w:rPr>
          <w:rFonts w:asciiTheme="majorBidi" w:hAnsiTheme="majorBidi" w:cstheme="majorBidi"/>
          <w:sz w:val="24"/>
          <w:szCs w:val="24"/>
        </w:rPr>
        <w:lastRenderedPageBreak/>
        <w:t>performance. Additionally, the study highlights that credit concentration risk negatively affects profitability, while frequent credit risk monitorin</w:t>
      </w:r>
      <w:r w:rsidR="00065CE4">
        <w:rPr>
          <w:rFonts w:asciiTheme="majorBidi" w:hAnsiTheme="majorBidi" w:cstheme="majorBidi"/>
          <w:sz w:val="24"/>
          <w:szCs w:val="24"/>
        </w:rPr>
        <w:t xml:space="preserve">g enhances financial stability. </w:t>
      </w:r>
      <w:r w:rsidR="00F16DC1" w:rsidRPr="006D3D71">
        <w:rPr>
          <w:rFonts w:asciiTheme="majorBidi" w:eastAsia="Times New Roman" w:hAnsiTheme="majorBidi" w:cstheme="majorBidi"/>
          <w:sz w:val="24"/>
          <w:szCs w:val="24"/>
        </w:rPr>
        <w:t xml:space="preserve">Based on the findings of this study, it is clear that effective risk management strategies significantly contribute to the financial stability and profitability of GT Bank Plc. To further improve financial performance, the bank should focus on enhancing borrower creditworthiness assessments, diversifying its portfolio to mitigate credit concentration risks, and strengthening debt restructuring and recovery strategies. Additionally, improving the bank's credit risk rating systems and collateral management practices will better secure loans and reduce potential </w:t>
      </w:r>
    </w:p>
    <w:p w14:paraId="5A3639F6" w14:textId="0B69ED16" w:rsidR="003F0834" w:rsidRPr="00065CE4" w:rsidRDefault="00F16DC1" w:rsidP="00065CE4">
      <w:pPr>
        <w:shd w:val="clear" w:color="auto" w:fill="FFFFFF" w:themeFill="background1"/>
        <w:spacing w:after="240" w:line="360" w:lineRule="auto"/>
        <w:jc w:val="both"/>
        <w:rPr>
          <w:rFonts w:asciiTheme="majorBidi" w:eastAsia="Times New Roman" w:hAnsiTheme="majorBidi" w:cstheme="majorBidi"/>
          <w:sz w:val="24"/>
          <w:szCs w:val="24"/>
        </w:rPr>
      </w:pPr>
      <w:r w:rsidRPr="006D3D71">
        <w:rPr>
          <w:rFonts w:asciiTheme="majorBidi" w:eastAsia="Times New Roman" w:hAnsiTheme="majorBidi" w:cstheme="majorBidi"/>
          <w:sz w:val="24"/>
          <w:szCs w:val="24"/>
        </w:rPr>
        <w:t>losses. Finally, increasing the frequency of credit risk monitoring will ensure that emerging risks are addressed proactively, leading to more robust financial outcomes.</w:t>
      </w:r>
      <w:r w:rsidR="00065CE4">
        <w:rPr>
          <w:rFonts w:asciiTheme="majorBidi" w:eastAsia="Times New Roman" w:hAnsiTheme="majorBidi" w:cstheme="majorBidi"/>
          <w:sz w:val="24"/>
          <w:szCs w:val="24"/>
        </w:rPr>
        <w:t xml:space="preserve"> </w:t>
      </w:r>
      <w:r w:rsidR="0052070F" w:rsidRPr="006D3D71">
        <w:rPr>
          <w:rFonts w:asciiTheme="majorBidi" w:hAnsiTheme="majorBidi" w:cstheme="majorBidi"/>
          <w:b/>
          <w:bCs/>
          <w:sz w:val="24"/>
          <w:szCs w:val="24"/>
        </w:rPr>
        <w:t>Keywords:</w:t>
      </w:r>
      <w:r w:rsidR="0052070F" w:rsidRPr="006D3D71">
        <w:rPr>
          <w:rFonts w:asciiTheme="majorBidi" w:hAnsiTheme="majorBidi" w:cstheme="majorBidi"/>
          <w:sz w:val="24"/>
          <w:szCs w:val="24"/>
        </w:rPr>
        <w:t xml:space="preserve"> Risk Management, Financial Performance, Credit Risk, Commercial Banks, Non-Performing Loans, Rwanda.</w:t>
      </w:r>
      <w:bookmarkStart w:id="206" w:name="_Toc153870447"/>
      <w:bookmarkStart w:id="207" w:name="_Toc153870609"/>
      <w:bookmarkStart w:id="208" w:name="_Toc153870736"/>
      <w:bookmarkStart w:id="209" w:name="_Toc153871033"/>
      <w:bookmarkStart w:id="210" w:name="_Toc163808362"/>
      <w:bookmarkStart w:id="211" w:name="_Toc163808485"/>
      <w:bookmarkStart w:id="212" w:name="_Toc183425106"/>
      <w:bookmarkStart w:id="213" w:name="_Toc183425197"/>
      <w:bookmarkStart w:id="214" w:name="_Toc183426883"/>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6D5A823C" w14:textId="77777777" w:rsidR="003F0834" w:rsidRPr="006D3D71" w:rsidRDefault="003F0834" w:rsidP="006D3D71">
      <w:pPr>
        <w:spacing w:after="0" w:line="360" w:lineRule="auto"/>
        <w:jc w:val="both"/>
        <w:rPr>
          <w:rFonts w:asciiTheme="majorBidi" w:eastAsiaTheme="majorEastAsia" w:hAnsiTheme="majorBidi" w:cstheme="majorBidi"/>
          <w:b/>
          <w:sz w:val="24"/>
          <w:szCs w:val="24"/>
        </w:rPr>
      </w:pPr>
    </w:p>
    <w:p w14:paraId="7E25383A" w14:textId="77777777" w:rsidR="003F0834" w:rsidRPr="006D3D71" w:rsidRDefault="003F0834" w:rsidP="006D3D71">
      <w:pPr>
        <w:keepNext/>
        <w:keepLines/>
        <w:spacing w:after="0" w:line="360" w:lineRule="auto"/>
        <w:jc w:val="center"/>
        <w:outlineLvl w:val="0"/>
        <w:rPr>
          <w:rFonts w:asciiTheme="majorBidi" w:eastAsia="Times New Roman" w:hAnsiTheme="majorBidi" w:cstheme="majorBidi"/>
          <w:b/>
          <w:bCs/>
          <w:sz w:val="24"/>
          <w:szCs w:val="24"/>
        </w:rPr>
      </w:pPr>
      <w:bookmarkStart w:id="215" w:name="_Toc193282191"/>
      <w:bookmarkStart w:id="216" w:name="_Toc193282357"/>
      <w:bookmarkStart w:id="217" w:name="_Toc193846412"/>
      <w:bookmarkStart w:id="218" w:name="_Toc183425107"/>
      <w:bookmarkStart w:id="219" w:name="_Toc183425198"/>
      <w:bookmarkStart w:id="220" w:name="_Toc183426884"/>
      <w:bookmarkEnd w:id="206"/>
      <w:bookmarkEnd w:id="207"/>
      <w:bookmarkEnd w:id="208"/>
      <w:bookmarkEnd w:id="209"/>
      <w:bookmarkEnd w:id="210"/>
      <w:bookmarkEnd w:id="211"/>
      <w:bookmarkEnd w:id="212"/>
      <w:bookmarkEnd w:id="213"/>
      <w:bookmarkEnd w:id="214"/>
      <w:r w:rsidRPr="006D3D71">
        <w:rPr>
          <w:rFonts w:asciiTheme="majorBidi" w:eastAsia="Times New Roman" w:hAnsiTheme="majorBidi" w:cstheme="majorBidi"/>
          <w:b/>
          <w:bCs/>
          <w:sz w:val="24"/>
          <w:szCs w:val="24"/>
        </w:rPr>
        <w:t>CHAPTER ONE:</w:t>
      </w:r>
      <w:bookmarkEnd w:id="215"/>
      <w:bookmarkEnd w:id="216"/>
      <w:bookmarkEnd w:id="217"/>
      <w:r w:rsidRPr="006D3D71">
        <w:rPr>
          <w:rFonts w:asciiTheme="majorBidi" w:eastAsia="Times New Roman" w:hAnsiTheme="majorBidi" w:cstheme="majorBidi"/>
          <w:b/>
          <w:bCs/>
          <w:sz w:val="24"/>
          <w:szCs w:val="24"/>
        </w:rPr>
        <w:t xml:space="preserve"> </w:t>
      </w:r>
    </w:p>
    <w:p w14:paraId="74EB176E" w14:textId="77777777" w:rsidR="003F0834" w:rsidRPr="006D3D71" w:rsidRDefault="003F0834" w:rsidP="006D3D71">
      <w:pPr>
        <w:keepNext/>
        <w:keepLines/>
        <w:spacing w:after="0" w:line="360" w:lineRule="auto"/>
        <w:jc w:val="center"/>
        <w:outlineLvl w:val="0"/>
        <w:rPr>
          <w:rFonts w:asciiTheme="majorBidi" w:eastAsia="Times New Roman" w:hAnsiTheme="majorBidi" w:cstheme="majorBidi"/>
          <w:b/>
          <w:bCs/>
          <w:sz w:val="24"/>
          <w:szCs w:val="24"/>
        </w:rPr>
      </w:pPr>
      <w:bookmarkStart w:id="221" w:name="_Toc193282192"/>
      <w:bookmarkStart w:id="222" w:name="_Toc193282358"/>
      <w:bookmarkStart w:id="223" w:name="_Toc193846413"/>
      <w:r w:rsidRPr="006D3D71">
        <w:rPr>
          <w:rFonts w:asciiTheme="majorBidi" w:eastAsia="Times New Roman" w:hAnsiTheme="majorBidi" w:cstheme="majorBidi"/>
          <w:b/>
          <w:bCs/>
          <w:sz w:val="24"/>
          <w:szCs w:val="24"/>
        </w:rPr>
        <w:t>GENERAL INTRODUCTION</w:t>
      </w:r>
      <w:bookmarkEnd w:id="40"/>
      <w:bookmarkEnd w:id="41"/>
      <w:bookmarkEnd w:id="42"/>
      <w:bookmarkEnd w:id="43"/>
      <w:bookmarkEnd w:id="44"/>
      <w:bookmarkEnd w:id="45"/>
      <w:bookmarkEnd w:id="46"/>
      <w:bookmarkEnd w:id="47"/>
      <w:bookmarkEnd w:id="48"/>
      <w:bookmarkEnd w:id="49"/>
      <w:bookmarkEnd w:id="218"/>
      <w:bookmarkEnd w:id="219"/>
      <w:bookmarkEnd w:id="220"/>
      <w:bookmarkEnd w:id="221"/>
      <w:bookmarkEnd w:id="222"/>
      <w:bookmarkEnd w:id="223"/>
    </w:p>
    <w:p w14:paraId="79EEDBA8" w14:textId="77777777" w:rsidR="003F0834" w:rsidRPr="006D3D71" w:rsidRDefault="003F0834" w:rsidP="006D3D71">
      <w:pPr>
        <w:pStyle w:val="ListParagraph"/>
        <w:keepNext/>
        <w:keepLines/>
        <w:numPr>
          <w:ilvl w:val="0"/>
          <w:numId w:val="6"/>
        </w:numPr>
        <w:spacing w:after="0" w:line="360" w:lineRule="auto"/>
        <w:outlineLvl w:val="0"/>
        <w:rPr>
          <w:rFonts w:asciiTheme="majorBidi" w:eastAsia="Times New Roman" w:hAnsiTheme="majorBidi" w:cstheme="majorBidi"/>
          <w:b/>
          <w:bCs/>
          <w:sz w:val="24"/>
          <w:szCs w:val="24"/>
        </w:rPr>
      </w:pPr>
      <w:bookmarkStart w:id="224" w:name="_Toc525195524"/>
      <w:bookmarkStart w:id="225" w:name="_Toc525195709"/>
      <w:bookmarkStart w:id="226" w:name="_Toc528228150"/>
      <w:bookmarkStart w:id="227" w:name="_Toc31182362"/>
      <w:bookmarkStart w:id="228" w:name="_Toc31182589"/>
      <w:bookmarkStart w:id="229" w:name="_Toc43123843"/>
      <w:bookmarkStart w:id="230" w:name="_Toc43124077"/>
      <w:bookmarkStart w:id="231" w:name="_Toc46338256"/>
      <w:bookmarkStart w:id="232" w:name="_Toc46338613"/>
      <w:bookmarkStart w:id="233" w:name="_Toc46339113"/>
      <w:bookmarkStart w:id="234" w:name="_Toc72665407"/>
      <w:bookmarkStart w:id="235" w:name="_Toc72742661"/>
      <w:bookmarkStart w:id="236" w:name="_Toc73271884"/>
      <w:bookmarkStart w:id="237" w:name="_Toc183425108"/>
      <w:bookmarkStart w:id="238" w:name="_Toc183425199"/>
      <w:bookmarkStart w:id="239" w:name="_Toc183426885"/>
      <w:bookmarkStart w:id="240" w:name="_Toc193282193"/>
      <w:bookmarkStart w:id="241" w:name="_Toc193282359"/>
      <w:bookmarkStart w:id="242" w:name="_Toc193846414"/>
      <w:r w:rsidRPr="006D3D71">
        <w:rPr>
          <w:rFonts w:asciiTheme="majorBidi" w:eastAsia="Times New Roman" w:hAnsiTheme="majorBidi" w:cstheme="majorBidi"/>
          <w:b/>
          <w:bCs/>
          <w:sz w:val="24"/>
          <w:szCs w:val="24"/>
        </w:rPr>
        <w:t>Introduction</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5B6DB03E" w14:textId="268B14DC" w:rsidR="003F0834" w:rsidRPr="006D3D71" w:rsidRDefault="003F0834" w:rsidP="006D3D71">
      <w:pPr>
        <w:keepNext/>
        <w:keepLines/>
        <w:spacing w:after="0" w:line="360" w:lineRule="auto"/>
        <w:jc w:val="both"/>
        <w:rPr>
          <w:rFonts w:asciiTheme="majorBidi" w:eastAsia="Times New Roman" w:hAnsiTheme="majorBidi" w:cstheme="majorBidi"/>
          <w:sz w:val="24"/>
          <w:szCs w:val="24"/>
        </w:rPr>
      </w:pPr>
      <w:r w:rsidRPr="006D3D71">
        <w:rPr>
          <w:rFonts w:asciiTheme="majorBidi" w:eastAsia="Times New Roman" w:hAnsiTheme="majorBidi" w:cstheme="majorBidi"/>
          <w:sz w:val="24"/>
          <w:szCs w:val="24"/>
        </w:rPr>
        <w:t xml:space="preserve">This chapter introduces the basis of study which is to provide an </w:t>
      </w:r>
      <w:r w:rsidR="004C65B0" w:rsidRPr="006D3D71">
        <w:rPr>
          <w:rFonts w:asciiTheme="majorBidi" w:eastAsia="Times New Roman" w:hAnsiTheme="majorBidi" w:cstheme="majorBidi"/>
          <w:sz w:val="24"/>
          <w:szCs w:val="24"/>
        </w:rPr>
        <w:t>analysis the</w:t>
      </w:r>
      <w:r w:rsidRPr="006D3D71">
        <w:rPr>
          <w:rFonts w:asciiTheme="majorBidi" w:eastAsia="Times New Roman" w:hAnsiTheme="majorBidi" w:cstheme="majorBidi"/>
          <w:sz w:val="24"/>
          <w:szCs w:val="24"/>
        </w:rPr>
        <w:t xml:space="preserve"> </w:t>
      </w:r>
      <w:r w:rsidR="00336D3E" w:rsidRPr="006D3D71">
        <w:rPr>
          <w:rFonts w:asciiTheme="majorBidi" w:eastAsia="Times New Roman" w:hAnsiTheme="majorBidi" w:cstheme="majorBidi"/>
          <w:sz w:val="24"/>
          <w:szCs w:val="24"/>
        </w:rPr>
        <w:t xml:space="preserve">effect </w:t>
      </w:r>
      <w:r w:rsidR="004C65B0" w:rsidRPr="006D3D71">
        <w:rPr>
          <w:rFonts w:asciiTheme="majorBidi" w:eastAsia="Times New Roman" w:hAnsiTheme="majorBidi" w:cstheme="majorBidi"/>
          <w:sz w:val="24"/>
          <w:szCs w:val="24"/>
        </w:rPr>
        <w:t>of risk</w:t>
      </w:r>
      <w:r w:rsidRPr="006D3D71">
        <w:rPr>
          <w:rFonts w:asciiTheme="majorBidi" w:eastAsia="Times New Roman" w:hAnsiTheme="majorBidi" w:cstheme="majorBidi"/>
          <w:sz w:val="24"/>
          <w:szCs w:val="24"/>
        </w:rPr>
        <w:t xml:space="preserve"> management and financial </w:t>
      </w:r>
      <w:r w:rsidR="004C65B0" w:rsidRPr="006D3D71">
        <w:rPr>
          <w:rFonts w:asciiTheme="majorBidi" w:eastAsia="Times New Roman" w:hAnsiTheme="majorBidi" w:cstheme="majorBidi"/>
          <w:sz w:val="24"/>
          <w:szCs w:val="24"/>
        </w:rPr>
        <w:t>performance in</w:t>
      </w:r>
      <w:r w:rsidRPr="006D3D71">
        <w:rPr>
          <w:rFonts w:asciiTheme="majorBidi" w:eastAsia="Times New Roman" w:hAnsiTheme="majorBidi" w:cstheme="majorBidi"/>
          <w:sz w:val="24"/>
          <w:szCs w:val="24"/>
        </w:rPr>
        <w:t xml:space="preserve"> commercial banks in Rwanda using </w:t>
      </w:r>
      <w:r w:rsidRPr="006D3D71">
        <w:rPr>
          <w:rFonts w:asciiTheme="majorBidi" w:eastAsia="Times New Roman" w:hAnsiTheme="majorBidi" w:cstheme="majorBidi"/>
          <w:bCs/>
          <w:sz w:val="24"/>
          <w:szCs w:val="24"/>
        </w:rPr>
        <w:t xml:space="preserve">GT Bank Plc </w:t>
      </w:r>
      <w:r w:rsidRPr="006D3D71">
        <w:rPr>
          <w:rFonts w:asciiTheme="majorBidi" w:eastAsia="Times New Roman" w:hAnsiTheme="majorBidi" w:cstheme="majorBidi"/>
          <w:sz w:val="24"/>
          <w:szCs w:val="24"/>
        </w:rPr>
        <w:t>as case study. The chapter is structured into eight sections. The first section presents the background of the study</w:t>
      </w:r>
      <w:r w:rsidR="004C65B0" w:rsidRPr="006D3D71">
        <w:rPr>
          <w:rFonts w:asciiTheme="majorBidi" w:eastAsia="Times New Roman" w:hAnsiTheme="majorBidi" w:cstheme="majorBidi"/>
          <w:sz w:val="24"/>
          <w:szCs w:val="24"/>
        </w:rPr>
        <w:t xml:space="preserve">, </w:t>
      </w:r>
      <w:r w:rsidRPr="006D3D71">
        <w:rPr>
          <w:rFonts w:asciiTheme="majorBidi" w:eastAsia="Times New Roman" w:hAnsiTheme="majorBidi" w:cstheme="majorBidi"/>
          <w:sz w:val="24"/>
          <w:szCs w:val="24"/>
        </w:rPr>
        <w:t xml:space="preserve">section two states the problem to be addressed by the study, the third section outlines the research objectives, the fourth presents the questions to guide the study, the fifth section shows the significance of the study, the sixth section summarizes the scope of study, the seventh section presents the conceptual framework and the last section presents operational definition of key term managements used in the study. </w:t>
      </w:r>
      <w:bookmarkStart w:id="243" w:name="_Toc525195525"/>
      <w:bookmarkStart w:id="244" w:name="_Toc525195710"/>
      <w:bookmarkStart w:id="245" w:name="_Toc528228151"/>
      <w:bookmarkStart w:id="246" w:name="_Toc31182363"/>
      <w:bookmarkStart w:id="247" w:name="_Toc31182590"/>
      <w:bookmarkStart w:id="248" w:name="_Toc43123844"/>
      <w:bookmarkStart w:id="249" w:name="_Toc43124078"/>
      <w:bookmarkStart w:id="250" w:name="_Toc46338257"/>
      <w:bookmarkStart w:id="251" w:name="_Toc46338614"/>
      <w:bookmarkStart w:id="252" w:name="_Toc46339114"/>
      <w:bookmarkStart w:id="253" w:name="_Toc72665408"/>
      <w:bookmarkStart w:id="254" w:name="_Toc72742662"/>
      <w:bookmarkStart w:id="255" w:name="_Toc73271885"/>
      <w:bookmarkStart w:id="256" w:name="_Toc183425109"/>
      <w:bookmarkStart w:id="257" w:name="_Toc183425200"/>
      <w:bookmarkStart w:id="258" w:name="_Toc183426886"/>
    </w:p>
    <w:p w14:paraId="1A0F303D" w14:textId="77777777" w:rsidR="003F0834" w:rsidRPr="006D3D71" w:rsidRDefault="003F0834" w:rsidP="006D3D71">
      <w:pPr>
        <w:keepNext/>
        <w:keepLines/>
        <w:spacing w:after="0" w:line="360" w:lineRule="auto"/>
        <w:outlineLvl w:val="0"/>
        <w:rPr>
          <w:rFonts w:asciiTheme="majorBidi" w:eastAsia="Times New Roman" w:hAnsiTheme="majorBidi" w:cstheme="majorBidi"/>
          <w:b/>
          <w:bCs/>
          <w:sz w:val="24"/>
          <w:szCs w:val="24"/>
        </w:rPr>
      </w:pPr>
      <w:bookmarkStart w:id="259" w:name="_Toc193846415"/>
      <w:r w:rsidRPr="006D3D71">
        <w:rPr>
          <w:rFonts w:asciiTheme="majorBidi" w:eastAsia="Times New Roman" w:hAnsiTheme="majorBidi" w:cstheme="majorBidi"/>
          <w:b/>
          <w:bCs/>
          <w:sz w:val="24"/>
          <w:szCs w:val="24"/>
        </w:rPr>
        <w:t>1.1. Background of the Study</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53BA5559" w14:textId="77777777" w:rsidR="003F0834" w:rsidRPr="006D3D71" w:rsidRDefault="003F0834" w:rsidP="006D3D71">
      <w:pPr>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 xml:space="preserve">Risk management is integral to the sustainable operations of businesses worldwide, particularly within the banking sector. Commercial banks encounter a multitude of risks as a result of their core activities lending and deposit-taking which inherently expose them to market, credit, liquidity, operational, and foreign exchange risks. Given that the cash held by banks is unsecured, robust risk management practices are essential to safeguard these institutions from financial instability. Contemporary studies emphasize that thorough risk assessments, including careful evaluation of a borrower’s creditworthiness, are critical to </w:t>
      </w:r>
      <w:r w:rsidRPr="006D3D71">
        <w:rPr>
          <w:rFonts w:asciiTheme="majorBidi" w:hAnsiTheme="majorBidi" w:cstheme="majorBidi"/>
          <w:sz w:val="24"/>
          <w:szCs w:val="24"/>
        </w:rPr>
        <w:lastRenderedPageBreak/>
        <w:t>mitigating potential losses and ensuring the long-term viability of banks. For example, research conducted in Vietnam and India highlights the importance of these measures in rapidly growing financial markets (Nguyen, 2020; Kumar &amp; Singh, 2024).</w:t>
      </w:r>
    </w:p>
    <w:p w14:paraId="2E691239" w14:textId="02E3843E" w:rsidR="003F0834" w:rsidRPr="006D3D71" w:rsidRDefault="003F0834" w:rsidP="006D3D71">
      <w:pPr>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In rapidly evolving financial landscape, uncertainties in market conditions render banking risks inevitable. Modern risk management is defined as the systematic process by which banks identify, assess, monitor, and mitigate their exposure to these risks (Garcia et al., 2021). This comprehensive process not only includes risk identification and assessment but also encompasses continuous monitoring and the implementation of strategic risk treatment measures. This holistic approach is vital, as ineffective risk management can lead to significant operational difficulties and undermine financial stability</w:t>
      </w:r>
      <w:r w:rsidR="006B08B0" w:rsidRPr="006D3D71">
        <w:rPr>
          <w:rFonts w:asciiTheme="majorBidi" w:hAnsiTheme="majorBidi" w:cstheme="majorBidi"/>
          <w:sz w:val="24"/>
          <w:szCs w:val="24"/>
        </w:rPr>
        <w:t xml:space="preserve"> </w:t>
      </w:r>
      <w:r w:rsidRPr="006D3D71">
        <w:rPr>
          <w:rFonts w:asciiTheme="majorBidi" w:hAnsiTheme="majorBidi" w:cstheme="majorBidi"/>
          <w:sz w:val="24"/>
          <w:szCs w:val="24"/>
        </w:rPr>
        <w:t>a lesson reinforced by the systemic impacts observed during recent economic disruptions in Europe and the United States (Chen, 2022).</w:t>
      </w:r>
    </w:p>
    <w:p w14:paraId="0FECD4D9" w14:textId="77777777" w:rsidR="003F0834" w:rsidRPr="006D3D71" w:rsidRDefault="003F0834" w:rsidP="006D3D71">
      <w:pPr>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Recent research has linked effective risk management practices directly to improved financial performance. For instance, studies in the United States have demonstrated that rigorous risk controls can reduce earnings volatility and enhance overall bank performance by enabling more accurate evaluations of financial health (Miller &amp; Zhao, 2023). Moreover, empirical evidence from various regions continues to underscore the importance of managing credit risk a predominant concern for commercial banks. In Europe, detailed analyses in countries such as Germany and Italy have shown that high levels of non-performing loans (NPLs) can adversely affect key performance indicators such as return on assets (ROA) and return on equity (ROE), while maintaining adequate capital buffers can help mitigate the risks associated with market fluctuations (Garcia et al., 2021).</w:t>
      </w:r>
    </w:p>
    <w:p w14:paraId="0BAE4EE5" w14:textId="77777777" w:rsidR="003F0834" w:rsidRPr="006D3D71" w:rsidRDefault="003F0834" w:rsidP="006D3D71">
      <w:pPr>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Furthermore, cross-regional comparisons reveal a consistent inverse relationship between risk exposure and bank performance. In Europe, studies specifically focusing on Germany, Italy, and France indicate that effective management of default risks contributes significantly to stability even when traditional measures such as capital adequacy appear less directly impactful (Chen, 2022). Similarly, research conducted in North America has affirmed that robust risk management frameworks are essential not only in diversifying credit portfolios but also in cushioning banks against financial shocks and systemic crises (Nguyen, 2020; Miller &amp; Zhao, 2023).</w:t>
      </w:r>
    </w:p>
    <w:p w14:paraId="3915544D" w14:textId="77777777" w:rsidR="003F0834" w:rsidRPr="006D3D71" w:rsidRDefault="003F0834" w:rsidP="006D3D71">
      <w:pPr>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 xml:space="preserve">In Asia, increased competition from both traditional financial institutions and emerging mobile service providers has resulted in the relaxation of lending standards in several emerging markets. Recent studies have demonstrated that in countries such as India and Indonesia, inadequate risk assessment practices have led to a surge in non-performing loans, </w:t>
      </w:r>
      <w:r w:rsidRPr="006D3D71">
        <w:rPr>
          <w:rFonts w:asciiTheme="majorBidi" w:hAnsiTheme="majorBidi" w:cstheme="majorBidi"/>
          <w:sz w:val="24"/>
          <w:szCs w:val="24"/>
        </w:rPr>
        <w:lastRenderedPageBreak/>
        <w:t>thereby threatening financial performance (Akinyele, Patel, &amp; Lee, 2023). In Australia, recent research indicates that smaller banks experience significantly higher levels of impaired assets, a trend closely linked to suboptimal risk management practices (Johnson &amp; Smith, 2022).</w:t>
      </w:r>
    </w:p>
    <w:p w14:paraId="024FCECA" w14:textId="77777777" w:rsidR="003F0834" w:rsidRPr="006D3D71" w:rsidRDefault="003F0834" w:rsidP="006D3D71">
      <w:pPr>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In Africa, robust empirical investigations have underscored the critical impact of risk management on banking performance across several countries. For example, research in Ghana has shown that elevated non-performing loan rates are significantly associated with poorer financial outcomes in banks (Boateng &amp; Mensah, 2021). Similarly, studies in Kenya have highlighted that weaknesses in the loan approval process contribute to an increase in defaults and non-performing loans, which in turn undermine overall financial stability (Kamau &amp; Waweru, 2022). Additionally, investigations in Nigeria have revealed that poor risk management frameworks exacerbate the challenges posed by high non-performing loans, further eroding financial performance (Okeke &amp; Chukwu, 2023).</w:t>
      </w:r>
    </w:p>
    <w:p w14:paraId="4ABCD36E" w14:textId="67886E04" w:rsidR="003F0834" w:rsidRPr="006D3D71" w:rsidRDefault="003F0834" w:rsidP="006D3D71">
      <w:pPr>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 xml:space="preserve">Rwandan commercial banks </w:t>
      </w:r>
      <w:r w:rsidR="00BF5487" w:rsidRPr="006D3D71">
        <w:rPr>
          <w:rFonts w:asciiTheme="majorBidi" w:hAnsiTheme="majorBidi" w:cstheme="majorBidi"/>
          <w:sz w:val="24"/>
          <w:szCs w:val="24"/>
        </w:rPr>
        <w:t>highlight</w:t>
      </w:r>
      <w:r w:rsidRPr="006D3D71">
        <w:rPr>
          <w:rFonts w:asciiTheme="majorBidi" w:hAnsiTheme="majorBidi" w:cstheme="majorBidi"/>
          <w:sz w:val="24"/>
          <w:szCs w:val="24"/>
        </w:rPr>
        <w:t xml:space="preserve"> that shortcomings in risk management practices have led to adverse effects on their financial performance, particularly through key indicators such as return on equity (ROE), net interest margins (NIM), and non-performing loans (NPLs). Insufficient risk assessment processes and delayed adoption of digital monitoring tools have contributed to higher levels of NPLs, which in turn compress NIM and reduce ROE. For instance, </w:t>
      </w:r>
      <w:proofErr w:type="spellStart"/>
      <w:r w:rsidRPr="006D3D71">
        <w:rPr>
          <w:rFonts w:asciiTheme="majorBidi" w:hAnsiTheme="majorBidi" w:cstheme="majorBidi"/>
          <w:sz w:val="24"/>
          <w:szCs w:val="24"/>
        </w:rPr>
        <w:t>Mukamana</w:t>
      </w:r>
      <w:proofErr w:type="spellEnd"/>
      <w:r w:rsidRPr="006D3D71">
        <w:rPr>
          <w:rFonts w:asciiTheme="majorBidi" w:hAnsiTheme="majorBidi" w:cstheme="majorBidi"/>
          <w:sz w:val="24"/>
          <w:szCs w:val="24"/>
        </w:rPr>
        <w:t xml:space="preserve"> et al. (2021) found that banks with less robust credit risk frameworks tend to experience elevated default rates, thereby negatively impacting profitability through lower ROE and tighter NIM. Similarly, </w:t>
      </w:r>
      <w:proofErr w:type="spellStart"/>
      <w:r w:rsidRPr="006D3D71">
        <w:rPr>
          <w:rFonts w:asciiTheme="majorBidi" w:hAnsiTheme="majorBidi" w:cstheme="majorBidi"/>
          <w:sz w:val="24"/>
          <w:szCs w:val="24"/>
        </w:rPr>
        <w:t>Nshuti</w:t>
      </w:r>
      <w:proofErr w:type="spellEnd"/>
      <w:r w:rsidRPr="006D3D71">
        <w:rPr>
          <w:rFonts w:asciiTheme="majorBidi" w:hAnsiTheme="majorBidi" w:cstheme="majorBidi"/>
          <w:sz w:val="24"/>
          <w:szCs w:val="24"/>
        </w:rPr>
        <w:t xml:space="preserve"> and </w:t>
      </w:r>
      <w:proofErr w:type="spellStart"/>
      <w:r w:rsidRPr="006D3D71">
        <w:rPr>
          <w:rFonts w:asciiTheme="majorBidi" w:hAnsiTheme="majorBidi" w:cstheme="majorBidi"/>
          <w:sz w:val="24"/>
          <w:szCs w:val="24"/>
        </w:rPr>
        <w:t>Uwase</w:t>
      </w:r>
      <w:proofErr w:type="spellEnd"/>
      <w:r w:rsidRPr="006D3D71">
        <w:rPr>
          <w:rFonts w:asciiTheme="majorBidi" w:hAnsiTheme="majorBidi" w:cstheme="majorBidi"/>
          <w:sz w:val="24"/>
          <w:szCs w:val="24"/>
        </w:rPr>
        <w:t xml:space="preserve"> (2023) demonstrated that inadequate risk management is associated with significant increases in NPLs, which further erodes overall financial performance. Additionally, regulatory and governance challenges continue to exacerbate these issues, limiting the banks' capacity to manage risks effectively and achieve sustainable growth (Uwimana, 2024).</w:t>
      </w:r>
    </w:p>
    <w:p w14:paraId="1B7DD8BE" w14:textId="5DE77BDF" w:rsidR="007F4D54" w:rsidRPr="006D3D71" w:rsidRDefault="003F0834" w:rsidP="00F16DC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The decline in profitability and the decrease in financial performance indicators like ROA and ROE have motivated this study to explore the impact of credit risk management on the financial performance of commercial banks, focusing on GT Bank Plc Rwanda as a case study.</w:t>
      </w:r>
      <w:bookmarkStart w:id="260" w:name="_Toc525195526"/>
      <w:bookmarkStart w:id="261" w:name="_Toc525195711"/>
      <w:bookmarkStart w:id="262" w:name="_Toc528228152"/>
      <w:bookmarkStart w:id="263" w:name="_Toc31182364"/>
      <w:bookmarkStart w:id="264" w:name="_Toc31182591"/>
      <w:bookmarkStart w:id="265" w:name="_Toc43123845"/>
      <w:bookmarkStart w:id="266" w:name="_Toc43124079"/>
      <w:bookmarkStart w:id="267" w:name="_Toc46338258"/>
      <w:bookmarkStart w:id="268" w:name="_Toc46338615"/>
      <w:bookmarkStart w:id="269" w:name="_Toc46339115"/>
      <w:bookmarkStart w:id="270" w:name="_Toc72665409"/>
      <w:bookmarkStart w:id="271" w:name="_Toc72742663"/>
      <w:bookmarkStart w:id="272" w:name="_Toc73271886"/>
      <w:bookmarkStart w:id="273" w:name="_Toc183425110"/>
      <w:bookmarkStart w:id="274" w:name="_Toc183425201"/>
      <w:bookmarkStart w:id="275" w:name="_Toc183426887"/>
    </w:p>
    <w:p w14:paraId="51B6B5F1" w14:textId="77777777" w:rsidR="003F0834" w:rsidRPr="006D3D71" w:rsidRDefault="003F0834" w:rsidP="006D3D71">
      <w:pPr>
        <w:keepNext/>
        <w:keepLines/>
        <w:spacing w:after="0" w:line="360" w:lineRule="auto"/>
        <w:outlineLvl w:val="0"/>
        <w:rPr>
          <w:rFonts w:asciiTheme="majorBidi" w:eastAsia="Times New Roman" w:hAnsiTheme="majorBidi" w:cstheme="majorBidi"/>
          <w:b/>
          <w:bCs/>
          <w:sz w:val="24"/>
          <w:szCs w:val="24"/>
        </w:rPr>
      </w:pPr>
      <w:bookmarkStart w:id="276" w:name="_Toc193846416"/>
      <w:r w:rsidRPr="006D3D71">
        <w:rPr>
          <w:rFonts w:asciiTheme="majorBidi" w:eastAsia="Times New Roman" w:hAnsiTheme="majorBidi" w:cstheme="majorBidi"/>
          <w:b/>
          <w:bCs/>
          <w:sz w:val="24"/>
          <w:szCs w:val="24"/>
        </w:rPr>
        <w:t>1.2. Statement of the Problem</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696EBA8F" w14:textId="77777777"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 xml:space="preserve">In the current business environment, commercial banks worldwide face numerous challenges, including intense competition, volatile economic conditions, and rising default rates, particularly non-performing loans (NPLs). Effective risk management practices are essential for the survival and profitability of banks, as inadequate risk management can lead to </w:t>
      </w:r>
      <w:r w:rsidRPr="006D3D71">
        <w:rPr>
          <w:rFonts w:asciiTheme="majorBidi" w:hAnsiTheme="majorBidi" w:cstheme="majorBidi"/>
          <w:sz w:val="24"/>
          <w:szCs w:val="24"/>
        </w:rPr>
        <w:lastRenderedPageBreak/>
        <w:t>insolvency and significant financial losses (</w:t>
      </w:r>
      <w:proofErr w:type="spellStart"/>
      <w:r w:rsidRPr="006D3D71">
        <w:rPr>
          <w:rFonts w:asciiTheme="majorBidi" w:hAnsiTheme="majorBidi" w:cstheme="majorBidi"/>
          <w:sz w:val="24"/>
          <w:szCs w:val="24"/>
        </w:rPr>
        <w:t>Jorfi</w:t>
      </w:r>
      <w:proofErr w:type="spellEnd"/>
      <w:r w:rsidRPr="006D3D71">
        <w:rPr>
          <w:rFonts w:asciiTheme="majorBidi" w:hAnsiTheme="majorBidi" w:cstheme="majorBidi"/>
          <w:sz w:val="24"/>
          <w:szCs w:val="24"/>
        </w:rPr>
        <w:t xml:space="preserve"> et al., 2022). Commercial banks, including GT Bank Plc, have been struggling with poor risk management strategies, resulting in high NPL ratios and poor credit risk management. This undermines their financial stability, affecting their ability to achieve positive financial performance (Hassan et al., 2023).</w:t>
      </w:r>
    </w:p>
    <w:p w14:paraId="57F80240" w14:textId="77777777"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 xml:space="preserve">According to </w:t>
      </w:r>
      <w:proofErr w:type="spellStart"/>
      <w:r w:rsidRPr="006D3D71">
        <w:rPr>
          <w:rFonts w:asciiTheme="majorBidi" w:hAnsiTheme="majorBidi" w:cstheme="majorBidi"/>
          <w:sz w:val="24"/>
          <w:szCs w:val="24"/>
        </w:rPr>
        <w:t>Akinboade</w:t>
      </w:r>
      <w:proofErr w:type="spellEnd"/>
      <w:r w:rsidRPr="006D3D71">
        <w:rPr>
          <w:rFonts w:asciiTheme="majorBidi" w:hAnsiTheme="majorBidi" w:cstheme="majorBidi"/>
          <w:sz w:val="24"/>
          <w:szCs w:val="24"/>
        </w:rPr>
        <w:t xml:space="preserve"> et al. (2023), many banks have faced a decline in profitability due to provisioning for bad debts. In response, they have implemented stricter monitoring of new lending and conducted thorough reviews of borrowers' financials before approving loans. Failure to address non-repayment challenges can lead to an accumulation of bad debts, which in turn forces banks to downsize their workforce, limit market expansion, and even collapse (Booth et al., 2022). Numerous studies have highlighted that risk management is a crucial determinant of bank profitability. For instance, Saiti et al. (2023) found that effective risk management positively impacts profitability, while other studies such as by Lee et al. (2022) demonstrated that liquidity and profitability have a negative relationship in banks operating under high levels of economic uncertainty. Similarly, studies by Nasir et al. (2022) found a strong correlation between equity ratio and profitability in banks, but this relationship could turn negative under specific market conditions.</w:t>
      </w:r>
    </w:p>
    <w:p w14:paraId="607B2638" w14:textId="77777777"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In their study, Almazan et al. (2023) showed that non-performing loan ratios negatively affect profitability, emphasizing the need for robust credit risk management practices. Similarly, research by Trujillo-Ponce (2022) suggests that effective risk management could help mitigate the adverse effects of NPLs on profitability. The research aims to evaluate the relationship between risk management strategies and financial performance in commercial banks globally, particularly GT Bank Plc.</w:t>
      </w:r>
    </w:p>
    <w:p w14:paraId="6F760B6E" w14:textId="77777777" w:rsidR="003F0834" w:rsidRPr="006D3D71" w:rsidRDefault="003F0834" w:rsidP="006D3D71">
      <w:pPr>
        <w:spacing w:after="0" w:line="360" w:lineRule="auto"/>
        <w:jc w:val="both"/>
        <w:rPr>
          <w:rFonts w:asciiTheme="majorBidi" w:hAnsiTheme="majorBidi" w:cstheme="majorBidi"/>
          <w:sz w:val="24"/>
          <w:szCs w:val="24"/>
        </w:rPr>
      </w:pPr>
      <w:bookmarkStart w:id="277" w:name="_Toc31182365"/>
      <w:bookmarkStart w:id="278" w:name="_Toc31182592"/>
      <w:bookmarkStart w:id="279" w:name="_Toc43123846"/>
      <w:bookmarkStart w:id="280" w:name="_Toc43124080"/>
      <w:bookmarkStart w:id="281" w:name="_Toc46338259"/>
      <w:bookmarkStart w:id="282" w:name="_Toc46338616"/>
      <w:bookmarkStart w:id="283" w:name="_Toc46339116"/>
      <w:bookmarkStart w:id="284" w:name="_Toc72665410"/>
      <w:bookmarkStart w:id="285" w:name="_Toc72742664"/>
      <w:bookmarkStart w:id="286" w:name="_Toc73271887"/>
      <w:bookmarkStart w:id="287" w:name="_Toc183425111"/>
      <w:bookmarkStart w:id="288" w:name="_Toc183425202"/>
      <w:bookmarkStart w:id="289" w:name="_Toc183426888"/>
      <w:bookmarkStart w:id="290" w:name="_Toc525195531"/>
      <w:bookmarkStart w:id="291" w:name="_Toc525195716"/>
      <w:bookmarkStart w:id="292" w:name="_Toc528228158"/>
      <w:r w:rsidRPr="006D3D71">
        <w:rPr>
          <w:rFonts w:asciiTheme="majorBidi" w:hAnsiTheme="majorBidi" w:cstheme="majorBidi"/>
          <w:sz w:val="24"/>
          <w:szCs w:val="24"/>
        </w:rPr>
        <w:t>Preliminary statistics, such as the NPL ratio in Rwanda reaching 6.6% by the end of June 2022 (BNR, 2023), have indicated the urgent need for better credit risk management practices to ensure financial stability. Similarly, GT Bank Rwanda reported NPL ratios of 2.37% in 2022, 0.53% in 2023, and 1.03% in 2024 (GT Bank, 2024). Through this study, the research aims to examine whether proper credit risk management practices can improve financial performance and reduce the adverse effects of high NPLs in commercial banks in Rwanda.</w:t>
      </w:r>
    </w:p>
    <w:p w14:paraId="1EA17A0B" w14:textId="77777777" w:rsidR="003F0834" w:rsidRPr="006D3D71" w:rsidRDefault="003F0834" w:rsidP="006D3D71">
      <w:pPr>
        <w:keepNext/>
        <w:keepLines/>
        <w:spacing w:after="0" w:line="360" w:lineRule="auto"/>
        <w:outlineLvl w:val="1"/>
        <w:rPr>
          <w:rFonts w:asciiTheme="majorBidi" w:eastAsia="Times New Roman" w:hAnsiTheme="majorBidi" w:cstheme="majorBidi"/>
          <w:b/>
          <w:bCs/>
          <w:sz w:val="24"/>
          <w:szCs w:val="24"/>
        </w:rPr>
      </w:pPr>
      <w:bookmarkStart w:id="293" w:name="_Toc193282194"/>
      <w:bookmarkStart w:id="294" w:name="_Toc193282360"/>
      <w:bookmarkStart w:id="295" w:name="_Toc193846417"/>
      <w:r w:rsidRPr="006D3D71">
        <w:rPr>
          <w:rFonts w:asciiTheme="majorBidi" w:eastAsia="Times New Roman" w:hAnsiTheme="majorBidi" w:cstheme="majorBidi"/>
          <w:b/>
          <w:bCs/>
          <w:sz w:val="24"/>
          <w:szCs w:val="24"/>
        </w:rPr>
        <w:t>1.3 Research objectives</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3"/>
      <w:bookmarkEnd w:id="294"/>
      <w:bookmarkEnd w:id="295"/>
    </w:p>
    <w:p w14:paraId="33D3ADDF" w14:textId="77777777" w:rsidR="003F0834" w:rsidRPr="006D3D71" w:rsidRDefault="003F0834" w:rsidP="006D3D71">
      <w:pPr>
        <w:spacing w:after="0" w:line="360" w:lineRule="auto"/>
        <w:jc w:val="both"/>
        <w:rPr>
          <w:rFonts w:asciiTheme="majorBidi" w:eastAsia="Times New Roman" w:hAnsiTheme="majorBidi" w:cstheme="majorBidi"/>
          <w:sz w:val="24"/>
          <w:szCs w:val="24"/>
        </w:rPr>
      </w:pPr>
      <w:r w:rsidRPr="006D3D71">
        <w:rPr>
          <w:rFonts w:asciiTheme="majorBidi" w:eastAsia="Times New Roman" w:hAnsiTheme="majorBidi" w:cstheme="majorBidi"/>
          <w:sz w:val="24"/>
          <w:szCs w:val="24"/>
        </w:rPr>
        <w:t>The Objectives are general and specific as detailed below.</w:t>
      </w:r>
    </w:p>
    <w:p w14:paraId="5AC20E7D" w14:textId="77777777" w:rsidR="003F0834" w:rsidRPr="006D3D71" w:rsidRDefault="003F0834" w:rsidP="006D3D71">
      <w:pPr>
        <w:keepNext/>
        <w:keepLines/>
        <w:spacing w:after="0" w:line="360" w:lineRule="auto"/>
        <w:outlineLvl w:val="1"/>
        <w:rPr>
          <w:rFonts w:asciiTheme="majorBidi" w:eastAsia="Times New Roman" w:hAnsiTheme="majorBidi" w:cstheme="majorBidi"/>
          <w:b/>
          <w:bCs/>
          <w:sz w:val="24"/>
          <w:szCs w:val="24"/>
        </w:rPr>
      </w:pPr>
      <w:bookmarkStart w:id="296" w:name="_Toc525195528"/>
      <w:bookmarkStart w:id="297" w:name="_Toc525195713"/>
      <w:bookmarkStart w:id="298" w:name="_Toc528228154"/>
      <w:bookmarkStart w:id="299" w:name="_Toc31182366"/>
      <w:bookmarkStart w:id="300" w:name="_Toc31182593"/>
      <w:bookmarkStart w:id="301" w:name="_Toc43123847"/>
      <w:bookmarkStart w:id="302" w:name="_Toc43124081"/>
      <w:bookmarkStart w:id="303" w:name="_Toc46338260"/>
      <w:bookmarkStart w:id="304" w:name="_Toc46338617"/>
      <w:bookmarkStart w:id="305" w:name="_Toc46339117"/>
      <w:bookmarkStart w:id="306" w:name="_Toc72665411"/>
      <w:bookmarkStart w:id="307" w:name="_Toc72742665"/>
      <w:bookmarkStart w:id="308" w:name="_Toc73271888"/>
      <w:bookmarkStart w:id="309" w:name="_Toc183425112"/>
      <w:bookmarkStart w:id="310" w:name="_Toc183425203"/>
      <w:bookmarkStart w:id="311" w:name="_Toc183426889"/>
      <w:bookmarkStart w:id="312" w:name="_Toc193282195"/>
      <w:bookmarkStart w:id="313" w:name="_Toc193282361"/>
      <w:bookmarkStart w:id="314" w:name="_Toc193846418"/>
      <w:r w:rsidRPr="006D3D71">
        <w:rPr>
          <w:rFonts w:asciiTheme="majorBidi" w:eastAsia="Times New Roman" w:hAnsiTheme="majorBidi" w:cstheme="majorBidi"/>
          <w:b/>
          <w:bCs/>
          <w:sz w:val="24"/>
          <w:szCs w:val="24"/>
        </w:rPr>
        <w:lastRenderedPageBreak/>
        <w:t>1.3.1 General objectiv</w:t>
      </w:r>
      <w:bookmarkEnd w:id="296"/>
      <w:bookmarkEnd w:id="297"/>
      <w:bookmarkEnd w:id="298"/>
      <w:bookmarkEnd w:id="299"/>
      <w:bookmarkEnd w:id="300"/>
      <w:bookmarkEnd w:id="301"/>
      <w:bookmarkEnd w:id="302"/>
      <w:r w:rsidRPr="006D3D71">
        <w:rPr>
          <w:rFonts w:asciiTheme="majorBidi" w:eastAsia="Times New Roman" w:hAnsiTheme="majorBidi" w:cstheme="majorBidi"/>
          <w:b/>
          <w:bCs/>
          <w:sz w:val="24"/>
          <w:szCs w:val="24"/>
        </w:rPr>
        <w:t>e</w:t>
      </w:r>
      <w:bookmarkEnd w:id="303"/>
      <w:bookmarkEnd w:id="304"/>
      <w:bookmarkEnd w:id="305"/>
      <w:bookmarkEnd w:id="306"/>
      <w:bookmarkEnd w:id="307"/>
      <w:bookmarkEnd w:id="308"/>
      <w:bookmarkEnd w:id="309"/>
      <w:bookmarkEnd w:id="310"/>
      <w:bookmarkEnd w:id="311"/>
      <w:bookmarkEnd w:id="312"/>
      <w:bookmarkEnd w:id="313"/>
      <w:bookmarkEnd w:id="314"/>
    </w:p>
    <w:p w14:paraId="61B2C061" w14:textId="77777777" w:rsidR="003F0834" w:rsidRPr="006D3D71" w:rsidRDefault="003F0834" w:rsidP="006D3D71">
      <w:pPr>
        <w:spacing w:after="0" w:line="360" w:lineRule="auto"/>
        <w:jc w:val="both"/>
        <w:rPr>
          <w:rFonts w:asciiTheme="majorBidi" w:eastAsia="Times New Roman" w:hAnsiTheme="majorBidi" w:cstheme="majorBidi"/>
          <w:sz w:val="24"/>
          <w:szCs w:val="24"/>
        </w:rPr>
      </w:pPr>
      <w:r w:rsidRPr="006D3D71">
        <w:rPr>
          <w:rFonts w:asciiTheme="majorBidi" w:eastAsia="Times New Roman" w:hAnsiTheme="majorBidi" w:cstheme="majorBidi"/>
          <w:sz w:val="24"/>
          <w:szCs w:val="24"/>
        </w:rPr>
        <w:t>The general objective of this study is to assess the impact of risk management on financial performance   of commercial banks in Rwanda.</w:t>
      </w:r>
    </w:p>
    <w:p w14:paraId="218B2374" w14:textId="77777777" w:rsidR="003F0834" w:rsidRPr="006D3D71" w:rsidRDefault="003F0834" w:rsidP="006D3D71">
      <w:pPr>
        <w:keepNext/>
        <w:keepLines/>
        <w:spacing w:after="0" w:line="360" w:lineRule="auto"/>
        <w:outlineLvl w:val="1"/>
        <w:rPr>
          <w:rFonts w:asciiTheme="majorBidi" w:eastAsia="Times New Roman" w:hAnsiTheme="majorBidi" w:cstheme="majorBidi"/>
          <w:b/>
          <w:bCs/>
          <w:sz w:val="24"/>
          <w:szCs w:val="24"/>
        </w:rPr>
      </w:pPr>
      <w:bookmarkStart w:id="315" w:name="_Toc72665412"/>
      <w:bookmarkStart w:id="316" w:name="_Toc72742666"/>
      <w:bookmarkStart w:id="317" w:name="_Toc73271889"/>
      <w:bookmarkStart w:id="318" w:name="_Toc183425113"/>
      <w:bookmarkStart w:id="319" w:name="_Toc183425204"/>
      <w:bookmarkStart w:id="320" w:name="_Toc183426890"/>
      <w:bookmarkStart w:id="321" w:name="_Toc193282196"/>
      <w:bookmarkStart w:id="322" w:name="_Toc193282362"/>
      <w:bookmarkStart w:id="323" w:name="_Toc193846419"/>
      <w:r w:rsidRPr="006D3D71">
        <w:rPr>
          <w:rFonts w:asciiTheme="majorBidi" w:eastAsia="Times New Roman" w:hAnsiTheme="majorBidi" w:cstheme="majorBidi"/>
          <w:b/>
          <w:bCs/>
          <w:sz w:val="24"/>
          <w:szCs w:val="24"/>
        </w:rPr>
        <w:t>1.3.2 Specific objectives</w:t>
      </w:r>
      <w:bookmarkEnd w:id="315"/>
      <w:bookmarkEnd w:id="316"/>
      <w:bookmarkEnd w:id="317"/>
      <w:bookmarkEnd w:id="318"/>
      <w:bookmarkEnd w:id="319"/>
      <w:bookmarkEnd w:id="320"/>
      <w:bookmarkEnd w:id="321"/>
      <w:bookmarkEnd w:id="322"/>
      <w:bookmarkEnd w:id="323"/>
    </w:p>
    <w:p w14:paraId="71DBE74A" w14:textId="77777777" w:rsidR="003F0834" w:rsidRPr="006D3D71" w:rsidRDefault="003F0834" w:rsidP="006D3D71">
      <w:pPr>
        <w:pStyle w:val="ListParagraph"/>
        <w:numPr>
          <w:ilvl w:val="0"/>
          <w:numId w:val="5"/>
        </w:numPr>
        <w:spacing w:after="0" w:line="360" w:lineRule="auto"/>
        <w:jc w:val="both"/>
        <w:rPr>
          <w:rFonts w:asciiTheme="majorBidi" w:eastAsia="Times New Roman" w:hAnsiTheme="majorBidi" w:cstheme="majorBidi"/>
          <w:sz w:val="24"/>
          <w:szCs w:val="24"/>
        </w:rPr>
      </w:pPr>
      <w:r w:rsidRPr="006D3D71">
        <w:rPr>
          <w:rFonts w:asciiTheme="majorBidi" w:eastAsia="Times New Roman" w:hAnsiTheme="majorBidi" w:cstheme="majorBidi"/>
          <w:sz w:val="24"/>
          <w:szCs w:val="24"/>
        </w:rPr>
        <w:t xml:space="preserve">To assess the effectiveness of risk management in </w:t>
      </w:r>
      <w:r w:rsidRPr="006D3D71">
        <w:rPr>
          <w:rFonts w:asciiTheme="majorBidi" w:hAnsiTheme="majorBidi" w:cstheme="majorBidi"/>
          <w:sz w:val="24"/>
          <w:szCs w:val="24"/>
        </w:rPr>
        <w:t xml:space="preserve">of </w:t>
      </w:r>
      <w:r w:rsidRPr="006D3D71">
        <w:rPr>
          <w:rFonts w:asciiTheme="majorBidi" w:eastAsia="Times New Roman" w:hAnsiTheme="majorBidi" w:cstheme="majorBidi"/>
          <w:spacing w:val="-1"/>
          <w:sz w:val="24"/>
          <w:szCs w:val="24"/>
        </w:rPr>
        <w:t>GT Bank Plc</w:t>
      </w:r>
      <w:r w:rsidRPr="006D3D71">
        <w:rPr>
          <w:rFonts w:asciiTheme="majorBidi" w:hAnsiTheme="majorBidi" w:cstheme="majorBidi"/>
          <w:sz w:val="24"/>
          <w:szCs w:val="24"/>
        </w:rPr>
        <w:t>,</w:t>
      </w:r>
    </w:p>
    <w:p w14:paraId="1C44ED08" w14:textId="77777777" w:rsidR="003F0834" w:rsidRPr="006D3D71" w:rsidRDefault="003F0834" w:rsidP="006D3D71">
      <w:pPr>
        <w:pStyle w:val="ListParagraph"/>
        <w:numPr>
          <w:ilvl w:val="0"/>
          <w:numId w:val="5"/>
        </w:numPr>
        <w:spacing w:after="0" w:line="360" w:lineRule="auto"/>
        <w:jc w:val="both"/>
        <w:rPr>
          <w:rFonts w:asciiTheme="majorBidi" w:eastAsia="Times New Roman" w:hAnsiTheme="majorBidi" w:cstheme="majorBidi"/>
          <w:sz w:val="24"/>
          <w:szCs w:val="24"/>
        </w:rPr>
      </w:pPr>
      <w:r w:rsidRPr="006D3D71">
        <w:rPr>
          <w:rFonts w:asciiTheme="majorBidi" w:eastAsia="Times New Roman" w:hAnsiTheme="majorBidi" w:cstheme="majorBidi"/>
          <w:sz w:val="24"/>
          <w:szCs w:val="24"/>
        </w:rPr>
        <w:t xml:space="preserve">To analyze the financial performance   of </w:t>
      </w:r>
      <w:r w:rsidRPr="006D3D71">
        <w:rPr>
          <w:rFonts w:asciiTheme="majorBidi" w:hAnsiTheme="majorBidi" w:cstheme="majorBidi"/>
          <w:sz w:val="24"/>
          <w:szCs w:val="24"/>
        </w:rPr>
        <w:t>GT Bank Plc from 2019-2023,</w:t>
      </w:r>
    </w:p>
    <w:p w14:paraId="1B461C28" w14:textId="77777777" w:rsidR="003F0834" w:rsidRPr="006D3D71" w:rsidRDefault="003F0834" w:rsidP="006D3D71">
      <w:pPr>
        <w:pStyle w:val="ListParagraph"/>
        <w:keepNext/>
        <w:keepLines/>
        <w:numPr>
          <w:ilvl w:val="0"/>
          <w:numId w:val="5"/>
        </w:numPr>
        <w:spacing w:after="0" w:line="360" w:lineRule="auto"/>
        <w:jc w:val="both"/>
        <w:rPr>
          <w:rFonts w:asciiTheme="majorBidi" w:eastAsia="Times New Roman" w:hAnsiTheme="majorBidi" w:cstheme="majorBidi"/>
          <w:b/>
          <w:sz w:val="24"/>
          <w:szCs w:val="24"/>
        </w:rPr>
      </w:pPr>
      <w:r w:rsidRPr="006D3D71">
        <w:rPr>
          <w:rFonts w:asciiTheme="majorBidi" w:eastAsia="Times New Roman" w:hAnsiTheme="majorBidi" w:cstheme="majorBidi"/>
          <w:sz w:val="24"/>
          <w:szCs w:val="24"/>
        </w:rPr>
        <w:t xml:space="preserve">To establish the relationship between of risk management and financial performance   in </w:t>
      </w:r>
      <w:r w:rsidRPr="006D3D71">
        <w:rPr>
          <w:rFonts w:asciiTheme="majorBidi" w:hAnsiTheme="majorBidi" w:cstheme="majorBidi"/>
          <w:sz w:val="24"/>
          <w:szCs w:val="24"/>
        </w:rPr>
        <w:t>of GT Bank Plc.</w:t>
      </w:r>
    </w:p>
    <w:p w14:paraId="6BB2F29C" w14:textId="77777777" w:rsidR="003F0834" w:rsidRPr="006D3D71" w:rsidRDefault="003F0834" w:rsidP="006D3D71">
      <w:pPr>
        <w:keepNext/>
        <w:keepLines/>
        <w:spacing w:after="0" w:line="360" w:lineRule="auto"/>
        <w:outlineLvl w:val="1"/>
        <w:rPr>
          <w:rFonts w:asciiTheme="majorBidi" w:eastAsia="Times New Roman" w:hAnsiTheme="majorBidi" w:cstheme="majorBidi"/>
          <w:b/>
          <w:bCs/>
          <w:sz w:val="24"/>
          <w:szCs w:val="24"/>
        </w:rPr>
      </w:pPr>
      <w:bookmarkStart w:id="324" w:name="_Toc525195530"/>
      <w:bookmarkStart w:id="325" w:name="_Toc525195715"/>
      <w:bookmarkStart w:id="326" w:name="_Toc528228156"/>
      <w:bookmarkStart w:id="327" w:name="_Toc72665413"/>
      <w:bookmarkStart w:id="328" w:name="_Toc72742667"/>
      <w:bookmarkStart w:id="329" w:name="_Toc73271890"/>
      <w:bookmarkStart w:id="330" w:name="_Toc183425114"/>
      <w:bookmarkStart w:id="331" w:name="_Toc183425205"/>
      <w:bookmarkStart w:id="332" w:name="_Toc183426891"/>
      <w:bookmarkStart w:id="333" w:name="_Toc193282197"/>
      <w:bookmarkStart w:id="334" w:name="_Toc193282363"/>
      <w:bookmarkStart w:id="335" w:name="_Toc193846420"/>
      <w:r w:rsidRPr="006D3D71">
        <w:rPr>
          <w:rFonts w:asciiTheme="majorBidi" w:eastAsia="Times New Roman" w:hAnsiTheme="majorBidi" w:cstheme="majorBidi"/>
          <w:b/>
          <w:bCs/>
          <w:sz w:val="24"/>
          <w:szCs w:val="24"/>
        </w:rPr>
        <w:t>1.4 Research Questions</w:t>
      </w:r>
      <w:bookmarkEnd w:id="324"/>
      <w:bookmarkEnd w:id="325"/>
      <w:bookmarkEnd w:id="326"/>
      <w:bookmarkEnd w:id="327"/>
      <w:bookmarkEnd w:id="328"/>
      <w:bookmarkEnd w:id="329"/>
      <w:bookmarkEnd w:id="330"/>
      <w:bookmarkEnd w:id="331"/>
      <w:bookmarkEnd w:id="332"/>
      <w:bookmarkEnd w:id="333"/>
      <w:bookmarkEnd w:id="334"/>
      <w:bookmarkEnd w:id="335"/>
      <w:r w:rsidRPr="006D3D71">
        <w:rPr>
          <w:rFonts w:asciiTheme="majorBidi" w:eastAsia="Times New Roman" w:hAnsiTheme="majorBidi" w:cstheme="majorBidi"/>
          <w:b/>
          <w:bCs/>
          <w:sz w:val="24"/>
          <w:szCs w:val="24"/>
        </w:rPr>
        <w:t xml:space="preserve"> </w:t>
      </w:r>
    </w:p>
    <w:p w14:paraId="4B1240D5" w14:textId="77777777" w:rsidR="003F0834" w:rsidRPr="006D3D71" w:rsidRDefault="003F0834" w:rsidP="006D3D71">
      <w:pPr>
        <w:spacing w:after="0" w:line="360" w:lineRule="auto"/>
        <w:jc w:val="both"/>
        <w:rPr>
          <w:rFonts w:asciiTheme="majorBidi" w:eastAsia="Times New Roman" w:hAnsiTheme="majorBidi" w:cstheme="majorBidi"/>
          <w:sz w:val="24"/>
          <w:szCs w:val="24"/>
        </w:rPr>
      </w:pPr>
      <w:r w:rsidRPr="006D3D71">
        <w:rPr>
          <w:rFonts w:asciiTheme="majorBidi" w:eastAsia="Times New Roman" w:hAnsiTheme="majorBidi" w:cstheme="majorBidi"/>
          <w:sz w:val="24"/>
          <w:szCs w:val="24"/>
        </w:rPr>
        <w:t xml:space="preserve">The study attempted to respond to the following questions: </w:t>
      </w:r>
    </w:p>
    <w:p w14:paraId="164E1674" w14:textId="77777777" w:rsidR="003F0834" w:rsidRPr="006D3D71" w:rsidRDefault="003F0834" w:rsidP="006D3D71">
      <w:pPr>
        <w:pStyle w:val="ListParagraph"/>
        <w:numPr>
          <w:ilvl w:val="0"/>
          <w:numId w:val="4"/>
        </w:numPr>
        <w:spacing w:after="0" w:line="360" w:lineRule="auto"/>
        <w:jc w:val="both"/>
        <w:rPr>
          <w:rFonts w:asciiTheme="majorBidi" w:eastAsia="Times New Roman" w:hAnsiTheme="majorBidi" w:cstheme="majorBidi"/>
          <w:sz w:val="24"/>
          <w:szCs w:val="24"/>
        </w:rPr>
      </w:pPr>
      <w:r w:rsidRPr="006D3D71">
        <w:rPr>
          <w:rFonts w:asciiTheme="majorBidi" w:eastAsia="Times New Roman" w:hAnsiTheme="majorBidi" w:cstheme="majorBidi"/>
          <w:sz w:val="24"/>
          <w:szCs w:val="24"/>
        </w:rPr>
        <w:t xml:space="preserve">What are the indicators for the effectiveness risk management in </w:t>
      </w:r>
      <w:r w:rsidRPr="006D3D71">
        <w:rPr>
          <w:rFonts w:asciiTheme="majorBidi" w:hAnsiTheme="majorBidi" w:cstheme="majorBidi"/>
          <w:sz w:val="24"/>
          <w:szCs w:val="24"/>
        </w:rPr>
        <w:t>of GT Bank Plc?</w:t>
      </w:r>
    </w:p>
    <w:p w14:paraId="4CC02945" w14:textId="77777777" w:rsidR="003F0834" w:rsidRPr="006D3D71" w:rsidRDefault="003F0834" w:rsidP="006D3D71">
      <w:pPr>
        <w:pStyle w:val="ListParagraph"/>
        <w:numPr>
          <w:ilvl w:val="0"/>
          <w:numId w:val="4"/>
        </w:numPr>
        <w:spacing w:after="0" w:line="360" w:lineRule="auto"/>
        <w:jc w:val="both"/>
        <w:rPr>
          <w:rFonts w:asciiTheme="majorBidi" w:eastAsia="Times New Roman" w:hAnsiTheme="majorBidi" w:cstheme="majorBidi"/>
          <w:sz w:val="24"/>
          <w:szCs w:val="24"/>
        </w:rPr>
      </w:pPr>
      <w:r w:rsidRPr="006D3D71">
        <w:rPr>
          <w:rFonts w:asciiTheme="majorBidi" w:eastAsia="Times New Roman" w:hAnsiTheme="majorBidi" w:cstheme="majorBidi"/>
          <w:sz w:val="24"/>
          <w:szCs w:val="24"/>
        </w:rPr>
        <w:t xml:space="preserve">What are the financial performance of GT Bank Plc from 2019-2023? </w:t>
      </w:r>
    </w:p>
    <w:p w14:paraId="02FC20B3" w14:textId="77777777" w:rsidR="003F0834" w:rsidRPr="006D3D71" w:rsidRDefault="003F0834" w:rsidP="006D3D71">
      <w:pPr>
        <w:pStyle w:val="ListParagraph"/>
        <w:numPr>
          <w:ilvl w:val="0"/>
          <w:numId w:val="4"/>
        </w:numPr>
        <w:spacing w:line="360" w:lineRule="auto"/>
        <w:jc w:val="both"/>
        <w:rPr>
          <w:rFonts w:asciiTheme="majorBidi" w:eastAsia="Times New Roman" w:hAnsiTheme="majorBidi" w:cstheme="majorBidi"/>
          <w:sz w:val="24"/>
          <w:szCs w:val="24"/>
        </w:rPr>
      </w:pPr>
      <w:r w:rsidRPr="006D3D71">
        <w:rPr>
          <w:rFonts w:asciiTheme="majorBidi" w:eastAsia="Times New Roman" w:hAnsiTheme="majorBidi" w:cstheme="majorBidi"/>
          <w:sz w:val="24"/>
          <w:szCs w:val="24"/>
        </w:rPr>
        <w:t xml:space="preserve">What is the relationship between risk management and financial performance   of </w:t>
      </w:r>
      <w:r w:rsidRPr="006D3D71">
        <w:rPr>
          <w:rFonts w:asciiTheme="majorBidi" w:hAnsiTheme="majorBidi" w:cstheme="majorBidi"/>
          <w:sz w:val="24"/>
          <w:szCs w:val="24"/>
        </w:rPr>
        <w:t xml:space="preserve">GT Bank Plc? </w:t>
      </w:r>
    </w:p>
    <w:p w14:paraId="1D7F2455" w14:textId="77777777" w:rsidR="003F0834" w:rsidRPr="006D3D71" w:rsidRDefault="003F0834" w:rsidP="006D3D71">
      <w:pPr>
        <w:keepNext/>
        <w:keepLines/>
        <w:spacing w:after="0" w:line="360" w:lineRule="auto"/>
        <w:outlineLvl w:val="1"/>
        <w:rPr>
          <w:rFonts w:asciiTheme="majorBidi" w:eastAsia="Times New Roman" w:hAnsiTheme="majorBidi" w:cstheme="majorBidi"/>
          <w:b/>
          <w:bCs/>
          <w:sz w:val="24"/>
          <w:szCs w:val="24"/>
        </w:rPr>
      </w:pPr>
      <w:bookmarkStart w:id="336" w:name="_Toc528228157"/>
      <w:bookmarkStart w:id="337" w:name="_Toc72665414"/>
      <w:bookmarkStart w:id="338" w:name="_Toc72742668"/>
      <w:bookmarkStart w:id="339" w:name="_Toc73271891"/>
      <w:bookmarkStart w:id="340" w:name="_Toc183425115"/>
      <w:bookmarkStart w:id="341" w:name="_Toc183425206"/>
      <w:bookmarkStart w:id="342" w:name="_Toc183426892"/>
      <w:bookmarkStart w:id="343" w:name="_Toc193282198"/>
      <w:bookmarkStart w:id="344" w:name="_Toc193282364"/>
      <w:bookmarkStart w:id="345" w:name="_Toc193846421"/>
      <w:r w:rsidRPr="006D3D71">
        <w:rPr>
          <w:rFonts w:asciiTheme="majorBidi" w:eastAsia="Times New Roman" w:hAnsiTheme="majorBidi" w:cstheme="majorBidi"/>
          <w:b/>
          <w:bCs/>
          <w:sz w:val="24"/>
          <w:szCs w:val="24"/>
        </w:rPr>
        <w:t>1.5 Research hypothesis</w:t>
      </w:r>
      <w:bookmarkEnd w:id="336"/>
      <w:bookmarkEnd w:id="337"/>
      <w:bookmarkEnd w:id="338"/>
      <w:bookmarkEnd w:id="339"/>
      <w:bookmarkEnd w:id="340"/>
      <w:bookmarkEnd w:id="341"/>
      <w:bookmarkEnd w:id="342"/>
      <w:bookmarkEnd w:id="343"/>
      <w:bookmarkEnd w:id="344"/>
      <w:bookmarkEnd w:id="345"/>
      <w:r w:rsidRPr="006D3D71">
        <w:rPr>
          <w:rFonts w:asciiTheme="majorBidi" w:eastAsia="Times New Roman" w:hAnsiTheme="majorBidi" w:cstheme="majorBidi"/>
          <w:b/>
          <w:bCs/>
          <w:sz w:val="24"/>
          <w:szCs w:val="24"/>
        </w:rPr>
        <w:t xml:space="preserve"> </w:t>
      </w:r>
    </w:p>
    <w:p w14:paraId="31A1984A" w14:textId="77777777" w:rsidR="003F0834" w:rsidRPr="006D3D71" w:rsidRDefault="003F0834" w:rsidP="006D3D71">
      <w:pPr>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This study attempted to verify of the following hypothesis</w:t>
      </w:r>
    </w:p>
    <w:p w14:paraId="1F5C1D56" w14:textId="77777777" w:rsidR="003F0834" w:rsidRPr="006D3D71" w:rsidRDefault="003F0834" w:rsidP="006D3D71">
      <w:pPr>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H</w:t>
      </w:r>
      <w:r w:rsidRPr="006D3D71">
        <w:rPr>
          <w:rFonts w:asciiTheme="majorBidi" w:hAnsiTheme="majorBidi" w:cstheme="majorBidi"/>
          <w:sz w:val="24"/>
          <w:szCs w:val="24"/>
          <w:vertAlign w:val="subscript"/>
        </w:rPr>
        <w:t>0</w:t>
      </w:r>
      <w:r w:rsidRPr="006D3D71">
        <w:rPr>
          <w:rFonts w:asciiTheme="majorBidi" w:hAnsiTheme="majorBidi" w:cstheme="majorBidi"/>
          <w:sz w:val="24"/>
          <w:szCs w:val="24"/>
        </w:rPr>
        <w:t xml:space="preserve">: There is no any significant relationship between </w:t>
      </w:r>
      <w:r w:rsidRPr="006D3D71">
        <w:rPr>
          <w:rFonts w:asciiTheme="majorBidi" w:eastAsia="Times New Roman" w:hAnsiTheme="majorBidi" w:cstheme="majorBidi"/>
          <w:sz w:val="24"/>
          <w:szCs w:val="24"/>
        </w:rPr>
        <w:t xml:space="preserve">risk management and financial performance   in </w:t>
      </w:r>
      <w:r w:rsidRPr="006D3D71">
        <w:rPr>
          <w:rFonts w:asciiTheme="majorBidi" w:hAnsiTheme="majorBidi" w:cstheme="majorBidi"/>
          <w:sz w:val="24"/>
          <w:szCs w:val="24"/>
        </w:rPr>
        <w:t xml:space="preserve">of GT Bank Plc </w:t>
      </w:r>
    </w:p>
    <w:p w14:paraId="2BDE268A" w14:textId="77777777" w:rsidR="003F0834" w:rsidRPr="006D3D71" w:rsidRDefault="003F0834" w:rsidP="006D3D71">
      <w:pPr>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H</w:t>
      </w:r>
      <w:r w:rsidRPr="006D3D71">
        <w:rPr>
          <w:rFonts w:asciiTheme="majorBidi" w:hAnsiTheme="majorBidi" w:cstheme="majorBidi"/>
          <w:sz w:val="24"/>
          <w:szCs w:val="24"/>
          <w:vertAlign w:val="subscript"/>
        </w:rPr>
        <w:t>1</w:t>
      </w:r>
      <w:r w:rsidRPr="006D3D71">
        <w:rPr>
          <w:rFonts w:asciiTheme="majorBidi" w:hAnsiTheme="majorBidi" w:cstheme="majorBidi"/>
          <w:sz w:val="24"/>
          <w:szCs w:val="24"/>
        </w:rPr>
        <w:t xml:space="preserve">: There is a significant relationship between </w:t>
      </w:r>
      <w:r w:rsidRPr="006D3D71">
        <w:rPr>
          <w:rFonts w:asciiTheme="majorBidi" w:eastAsia="Times New Roman" w:hAnsiTheme="majorBidi" w:cstheme="majorBidi"/>
          <w:sz w:val="24"/>
          <w:szCs w:val="24"/>
        </w:rPr>
        <w:t xml:space="preserve">risk management and financial performance   </w:t>
      </w:r>
      <w:r w:rsidRPr="006D3D71">
        <w:rPr>
          <w:rFonts w:asciiTheme="majorBidi" w:hAnsiTheme="majorBidi" w:cstheme="majorBidi"/>
          <w:sz w:val="24"/>
          <w:szCs w:val="24"/>
        </w:rPr>
        <w:t>of GT Bank Plc.</w:t>
      </w:r>
      <w:bookmarkStart w:id="346" w:name="_Toc43123853"/>
      <w:bookmarkStart w:id="347" w:name="_Toc43124087"/>
      <w:bookmarkStart w:id="348" w:name="_Toc46338266"/>
      <w:bookmarkStart w:id="349" w:name="_Toc46338623"/>
      <w:bookmarkStart w:id="350" w:name="_Toc46339123"/>
      <w:bookmarkStart w:id="351" w:name="_Toc72665415"/>
      <w:bookmarkStart w:id="352" w:name="_Toc72742669"/>
      <w:bookmarkStart w:id="353" w:name="_Toc73271892"/>
    </w:p>
    <w:p w14:paraId="04793BC0" w14:textId="77777777" w:rsidR="003F0834" w:rsidRPr="006D3D71" w:rsidRDefault="003F0834" w:rsidP="006D3D71">
      <w:pPr>
        <w:keepNext/>
        <w:keepLines/>
        <w:spacing w:after="0" w:line="360" w:lineRule="auto"/>
        <w:outlineLvl w:val="1"/>
        <w:rPr>
          <w:rFonts w:asciiTheme="majorBidi" w:eastAsia="SimSun" w:hAnsiTheme="majorBidi" w:cstheme="majorBidi"/>
          <w:b/>
          <w:bCs/>
          <w:sz w:val="24"/>
          <w:szCs w:val="24"/>
        </w:rPr>
      </w:pPr>
      <w:bookmarkStart w:id="354" w:name="_Toc193282199"/>
      <w:bookmarkStart w:id="355" w:name="_Toc193282365"/>
      <w:bookmarkStart w:id="356" w:name="_Toc193846422"/>
      <w:r w:rsidRPr="006D3D71">
        <w:rPr>
          <w:rFonts w:asciiTheme="majorBidi" w:eastAsia="SimSun" w:hAnsiTheme="majorBidi" w:cstheme="majorBidi"/>
          <w:b/>
          <w:bCs/>
          <w:sz w:val="24"/>
          <w:szCs w:val="24"/>
        </w:rPr>
        <w:t>1.6 Scope of the study</w:t>
      </w:r>
      <w:bookmarkStart w:id="357" w:name="_Toc524588373"/>
      <w:bookmarkStart w:id="358" w:name="_Toc524592666"/>
      <w:bookmarkStart w:id="359" w:name="_Toc524870736"/>
      <w:bookmarkStart w:id="360" w:name="_Toc524870899"/>
      <w:bookmarkStart w:id="361" w:name="_Toc525062079"/>
      <w:bookmarkStart w:id="362" w:name="_Toc527565192"/>
      <w:bookmarkStart w:id="363" w:name="_Toc527569966"/>
      <w:bookmarkStart w:id="364" w:name="_Toc34171194"/>
      <w:bookmarkStart w:id="365" w:name="_Toc34212407"/>
      <w:bookmarkStart w:id="366" w:name="_Toc34213011"/>
      <w:bookmarkStart w:id="367" w:name="_Toc43123854"/>
      <w:bookmarkStart w:id="368" w:name="_Toc43124088"/>
      <w:bookmarkStart w:id="369" w:name="_Toc72665153"/>
      <w:bookmarkStart w:id="370" w:name="_Toc72665416"/>
      <w:bookmarkStart w:id="371" w:name="_Toc72742670"/>
      <w:bookmarkStart w:id="372" w:name="_Toc73271893"/>
      <w:bookmarkStart w:id="373" w:name="_Toc294718889"/>
      <w:bookmarkStart w:id="374" w:name="_Toc354794213"/>
      <w:bookmarkStart w:id="375" w:name="_Toc46338096"/>
      <w:bookmarkStart w:id="376" w:name="_Toc46338267"/>
      <w:bookmarkStart w:id="377" w:name="_Toc46338624"/>
      <w:bookmarkStart w:id="378" w:name="_Toc46339124"/>
      <w:bookmarkStart w:id="379" w:name="_Toc47157371"/>
      <w:bookmarkEnd w:id="290"/>
      <w:bookmarkEnd w:id="291"/>
      <w:bookmarkEnd w:id="292"/>
      <w:bookmarkEnd w:id="346"/>
      <w:bookmarkEnd w:id="347"/>
      <w:bookmarkEnd w:id="348"/>
      <w:bookmarkEnd w:id="349"/>
      <w:bookmarkEnd w:id="350"/>
      <w:bookmarkEnd w:id="351"/>
      <w:bookmarkEnd w:id="352"/>
      <w:bookmarkEnd w:id="353"/>
      <w:bookmarkEnd w:id="354"/>
      <w:bookmarkEnd w:id="355"/>
      <w:bookmarkEnd w:id="356"/>
    </w:p>
    <w:p w14:paraId="39F5F065" w14:textId="77777777" w:rsidR="003F0834" w:rsidRPr="006D3D71" w:rsidRDefault="003F0834" w:rsidP="006D3D71">
      <w:pPr>
        <w:spacing w:after="0" w:line="360" w:lineRule="auto"/>
        <w:jc w:val="both"/>
        <w:rPr>
          <w:rFonts w:asciiTheme="majorBidi" w:hAnsiTheme="majorBidi" w:cstheme="majorBidi"/>
          <w:sz w:val="24"/>
          <w:szCs w:val="24"/>
        </w:rPr>
      </w:pPr>
      <w:r w:rsidRPr="006D3D71">
        <w:rPr>
          <w:rFonts w:asciiTheme="majorBidi" w:eastAsia="SimSun" w:hAnsiTheme="majorBidi" w:cstheme="majorBidi"/>
          <w:bCs/>
          <w:sz w:val="24"/>
          <w:szCs w:val="24"/>
          <w:shd w:val="clear" w:color="auto" w:fill="FFFFFF"/>
        </w:rPr>
        <w:t>Any time that a task of doing research is to be undertaken, the essential guideline is to </w:t>
      </w:r>
      <w:r w:rsidRPr="006D3D71">
        <w:rPr>
          <w:rFonts w:asciiTheme="majorBidi" w:eastAsia="SimSun" w:hAnsiTheme="majorBidi" w:cstheme="majorBidi"/>
          <w:sz w:val="24"/>
          <w:szCs w:val="24"/>
          <w:shd w:val="clear" w:color="auto" w:fill="FFFFFF"/>
        </w:rPr>
        <w:t>define</w:t>
      </w:r>
      <w:r w:rsidRPr="006D3D71">
        <w:rPr>
          <w:rFonts w:asciiTheme="majorBidi" w:eastAsia="SimSun" w:hAnsiTheme="majorBidi" w:cstheme="majorBidi"/>
          <w:bCs/>
          <w:sz w:val="24"/>
          <w:szCs w:val="24"/>
          <w:shd w:val="clear" w:color="auto" w:fill="FFFFFF"/>
        </w:rPr>
        <w:t> explicitly the </w:t>
      </w:r>
      <w:r w:rsidRPr="006D3D71">
        <w:rPr>
          <w:rFonts w:asciiTheme="majorBidi" w:eastAsia="SimSun" w:hAnsiTheme="majorBidi" w:cstheme="majorBidi"/>
          <w:sz w:val="24"/>
          <w:szCs w:val="24"/>
          <w:shd w:val="clear" w:color="auto" w:fill="FFFFFF"/>
        </w:rPr>
        <w:t>scope of the study</w:t>
      </w:r>
      <w:r w:rsidRPr="006D3D71">
        <w:rPr>
          <w:rFonts w:asciiTheme="majorBidi" w:eastAsia="SimSun" w:hAnsiTheme="majorBidi" w:cstheme="majorBidi"/>
          <w:bCs/>
          <w:sz w:val="24"/>
          <w:szCs w:val="24"/>
          <w:shd w:val="clear" w:color="auto" w:fill="FFFFFF"/>
        </w:rPr>
        <w:t>.  The </w:t>
      </w:r>
      <w:r w:rsidRPr="006D3D71">
        <w:rPr>
          <w:rFonts w:asciiTheme="majorBidi" w:eastAsia="SimSun" w:hAnsiTheme="majorBidi" w:cstheme="majorBidi"/>
          <w:sz w:val="24"/>
          <w:szCs w:val="24"/>
          <w:shd w:val="clear" w:color="auto" w:fill="FFFFFF"/>
        </w:rPr>
        <w:t>scope of the study</w:t>
      </w:r>
      <w:r w:rsidRPr="006D3D71">
        <w:rPr>
          <w:rFonts w:asciiTheme="majorBidi" w:eastAsia="SimSun" w:hAnsiTheme="majorBidi" w:cstheme="majorBidi"/>
          <w:bCs/>
          <w:sz w:val="24"/>
          <w:szCs w:val="24"/>
          <w:shd w:val="clear" w:color="auto" w:fill="FFFFFF"/>
        </w:rPr>
        <w:t> basically means all those things that covered in the </w:t>
      </w:r>
      <w:r w:rsidRPr="006D3D71">
        <w:rPr>
          <w:rFonts w:asciiTheme="majorBidi" w:eastAsia="SimSun" w:hAnsiTheme="majorBidi" w:cstheme="majorBidi"/>
          <w:sz w:val="24"/>
          <w:szCs w:val="24"/>
          <w:shd w:val="clear" w:color="auto" w:fill="FFFFFF"/>
        </w:rPr>
        <w:t>research</w:t>
      </w:r>
      <w:r w:rsidRPr="006D3D71">
        <w:rPr>
          <w:rFonts w:asciiTheme="majorBidi" w:eastAsia="SimSun" w:hAnsiTheme="majorBidi" w:cstheme="majorBidi"/>
          <w:bCs/>
          <w:sz w:val="24"/>
          <w:szCs w:val="24"/>
          <w:shd w:val="clear" w:color="auto" w:fill="FFFFFF"/>
        </w:rPr>
        <w:t> project.</w:t>
      </w:r>
      <w:bookmarkEnd w:id="357"/>
      <w:bookmarkEnd w:id="358"/>
      <w:bookmarkEnd w:id="359"/>
      <w:bookmarkEnd w:id="360"/>
      <w:bookmarkEnd w:id="361"/>
      <w:bookmarkEnd w:id="362"/>
      <w:bookmarkEnd w:id="363"/>
      <w:r w:rsidRPr="006D3D71">
        <w:rPr>
          <w:rFonts w:asciiTheme="majorBidi" w:eastAsia="SimSun" w:hAnsiTheme="majorBidi" w:cstheme="majorBidi"/>
          <w:bCs/>
          <w:sz w:val="24"/>
          <w:szCs w:val="24"/>
          <w:shd w:val="clear" w:color="auto" w:fill="FFFFFF"/>
        </w:rPr>
        <w:t xml:space="preserve"> </w:t>
      </w:r>
      <w:r w:rsidRPr="006D3D71">
        <w:rPr>
          <w:rFonts w:asciiTheme="majorBidi" w:eastAsia="SimSun" w:hAnsiTheme="majorBidi" w:cstheme="majorBidi"/>
          <w:sz w:val="24"/>
          <w:szCs w:val="24"/>
        </w:rPr>
        <w:t>Due to financial means and time; this study was limited in content, geographic and time scope</w:t>
      </w:r>
      <w:bookmarkEnd w:id="364"/>
      <w:bookmarkEnd w:id="365"/>
      <w:bookmarkEnd w:id="366"/>
      <w:bookmarkEnd w:id="367"/>
      <w:bookmarkEnd w:id="368"/>
      <w:r w:rsidRPr="006D3D71">
        <w:rPr>
          <w:rFonts w:asciiTheme="majorBidi" w:eastAsia="SimSun" w:hAnsiTheme="majorBidi" w:cstheme="majorBidi"/>
          <w:sz w:val="24"/>
          <w:szCs w:val="24"/>
        </w:rPr>
        <w:t>.</w:t>
      </w:r>
      <w:bookmarkEnd w:id="369"/>
      <w:bookmarkEnd w:id="370"/>
      <w:bookmarkEnd w:id="371"/>
      <w:bookmarkEnd w:id="372"/>
    </w:p>
    <w:p w14:paraId="2B141CA6" w14:textId="77777777" w:rsidR="003F0834" w:rsidRPr="006D3D71" w:rsidRDefault="003F0834" w:rsidP="006D3D71">
      <w:pPr>
        <w:keepNext/>
        <w:keepLines/>
        <w:spacing w:after="0" w:line="360" w:lineRule="auto"/>
        <w:outlineLvl w:val="1"/>
        <w:rPr>
          <w:rFonts w:asciiTheme="majorBidi" w:eastAsia="SimSun" w:hAnsiTheme="majorBidi" w:cstheme="majorBidi"/>
          <w:b/>
          <w:bCs/>
          <w:sz w:val="24"/>
          <w:szCs w:val="24"/>
        </w:rPr>
      </w:pPr>
      <w:bookmarkStart w:id="380" w:name="_Toc72665417"/>
      <w:bookmarkStart w:id="381" w:name="_Toc72742671"/>
      <w:bookmarkStart w:id="382" w:name="_Toc73271894"/>
      <w:bookmarkStart w:id="383" w:name="_Toc183425116"/>
      <w:bookmarkStart w:id="384" w:name="_Toc183425207"/>
      <w:bookmarkStart w:id="385" w:name="_Toc183426893"/>
      <w:bookmarkStart w:id="386" w:name="_Toc193282200"/>
      <w:bookmarkStart w:id="387" w:name="_Toc193282366"/>
      <w:bookmarkStart w:id="388" w:name="_Toc193846423"/>
      <w:r w:rsidRPr="006D3D71">
        <w:rPr>
          <w:rFonts w:asciiTheme="majorBidi" w:eastAsia="SimSun" w:hAnsiTheme="majorBidi" w:cstheme="majorBidi"/>
          <w:b/>
          <w:bCs/>
          <w:sz w:val="24"/>
          <w:szCs w:val="24"/>
        </w:rPr>
        <w:t>1.6.1 Content scope</w:t>
      </w:r>
      <w:bookmarkEnd w:id="380"/>
      <w:bookmarkEnd w:id="381"/>
      <w:bookmarkEnd w:id="382"/>
      <w:bookmarkEnd w:id="383"/>
      <w:bookmarkEnd w:id="384"/>
      <w:bookmarkEnd w:id="385"/>
      <w:bookmarkEnd w:id="386"/>
      <w:bookmarkEnd w:id="387"/>
      <w:bookmarkEnd w:id="388"/>
    </w:p>
    <w:p w14:paraId="3D9BCA7F" w14:textId="77777777" w:rsidR="003F0834" w:rsidRPr="006D3D71" w:rsidRDefault="003F0834" w:rsidP="006D3D71">
      <w:pPr>
        <w:spacing w:after="0" w:line="360" w:lineRule="auto"/>
        <w:rPr>
          <w:rFonts w:asciiTheme="majorBidi" w:hAnsiTheme="majorBidi" w:cstheme="majorBidi"/>
          <w:sz w:val="24"/>
          <w:szCs w:val="24"/>
        </w:rPr>
      </w:pPr>
      <w:r w:rsidRPr="006D3D71">
        <w:rPr>
          <w:rFonts w:asciiTheme="majorBidi" w:hAnsiTheme="majorBidi" w:cstheme="majorBidi"/>
          <w:sz w:val="24"/>
          <w:szCs w:val="24"/>
        </w:rPr>
        <w:t>The study focuses on the impact of risk management on financial performance   of commercial banks in Rwanda by taking GT Bank Plc headquarters as case study located in Kigali city Nyarugenge District.</w:t>
      </w:r>
    </w:p>
    <w:p w14:paraId="1CB43AD6" w14:textId="77777777" w:rsidR="003F0834" w:rsidRPr="006D3D71" w:rsidRDefault="003F0834" w:rsidP="006D3D71">
      <w:pPr>
        <w:keepNext/>
        <w:keepLines/>
        <w:spacing w:after="0" w:line="360" w:lineRule="auto"/>
        <w:outlineLvl w:val="1"/>
        <w:rPr>
          <w:rFonts w:asciiTheme="majorBidi" w:eastAsia="SimSun" w:hAnsiTheme="majorBidi" w:cstheme="majorBidi"/>
          <w:b/>
          <w:bCs/>
          <w:sz w:val="24"/>
          <w:szCs w:val="24"/>
        </w:rPr>
      </w:pPr>
      <w:r w:rsidRPr="006D3D71">
        <w:rPr>
          <w:rFonts w:asciiTheme="majorBidi" w:eastAsia="SimSun" w:hAnsiTheme="majorBidi" w:cstheme="majorBidi"/>
          <w:b/>
          <w:bCs/>
          <w:sz w:val="24"/>
          <w:szCs w:val="24"/>
        </w:rPr>
        <w:t xml:space="preserve"> </w:t>
      </w:r>
      <w:bookmarkStart w:id="389" w:name="_Toc72665418"/>
      <w:bookmarkStart w:id="390" w:name="_Toc72742672"/>
      <w:bookmarkStart w:id="391" w:name="_Toc73271895"/>
      <w:bookmarkStart w:id="392" w:name="_Toc183425117"/>
      <w:bookmarkStart w:id="393" w:name="_Toc183425208"/>
      <w:bookmarkStart w:id="394" w:name="_Toc183426894"/>
      <w:bookmarkStart w:id="395" w:name="_Toc193282201"/>
      <w:bookmarkStart w:id="396" w:name="_Toc193282367"/>
      <w:bookmarkStart w:id="397" w:name="_Toc193846424"/>
      <w:r w:rsidRPr="006D3D71">
        <w:rPr>
          <w:rFonts w:asciiTheme="majorBidi" w:eastAsia="SimSun" w:hAnsiTheme="majorBidi" w:cstheme="majorBidi"/>
          <w:b/>
          <w:bCs/>
          <w:sz w:val="24"/>
          <w:szCs w:val="24"/>
        </w:rPr>
        <w:t>1.6.2 Geographic scope</w:t>
      </w:r>
      <w:bookmarkEnd w:id="389"/>
      <w:bookmarkEnd w:id="390"/>
      <w:bookmarkEnd w:id="391"/>
      <w:bookmarkEnd w:id="392"/>
      <w:bookmarkEnd w:id="393"/>
      <w:bookmarkEnd w:id="394"/>
      <w:bookmarkEnd w:id="395"/>
      <w:bookmarkEnd w:id="396"/>
      <w:bookmarkEnd w:id="397"/>
    </w:p>
    <w:p w14:paraId="4941EF45" w14:textId="77777777" w:rsidR="003F0834" w:rsidRPr="006D3D71" w:rsidRDefault="003F0834" w:rsidP="006D3D71">
      <w:pPr>
        <w:spacing w:after="0" w:line="360" w:lineRule="auto"/>
        <w:rPr>
          <w:rFonts w:asciiTheme="majorBidi" w:hAnsiTheme="majorBidi" w:cstheme="majorBidi"/>
          <w:sz w:val="24"/>
          <w:szCs w:val="24"/>
        </w:rPr>
      </w:pPr>
      <w:r w:rsidRPr="006D3D71">
        <w:rPr>
          <w:rFonts w:asciiTheme="majorBidi" w:hAnsiTheme="majorBidi" w:cstheme="majorBidi"/>
          <w:sz w:val="24"/>
          <w:szCs w:val="24"/>
        </w:rPr>
        <w:t>The study was conducted in the GT Bank Plc headquarters.</w:t>
      </w:r>
    </w:p>
    <w:p w14:paraId="01850782" w14:textId="77777777" w:rsidR="003F0834" w:rsidRPr="006D3D71" w:rsidRDefault="003F0834" w:rsidP="006D3D71">
      <w:pPr>
        <w:keepNext/>
        <w:keepLines/>
        <w:spacing w:after="0" w:line="360" w:lineRule="auto"/>
        <w:outlineLvl w:val="1"/>
        <w:rPr>
          <w:rFonts w:asciiTheme="majorBidi" w:eastAsia="SimSun" w:hAnsiTheme="majorBidi" w:cstheme="majorBidi"/>
          <w:b/>
          <w:bCs/>
          <w:sz w:val="24"/>
          <w:szCs w:val="24"/>
        </w:rPr>
      </w:pPr>
      <w:bookmarkStart w:id="398" w:name="_Toc72665419"/>
      <w:bookmarkStart w:id="399" w:name="_Toc72742673"/>
      <w:bookmarkStart w:id="400" w:name="_Toc73271896"/>
      <w:bookmarkStart w:id="401" w:name="_Toc183425118"/>
      <w:bookmarkStart w:id="402" w:name="_Toc183425209"/>
      <w:bookmarkStart w:id="403" w:name="_Toc183426895"/>
      <w:bookmarkStart w:id="404" w:name="_Toc193282202"/>
      <w:bookmarkStart w:id="405" w:name="_Toc193282368"/>
      <w:bookmarkStart w:id="406" w:name="_Toc193846425"/>
      <w:r w:rsidRPr="006D3D71">
        <w:rPr>
          <w:rFonts w:asciiTheme="majorBidi" w:eastAsia="SimSun" w:hAnsiTheme="majorBidi" w:cstheme="majorBidi"/>
          <w:b/>
          <w:bCs/>
          <w:sz w:val="24"/>
          <w:szCs w:val="24"/>
        </w:rPr>
        <w:lastRenderedPageBreak/>
        <w:t>1.6.3 Time scope</w:t>
      </w:r>
      <w:bookmarkEnd w:id="398"/>
      <w:bookmarkEnd w:id="399"/>
      <w:bookmarkEnd w:id="400"/>
      <w:bookmarkEnd w:id="401"/>
      <w:bookmarkEnd w:id="402"/>
      <w:bookmarkEnd w:id="403"/>
      <w:bookmarkEnd w:id="404"/>
      <w:bookmarkEnd w:id="405"/>
      <w:bookmarkEnd w:id="406"/>
      <w:r w:rsidRPr="006D3D71">
        <w:rPr>
          <w:rFonts w:asciiTheme="majorBidi" w:eastAsia="SimSun" w:hAnsiTheme="majorBidi" w:cstheme="majorBidi"/>
          <w:b/>
          <w:bCs/>
          <w:sz w:val="24"/>
          <w:szCs w:val="24"/>
        </w:rPr>
        <w:t xml:space="preserve"> </w:t>
      </w:r>
    </w:p>
    <w:bookmarkEnd w:id="373"/>
    <w:bookmarkEnd w:id="374"/>
    <w:p w14:paraId="677DA6BE" w14:textId="77777777" w:rsidR="003F0834" w:rsidRPr="006D3D71" w:rsidRDefault="003F0834" w:rsidP="006D3D71">
      <w:pPr>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 xml:space="preserve"> The study was conducted in the GT Bank Plc headquarters, Kigali City for a period of 2019-2023.</w:t>
      </w:r>
      <w:bookmarkEnd w:id="375"/>
      <w:bookmarkEnd w:id="376"/>
      <w:bookmarkEnd w:id="377"/>
      <w:bookmarkEnd w:id="378"/>
      <w:bookmarkEnd w:id="379"/>
      <w:r w:rsidRPr="006D3D71">
        <w:rPr>
          <w:rFonts w:asciiTheme="majorBidi" w:hAnsiTheme="majorBidi" w:cstheme="majorBidi"/>
          <w:sz w:val="24"/>
          <w:szCs w:val="24"/>
        </w:rPr>
        <w:t xml:space="preserve"> This period has been chosen as actual year with availability of the data regarding risk management and financial performance.</w:t>
      </w:r>
    </w:p>
    <w:p w14:paraId="5A72C0C8" w14:textId="77777777" w:rsidR="003F0834" w:rsidRPr="006D3D71" w:rsidRDefault="003F0834" w:rsidP="006D3D71">
      <w:pPr>
        <w:keepNext/>
        <w:keepLines/>
        <w:spacing w:after="0" w:line="360" w:lineRule="auto"/>
        <w:outlineLvl w:val="1"/>
        <w:rPr>
          <w:rFonts w:asciiTheme="majorBidi" w:eastAsia="Times New Roman" w:hAnsiTheme="majorBidi" w:cstheme="majorBidi"/>
          <w:b/>
          <w:bCs/>
          <w:sz w:val="24"/>
          <w:szCs w:val="24"/>
        </w:rPr>
      </w:pPr>
      <w:bookmarkStart w:id="407" w:name="_Toc525195532"/>
      <w:bookmarkStart w:id="408" w:name="_Toc525195717"/>
      <w:bookmarkStart w:id="409" w:name="_Toc528228159"/>
      <w:bookmarkStart w:id="410" w:name="_Toc31182369"/>
      <w:bookmarkStart w:id="411" w:name="_Toc31182596"/>
      <w:bookmarkStart w:id="412" w:name="_Toc43123855"/>
      <w:bookmarkStart w:id="413" w:name="_Toc43124089"/>
      <w:bookmarkStart w:id="414" w:name="_Toc46338268"/>
      <w:bookmarkStart w:id="415" w:name="_Toc46338625"/>
      <w:bookmarkStart w:id="416" w:name="_Toc46339125"/>
      <w:bookmarkStart w:id="417" w:name="_Toc72665420"/>
      <w:bookmarkStart w:id="418" w:name="_Toc72742674"/>
      <w:bookmarkStart w:id="419" w:name="_Toc73271897"/>
      <w:bookmarkStart w:id="420" w:name="_Toc183425119"/>
      <w:bookmarkStart w:id="421" w:name="_Toc183425210"/>
      <w:bookmarkStart w:id="422" w:name="_Toc183426896"/>
      <w:bookmarkStart w:id="423" w:name="_Toc193282203"/>
      <w:bookmarkStart w:id="424" w:name="_Toc193282369"/>
      <w:bookmarkStart w:id="425" w:name="_Toc193846426"/>
      <w:r w:rsidRPr="006D3D71">
        <w:rPr>
          <w:rFonts w:asciiTheme="majorBidi" w:eastAsia="Times New Roman" w:hAnsiTheme="majorBidi" w:cstheme="majorBidi"/>
          <w:b/>
          <w:bCs/>
          <w:sz w:val="24"/>
          <w:szCs w:val="24"/>
        </w:rPr>
        <w:t>1.7 Significance of the Study</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7F5AA453" w14:textId="02650534" w:rsidR="003F0834" w:rsidRPr="006D3D71" w:rsidRDefault="003F0834" w:rsidP="006D3D71">
      <w:pPr>
        <w:autoSpaceDE w:val="0"/>
        <w:autoSpaceDN w:val="0"/>
        <w:adjustRightInd w:val="0"/>
        <w:spacing w:after="0" w:line="360" w:lineRule="auto"/>
        <w:jc w:val="both"/>
        <w:rPr>
          <w:rFonts w:asciiTheme="majorBidi" w:hAnsiTheme="majorBidi" w:cstheme="majorBidi"/>
          <w:sz w:val="24"/>
          <w:szCs w:val="24"/>
        </w:rPr>
      </w:pPr>
      <w:bookmarkStart w:id="426" w:name="_Toc525195536"/>
      <w:bookmarkStart w:id="427" w:name="_Toc525195721"/>
      <w:bookmarkStart w:id="428" w:name="_Toc528228163"/>
      <w:bookmarkStart w:id="429" w:name="_Toc31182373"/>
      <w:bookmarkStart w:id="430" w:name="_Toc31182600"/>
      <w:bookmarkStart w:id="431" w:name="_Toc43123859"/>
      <w:bookmarkStart w:id="432" w:name="_Toc43124093"/>
      <w:r w:rsidRPr="006D3D71">
        <w:rPr>
          <w:rFonts w:asciiTheme="majorBidi" w:hAnsiTheme="majorBidi" w:cstheme="majorBidi"/>
          <w:sz w:val="24"/>
          <w:szCs w:val="24"/>
        </w:rPr>
        <w:t>The study create</w:t>
      </w:r>
      <w:r w:rsidR="003D1748" w:rsidRPr="006D3D71">
        <w:rPr>
          <w:rFonts w:asciiTheme="majorBidi" w:hAnsiTheme="majorBidi" w:cstheme="majorBidi"/>
          <w:sz w:val="24"/>
          <w:szCs w:val="24"/>
        </w:rPr>
        <w:t>d</w:t>
      </w:r>
      <w:r w:rsidRPr="006D3D71">
        <w:rPr>
          <w:rFonts w:asciiTheme="majorBidi" w:hAnsiTheme="majorBidi" w:cstheme="majorBidi"/>
          <w:sz w:val="24"/>
          <w:szCs w:val="24"/>
        </w:rPr>
        <w:t xml:space="preserve"> a base on in this important subject upon which related and further studies or in- depth analysis can be undertaken. To banking industry, this study help</w:t>
      </w:r>
      <w:r w:rsidR="00575F6F" w:rsidRPr="006D3D71">
        <w:rPr>
          <w:rFonts w:asciiTheme="majorBidi" w:hAnsiTheme="majorBidi" w:cstheme="majorBidi"/>
          <w:sz w:val="24"/>
          <w:szCs w:val="24"/>
        </w:rPr>
        <w:t xml:space="preserve">s </w:t>
      </w:r>
      <w:r w:rsidRPr="006D3D71">
        <w:rPr>
          <w:rFonts w:asciiTheme="majorBidi" w:hAnsiTheme="majorBidi" w:cstheme="majorBidi"/>
          <w:sz w:val="24"/>
          <w:szCs w:val="24"/>
        </w:rPr>
        <w:t>policy makers to pursue reforms that influence</w:t>
      </w:r>
      <w:r w:rsidR="00575F6F" w:rsidRPr="006D3D71">
        <w:rPr>
          <w:rFonts w:asciiTheme="majorBidi" w:hAnsiTheme="majorBidi" w:cstheme="majorBidi"/>
          <w:sz w:val="24"/>
          <w:szCs w:val="24"/>
        </w:rPr>
        <w:t>s</w:t>
      </w:r>
      <w:r w:rsidRPr="006D3D71">
        <w:rPr>
          <w:rFonts w:asciiTheme="majorBidi" w:hAnsiTheme="majorBidi" w:cstheme="majorBidi"/>
          <w:sz w:val="24"/>
          <w:szCs w:val="24"/>
        </w:rPr>
        <w:t xml:space="preserve"> growth of the banking sector and in this regard economic growth is likely to be stimulated.</w:t>
      </w:r>
    </w:p>
    <w:p w14:paraId="535F0507" w14:textId="4143CFC0" w:rsidR="003F0834" w:rsidRPr="006D3D71" w:rsidRDefault="003F0834" w:rsidP="006D3D71">
      <w:pPr>
        <w:autoSpaceDE w:val="0"/>
        <w:autoSpaceDN w:val="0"/>
        <w:adjustRightInd w:val="0"/>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The study also highlight</w:t>
      </w:r>
      <w:r w:rsidR="003D1748" w:rsidRPr="006D3D71">
        <w:rPr>
          <w:rFonts w:asciiTheme="majorBidi" w:hAnsiTheme="majorBidi" w:cstheme="majorBidi"/>
          <w:sz w:val="24"/>
          <w:szCs w:val="24"/>
        </w:rPr>
        <w:t>ed</w:t>
      </w:r>
      <w:r w:rsidRPr="006D3D71">
        <w:rPr>
          <w:rFonts w:asciiTheme="majorBidi" w:hAnsiTheme="majorBidi" w:cstheme="majorBidi"/>
          <w:sz w:val="24"/>
          <w:szCs w:val="24"/>
        </w:rPr>
        <w:t xml:space="preserve"> the impact of risk management on financial performance of commercial banks in Rwanda which the bank managers can use for the early identification of the riskiness of their institutions and also help in formulating their risk management techniques. </w:t>
      </w:r>
    </w:p>
    <w:p w14:paraId="7F50C790" w14:textId="0AE9B7B4" w:rsidR="003F0834" w:rsidRPr="006D3D71" w:rsidRDefault="003F0834" w:rsidP="006D3D71">
      <w:pPr>
        <w:autoSpaceDE w:val="0"/>
        <w:autoSpaceDN w:val="0"/>
        <w:adjustRightInd w:val="0"/>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To other stakeholders in the economy, it also highlight</w:t>
      </w:r>
      <w:r w:rsidR="003D1748" w:rsidRPr="006D3D71">
        <w:rPr>
          <w:rFonts w:asciiTheme="majorBidi" w:hAnsiTheme="majorBidi" w:cstheme="majorBidi"/>
          <w:sz w:val="24"/>
          <w:szCs w:val="24"/>
        </w:rPr>
        <w:t>ed</w:t>
      </w:r>
      <w:r w:rsidRPr="006D3D71">
        <w:rPr>
          <w:rFonts w:asciiTheme="majorBidi" w:hAnsiTheme="majorBidi" w:cstheme="majorBidi"/>
          <w:sz w:val="24"/>
          <w:szCs w:val="24"/>
        </w:rPr>
        <w:t xml:space="preserve"> the key factors that industry players should analyze when assessing the riskiness of their institutions. </w:t>
      </w:r>
    </w:p>
    <w:p w14:paraId="5904E056" w14:textId="361BBD1E" w:rsidR="003F0834" w:rsidRPr="006D3D71" w:rsidRDefault="003F0834" w:rsidP="006D3D71">
      <w:pPr>
        <w:pStyle w:val="ListParagraph"/>
        <w:keepNext/>
        <w:keepLines/>
        <w:numPr>
          <w:ilvl w:val="1"/>
          <w:numId w:val="15"/>
        </w:numPr>
        <w:spacing w:after="0" w:line="360" w:lineRule="auto"/>
        <w:outlineLvl w:val="1"/>
        <w:rPr>
          <w:rFonts w:asciiTheme="majorBidi" w:eastAsia="Times New Roman" w:hAnsiTheme="majorBidi" w:cstheme="majorBidi"/>
          <w:b/>
          <w:bCs/>
          <w:sz w:val="24"/>
          <w:szCs w:val="24"/>
        </w:rPr>
      </w:pPr>
      <w:bookmarkStart w:id="433" w:name="_Toc46338269"/>
      <w:bookmarkStart w:id="434" w:name="_Toc46338626"/>
      <w:bookmarkStart w:id="435" w:name="_Toc46339126"/>
      <w:bookmarkStart w:id="436" w:name="_Toc72665421"/>
      <w:bookmarkStart w:id="437" w:name="_Toc72742675"/>
      <w:bookmarkStart w:id="438" w:name="_Toc73271898"/>
      <w:bookmarkStart w:id="439" w:name="_Toc183425120"/>
      <w:bookmarkStart w:id="440" w:name="_Toc183425211"/>
      <w:bookmarkStart w:id="441" w:name="_Toc183426897"/>
      <w:bookmarkStart w:id="442" w:name="_Toc193282204"/>
      <w:bookmarkStart w:id="443" w:name="_Toc193282370"/>
      <w:bookmarkStart w:id="444" w:name="_Toc193846427"/>
      <w:bookmarkStart w:id="445" w:name="_Hlk193443111"/>
      <w:r w:rsidRPr="006D3D71">
        <w:rPr>
          <w:rFonts w:asciiTheme="majorBidi" w:eastAsia="Times New Roman" w:hAnsiTheme="majorBidi" w:cstheme="majorBidi"/>
          <w:b/>
          <w:bCs/>
          <w:sz w:val="24"/>
          <w:szCs w:val="24"/>
        </w:rPr>
        <w:t>Conceptual framework</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2B1F3B5B" w14:textId="38428E92" w:rsidR="003F0834" w:rsidRPr="006D3D71" w:rsidRDefault="003F0834" w:rsidP="006D3D71">
      <w:pPr>
        <w:spacing w:line="360" w:lineRule="auto"/>
        <w:rPr>
          <w:rFonts w:asciiTheme="majorBidi" w:hAnsiTheme="majorBidi" w:cstheme="majorBidi"/>
          <w:sz w:val="24"/>
          <w:szCs w:val="24"/>
        </w:rPr>
      </w:pPr>
      <w:r w:rsidRPr="006D3D71">
        <w:rPr>
          <w:rFonts w:asciiTheme="majorBidi" w:eastAsia="Times New Roman" w:hAnsiTheme="majorBidi" w:cstheme="majorBidi"/>
          <w:sz w:val="24"/>
          <w:szCs w:val="24"/>
        </w:rPr>
        <w:t xml:space="preserve">A conceptual framework is an analytical tool with several variation and contexts. It is used to make conceptual distinctions and organize idea (Rosen and Wow, 1991). </w:t>
      </w:r>
      <w:r w:rsidRPr="006D3D71">
        <w:rPr>
          <w:rFonts w:asciiTheme="majorBidi" w:hAnsiTheme="majorBidi" w:cstheme="majorBidi"/>
          <w:sz w:val="24"/>
          <w:szCs w:val="24"/>
        </w:rPr>
        <w:t xml:space="preserve">This section describes the independent variable, the dependent variables and intervening variable on which the study will focus. The independent variable is risk management measured by </w:t>
      </w:r>
      <w:r w:rsidR="00BA6805" w:rsidRPr="006D3D71">
        <w:rPr>
          <w:rFonts w:asciiTheme="majorBidi" w:hAnsiTheme="majorBidi" w:cstheme="majorBidi"/>
          <w:sz w:val="24"/>
          <w:szCs w:val="24"/>
        </w:rPr>
        <w:t xml:space="preserve">Borrower Creditworthiness </w:t>
      </w:r>
      <w:r w:rsidR="008C44E3" w:rsidRPr="006D3D71">
        <w:rPr>
          <w:rFonts w:asciiTheme="majorBidi" w:hAnsiTheme="majorBidi" w:cstheme="majorBidi"/>
          <w:sz w:val="24"/>
          <w:szCs w:val="24"/>
        </w:rPr>
        <w:t>Assessment</w:t>
      </w:r>
      <w:r w:rsidR="008C44E3" w:rsidRPr="006D3D71">
        <w:rPr>
          <w:rStyle w:val="Strong"/>
          <w:rFonts w:asciiTheme="majorBidi" w:hAnsiTheme="majorBidi" w:cstheme="majorBidi"/>
          <w:b w:val="0"/>
          <w:bCs w:val="0"/>
          <w:sz w:val="24"/>
          <w:szCs w:val="24"/>
        </w:rPr>
        <w:t>, Credit</w:t>
      </w:r>
      <w:r w:rsidR="00BA6805" w:rsidRPr="006D3D71">
        <w:rPr>
          <w:rStyle w:val="Strong"/>
          <w:rFonts w:asciiTheme="majorBidi" w:hAnsiTheme="majorBidi" w:cstheme="majorBidi"/>
          <w:b w:val="0"/>
          <w:bCs w:val="0"/>
          <w:sz w:val="24"/>
          <w:szCs w:val="24"/>
        </w:rPr>
        <w:t xml:space="preserve"> Concentration Risk</w:t>
      </w:r>
      <w:r w:rsidR="00BA6805" w:rsidRPr="006D3D71">
        <w:rPr>
          <w:rFonts w:asciiTheme="majorBidi" w:hAnsiTheme="majorBidi" w:cstheme="majorBidi"/>
          <w:sz w:val="24"/>
          <w:szCs w:val="24"/>
        </w:rPr>
        <w:t xml:space="preserve">, Debt Restructuring &amp; Recovery </w:t>
      </w:r>
      <w:r w:rsidR="008C44E3" w:rsidRPr="006D3D71">
        <w:rPr>
          <w:rFonts w:asciiTheme="majorBidi" w:hAnsiTheme="majorBidi" w:cstheme="majorBidi"/>
          <w:sz w:val="24"/>
          <w:szCs w:val="24"/>
        </w:rPr>
        <w:t>Strategies</w:t>
      </w:r>
      <w:r w:rsidR="008C44E3" w:rsidRPr="006D3D71">
        <w:rPr>
          <w:rStyle w:val="Strong"/>
          <w:rFonts w:asciiTheme="majorBidi" w:hAnsiTheme="majorBidi" w:cstheme="majorBidi"/>
          <w:sz w:val="24"/>
          <w:szCs w:val="24"/>
        </w:rPr>
        <w:t xml:space="preserve">, </w:t>
      </w:r>
      <w:r w:rsidR="008C44E3" w:rsidRPr="006D3D71">
        <w:rPr>
          <w:rStyle w:val="Strong"/>
          <w:rFonts w:asciiTheme="majorBidi" w:hAnsiTheme="majorBidi" w:cstheme="majorBidi"/>
          <w:b w:val="0"/>
          <w:bCs w:val="0"/>
          <w:sz w:val="24"/>
          <w:szCs w:val="24"/>
        </w:rPr>
        <w:t>Borrower</w:t>
      </w:r>
      <w:r w:rsidR="00BA6805" w:rsidRPr="006D3D71">
        <w:rPr>
          <w:rStyle w:val="Strong"/>
          <w:rFonts w:asciiTheme="majorBidi" w:hAnsiTheme="majorBidi" w:cstheme="majorBidi"/>
          <w:b w:val="0"/>
          <w:bCs w:val="0"/>
          <w:sz w:val="24"/>
          <w:szCs w:val="24"/>
        </w:rPr>
        <w:t xml:space="preserve"> Creditworthiness </w:t>
      </w:r>
      <w:r w:rsidR="008C44E3" w:rsidRPr="006D3D71">
        <w:rPr>
          <w:rStyle w:val="Strong"/>
          <w:rFonts w:asciiTheme="majorBidi" w:hAnsiTheme="majorBidi" w:cstheme="majorBidi"/>
          <w:b w:val="0"/>
          <w:bCs w:val="0"/>
          <w:sz w:val="24"/>
          <w:szCs w:val="24"/>
        </w:rPr>
        <w:t>Assessment, Credit</w:t>
      </w:r>
      <w:r w:rsidR="00BA6805" w:rsidRPr="006D3D71">
        <w:rPr>
          <w:rFonts w:asciiTheme="majorBidi" w:hAnsiTheme="majorBidi" w:cstheme="majorBidi"/>
          <w:sz w:val="24"/>
          <w:szCs w:val="24"/>
        </w:rPr>
        <w:t xml:space="preserve"> Risk Monitoring </w:t>
      </w:r>
      <w:r w:rsidR="003832D7" w:rsidRPr="006D3D71">
        <w:rPr>
          <w:rFonts w:asciiTheme="majorBidi" w:hAnsiTheme="majorBidi" w:cstheme="majorBidi"/>
          <w:sz w:val="24"/>
          <w:szCs w:val="24"/>
        </w:rPr>
        <w:t>Frequency,</w:t>
      </w:r>
      <w:r w:rsidRPr="006D3D71">
        <w:rPr>
          <w:rFonts w:asciiTheme="majorBidi" w:hAnsiTheme="majorBidi" w:cstheme="majorBidi"/>
          <w:sz w:val="24"/>
          <w:szCs w:val="24"/>
        </w:rPr>
        <w:t xml:space="preserve"> </w:t>
      </w:r>
      <w:r w:rsidR="00E072CA" w:rsidRPr="006D3D71">
        <w:rPr>
          <w:rFonts w:asciiTheme="majorBidi" w:hAnsiTheme="majorBidi" w:cstheme="majorBidi"/>
          <w:sz w:val="24"/>
          <w:szCs w:val="24"/>
        </w:rPr>
        <w:t xml:space="preserve">Collateral </w:t>
      </w:r>
      <w:r w:rsidR="003832D7" w:rsidRPr="006D3D71">
        <w:rPr>
          <w:rFonts w:asciiTheme="majorBidi" w:hAnsiTheme="majorBidi" w:cstheme="majorBidi"/>
          <w:sz w:val="24"/>
          <w:szCs w:val="24"/>
        </w:rPr>
        <w:t>Management, Credit risk rating systems</w:t>
      </w:r>
      <w:r w:rsidR="003832D7" w:rsidRPr="006D3D71">
        <w:rPr>
          <w:rFonts w:asciiTheme="majorBidi" w:hAnsiTheme="majorBidi" w:cstheme="majorBidi"/>
          <w:b/>
          <w:bCs/>
          <w:sz w:val="24"/>
          <w:szCs w:val="24"/>
        </w:rPr>
        <w:t xml:space="preserve"> </w:t>
      </w:r>
      <w:r w:rsidRPr="006D3D71">
        <w:rPr>
          <w:rFonts w:asciiTheme="majorBidi" w:hAnsiTheme="majorBidi" w:cstheme="majorBidi"/>
          <w:sz w:val="24"/>
          <w:szCs w:val="24"/>
        </w:rPr>
        <w:t>the dependent variable is financial performance measured by return on assets ratio while the intervening variable is bank size. This study largely demonstrated the relationship between risk management and financial performance in GT Bank Plc.</w:t>
      </w:r>
    </w:p>
    <w:p w14:paraId="6834CC0D" w14:textId="29050DC5" w:rsidR="003F0834" w:rsidRPr="006D3D71" w:rsidRDefault="003F0834" w:rsidP="006D3D71">
      <w:pPr>
        <w:spacing w:after="0" w:line="360" w:lineRule="auto"/>
        <w:jc w:val="both"/>
        <w:rPr>
          <w:rFonts w:asciiTheme="majorBidi" w:hAnsiTheme="majorBidi" w:cstheme="majorBidi"/>
          <w:b/>
          <w:sz w:val="24"/>
          <w:szCs w:val="24"/>
        </w:rPr>
      </w:pPr>
      <w:bookmarkStart w:id="446" w:name="_Hlk187141543"/>
      <w:r w:rsidRPr="006D3D71">
        <w:rPr>
          <w:rFonts w:asciiTheme="majorBidi" w:hAnsiTheme="majorBidi" w:cstheme="majorBidi"/>
          <w:b/>
          <w:sz w:val="24"/>
          <w:szCs w:val="24"/>
        </w:rPr>
        <w:t xml:space="preserve">Independent </w:t>
      </w:r>
      <w:commentRangeStart w:id="447"/>
      <w:r w:rsidRPr="006D3D71">
        <w:rPr>
          <w:rFonts w:asciiTheme="majorBidi" w:hAnsiTheme="majorBidi" w:cstheme="majorBidi"/>
          <w:b/>
          <w:sz w:val="24"/>
          <w:szCs w:val="24"/>
        </w:rPr>
        <w:t>Variable</w:t>
      </w:r>
      <w:commentRangeEnd w:id="447"/>
      <w:r w:rsidR="00F649DF" w:rsidRPr="006D3D71">
        <w:rPr>
          <w:rStyle w:val="CommentReference"/>
          <w:rFonts w:asciiTheme="majorBidi" w:eastAsia="Calibri" w:hAnsiTheme="majorBidi" w:cstheme="majorBidi"/>
          <w:sz w:val="24"/>
          <w:szCs w:val="24"/>
        </w:rPr>
        <w:commentReference w:id="447"/>
      </w:r>
      <w:r w:rsidRPr="006D3D71">
        <w:rPr>
          <w:rFonts w:asciiTheme="majorBidi" w:hAnsiTheme="majorBidi" w:cstheme="majorBidi"/>
          <w:b/>
          <w:sz w:val="24"/>
          <w:szCs w:val="24"/>
        </w:rPr>
        <w:t xml:space="preserve">                                                                          Dependent Variable</w:t>
      </w:r>
    </w:p>
    <w:p w14:paraId="4C84FF31" w14:textId="24FCD14B" w:rsidR="003F0834" w:rsidRPr="006D3D71" w:rsidRDefault="007F4D54" w:rsidP="006D3D71">
      <w:pPr>
        <w:spacing w:after="0" w:line="360" w:lineRule="auto"/>
        <w:jc w:val="both"/>
        <w:rPr>
          <w:rFonts w:asciiTheme="majorBidi" w:hAnsiTheme="majorBidi" w:cstheme="majorBidi"/>
          <w:b/>
          <w:sz w:val="24"/>
          <w:szCs w:val="24"/>
        </w:rPr>
      </w:pPr>
      <w:r w:rsidRPr="006D3D71">
        <w:rPr>
          <w:rFonts w:asciiTheme="majorBidi" w:hAnsiTheme="majorBidi" w:cstheme="majorBidi"/>
          <w:noProof/>
          <w:sz w:val="24"/>
          <w:szCs w:val="24"/>
          <w:lang w:val="en-IN" w:eastAsia="en-IN"/>
        </w:rPr>
        <mc:AlternateContent>
          <mc:Choice Requires="wps">
            <w:drawing>
              <wp:anchor distT="0" distB="0" distL="0" distR="0" simplePos="0" relativeHeight="251659264" behindDoc="0" locked="0" layoutInCell="1" allowOverlap="1" wp14:anchorId="44FD63E1" wp14:editId="50A27238">
                <wp:simplePos x="0" y="0"/>
                <wp:positionH relativeFrom="column">
                  <wp:posOffset>3288323</wp:posOffset>
                </wp:positionH>
                <wp:positionV relativeFrom="paragraph">
                  <wp:posOffset>188497</wp:posOffset>
                </wp:positionV>
                <wp:extent cx="2886075" cy="2039816"/>
                <wp:effectExtent l="0" t="0" r="28575" b="17780"/>
                <wp:wrapNone/>
                <wp:docPr id="5" name="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6075" cy="2039816"/>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F09279" w14:textId="77777777" w:rsidR="000A3769" w:rsidRDefault="000A3769" w:rsidP="003F0834">
                            <w:pPr>
                              <w:jc w:val="center"/>
                              <w:rPr>
                                <w:rFonts w:ascii="Times New Roman" w:hAnsi="Times New Roman"/>
                                <w:b/>
                                <w:bCs/>
                                <w:color w:val="000000"/>
                                <w:szCs w:val="20"/>
                                <w:u w:val="single"/>
                              </w:rPr>
                            </w:pPr>
                            <w:r>
                              <w:rPr>
                                <w:rFonts w:ascii="Times New Roman" w:hAnsi="Times New Roman"/>
                                <w:b/>
                                <w:bCs/>
                                <w:color w:val="000000"/>
                                <w:szCs w:val="20"/>
                                <w:u w:val="single"/>
                              </w:rPr>
                              <w:t>Financial performance</w:t>
                            </w:r>
                          </w:p>
                          <w:p w14:paraId="6530092A" w14:textId="77777777" w:rsidR="000A3769" w:rsidRPr="00BF2842" w:rsidRDefault="00C40875" w:rsidP="00504E71">
                            <w:pPr>
                              <w:pStyle w:val="ListParagraph"/>
                              <w:numPr>
                                <w:ilvl w:val="0"/>
                                <w:numId w:val="2"/>
                              </w:numPr>
                              <w:spacing w:after="0" w:line="360" w:lineRule="auto"/>
                              <w:jc w:val="both"/>
                              <w:rPr>
                                <w:rFonts w:ascii="Times New Roman" w:hAnsi="Times New Roman" w:cs="Times New Roman"/>
                              </w:rPr>
                            </w:pPr>
                            <w:hyperlink r:id="rId10" w:history="1">
                              <w:r w:rsidR="000A3769" w:rsidRPr="00BF2842">
                                <w:rPr>
                                  <w:rStyle w:val="Hyperlink"/>
                                  <w:rFonts w:ascii="Times New Roman" w:hAnsi="Times New Roman" w:cs="Times New Roman"/>
                                  <w:color w:val="auto"/>
                                  <w:u w:val="none"/>
                                </w:rPr>
                                <w:t xml:space="preserve">Net </w:t>
                              </w:r>
                            </w:hyperlink>
                            <w:r w:rsidR="000A3769" w:rsidRPr="00BF2842">
                              <w:rPr>
                                <w:rFonts w:ascii="Times New Roman" w:hAnsi="Times New Roman" w:cs="Times New Roman"/>
                              </w:rPr>
                              <w:t xml:space="preserve"> interest   Margin </w:t>
                            </w:r>
                          </w:p>
                          <w:p w14:paraId="7EDC8EF5" w14:textId="77777777" w:rsidR="000A3769" w:rsidRPr="00BF2842" w:rsidRDefault="00C40875" w:rsidP="00504E71">
                            <w:pPr>
                              <w:pStyle w:val="ListParagraph"/>
                              <w:numPr>
                                <w:ilvl w:val="0"/>
                                <w:numId w:val="2"/>
                              </w:numPr>
                              <w:spacing w:after="0" w:line="360" w:lineRule="auto"/>
                              <w:jc w:val="both"/>
                              <w:rPr>
                                <w:rFonts w:ascii="Times New Roman" w:hAnsi="Times New Roman" w:cs="Times New Roman"/>
                              </w:rPr>
                            </w:pPr>
                            <w:hyperlink r:id="rId11" w:history="1">
                              <w:r w:rsidR="000A3769" w:rsidRPr="00BF2842">
                                <w:rPr>
                                  <w:rStyle w:val="Hyperlink"/>
                                  <w:rFonts w:ascii="Times New Roman" w:hAnsi="Times New Roman" w:cs="Times New Roman"/>
                                  <w:color w:val="auto"/>
                                  <w:u w:val="none"/>
                                </w:rPr>
                                <w:t>Return on Equity</w:t>
                              </w:r>
                            </w:hyperlink>
                          </w:p>
                          <w:p w14:paraId="6E655320" w14:textId="77777777" w:rsidR="000A3769" w:rsidRPr="00BF2842" w:rsidRDefault="000A3769" w:rsidP="00504E71">
                            <w:pPr>
                              <w:pStyle w:val="ListParagraph"/>
                              <w:numPr>
                                <w:ilvl w:val="0"/>
                                <w:numId w:val="2"/>
                              </w:numPr>
                              <w:tabs>
                                <w:tab w:val="left" w:pos="725"/>
                              </w:tabs>
                              <w:autoSpaceDE w:val="0"/>
                              <w:autoSpaceDN w:val="0"/>
                              <w:adjustRightInd w:val="0"/>
                              <w:spacing w:after="0" w:line="360" w:lineRule="auto"/>
                              <w:jc w:val="both"/>
                              <w:rPr>
                                <w:rFonts w:ascii="Times New Roman" w:hAnsi="Times New Roman" w:cs="Times New Roman"/>
                              </w:rPr>
                            </w:pPr>
                            <w:r w:rsidRPr="00BF2842">
                              <w:rPr>
                                <w:rFonts w:ascii="Times New Roman" w:hAnsi="Times New Roman" w:cs="Times New Roman"/>
                              </w:rPr>
                              <w:t xml:space="preserve">Return on Assets </w:t>
                            </w:r>
                          </w:p>
                          <w:p w14:paraId="4032D1DC" w14:textId="77777777" w:rsidR="000A3769" w:rsidRPr="00BF2842" w:rsidRDefault="000A3769" w:rsidP="00504E71">
                            <w:pPr>
                              <w:pStyle w:val="ListParagraph"/>
                              <w:numPr>
                                <w:ilvl w:val="0"/>
                                <w:numId w:val="2"/>
                              </w:numPr>
                              <w:tabs>
                                <w:tab w:val="left" w:pos="725"/>
                              </w:tabs>
                              <w:autoSpaceDE w:val="0"/>
                              <w:autoSpaceDN w:val="0"/>
                              <w:adjustRightInd w:val="0"/>
                              <w:spacing w:after="0" w:line="360" w:lineRule="auto"/>
                              <w:jc w:val="both"/>
                              <w:rPr>
                                <w:rFonts w:ascii="Times New Roman" w:hAnsi="Times New Roman" w:cs="Times New Roman"/>
                              </w:rPr>
                            </w:pPr>
                            <w:r w:rsidRPr="00BF2842">
                              <w:rPr>
                                <w:rFonts w:ascii="Times New Roman" w:hAnsi="Times New Roman" w:cs="Times New Roman"/>
                              </w:rPr>
                              <w:t>Cash Ratio</w:t>
                            </w:r>
                          </w:p>
                          <w:p w14:paraId="78A9B9AA" w14:textId="77777777" w:rsidR="000A3769" w:rsidRPr="00BF2842" w:rsidRDefault="000A3769" w:rsidP="00504E71">
                            <w:pPr>
                              <w:pStyle w:val="ListParagraph"/>
                              <w:numPr>
                                <w:ilvl w:val="0"/>
                                <w:numId w:val="2"/>
                              </w:numPr>
                              <w:tabs>
                                <w:tab w:val="left" w:pos="725"/>
                              </w:tabs>
                              <w:autoSpaceDE w:val="0"/>
                              <w:autoSpaceDN w:val="0"/>
                              <w:adjustRightInd w:val="0"/>
                              <w:spacing w:after="0" w:line="360" w:lineRule="auto"/>
                              <w:jc w:val="both"/>
                              <w:rPr>
                                <w:rFonts w:ascii="Times New Roman" w:hAnsi="Times New Roman" w:cs="Times New Roman"/>
                              </w:rPr>
                            </w:pPr>
                            <w:r w:rsidRPr="00BF2842">
                              <w:rPr>
                                <w:rFonts w:ascii="Times New Roman" w:hAnsi="Times New Roman" w:cs="Times New Roman"/>
                              </w:rPr>
                              <w:t>Liquidity to assets ratio</w:t>
                            </w:r>
                          </w:p>
                          <w:p w14:paraId="2244994F" w14:textId="77777777" w:rsidR="000A3769" w:rsidRPr="00BF2842" w:rsidRDefault="000A3769" w:rsidP="00504E71">
                            <w:pPr>
                              <w:pStyle w:val="ListParagraph"/>
                              <w:numPr>
                                <w:ilvl w:val="0"/>
                                <w:numId w:val="2"/>
                              </w:numPr>
                              <w:tabs>
                                <w:tab w:val="left" w:pos="725"/>
                              </w:tabs>
                              <w:autoSpaceDE w:val="0"/>
                              <w:autoSpaceDN w:val="0"/>
                              <w:adjustRightInd w:val="0"/>
                              <w:spacing w:after="0" w:line="360" w:lineRule="auto"/>
                              <w:jc w:val="both"/>
                              <w:rPr>
                                <w:rFonts w:ascii="Times New Roman" w:hAnsi="Times New Roman" w:cs="Times New Roman"/>
                              </w:rPr>
                            </w:pPr>
                            <w:r w:rsidRPr="00BF2842">
                              <w:rPr>
                                <w:rFonts w:ascii="Times New Roman" w:hAnsi="Times New Roman" w:cs="Times New Roman"/>
                              </w:rPr>
                              <w:t>Loans to Deposit Ratio</w:t>
                            </w:r>
                          </w:p>
                          <w:p w14:paraId="3CBA2A91" w14:textId="77777777" w:rsidR="000A3769" w:rsidRDefault="000A3769" w:rsidP="003F0834">
                            <w:pPr>
                              <w:spacing w:line="360" w:lineRule="auto"/>
                              <w:rPr>
                                <w:rFonts w:ascii="Times New Roman" w:hAnsi="Times New Roman"/>
                                <w:bCs/>
                                <w:color w:val="000000"/>
                                <w:szCs w:val="20"/>
                                <w:highlight w:val="yellow"/>
                              </w:rPr>
                            </w:pPr>
                            <w:r>
                              <w:rPr>
                                <w:rFonts w:ascii="Times New Roman" w:hAnsi="Times New Roman"/>
                                <w:bCs/>
                                <w:color w:val="000000"/>
                                <w:szCs w:val="20"/>
                                <w:highlight w:val="yellow"/>
                              </w:rPr>
                              <w:br/>
                            </w:r>
                          </w:p>
                          <w:p w14:paraId="4CFFBF5D" w14:textId="77777777" w:rsidR="000A3769" w:rsidRDefault="000A3769" w:rsidP="003F0834">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FD63E1" id="1026" o:spid="_x0000_s1026" style="position:absolute;left:0;text-align:left;margin-left:258.9pt;margin-top:14.85pt;width:227.25pt;height:160.6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" filled="f" strokeweight="2pt">
                <v:textbox>
                  <w:txbxContent>
                    <w:p w14:paraId="61F09279" w14:textId="77777777" w:rsidR="000A3769" w:rsidRDefault="000A3769" w:rsidP="003F0834">
                      <w:pPr>
                        <w:jc w:val="center"/>
                        <w:rPr>
                          <w:rFonts w:ascii="Times New Roman" w:hAnsi="Times New Roman"/>
                          <w:b/>
                          <w:bCs/>
                          <w:color w:val="000000"/>
                          <w:szCs w:val="20"/>
                          <w:u w:val="single"/>
                        </w:rPr>
                      </w:pPr>
                      <w:r>
                        <w:rPr>
                          <w:rFonts w:ascii="Times New Roman" w:hAnsi="Times New Roman"/>
                          <w:b/>
                          <w:bCs/>
                          <w:color w:val="000000"/>
                          <w:szCs w:val="20"/>
                          <w:u w:val="single"/>
                        </w:rPr>
                        <w:t>Financial performance</w:t>
                      </w:r>
                    </w:p>
                    <w:p w14:paraId="6530092A" w14:textId="77777777" w:rsidR="000A3769" w:rsidRPr="00BF2842" w:rsidRDefault="000A3769" w:rsidP="00504E71">
                      <w:pPr>
                        <w:pStyle w:val="ListParagraph"/>
                        <w:numPr>
                          <w:ilvl w:val="0"/>
                          <w:numId w:val="2"/>
                        </w:numPr>
                        <w:spacing w:after="0" w:line="360" w:lineRule="auto"/>
                        <w:jc w:val="both"/>
                        <w:rPr>
                          <w:rFonts w:ascii="Times New Roman" w:hAnsi="Times New Roman" w:cs="Times New Roman"/>
                        </w:rPr>
                      </w:pPr>
                      <w:hyperlink r:id="rId13" w:history="1">
                        <w:r w:rsidRPr="00BF2842">
                          <w:rPr>
                            <w:rStyle w:val="Hyperlink"/>
                            <w:rFonts w:ascii="Times New Roman" w:hAnsi="Times New Roman" w:cs="Times New Roman"/>
                            <w:color w:val="auto"/>
                            <w:u w:val="none"/>
                          </w:rPr>
                          <w:t xml:space="preserve">Net </w:t>
                        </w:r>
                      </w:hyperlink>
                      <w:r w:rsidRPr="00BF2842">
                        <w:rPr>
                          <w:rFonts w:ascii="Times New Roman" w:hAnsi="Times New Roman" w:cs="Times New Roman"/>
                        </w:rPr>
                        <w:t xml:space="preserve"> interest   Margin </w:t>
                      </w:r>
                    </w:p>
                    <w:p w14:paraId="7EDC8EF5" w14:textId="77777777" w:rsidR="000A3769" w:rsidRPr="00BF2842" w:rsidRDefault="000A3769" w:rsidP="00504E71">
                      <w:pPr>
                        <w:pStyle w:val="ListParagraph"/>
                        <w:numPr>
                          <w:ilvl w:val="0"/>
                          <w:numId w:val="2"/>
                        </w:numPr>
                        <w:spacing w:after="0" w:line="360" w:lineRule="auto"/>
                        <w:jc w:val="both"/>
                        <w:rPr>
                          <w:rFonts w:ascii="Times New Roman" w:hAnsi="Times New Roman" w:cs="Times New Roman"/>
                        </w:rPr>
                      </w:pPr>
                      <w:hyperlink r:id="rId14" w:history="1">
                        <w:r w:rsidRPr="00BF2842">
                          <w:rPr>
                            <w:rStyle w:val="Hyperlink"/>
                            <w:rFonts w:ascii="Times New Roman" w:hAnsi="Times New Roman" w:cs="Times New Roman"/>
                            <w:color w:val="auto"/>
                            <w:u w:val="none"/>
                          </w:rPr>
                          <w:t>Return on Equity</w:t>
                        </w:r>
                      </w:hyperlink>
                    </w:p>
                    <w:p w14:paraId="6E655320" w14:textId="77777777" w:rsidR="000A3769" w:rsidRPr="00BF2842" w:rsidRDefault="000A3769" w:rsidP="00504E71">
                      <w:pPr>
                        <w:pStyle w:val="ListParagraph"/>
                        <w:numPr>
                          <w:ilvl w:val="0"/>
                          <w:numId w:val="2"/>
                        </w:numPr>
                        <w:tabs>
                          <w:tab w:val="left" w:pos="725"/>
                        </w:tabs>
                        <w:autoSpaceDE w:val="0"/>
                        <w:autoSpaceDN w:val="0"/>
                        <w:adjustRightInd w:val="0"/>
                        <w:spacing w:after="0" w:line="360" w:lineRule="auto"/>
                        <w:jc w:val="both"/>
                        <w:rPr>
                          <w:rFonts w:ascii="Times New Roman" w:hAnsi="Times New Roman" w:cs="Times New Roman"/>
                        </w:rPr>
                      </w:pPr>
                      <w:r w:rsidRPr="00BF2842">
                        <w:rPr>
                          <w:rFonts w:ascii="Times New Roman" w:hAnsi="Times New Roman" w:cs="Times New Roman"/>
                        </w:rPr>
                        <w:t xml:space="preserve">Return on Assets </w:t>
                      </w:r>
                    </w:p>
                    <w:p w14:paraId="4032D1DC" w14:textId="77777777" w:rsidR="000A3769" w:rsidRPr="00BF2842" w:rsidRDefault="000A3769" w:rsidP="00504E71">
                      <w:pPr>
                        <w:pStyle w:val="ListParagraph"/>
                        <w:numPr>
                          <w:ilvl w:val="0"/>
                          <w:numId w:val="2"/>
                        </w:numPr>
                        <w:tabs>
                          <w:tab w:val="left" w:pos="725"/>
                        </w:tabs>
                        <w:autoSpaceDE w:val="0"/>
                        <w:autoSpaceDN w:val="0"/>
                        <w:adjustRightInd w:val="0"/>
                        <w:spacing w:after="0" w:line="360" w:lineRule="auto"/>
                        <w:jc w:val="both"/>
                        <w:rPr>
                          <w:rFonts w:ascii="Times New Roman" w:hAnsi="Times New Roman" w:cs="Times New Roman"/>
                        </w:rPr>
                      </w:pPr>
                      <w:r w:rsidRPr="00BF2842">
                        <w:rPr>
                          <w:rFonts w:ascii="Times New Roman" w:hAnsi="Times New Roman" w:cs="Times New Roman"/>
                        </w:rPr>
                        <w:t>Cash Ratio</w:t>
                      </w:r>
                    </w:p>
                    <w:p w14:paraId="78A9B9AA" w14:textId="77777777" w:rsidR="000A3769" w:rsidRPr="00BF2842" w:rsidRDefault="000A3769" w:rsidP="00504E71">
                      <w:pPr>
                        <w:pStyle w:val="ListParagraph"/>
                        <w:numPr>
                          <w:ilvl w:val="0"/>
                          <w:numId w:val="2"/>
                        </w:numPr>
                        <w:tabs>
                          <w:tab w:val="left" w:pos="725"/>
                        </w:tabs>
                        <w:autoSpaceDE w:val="0"/>
                        <w:autoSpaceDN w:val="0"/>
                        <w:adjustRightInd w:val="0"/>
                        <w:spacing w:after="0" w:line="360" w:lineRule="auto"/>
                        <w:jc w:val="both"/>
                        <w:rPr>
                          <w:rFonts w:ascii="Times New Roman" w:hAnsi="Times New Roman" w:cs="Times New Roman"/>
                        </w:rPr>
                      </w:pPr>
                      <w:r w:rsidRPr="00BF2842">
                        <w:rPr>
                          <w:rFonts w:ascii="Times New Roman" w:hAnsi="Times New Roman" w:cs="Times New Roman"/>
                        </w:rPr>
                        <w:t>Liquidity to assets ratio</w:t>
                      </w:r>
                    </w:p>
                    <w:p w14:paraId="2244994F" w14:textId="77777777" w:rsidR="000A3769" w:rsidRPr="00BF2842" w:rsidRDefault="000A3769" w:rsidP="00504E71">
                      <w:pPr>
                        <w:pStyle w:val="ListParagraph"/>
                        <w:numPr>
                          <w:ilvl w:val="0"/>
                          <w:numId w:val="2"/>
                        </w:numPr>
                        <w:tabs>
                          <w:tab w:val="left" w:pos="725"/>
                        </w:tabs>
                        <w:autoSpaceDE w:val="0"/>
                        <w:autoSpaceDN w:val="0"/>
                        <w:adjustRightInd w:val="0"/>
                        <w:spacing w:after="0" w:line="360" w:lineRule="auto"/>
                        <w:jc w:val="both"/>
                        <w:rPr>
                          <w:rFonts w:ascii="Times New Roman" w:hAnsi="Times New Roman" w:cs="Times New Roman"/>
                        </w:rPr>
                      </w:pPr>
                      <w:r w:rsidRPr="00BF2842">
                        <w:rPr>
                          <w:rFonts w:ascii="Times New Roman" w:hAnsi="Times New Roman" w:cs="Times New Roman"/>
                        </w:rPr>
                        <w:t>Loans to Deposit Ratio</w:t>
                      </w:r>
                    </w:p>
                    <w:p w14:paraId="3CBA2A91" w14:textId="77777777" w:rsidR="000A3769" w:rsidRDefault="000A3769" w:rsidP="003F0834">
                      <w:pPr>
                        <w:spacing w:line="360" w:lineRule="auto"/>
                        <w:rPr>
                          <w:rFonts w:ascii="Times New Roman" w:hAnsi="Times New Roman"/>
                          <w:bCs/>
                          <w:color w:val="000000"/>
                          <w:szCs w:val="20"/>
                          <w:highlight w:val="yellow"/>
                        </w:rPr>
                      </w:pPr>
                      <w:r>
                        <w:rPr>
                          <w:rFonts w:ascii="Times New Roman" w:hAnsi="Times New Roman"/>
                          <w:bCs/>
                          <w:color w:val="000000"/>
                          <w:szCs w:val="20"/>
                          <w:highlight w:val="yellow"/>
                        </w:rPr>
                        <w:br/>
                      </w:r>
                    </w:p>
                    <w:p w14:paraId="4CFFBF5D" w14:textId="77777777" w:rsidR="000A3769" w:rsidRDefault="000A3769" w:rsidP="003F0834">
                      <w:pPr>
                        <w:jc w:val="center"/>
                      </w:pPr>
                    </w:p>
                  </w:txbxContent>
                </v:textbox>
              </v:rect>
            </w:pict>
          </mc:Fallback>
        </mc:AlternateContent>
      </w:r>
      <w:r w:rsidRPr="006D3D71">
        <w:rPr>
          <w:rFonts w:asciiTheme="majorBidi" w:hAnsiTheme="majorBidi" w:cstheme="majorBidi"/>
          <w:noProof/>
          <w:sz w:val="24"/>
          <w:szCs w:val="24"/>
          <w:lang w:val="en-IN" w:eastAsia="en-IN"/>
        </w:rPr>
        <mc:AlternateContent>
          <mc:Choice Requires="wps">
            <w:drawing>
              <wp:anchor distT="0" distB="0" distL="0" distR="0" simplePos="0" relativeHeight="251660288" behindDoc="0" locked="0" layoutInCell="1" allowOverlap="1" wp14:anchorId="7EF9634C" wp14:editId="3DF48907">
                <wp:simplePos x="0" y="0"/>
                <wp:positionH relativeFrom="margin">
                  <wp:posOffset>-298938</wp:posOffset>
                </wp:positionH>
                <wp:positionV relativeFrom="paragraph">
                  <wp:posOffset>144537</wp:posOffset>
                </wp:positionV>
                <wp:extent cx="3314700" cy="2118946"/>
                <wp:effectExtent l="0" t="0" r="19050" b="15240"/>
                <wp:wrapNone/>
                <wp:docPr id="4" name="10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118946"/>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919E4D" w14:textId="77777777" w:rsidR="000A3769" w:rsidRDefault="000A3769" w:rsidP="003F0834">
                            <w:pPr>
                              <w:pBdr>
                                <w:bottom w:val="single" w:sz="8" w:space="1" w:color="000000"/>
                              </w:pBdr>
                              <w:autoSpaceDE w:val="0"/>
                              <w:autoSpaceDN w:val="0"/>
                              <w:adjustRightInd w:val="0"/>
                              <w:spacing w:after="0" w:line="240" w:lineRule="auto"/>
                              <w:rPr>
                                <w:rFonts w:ascii="Times New Roman" w:hAnsi="Times New Roman"/>
                                <w:color w:val="000000"/>
                                <w:szCs w:val="20"/>
                              </w:rPr>
                            </w:pPr>
                            <w:r>
                              <w:rPr>
                                <w:rFonts w:ascii="Times New Roman" w:hAnsi="Times New Roman"/>
                                <w:b/>
                                <w:bCs/>
                                <w:color w:val="000000"/>
                                <w:szCs w:val="20"/>
                              </w:rPr>
                              <w:t xml:space="preserve">Credit risk Management </w:t>
                            </w:r>
                          </w:p>
                          <w:p w14:paraId="3A72BD86" w14:textId="77777777" w:rsidR="000A3769" w:rsidRDefault="000A3769" w:rsidP="003F0834">
                            <w:pPr>
                              <w:pStyle w:val="ListParagraph"/>
                              <w:spacing w:after="0" w:line="360" w:lineRule="auto"/>
                              <w:rPr>
                                <w:rFonts w:ascii="Times New Roman" w:hAnsi="Times New Roman"/>
                                <w:bCs/>
                              </w:rPr>
                            </w:pPr>
                          </w:p>
                          <w:p w14:paraId="0EF3A36B" w14:textId="77777777" w:rsidR="000A3769" w:rsidRDefault="000A3769" w:rsidP="00504E71">
                            <w:pPr>
                              <w:pStyle w:val="ListParagraph"/>
                              <w:numPr>
                                <w:ilvl w:val="0"/>
                                <w:numId w:val="1"/>
                              </w:numPr>
                              <w:spacing w:after="0" w:line="360" w:lineRule="auto"/>
                              <w:rPr>
                                <w:rStyle w:val="Strong"/>
                                <w:rFonts w:ascii="Times New Roman" w:hAnsi="Times New Roman" w:cs="Times New Roman"/>
                                <w:b w:val="0"/>
                                <w:bCs w:val="0"/>
                                <w:sz w:val="24"/>
                                <w:szCs w:val="24"/>
                              </w:rPr>
                            </w:pPr>
                            <w:bookmarkStart w:id="448" w:name="_Hlk193434605"/>
                            <w:r w:rsidRPr="00E626FE">
                              <w:rPr>
                                <w:rFonts w:ascii="Times New Roman" w:hAnsi="Times New Roman" w:cs="Times New Roman"/>
                                <w:sz w:val="24"/>
                                <w:szCs w:val="24"/>
                              </w:rPr>
                              <w:t>Borrower Creditworthiness Assessment</w:t>
                            </w:r>
                            <w:r w:rsidRPr="00E626FE">
                              <w:rPr>
                                <w:rStyle w:val="Strong"/>
                                <w:rFonts w:ascii="Times New Roman" w:hAnsi="Times New Roman" w:cs="Times New Roman"/>
                                <w:b w:val="0"/>
                                <w:bCs w:val="0"/>
                                <w:sz w:val="24"/>
                                <w:szCs w:val="24"/>
                              </w:rPr>
                              <w:t xml:space="preserve"> </w:t>
                            </w:r>
                          </w:p>
                          <w:p w14:paraId="21A24B69" w14:textId="530E6C1E" w:rsidR="000A3769" w:rsidRPr="007F4D54" w:rsidRDefault="000A3769" w:rsidP="007F4D54">
                            <w:pPr>
                              <w:pStyle w:val="ListParagraph"/>
                              <w:numPr>
                                <w:ilvl w:val="0"/>
                                <w:numId w:val="17"/>
                              </w:numPr>
                              <w:rPr>
                                <w:rFonts w:ascii="Times New Roman" w:hAnsi="Times New Roman" w:cs="Times New Roman"/>
                                <w:b/>
                                <w:bCs/>
                              </w:rPr>
                            </w:pPr>
                            <w:r w:rsidRPr="007F4D54">
                              <w:rPr>
                                <w:rStyle w:val="Strong"/>
                                <w:rFonts w:asciiTheme="majorBidi" w:hAnsiTheme="majorBidi" w:cstheme="majorBidi"/>
                                <w:b w:val="0"/>
                                <w:bCs w:val="0"/>
                                <w:sz w:val="24"/>
                                <w:szCs w:val="24"/>
                              </w:rPr>
                              <w:t>Credit Concentration Risk</w:t>
                            </w:r>
                          </w:p>
                          <w:p w14:paraId="5F2F668E" w14:textId="77777777" w:rsidR="000A3769" w:rsidRPr="00E626FE" w:rsidRDefault="000A3769" w:rsidP="00D475BA">
                            <w:pPr>
                              <w:pStyle w:val="ListParagraph"/>
                              <w:numPr>
                                <w:ilvl w:val="0"/>
                                <w:numId w:val="1"/>
                              </w:numPr>
                              <w:spacing w:line="360" w:lineRule="auto"/>
                              <w:rPr>
                                <w:rStyle w:val="Strong"/>
                                <w:rFonts w:ascii="Times New Roman" w:hAnsi="Times New Roman"/>
                                <w:b w:val="0"/>
                              </w:rPr>
                            </w:pPr>
                            <w:r w:rsidRPr="00E626FE">
                              <w:rPr>
                                <w:rFonts w:asciiTheme="majorBidi" w:hAnsiTheme="majorBidi" w:cstheme="majorBidi"/>
                                <w:sz w:val="24"/>
                                <w:szCs w:val="24"/>
                              </w:rPr>
                              <w:t>Debt Restructuring &amp; Recovery Strategies</w:t>
                            </w:r>
                            <w:r w:rsidRPr="00E626FE">
                              <w:rPr>
                                <w:rStyle w:val="Strong"/>
                                <w:rFonts w:asciiTheme="majorBidi" w:hAnsiTheme="majorBidi" w:cstheme="majorBidi"/>
                                <w:b w:val="0"/>
                                <w:bCs w:val="0"/>
                                <w:sz w:val="24"/>
                                <w:szCs w:val="24"/>
                              </w:rPr>
                              <w:t xml:space="preserve"> </w:t>
                            </w:r>
                          </w:p>
                          <w:p w14:paraId="6766D8AB" w14:textId="77777777" w:rsidR="000A3769" w:rsidRDefault="000A3769" w:rsidP="007F4D54">
                            <w:pPr>
                              <w:pStyle w:val="ListParagraph"/>
                              <w:numPr>
                                <w:ilvl w:val="0"/>
                                <w:numId w:val="18"/>
                              </w:numPr>
                            </w:pPr>
                            <w:r w:rsidRPr="00E072CA">
                              <w:t>Credit Risk Rating Systems</w:t>
                            </w:r>
                          </w:p>
                          <w:p w14:paraId="6F9304EA" w14:textId="77777777" w:rsidR="000A3769" w:rsidRPr="00E072CA" w:rsidRDefault="000A3769" w:rsidP="007F4D54">
                            <w:pPr>
                              <w:pStyle w:val="ListParagraph"/>
                              <w:numPr>
                                <w:ilvl w:val="0"/>
                                <w:numId w:val="18"/>
                              </w:numPr>
                            </w:pPr>
                            <w:r w:rsidRPr="00E072CA">
                              <w:t>Collateral Management</w:t>
                            </w:r>
                          </w:p>
                          <w:p w14:paraId="296AB14A" w14:textId="39AA6C47" w:rsidR="000A3769" w:rsidRPr="007F4D54" w:rsidRDefault="000A3769" w:rsidP="007F4D54">
                            <w:pPr>
                              <w:pStyle w:val="ListParagraph"/>
                              <w:numPr>
                                <w:ilvl w:val="0"/>
                                <w:numId w:val="18"/>
                              </w:numPr>
                              <w:rPr>
                                <w:rFonts w:ascii="Times New Roman" w:hAnsi="Times New Roman"/>
                              </w:rPr>
                            </w:pPr>
                            <w:r w:rsidRPr="007F4D54">
                              <w:rPr>
                                <w:rFonts w:ascii="Times New Roman" w:hAnsi="Times New Roman" w:cs="Times New Roman"/>
                              </w:rPr>
                              <w:t>Credit Risk Monitoring Frequency</w:t>
                            </w:r>
                          </w:p>
                          <w:bookmarkEnd w:id="448"/>
                          <w:p w14:paraId="33972415" w14:textId="77777777" w:rsidR="000A3769" w:rsidRPr="0068385B" w:rsidRDefault="000A3769" w:rsidP="003F0834">
                            <w:pPr>
                              <w:spacing w:after="0" w:line="360" w:lineRule="auto"/>
                              <w:ind w:left="360"/>
                              <w:rPr>
                                <w:rFonts w:ascii="Times New Roman" w:hAnsi="Times New Roman"/>
                                <w:bCs/>
                              </w:rPr>
                            </w:pPr>
                          </w:p>
                          <w:p w14:paraId="484FF965" w14:textId="77777777" w:rsidR="000A3769" w:rsidRDefault="000A3769" w:rsidP="003F0834">
                            <w:pPr>
                              <w:pStyle w:val="ListParagraph"/>
                              <w:spacing w:after="0" w:line="360" w:lineRule="auto"/>
                              <w:rPr>
                                <w:rFonts w:ascii="Times New Roman" w:hAnsi="Times New Roman"/>
                                <w:bC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F9634C" id="1027" o:spid="_x0000_s1027" style="position:absolute;left:0;text-align:left;margin-left:-23.55pt;margin-top:11.4pt;width:261pt;height:166.85pt;z-index:25166028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" filled="f" strokeweight="2pt">
                <v:textbox>
                  <w:txbxContent>
                    <w:p w14:paraId="31919E4D" w14:textId="77777777" w:rsidR="000A3769" w:rsidRDefault="000A3769" w:rsidP="003F0834">
                      <w:pPr>
                        <w:pBdr>
                          <w:bottom w:val="single" w:sz="8" w:space="1" w:color="000000"/>
                        </w:pBdr>
                        <w:autoSpaceDE w:val="0"/>
                        <w:autoSpaceDN w:val="0"/>
                        <w:adjustRightInd w:val="0"/>
                        <w:spacing w:after="0" w:line="240" w:lineRule="auto"/>
                        <w:rPr>
                          <w:rFonts w:ascii="Times New Roman" w:hAnsi="Times New Roman"/>
                          <w:color w:val="000000"/>
                          <w:szCs w:val="20"/>
                        </w:rPr>
                      </w:pPr>
                      <w:r>
                        <w:rPr>
                          <w:rFonts w:ascii="Times New Roman" w:hAnsi="Times New Roman"/>
                          <w:b/>
                          <w:bCs/>
                          <w:color w:val="000000"/>
                          <w:szCs w:val="20"/>
                        </w:rPr>
                        <w:t xml:space="preserve">Credit risk Management </w:t>
                      </w:r>
                    </w:p>
                    <w:p w14:paraId="3A72BD86" w14:textId="77777777" w:rsidR="000A3769" w:rsidRDefault="000A3769" w:rsidP="003F0834">
                      <w:pPr>
                        <w:pStyle w:val="ListParagraph"/>
                        <w:spacing w:after="0" w:line="360" w:lineRule="auto"/>
                        <w:rPr>
                          <w:rFonts w:ascii="Times New Roman" w:hAnsi="Times New Roman"/>
                          <w:bCs/>
                        </w:rPr>
                      </w:pPr>
                    </w:p>
                    <w:p w14:paraId="0EF3A36B" w14:textId="77777777" w:rsidR="000A3769" w:rsidRDefault="000A3769" w:rsidP="00504E71">
                      <w:pPr>
                        <w:pStyle w:val="ListParagraph"/>
                        <w:numPr>
                          <w:ilvl w:val="0"/>
                          <w:numId w:val="1"/>
                        </w:numPr>
                        <w:spacing w:after="0" w:line="360" w:lineRule="auto"/>
                        <w:rPr>
                          <w:rStyle w:val="Strong"/>
                          <w:rFonts w:ascii="Times New Roman" w:hAnsi="Times New Roman" w:cs="Times New Roman"/>
                          <w:b w:val="0"/>
                          <w:bCs w:val="0"/>
                          <w:sz w:val="24"/>
                          <w:szCs w:val="24"/>
                        </w:rPr>
                      </w:pPr>
                      <w:bookmarkStart w:id="479" w:name="_Hlk193434605"/>
                      <w:r w:rsidRPr="00E626FE">
                        <w:rPr>
                          <w:rFonts w:ascii="Times New Roman" w:hAnsi="Times New Roman" w:cs="Times New Roman"/>
                          <w:sz w:val="24"/>
                          <w:szCs w:val="24"/>
                        </w:rPr>
                        <w:t>Borrower Creditworthiness Assessment</w:t>
                      </w:r>
                      <w:r w:rsidRPr="00E626FE">
                        <w:rPr>
                          <w:rStyle w:val="Strong"/>
                          <w:rFonts w:ascii="Times New Roman" w:hAnsi="Times New Roman" w:cs="Times New Roman"/>
                          <w:b w:val="0"/>
                          <w:bCs w:val="0"/>
                          <w:sz w:val="24"/>
                          <w:szCs w:val="24"/>
                        </w:rPr>
                        <w:t xml:space="preserve"> </w:t>
                      </w:r>
                    </w:p>
                    <w:p w14:paraId="21A24B69" w14:textId="530E6C1E" w:rsidR="000A3769" w:rsidRPr="007F4D54" w:rsidRDefault="000A3769" w:rsidP="007F4D54">
                      <w:pPr>
                        <w:pStyle w:val="ListParagraph"/>
                        <w:numPr>
                          <w:ilvl w:val="0"/>
                          <w:numId w:val="17"/>
                        </w:numPr>
                        <w:rPr>
                          <w:rFonts w:ascii="Times New Roman" w:hAnsi="Times New Roman" w:cs="Times New Roman"/>
                          <w:b/>
                          <w:bCs/>
                        </w:rPr>
                      </w:pPr>
                      <w:r w:rsidRPr="007F4D54">
                        <w:rPr>
                          <w:rStyle w:val="Strong"/>
                          <w:rFonts w:asciiTheme="majorBidi" w:hAnsiTheme="majorBidi" w:cstheme="majorBidi"/>
                          <w:b w:val="0"/>
                          <w:bCs w:val="0"/>
                          <w:sz w:val="24"/>
                          <w:szCs w:val="24"/>
                        </w:rPr>
                        <w:t>Credit Concentration Risk</w:t>
                      </w:r>
                    </w:p>
                    <w:p w14:paraId="5F2F668E" w14:textId="77777777" w:rsidR="000A3769" w:rsidRPr="00E626FE" w:rsidRDefault="000A3769" w:rsidP="00D475BA">
                      <w:pPr>
                        <w:pStyle w:val="ListParagraph"/>
                        <w:numPr>
                          <w:ilvl w:val="0"/>
                          <w:numId w:val="1"/>
                        </w:numPr>
                        <w:spacing w:line="360" w:lineRule="auto"/>
                        <w:rPr>
                          <w:rStyle w:val="Strong"/>
                          <w:rFonts w:ascii="Times New Roman" w:hAnsi="Times New Roman"/>
                          <w:b w:val="0"/>
                        </w:rPr>
                      </w:pPr>
                      <w:r w:rsidRPr="00E626FE">
                        <w:rPr>
                          <w:rFonts w:asciiTheme="majorBidi" w:hAnsiTheme="majorBidi" w:cstheme="majorBidi"/>
                          <w:sz w:val="24"/>
                          <w:szCs w:val="24"/>
                        </w:rPr>
                        <w:t>Debt Restructuring &amp; Recovery Strategies</w:t>
                      </w:r>
                      <w:r w:rsidRPr="00E626FE">
                        <w:rPr>
                          <w:rStyle w:val="Strong"/>
                          <w:rFonts w:asciiTheme="majorBidi" w:hAnsiTheme="majorBidi" w:cstheme="majorBidi"/>
                          <w:b w:val="0"/>
                          <w:bCs w:val="0"/>
                          <w:sz w:val="24"/>
                          <w:szCs w:val="24"/>
                        </w:rPr>
                        <w:t xml:space="preserve"> </w:t>
                      </w:r>
                    </w:p>
                    <w:p w14:paraId="6766D8AB" w14:textId="77777777" w:rsidR="000A3769" w:rsidRDefault="000A3769" w:rsidP="007F4D54">
                      <w:pPr>
                        <w:pStyle w:val="ListParagraph"/>
                        <w:numPr>
                          <w:ilvl w:val="0"/>
                          <w:numId w:val="18"/>
                        </w:numPr>
                      </w:pPr>
                      <w:r w:rsidRPr="00E072CA">
                        <w:t>Credit Risk Rating Systems</w:t>
                      </w:r>
                    </w:p>
                    <w:p w14:paraId="6F9304EA" w14:textId="77777777" w:rsidR="000A3769" w:rsidRPr="00E072CA" w:rsidRDefault="000A3769" w:rsidP="007F4D54">
                      <w:pPr>
                        <w:pStyle w:val="ListParagraph"/>
                        <w:numPr>
                          <w:ilvl w:val="0"/>
                          <w:numId w:val="18"/>
                        </w:numPr>
                      </w:pPr>
                      <w:r w:rsidRPr="00E072CA">
                        <w:t>Collateral Management</w:t>
                      </w:r>
                    </w:p>
                    <w:p w14:paraId="296AB14A" w14:textId="39AA6C47" w:rsidR="000A3769" w:rsidRPr="007F4D54" w:rsidRDefault="000A3769" w:rsidP="007F4D54">
                      <w:pPr>
                        <w:pStyle w:val="ListParagraph"/>
                        <w:numPr>
                          <w:ilvl w:val="0"/>
                          <w:numId w:val="18"/>
                        </w:numPr>
                        <w:rPr>
                          <w:rFonts w:ascii="Times New Roman" w:hAnsi="Times New Roman"/>
                        </w:rPr>
                      </w:pPr>
                      <w:r w:rsidRPr="007F4D54">
                        <w:rPr>
                          <w:rFonts w:ascii="Times New Roman" w:hAnsi="Times New Roman" w:cs="Times New Roman"/>
                        </w:rPr>
                        <w:t>Credit Risk Monitoring Frequency</w:t>
                      </w:r>
                    </w:p>
                    <w:bookmarkEnd w:id="479"/>
                    <w:p w14:paraId="33972415" w14:textId="77777777" w:rsidR="000A3769" w:rsidRPr="0068385B" w:rsidRDefault="000A3769" w:rsidP="003F0834">
                      <w:pPr>
                        <w:spacing w:after="0" w:line="360" w:lineRule="auto"/>
                        <w:ind w:left="360"/>
                        <w:rPr>
                          <w:rFonts w:ascii="Times New Roman" w:hAnsi="Times New Roman"/>
                          <w:bCs/>
                        </w:rPr>
                      </w:pPr>
                    </w:p>
                    <w:p w14:paraId="484FF965" w14:textId="77777777" w:rsidR="000A3769" w:rsidRDefault="000A3769" w:rsidP="003F0834">
                      <w:pPr>
                        <w:pStyle w:val="ListParagraph"/>
                        <w:spacing w:after="0" w:line="360" w:lineRule="auto"/>
                        <w:rPr>
                          <w:rFonts w:ascii="Times New Roman" w:hAnsi="Times New Roman"/>
                          <w:bCs/>
                        </w:rPr>
                      </w:pPr>
                    </w:p>
                  </w:txbxContent>
                </v:textbox>
                <w10:wrap anchorx="margin"/>
              </v:rect>
            </w:pict>
          </mc:Fallback>
        </mc:AlternateContent>
      </w:r>
    </w:p>
    <w:p w14:paraId="253EC6EE" w14:textId="77777777" w:rsidR="003F0834" w:rsidRPr="006D3D71" w:rsidRDefault="003F0834" w:rsidP="006D3D71">
      <w:pPr>
        <w:spacing w:after="0" w:line="360" w:lineRule="auto"/>
        <w:jc w:val="both"/>
        <w:rPr>
          <w:rFonts w:asciiTheme="majorBidi" w:hAnsiTheme="majorBidi" w:cstheme="majorBidi"/>
          <w:b/>
          <w:sz w:val="24"/>
          <w:szCs w:val="24"/>
        </w:rPr>
      </w:pPr>
    </w:p>
    <w:p w14:paraId="746260EA" w14:textId="77777777" w:rsidR="003F0834" w:rsidRPr="006D3D71" w:rsidRDefault="003F0834" w:rsidP="006D3D71">
      <w:pPr>
        <w:tabs>
          <w:tab w:val="left" w:pos="180"/>
          <w:tab w:val="left" w:pos="360"/>
        </w:tabs>
        <w:spacing w:after="0" w:line="360" w:lineRule="auto"/>
        <w:jc w:val="both"/>
        <w:rPr>
          <w:rFonts w:asciiTheme="majorBidi" w:hAnsiTheme="majorBidi" w:cstheme="majorBidi"/>
          <w:b/>
          <w:sz w:val="24"/>
          <w:szCs w:val="24"/>
        </w:rPr>
      </w:pPr>
    </w:p>
    <w:p w14:paraId="7D2CE3A5" w14:textId="77777777" w:rsidR="003F0834" w:rsidRPr="006D3D71" w:rsidRDefault="003F0834" w:rsidP="006D3D71">
      <w:pPr>
        <w:tabs>
          <w:tab w:val="left" w:pos="180"/>
          <w:tab w:val="left" w:pos="360"/>
        </w:tabs>
        <w:spacing w:after="0" w:line="360" w:lineRule="auto"/>
        <w:jc w:val="both"/>
        <w:rPr>
          <w:rFonts w:asciiTheme="majorBidi" w:hAnsiTheme="majorBidi" w:cstheme="majorBidi"/>
          <w:b/>
          <w:sz w:val="24"/>
          <w:szCs w:val="24"/>
        </w:rPr>
      </w:pPr>
      <w:r w:rsidRPr="006D3D71">
        <w:rPr>
          <w:rFonts w:asciiTheme="majorBidi" w:hAnsiTheme="majorBidi" w:cstheme="majorBidi"/>
          <w:noProof/>
          <w:sz w:val="24"/>
          <w:szCs w:val="24"/>
          <w:lang w:val="en-IN" w:eastAsia="en-IN"/>
        </w:rPr>
        <mc:AlternateContent>
          <mc:Choice Requires="wps">
            <w:drawing>
              <wp:anchor distT="0" distB="0" distL="0" distR="0" simplePos="0" relativeHeight="251661312" behindDoc="0" locked="0" layoutInCell="1" allowOverlap="1" wp14:anchorId="3C0A8D0E" wp14:editId="077475F5">
                <wp:simplePos x="0" y="0"/>
                <wp:positionH relativeFrom="column">
                  <wp:posOffset>3005504</wp:posOffset>
                </wp:positionH>
                <wp:positionV relativeFrom="paragraph">
                  <wp:posOffset>30480</wp:posOffset>
                </wp:positionV>
                <wp:extent cx="333375" cy="409575"/>
                <wp:effectExtent l="0" t="19050" r="47625" b="47625"/>
                <wp:wrapNone/>
                <wp:docPr id="3" name="10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409575"/>
                        </a:xfrm>
                        <a:prstGeom prst="rightArrow">
                          <a:avLst>
                            <a:gd name="adj1" fmla="val 50000"/>
                            <a:gd name="adj2" fmla="val 49948"/>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AE2E87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1029" o:spid="_x0000_s1026" type="#_x0000_t13" style="position:absolute;margin-left:236.65pt;margin-top:2.4pt;width:26.25pt;height:32.2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" adj="10811" filled="f" strokeweight="2pt"/>
            </w:pict>
          </mc:Fallback>
        </mc:AlternateContent>
      </w:r>
    </w:p>
    <w:p w14:paraId="3E262DD9" w14:textId="77777777" w:rsidR="003F0834" w:rsidRPr="006D3D71" w:rsidRDefault="003F0834" w:rsidP="006D3D71">
      <w:pPr>
        <w:tabs>
          <w:tab w:val="left" w:pos="180"/>
          <w:tab w:val="left" w:pos="360"/>
        </w:tabs>
        <w:spacing w:after="0" w:line="360" w:lineRule="auto"/>
        <w:jc w:val="both"/>
        <w:rPr>
          <w:rFonts w:asciiTheme="majorBidi" w:hAnsiTheme="majorBidi" w:cstheme="majorBidi"/>
          <w:sz w:val="24"/>
          <w:szCs w:val="24"/>
        </w:rPr>
      </w:pPr>
    </w:p>
    <w:p w14:paraId="59B9AFE1" w14:textId="77777777" w:rsidR="003F0834" w:rsidRPr="006D3D71" w:rsidRDefault="003F0834" w:rsidP="006D3D71">
      <w:pPr>
        <w:tabs>
          <w:tab w:val="left" w:pos="180"/>
          <w:tab w:val="left" w:pos="360"/>
        </w:tabs>
        <w:spacing w:after="0" w:line="360" w:lineRule="auto"/>
        <w:jc w:val="both"/>
        <w:rPr>
          <w:rFonts w:asciiTheme="majorBidi" w:hAnsiTheme="majorBidi" w:cstheme="majorBidi"/>
          <w:sz w:val="24"/>
          <w:szCs w:val="24"/>
        </w:rPr>
      </w:pPr>
    </w:p>
    <w:bookmarkEnd w:id="446"/>
    <w:p w14:paraId="439D209B" w14:textId="77777777" w:rsidR="003F0834" w:rsidRPr="006D3D71" w:rsidRDefault="003F0834" w:rsidP="006D3D71">
      <w:pPr>
        <w:tabs>
          <w:tab w:val="left" w:pos="180"/>
          <w:tab w:val="left" w:pos="360"/>
        </w:tabs>
        <w:spacing w:after="0" w:line="360" w:lineRule="auto"/>
        <w:jc w:val="both"/>
        <w:rPr>
          <w:rFonts w:asciiTheme="majorBidi" w:hAnsiTheme="majorBidi" w:cstheme="majorBidi"/>
          <w:sz w:val="24"/>
          <w:szCs w:val="24"/>
        </w:rPr>
      </w:pPr>
    </w:p>
    <w:p w14:paraId="7DF8BA4A" w14:textId="77777777" w:rsidR="003F0834" w:rsidRPr="006D3D71" w:rsidRDefault="003F0834" w:rsidP="006D3D71">
      <w:pPr>
        <w:tabs>
          <w:tab w:val="left" w:pos="180"/>
          <w:tab w:val="left" w:pos="360"/>
        </w:tabs>
        <w:spacing w:after="0" w:line="360" w:lineRule="auto"/>
        <w:jc w:val="both"/>
        <w:rPr>
          <w:rFonts w:asciiTheme="majorBidi" w:hAnsiTheme="majorBidi" w:cstheme="majorBidi"/>
          <w:sz w:val="24"/>
          <w:szCs w:val="24"/>
        </w:rPr>
      </w:pPr>
    </w:p>
    <w:p w14:paraId="0358DA8B" w14:textId="77777777" w:rsidR="00B40C34" w:rsidRPr="006D3D71" w:rsidRDefault="00B40C34" w:rsidP="006D3D71">
      <w:pPr>
        <w:tabs>
          <w:tab w:val="left" w:pos="180"/>
          <w:tab w:val="left" w:pos="360"/>
        </w:tabs>
        <w:spacing w:after="0" w:line="360" w:lineRule="auto"/>
        <w:jc w:val="both"/>
        <w:rPr>
          <w:rFonts w:asciiTheme="majorBidi" w:hAnsiTheme="majorBidi" w:cstheme="majorBidi"/>
          <w:sz w:val="24"/>
          <w:szCs w:val="24"/>
        </w:rPr>
      </w:pPr>
    </w:p>
    <w:p w14:paraId="5401F7BE" w14:textId="1EDF9B63" w:rsidR="003F0834" w:rsidRPr="006D3D71" w:rsidRDefault="003F0834" w:rsidP="006D3D71">
      <w:pPr>
        <w:tabs>
          <w:tab w:val="left" w:pos="180"/>
          <w:tab w:val="left" w:pos="360"/>
        </w:tabs>
        <w:spacing w:after="0" w:line="360" w:lineRule="auto"/>
        <w:jc w:val="both"/>
        <w:rPr>
          <w:rFonts w:asciiTheme="majorBidi" w:eastAsia="Times New Roman" w:hAnsiTheme="majorBidi" w:cstheme="majorBidi"/>
          <w:sz w:val="24"/>
          <w:szCs w:val="24"/>
        </w:rPr>
      </w:pPr>
      <w:r w:rsidRPr="006D3D71">
        <w:rPr>
          <w:rFonts w:asciiTheme="majorBidi" w:hAnsiTheme="majorBidi" w:cstheme="majorBidi"/>
          <w:sz w:val="24"/>
          <w:szCs w:val="24"/>
        </w:rPr>
        <w:t>Source: Compiled by the researcher (2024)</w:t>
      </w:r>
      <w:r w:rsidRPr="006D3D71">
        <w:rPr>
          <w:rFonts w:asciiTheme="majorBidi" w:eastAsia="Times New Roman" w:hAnsiTheme="majorBidi" w:cstheme="majorBidi"/>
          <w:sz w:val="24"/>
          <w:szCs w:val="24"/>
        </w:rPr>
        <w:tab/>
      </w:r>
    </w:p>
    <w:p w14:paraId="6A8A20F8" w14:textId="77777777" w:rsidR="003F0834" w:rsidRDefault="003F0834" w:rsidP="00FB749C">
      <w:pPr>
        <w:pStyle w:val="NoSpacing"/>
        <w:rPr>
          <w:rFonts w:asciiTheme="majorBidi" w:hAnsiTheme="majorBidi" w:cstheme="majorBidi"/>
          <w:b/>
          <w:bCs/>
          <w:sz w:val="24"/>
          <w:szCs w:val="24"/>
        </w:rPr>
      </w:pPr>
      <w:bookmarkStart w:id="449" w:name="_Toc24273458"/>
      <w:bookmarkStart w:id="450" w:name="_Toc24872810"/>
      <w:bookmarkStart w:id="451" w:name="_Toc31182260"/>
      <w:bookmarkStart w:id="452" w:name="_Toc31182374"/>
      <w:bookmarkStart w:id="453" w:name="_Toc31183659"/>
      <w:bookmarkStart w:id="454" w:name="_Toc34171200"/>
      <w:bookmarkStart w:id="455" w:name="_Toc34212413"/>
      <w:bookmarkStart w:id="456" w:name="_Toc34213017"/>
      <w:bookmarkStart w:id="457" w:name="_Toc43123860"/>
      <w:bookmarkStart w:id="458" w:name="_Toc43124094"/>
      <w:bookmarkStart w:id="459" w:name="_Toc46338099"/>
      <w:bookmarkStart w:id="460" w:name="_Toc46338270"/>
      <w:bookmarkStart w:id="461" w:name="_Toc46338627"/>
      <w:bookmarkStart w:id="462" w:name="_Toc46339127"/>
      <w:bookmarkStart w:id="463" w:name="_Toc47157374"/>
      <w:bookmarkStart w:id="464" w:name="_Toc72665159"/>
      <w:bookmarkStart w:id="465" w:name="_Toc72665422"/>
      <w:bookmarkStart w:id="466" w:name="_Toc72742676"/>
      <w:bookmarkStart w:id="467" w:name="_Toc73271899"/>
      <w:bookmarkStart w:id="468" w:name="_Toc183424778"/>
      <w:bookmarkStart w:id="469" w:name="_Toc183424970"/>
      <w:bookmarkStart w:id="470" w:name="_Toc183425121"/>
      <w:bookmarkStart w:id="471" w:name="_Toc183425212"/>
      <w:bookmarkStart w:id="472" w:name="_Toc183426898"/>
      <w:bookmarkStart w:id="473" w:name="_Toc185603946"/>
      <w:bookmarkStart w:id="474" w:name="_Toc193281894"/>
      <w:bookmarkStart w:id="475" w:name="_Toc193282205"/>
      <w:bookmarkStart w:id="476" w:name="_Toc193282371"/>
      <w:r w:rsidRPr="00FB749C">
        <w:rPr>
          <w:rFonts w:asciiTheme="majorBidi" w:hAnsiTheme="majorBidi" w:cstheme="majorBidi"/>
          <w:b/>
          <w:bCs/>
          <w:sz w:val="24"/>
          <w:szCs w:val="24"/>
        </w:rPr>
        <w:t>Figure 1.1 Conceptual framework</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14:paraId="393635D7" w14:textId="77777777" w:rsidR="00FB749C" w:rsidRPr="00FB749C" w:rsidRDefault="00FB749C" w:rsidP="00FB749C">
      <w:pPr>
        <w:pStyle w:val="NoSpacing"/>
        <w:rPr>
          <w:rFonts w:asciiTheme="majorBidi" w:hAnsiTheme="majorBidi" w:cstheme="majorBidi"/>
          <w:b/>
          <w:bCs/>
          <w:sz w:val="24"/>
          <w:szCs w:val="24"/>
        </w:rPr>
      </w:pPr>
    </w:p>
    <w:p w14:paraId="501FA7FA" w14:textId="77777777" w:rsidR="003F0834" w:rsidRPr="006D3D71" w:rsidRDefault="003F0834" w:rsidP="006D3D71">
      <w:pPr>
        <w:keepNext/>
        <w:keepLines/>
        <w:spacing w:after="0" w:line="360" w:lineRule="auto"/>
        <w:outlineLvl w:val="1"/>
        <w:rPr>
          <w:rFonts w:asciiTheme="majorBidi" w:eastAsia="Times New Roman" w:hAnsiTheme="majorBidi" w:cstheme="majorBidi"/>
          <w:b/>
          <w:bCs/>
          <w:sz w:val="24"/>
          <w:szCs w:val="24"/>
        </w:rPr>
      </w:pPr>
      <w:bookmarkStart w:id="477" w:name="_Toc525195538"/>
      <w:bookmarkStart w:id="478" w:name="_Toc525195723"/>
      <w:bookmarkStart w:id="479" w:name="_Toc528228165"/>
      <w:bookmarkStart w:id="480" w:name="_Toc31182375"/>
      <w:bookmarkStart w:id="481" w:name="_Toc31182602"/>
      <w:bookmarkStart w:id="482" w:name="_Toc43123861"/>
      <w:bookmarkStart w:id="483" w:name="_Toc43124095"/>
      <w:bookmarkStart w:id="484" w:name="_Toc46338271"/>
      <w:bookmarkStart w:id="485" w:name="_Toc46338628"/>
      <w:bookmarkStart w:id="486" w:name="_Toc46339128"/>
      <w:bookmarkStart w:id="487" w:name="_Toc183425122"/>
      <w:bookmarkStart w:id="488" w:name="_Toc183425213"/>
      <w:bookmarkStart w:id="489" w:name="_Toc183426899"/>
      <w:bookmarkStart w:id="490" w:name="_Toc193282206"/>
      <w:bookmarkStart w:id="491" w:name="_Toc193282372"/>
      <w:bookmarkStart w:id="492" w:name="_Toc193846428"/>
      <w:bookmarkStart w:id="493" w:name="_Toc72665423"/>
      <w:bookmarkStart w:id="494" w:name="_Toc72742677"/>
      <w:bookmarkStart w:id="495" w:name="_Toc73271900"/>
      <w:r w:rsidRPr="006D3D71">
        <w:rPr>
          <w:rFonts w:asciiTheme="majorBidi" w:eastAsia="Times New Roman" w:hAnsiTheme="majorBidi" w:cstheme="majorBidi"/>
          <w:b/>
          <w:bCs/>
          <w:sz w:val="24"/>
          <w:szCs w:val="24"/>
        </w:rPr>
        <w:t>1.9 Operational definition of key ter</w:t>
      </w:r>
      <w:bookmarkEnd w:id="477"/>
      <w:bookmarkEnd w:id="478"/>
      <w:bookmarkEnd w:id="479"/>
      <w:bookmarkEnd w:id="480"/>
      <w:bookmarkEnd w:id="481"/>
      <w:bookmarkEnd w:id="482"/>
      <w:bookmarkEnd w:id="483"/>
      <w:r w:rsidRPr="006D3D71">
        <w:rPr>
          <w:rFonts w:asciiTheme="majorBidi" w:eastAsia="Times New Roman" w:hAnsiTheme="majorBidi" w:cstheme="majorBidi"/>
          <w:b/>
          <w:bCs/>
          <w:sz w:val="24"/>
          <w:szCs w:val="24"/>
        </w:rPr>
        <w:t>ms</w:t>
      </w:r>
      <w:bookmarkEnd w:id="484"/>
      <w:bookmarkEnd w:id="485"/>
      <w:bookmarkEnd w:id="486"/>
      <w:bookmarkEnd w:id="487"/>
      <w:bookmarkEnd w:id="488"/>
      <w:bookmarkEnd w:id="489"/>
      <w:bookmarkEnd w:id="490"/>
      <w:bookmarkEnd w:id="491"/>
      <w:bookmarkEnd w:id="492"/>
    </w:p>
    <w:p w14:paraId="697C1283" w14:textId="77777777"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This section provides definitions for key variables and concepts central to the study titled The Impact of Risk Management on Financial Performance of Commercial Banks. Each definition is grounded in scholarly works, ensuring academic rigor and alignment with existing literature.</w:t>
      </w:r>
    </w:p>
    <w:p w14:paraId="57DF0C9F" w14:textId="77777777" w:rsidR="003F0834" w:rsidRPr="006D3D71" w:rsidRDefault="003F0834" w:rsidP="006D3D71">
      <w:pPr>
        <w:pStyle w:val="Heading2"/>
        <w:spacing w:before="0" w:after="0" w:line="360" w:lineRule="auto"/>
        <w:jc w:val="both"/>
        <w:rPr>
          <w:rFonts w:asciiTheme="majorBidi" w:hAnsiTheme="majorBidi"/>
          <w:b/>
          <w:bCs/>
          <w:color w:val="auto"/>
          <w:sz w:val="24"/>
          <w:szCs w:val="24"/>
        </w:rPr>
      </w:pPr>
      <w:bookmarkStart w:id="496" w:name="_Toc193282207"/>
      <w:bookmarkStart w:id="497" w:name="_Toc193282373"/>
      <w:bookmarkStart w:id="498" w:name="_Toc193846429"/>
      <w:bookmarkEnd w:id="493"/>
      <w:bookmarkEnd w:id="494"/>
      <w:bookmarkEnd w:id="495"/>
      <w:r w:rsidRPr="006D3D71">
        <w:rPr>
          <w:rFonts w:asciiTheme="majorBidi" w:hAnsiTheme="majorBidi"/>
          <w:b/>
          <w:bCs/>
          <w:color w:val="auto"/>
          <w:sz w:val="24"/>
          <w:szCs w:val="24"/>
        </w:rPr>
        <w:t>1.9.1. Credit Risk Management</w:t>
      </w:r>
      <w:bookmarkEnd w:id="496"/>
      <w:bookmarkEnd w:id="497"/>
      <w:bookmarkEnd w:id="498"/>
    </w:p>
    <w:p w14:paraId="22F41238" w14:textId="3ECE0BA3" w:rsidR="003F0834" w:rsidRPr="006D3D71" w:rsidRDefault="003F0834" w:rsidP="006D3D71">
      <w:pPr>
        <w:spacing w:line="360" w:lineRule="auto"/>
        <w:jc w:val="both"/>
        <w:rPr>
          <w:rFonts w:asciiTheme="majorBidi" w:hAnsiTheme="majorBidi" w:cstheme="majorBidi"/>
          <w:sz w:val="24"/>
          <w:szCs w:val="24"/>
        </w:rPr>
      </w:pPr>
      <w:commentRangeStart w:id="499"/>
      <w:r w:rsidRPr="006D3D71">
        <w:rPr>
          <w:rFonts w:asciiTheme="majorBidi" w:hAnsiTheme="majorBidi" w:cstheme="majorBidi"/>
          <w:sz w:val="24"/>
          <w:szCs w:val="24"/>
        </w:rPr>
        <w:t xml:space="preserve">Credit risk management refers to the systematic process of identifying, measuring, and mitigating risks associated with borrowers' failure to repay loans. It incorporates risk assessment tools, credit limits, and monitoring systems to minimize potential financial losses </w:t>
      </w:r>
      <w:commentRangeEnd w:id="499"/>
      <w:r w:rsidR="00F649DF" w:rsidRPr="006D3D71">
        <w:rPr>
          <w:rStyle w:val="CommentReference"/>
          <w:rFonts w:asciiTheme="majorBidi" w:eastAsia="Calibri" w:hAnsiTheme="majorBidi" w:cstheme="majorBidi"/>
          <w:sz w:val="24"/>
          <w:szCs w:val="24"/>
        </w:rPr>
        <w:commentReference w:id="499"/>
      </w:r>
    </w:p>
    <w:p w14:paraId="086BBBC0" w14:textId="3FCC5CC0" w:rsidR="003F0834" w:rsidRPr="006D3D71" w:rsidRDefault="003F0834" w:rsidP="006D3D71">
      <w:pPr>
        <w:pStyle w:val="Heading2"/>
        <w:spacing w:before="0" w:after="0" w:line="360" w:lineRule="auto"/>
        <w:jc w:val="both"/>
        <w:rPr>
          <w:rFonts w:asciiTheme="majorBidi" w:hAnsiTheme="majorBidi"/>
          <w:b/>
          <w:bCs/>
          <w:color w:val="auto"/>
          <w:sz w:val="24"/>
          <w:szCs w:val="24"/>
        </w:rPr>
      </w:pPr>
      <w:bookmarkStart w:id="500" w:name="_Toc193282208"/>
      <w:bookmarkStart w:id="501" w:name="_Toc193282374"/>
      <w:bookmarkStart w:id="502" w:name="_Toc193846430"/>
      <w:r w:rsidRPr="006D3D71">
        <w:rPr>
          <w:rFonts w:asciiTheme="majorBidi" w:hAnsiTheme="majorBidi"/>
          <w:b/>
          <w:bCs/>
          <w:color w:val="auto"/>
          <w:sz w:val="24"/>
          <w:szCs w:val="24"/>
        </w:rPr>
        <w:t xml:space="preserve">1.9.2. </w:t>
      </w:r>
      <w:bookmarkEnd w:id="500"/>
      <w:bookmarkEnd w:id="501"/>
      <w:r w:rsidR="004C65B0" w:rsidRPr="006D3D71">
        <w:rPr>
          <w:rFonts w:asciiTheme="majorBidi" w:hAnsiTheme="majorBidi"/>
          <w:b/>
          <w:bCs/>
          <w:color w:val="auto"/>
          <w:sz w:val="24"/>
          <w:szCs w:val="24"/>
        </w:rPr>
        <w:t>Borrower Creditworthiness Assessment</w:t>
      </w:r>
      <w:bookmarkEnd w:id="502"/>
    </w:p>
    <w:p w14:paraId="187B6A84" w14:textId="77777777" w:rsidR="004C65B0" w:rsidRPr="006D3D71" w:rsidRDefault="004C65B0" w:rsidP="006D3D71">
      <w:pPr>
        <w:spacing w:line="360" w:lineRule="auto"/>
        <w:rPr>
          <w:rFonts w:asciiTheme="majorBidi" w:hAnsiTheme="majorBidi" w:cstheme="majorBidi"/>
          <w:sz w:val="24"/>
          <w:szCs w:val="24"/>
        </w:rPr>
      </w:pPr>
      <w:bookmarkStart w:id="503" w:name="_Toc193282209"/>
      <w:bookmarkStart w:id="504" w:name="_Toc193282375"/>
      <w:r w:rsidRPr="006D3D71">
        <w:rPr>
          <w:rFonts w:asciiTheme="majorBidi" w:hAnsiTheme="majorBidi" w:cstheme="majorBidi"/>
          <w:sz w:val="24"/>
          <w:szCs w:val="24"/>
        </w:rPr>
        <w:t>Borrower creditworthiness assessment refers to the evaluation of a borrower's financial ability to repay a loan. This process involves analyzing key financial indicators such as income level, credit history, debt-to-income ratio, and repayment behavior. A thorough assessment helps minimize lending risks by ensuring that loans are granted to financially stable individuals or businesses, reducing the likelihood of defaults.</w:t>
      </w:r>
    </w:p>
    <w:p w14:paraId="36CF7A0D" w14:textId="77777777" w:rsidR="004C65B0" w:rsidRPr="006D3D71" w:rsidRDefault="004C65B0" w:rsidP="006D3D71">
      <w:pPr>
        <w:pStyle w:val="Heading2"/>
        <w:spacing w:before="0" w:after="0" w:line="360" w:lineRule="auto"/>
        <w:jc w:val="both"/>
        <w:rPr>
          <w:rFonts w:asciiTheme="majorBidi" w:eastAsiaTheme="minorHAnsi" w:hAnsiTheme="majorBidi"/>
          <w:color w:val="auto"/>
          <w:sz w:val="24"/>
          <w:szCs w:val="24"/>
        </w:rPr>
      </w:pPr>
    </w:p>
    <w:p w14:paraId="21D1B052" w14:textId="77777777" w:rsidR="004C65B0" w:rsidRPr="006D3D71" w:rsidRDefault="003F0834" w:rsidP="006D3D71">
      <w:pPr>
        <w:pStyle w:val="Heading2"/>
        <w:spacing w:before="0" w:after="0" w:line="360" w:lineRule="auto"/>
        <w:jc w:val="both"/>
        <w:rPr>
          <w:rFonts w:asciiTheme="majorBidi" w:hAnsiTheme="majorBidi"/>
          <w:b/>
          <w:bCs/>
          <w:color w:val="auto"/>
          <w:sz w:val="24"/>
          <w:szCs w:val="24"/>
        </w:rPr>
      </w:pPr>
      <w:bookmarkStart w:id="505" w:name="_Toc193846431"/>
      <w:r w:rsidRPr="006D3D71">
        <w:rPr>
          <w:rFonts w:asciiTheme="majorBidi" w:hAnsiTheme="majorBidi"/>
          <w:b/>
          <w:bCs/>
          <w:color w:val="auto"/>
          <w:sz w:val="24"/>
          <w:szCs w:val="24"/>
        </w:rPr>
        <w:t xml:space="preserve">1.9.3. </w:t>
      </w:r>
      <w:bookmarkEnd w:id="503"/>
      <w:bookmarkEnd w:id="504"/>
      <w:r w:rsidR="004C65B0" w:rsidRPr="006D3D71">
        <w:rPr>
          <w:rFonts w:asciiTheme="majorBidi" w:hAnsiTheme="majorBidi"/>
          <w:b/>
          <w:bCs/>
          <w:color w:val="auto"/>
          <w:sz w:val="24"/>
          <w:szCs w:val="24"/>
        </w:rPr>
        <w:t>Credit Concentration Risk</w:t>
      </w:r>
      <w:bookmarkStart w:id="506" w:name="_Toc193282210"/>
      <w:bookmarkStart w:id="507" w:name="_Toc193282376"/>
      <w:bookmarkEnd w:id="505"/>
      <w:r w:rsidR="004C65B0" w:rsidRPr="006D3D71">
        <w:rPr>
          <w:rFonts w:asciiTheme="majorBidi" w:hAnsiTheme="majorBidi"/>
          <w:b/>
          <w:bCs/>
          <w:color w:val="auto"/>
          <w:sz w:val="24"/>
          <w:szCs w:val="24"/>
        </w:rPr>
        <w:t xml:space="preserve"> </w:t>
      </w:r>
    </w:p>
    <w:p w14:paraId="5195BD31" w14:textId="719DA5E8" w:rsidR="004C65B0" w:rsidRPr="006D3D71" w:rsidRDefault="004C65B0" w:rsidP="006D3D71">
      <w:pPr>
        <w:spacing w:line="360" w:lineRule="auto"/>
        <w:rPr>
          <w:rFonts w:asciiTheme="majorBidi" w:hAnsiTheme="majorBidi" w:cstheme="majorBidi"/>
          <w:sz w:val="24"/>
          <w:szCs w:val="24"/>
        </w:rPr>
      </w:pPr>
      <w:r w:rsidRPr="006D3D71">
        <w:rPr>
          <w:rFonts w:asciiTheme="majorBidi" w:hAnsiTheme="majorBidi" w:cstheme="majorBidi"/>
          <w:sz w:val="24"/>
          <w:szCs w:val="24"/>
        </w:rPr>
        <w:t>Credit concentration risk arises when a bank's lending portfolio is excessively exposed to a particular sector, borrower, or geographic region. High concentration in a specific industry or group of borrowers increases vulnerability to economic downturns or sector-specific risks. Managing credit concentration risk involves diversifying lending activities to ensure balanced exposure and reduce potential financial losses.</w:t>
      </w:r>
    </w:p>
    <w:p w14:paraId="3AF3FA9B" w14:textId="71CDB136" w:rsidR="003E2CDF" w:rsidRPr="006D3D71" w:rsidRDefault="003F0834" w:rsidP="006D3D71">
      <w:pPr>
        <w:pStyle w:val="Heading2"/>
        <w:spacing w:before="0" w:after="0" w:line="360" w:lineRule="auto"/>
        <w:jc w:val="both"/>
        <w:rPr>
          <w:rFonts w:asciiTheme="majorBidi" w:hAnsiTheme="majorBidi"/>
          <w:b/>
          <w:bCs/>
          <w:color w:val="auto"/>
          <w:sz w:val="24"/>
          <w:szCs w:val="24"/>
        </w:rPr>
      </w:pPr>
      <w:bookmarkStart w:id="508" w:name="_Toc193846432"/>
      <w:r w:rsidRPr="006D3D71">
        <w:rPr>
          <w:rFonts w:asciiTheme="majorBidi" w:hAnsiTheme="majorBidi"/>
          <w:b/>
          <w:bCs/>
          <w:color w:val="auto"/>
          <w:sz w:val="24"/>
          <w:szCs w:val="24"/>
        </w:rPr>
        <w:t xml:space="preserve">1.9.4. </w:t>
      </w:r>
      <w:bookmarkStart w:id="509" w:name="_Toc193282211"/>
      <w:bookmarkStart w:id="510" w:name="_Toc193282377"/>
      <w:bookmarkEnd w:id="506"/>
      <w:bookmarkEnd w:id="507"/>
      <w:r w:rsidR="004C65B0" w:rsidRPr="006D3D71">
        <w:rPr>
          <w:rFonts w:asciiTheme="majorBidi" w:hAnsiTheme="majorBidi"/>
          <w:b/>
          <w:bCs/>
          <w:color w:val="auto"/>
          <w:sz w:val="24"/>
          <w:szCs w:val="24"/>
        </w:rPr>
        <w:t>Debt Restructuring &amp; Recovery Strategies</w:t>
      </w:r>
      <w:bookmarkEnd w:id="508"/>
    </w:p>
    <w:p w14:paraId="42E21EFC" w14:textId="77777777" w:rsidR="003E2CDF" w:rsidRPr="006D3D71" w:rsidRDefault="003E2CDF" w:rsidP="006D3D71">
      <w:pPr>
        <w:spacing w:after="0" w:line="360" w:lineRule="auto"/>
        <w:rPr>
          <w:rStyle w:val="Strong"/>
          <w:rFonts w:asciiTheme="majorBidi" w:hAnsiTheme="majorBidi" w:cstheme="majorBidi"/>
          <w:sz w:val="24"/>
          <w:szCs w:val="24"/>
        </w:rPr>
      </w:pPr>
    </w:p>
    <w:p w14:paraId="3C6DBB00" w14:textId="17F2BB5B" w:rsidR="003E2CDF" w:rsidRPr="006D3D71" w:rsidRDefault="004C65B0" w:rsidP="006D3D71">
      <w:pPr>
        <w:spacing w:after="0" w:line="360" w:lineRule="auto"/>
        <w:rPr>
          <w:rFonts w:asciiTheme="majorBidi" w:hAnsiTheme="majorBidi" w:cstheme="majorBidi"/>
          <w:sz w:val="24"/>
          <w:szCs w:val="24"/>
        </w:rPr>
      </w:pPr>
      <w:r w:rsidRPr="006D3D71">
        <w:rPr>
          <w:rFonts w:asciiTheme="majorBidi" w:hAnsiTheme="majorBidi" w:cstheme="majorBidi"/>
          <w:sz w:val="24"/>
          <w:szCs w:val="24"/>
        </w:rPr>
        <w:t xml:space="preserve">Debt restructuring and recovery strategies refer to the measures taken by banks to assist borrowers who are struggling to meet repayment obligations. These strategies may include loan rescheduling, interest rate adjustments, and settlement plans to help borrowers regain </w:t>
      </w:r>
      <w:r w:rsidRPr="006D3D71">
        <w:rPr>
          <w:rFonts w:asciiTheme="majorBidi" w:hAnsiTheme="majorBidi" w:cstheme="majorBidi"/>
          <w:sz w:val="24"/>
          <w:szCs w:val="24"/>
        </w:rPr>
        <w:lastRenderedPageBreak/>
        <w:t>financial stability. Effective restructuring ensures that banks recover a portion of their funds while maintaining long-term customer relationships and reducing non-performing loans.</w:t>
      </w:r>
    </w:p>
    <w:p w14:paraId="697B8F7B" w14:textId="77777777" w:rsidR="004C65B0" w:rsidRPr="006D3D71" w:rsidRDefault="004C65B0" w:rsidP="006D3D71">
      <w:pPr>
        <w:spacing w:after="0" w:line="360" w:lineRule="auto"/>
        <w:rPr>
          <w:rFonts w:asciiTheme="majorBidi" w:hAnsiTheme="majorBidi" w:cstheme="majorBidi"/>
          <w:b/>
          <w:bCs/>
          <w:sz w:val="24"/>
          <w:szCs w:val="24"/>
        </w:rPr>
      </w:pPr>
    </w:p>
    <w:p w14:paraId="27D54F8C" w14:textId="56796D34" w:rsidR="003F0834" w:rsidRPr="006D3D71" w:rsidRDefault="003F0834" w:rsidP="006D3D71">
      <w:pPr>
        <w:pStyle w:val="Heading2"/>
        <w:spacing w:before="0" w:after="0" w:line="360" w:lineRule="auto"/>
        <w:jc w:val="both"/>
        <w:rPr>
          <w:rFonts w:asciiTheme="majorBidi" w:hAnsiTheme="majorBidi"/>
          <w:b/>
          <w:bCs/>
          <w:color w:val="auto"/>
          <w:sz w:val="24"/>
          <w:szCs w:val="24"/>
        </w:rPr>
      </w:pPr>
      <w:bookmarkStart w:id="511" w:name="_Toc193282212"/>
      <w:bookmarkStart w:id="512" w:name="_Toc193282378"/>
      <w:bookmarkStart w:id="513" w:name="_Toc193846433"/>
      <w:bookmarkEnd w:id="509"/>
      <w:bookmarkEnd w:id="510"/>
      <w:r w:rsidRPr="006D3D71">
        <w:rPr>
          <w:rFonts w:asciiTheme="majorBidi" w:hAnsiTheme="majorBidi"/>
          <w:b/>
          <w:bCs/>
          <w:color w:val="auto"/>
          <w:sz w:val="24"/>
          <w:szCs w:val="24"/>
        </w:rPr>
        <w:t>1.9.</w:t>
      </w:r>
      <w:r w:rsidR="004C65B0" w:rsidRPr="006D3D71">
        <w:rPr>
          <w:rFonts w:asciiTheme="majorBidi" w:hAnsiTheme="majorBidi"/>
          <w:b/>
          <w:bCs/>
          <w:color w:val="auto"/>
          <w:sz w:val="24"/>
          <w:szCs w:val="24"/>
        </w:rPr>
        <w:t>5</w:t>
      </w:r>
      <w:r w:rsidRPr="006D3D71">
        <w:rPr>
          <w:rFonts w:asciiTheme="majorBidi" w:hAnsiTheme="majorBidi"/>
          <w:b/>
          <w:bCs/>
          <w:color w:val="auto"/>
          <w:sz w:val="24"/>
          <w:szCs w:val="24"/>
        </w:rPr>
        <w:t>. Credit Risk Monitoring Frequency</w:t>
      </w:r>
      <w:bookmarkEnd w:id="511"/>
      <w:bookmarkEnd w:id="512"/>
      <w:bookmarkEnd w:id="513"/>
    </w:p>
    <w:p w14:paraId="76947EE6" w14:textId="77777777" w:rsidR="004C65B0" w:rsidRPr="006D3D71" w:rsidRDefault="004C65B0" w:rsidP="006D3D71">
      <w:pPr>
        <w:spacing w:line="360" w:lineRule="auto"/>
        <w:rPr>
          <w:rFonts w:asciiTheme="majorBidi" w:hAnsiTheme="majorBidi" w:cstheme="majorBidi"/>
          <w:sz w:val="24"/>
          <w:szCs w:val="24"/>
        </w:rPr>
      </w:pPr>
      <w:bookmarkStart w:id="514" w:name="_Toc193282213"/>
      <w:bookmarkStart w:id="515" w:name="_Toc193282379"/>
      <w:bookmarkEnd w:id="445"/>
      <w:r w:rsidRPr="006D3D71">
        <w:rPr>
          <w:rFonts w:asciiTheme="majorBidi" w:hAnsiTheme="majorBidi" w:cstheme="majorBidi"/>
          <w:sz w:val="24"/>
          <w:szCs w:val="24"/>
        </w:rPr>
        <w:t>Credit risk monitoring frequency refers to how often a bank reviews and evaluates its credit risk exposure. Regular monitoring helps identify potential defaults early, allowing the bank to take corrective actions such as tightening credit policies or increasing loan provisions. A high monitoring frequency enhances risk mitigation by ensuring timely responses to changes in borrowers' financial conditions or market dynamics.</w:t>
      </w:r>
    </w:p>
    <w:p w14:paraId="565089EE" w14:textId="20AF3342" w:rsidR="00E072CA" w:rsidRPr="006D3D71" w:rsidRDefault="003832D7" w:rsidP="006D3D71">
      <w:pPr>
        <w:pStyle w:val="Heading2"/>
        <w:spacing w:before="0" w:after="0" w:line="360" w:lineRule="auto"/>
        <w:jc w:val="both"/>
        <w:rPr>
          <w:rFonts w:asciiTheme="majorBidi" w:hAnsiTheme="majorBidi"/>
          <w:b/>
          <w:bCs/>
          <w:color w:val="auto"/>
          <w:sz w:val="24"/>
          <w:szCs w:val="24"/>
        </w:rPr>
      </w:pPr>
      <w:bookmarkStart w:id="516" w:name="_Toc193846434"/>
      <w:r w:rsidRPr="006D3D71">
        <w:rPr>
          <w:rFonts w:asciiTheme="majorBidi" w:hAnsiTheme="majorBidi"/>
          <w:b/>
          <w:bCs/>
          <w:color w:val="auto"/>
          <w:sz w:val="24"/>
          <w:szCs w:val="24"/>
        </w:rPr>
        <w:t xml:space="preserve">1.9.6. </w:t>
      </w:r>
      <w:r w:rsidR="00E072CA" w:rsidRPr="006D3D71">
        <w:rPr>
          <w:rFonts w:asciiTheme="majorBidi" w:hAnsiTheme="majorBidi"/>
          <w:b/>
          <w:bCs/>
          <w:color w:val="auto"/>
          <w:sz w:val="24"/>
          <w:szCs w:val="24"/>
        </w:rPr>
        <w:t>Collateral Management</w:t>
      </w:r>
      <w:bookmarkEnd w:id="516"/>
    </w:p>
    <w:p w14:paraId="6AC85D61" w14:textId="77777777" w:rsidR="00E072CA" w:rsidRPr="006D3D71" w:rsidRDefault="00E072CA" w:rsidP="006D3D71">
      <w:pPr>
        <w:spacing w:line="360" w:lineRule="auto"/>
        <w:rPr>
          <w:rFonts w:asciiTheme="majorBidi" w:hAnsiTheme="majorBidi" w:cstheme="majorBidi"/>
          <w:sz w:val="24"/>
          <w:szCs w:val="24"/>
        </w:rPr>
      </w:pPr>
      <w:r w:rsidRPr="006D3D71">
        <w:rPr>
          <w:rFonts w:asciiTheme="majorBidi" w:hAnsiTheme="majorBidi" w:cstheme="majorBidi"/>
          <w:sz w:val="24"/>
          <w:szCs w:val="24"/>
        </w:rPr>
        <w:t>Collateral Management refers to the process of ensuring that the assets pledged by borrowers to secure loans are properly valued, monitored, and managed. It involves keeping track of collateral to ensure it maintains its value over time and can be accessed if a borrower defaults on the loan. Proper collateral management helps reduce credit risk by providing the bank with a safety net in case the borrower cannot repay. This process includes assessing the quality of collateral, performing regular valuations, and taking appropriate legal steps to seize the collateral when necessary.</w:t>
      </w:r>
    </w:p>
    <w:p w14:paraId="23B33DFD" w14:textId="06AE54DA" w:rsidR="00E072CA" w:rsidRPr="006D3D71" w:rsidRDefault="003832D7" w:rsidP="006D3D71">
      <w:pPr>
        <w:pStyle w:val="Heading2"/>
        <w:spacing w:before="0" w:after="0" w:line="360" w:lineRule="auto"/>
        <w:jc w:val="both"/>
        <w:rPr>
          <w:rFonts w:asciiTheme="majorBidi" w:hAnsiTheme="majorBidi"/>
          <w:b/>
          <w:bCs/>
          <w:color w:val="auto"/>
          <w:sz w:val="24"/>
          <w:szCs w:val="24"/>
        </w:rPr>
      </w:pPr>
      <w:bookmarkStart w:id="517" w:name="_Toc193846435"/>
      <w:r w:rsidRPr="006D3D71">
        <w:rPr>
          <w:rFonts w:asciiTheme="majorBidi" w:hAnsiTheme="majorBidi"/>
          <w:b/>
          <w:bCs/>
          <w:color w:val="auto"/>
          <w:sz w:val="24"/>
          <w:szCs w:val="24"/>
        </w:rPr>
        <w:t xml:space="preserve">1.9.7. </w:t>
      </w:r>
      <w:r w:rsidR="00E072CA" w:rsidRPr="006D3D71">
        <w:rPr>
          <w:rFonts w:asciiTheme="majorBidi" w:hAnsiTheme="majorBidi"/>
          <w:b/>
          <w:bCs/>
          <w:color w:val="auto"/>
          <w:sz w:val="24"/>
          <w:szCs w:val="24"/>
        </w:rPr>
        <w:t>Credit Risk Rating Systems</w:t>
      </w:r>
      <w:bookmarkEnd w:id="517"/>
    </w:p>
    <w:p w14:paraId="44E5AAD7" w14:textId="103D0483" w:rsidR="004C65B0" w:rsidRPr="006D3D71" w:rsidRDefault="00E072CA" w:rsidP="006D3D71">
      <w:pPr>
        <w:spacing w:line="360" w:lineRule="auto"/>
        <w:rPr>
          <w:rFonts w:asciiTheme="majorBidi" w:hAnsiTheme="majorBidi" w:cstheme="majorBidi"/>
          <w:sz w:val="24"/>
          <w:szCs w:val="24"/>
        </w:rPr>
      </w:pPr>
      <w:r w:rsidRPr="006D3D71">
        <w:rPr>
          <w:rFonts w:asciiTheme="majorBidi" w:hAnsiTheme="majorBidi" w:cstheme="majorBidi"/>
          <w:sz w:val="24"/>
          <w:szCs w:val="24"/>
        </w:rPr>
        <w:t>A Credit Risk Rating System is a framework used by financial institutions to evaluate and classify the risk level of borrowers. It assigns a score or grade to each borrower based on their ability to repay the loan. The system takes into account factors such as the borrower’s credit history, income stability, debt levels, and overall financial health. A high-risk borrower may receive a lower rating, indicating that they are more likely to default on their loan, while a low-risk borrower would have a higher rating. This system helps banks make more informed decisions on lending and manage their overall credit exposure.</w:t>
      </w:r>
    </w:p>
    <w:p w14:paraId="29794C19" w14:textId="557F71E6" w:rsidR="003F0834" w:rsidRPr="006D3D71" w:rsidRDefault="003F0834" w:rsidP="006D3D71">
      <w:pPr>
        <w:pStyle w:val="Heading2"/>
        <w:spacing w:before="0" w:after="0" w:line="360" w:lineRule="auto"/>
        <w:jc w:val="both"/>
        <w:rPr>
          <w:rFonts w:asciiTheme="majorBidi" w:hAnsiTheme="majorBidi"/>
          <w:b/>
          <w:bCs/>
          <w:color w:val="auto"/>
          <w:sz w:val="24"/>
          <w:szCs w:val="24"/>
        </w:rPr>
      </w:pPr>
      <w:bookmarkStart w:id="518" w:name="_Toc193846436"/>
      <w:r w:rsidRPr="006D3D71">
        <w:rPr>
          <w:rFonts w:asciiTheme="majorBidi" w:hAnsiTheme="majorBidi"/>
          <w:b/>
          <w:bCs/>
          <w:color w:val="auto"/>
          <w:sz w:val="24"/>
          <w:szCs w:val="24"/>
        </w:rPr>
        <w:t>1.9.</w:t>
      </w:r>
      <w:r w:rsidR="003832D7" w:rsidRPr="006D3D71">
        <w:rPr>
          <w:rFonts w:asciiTheme="majorBidi" w:hAnsiTheme="majorBidi"/>
          <w:b/>
          <w:bCs/>
          <w:color w:val="auto"/>
          <w:sz w:val="24"/>
          <w:szCs w:val="24"/>
        </w:rPr>
        <w:t>8</w:t>
      </w:r>
      <w:r w:rsidRPr="006D3D71">
        <w:rPr>
          <w:rFonts w:asciiTheme="majorBidi" w:hAnsiTheme="majorBidi"/>
          <w:b/>
          <w:bCs/>
          <w:color w:val="auto"/>
          <w:sz w:val="24"/>
          <w:szCs w:val="24"/>
        </w:rPr>
        <w:t>. Financial Performance</w:t>
      </w:r>
      <w:bookmarkEnd w:id="514"/>
      <w:bookmarkEnd w:id="515"/>
      <w:bookmarkEnd w:id="518"/>
    </w:p>
    <w:p w14:paraId="2D69147B" w14:textId="40AC0307"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 xml:space="preserve">Financial performance refers to the overall financial health and efficiency of a bank, commonly measured through profitability, operational efficiency, and liquidity </w:t>
      </w:r>
    </w:p>
    <w:p w14:paraId="33436B68" w14:textId="0681A95E" w:rsidR="003F0834" w:rsidRPr="006D3D71" w:rsidRDefault="003F0834" w:rsidP="006D3D71">
      <w:pPr>
        <w:pStyle w:val="Heading2"/>
        <w:spacing w:before="0" w:after="0" w:line="360" w:lineRule="auto"/>
        <w:jc w:val="both"/>
        <w:rPr>
          <w:rFonts w:asciiTheme="majorBidi" w:hAnsiTheme="majorBidi"/>
          <w:b/>
          <w:bCs/>
          <w:color w:val="auto"/>
          <w:sz w:val="24"/>
          <w:szCs w:val="24"/>
        </w:rPr>
      </w:pPr>
      <w:bookmarkStart w:id="519" w:name="_Toc193282214"/>
      <w:bookmarkStart w:id="520" w:name="_Toc193282380"/>
      <w:bookmarkStart w:id="521" w:name="_Toc193846437"/>
      <w:r w:rsidRPr="006D3D71">
        <w:rPr>
          <w:rFonts w:asciiTheme="majorBidi" w:hAnsiTheme="majorBidi"/>
          <w:b/>
          <w:bCs/>
          <w:color w:val="auto"/>
          <w:sz w:val="24"/>
          <w:szCs w:val="24"/>
        </w:rPr>
        <w:t>1.9.</w:t>
      </w:r>
      <w:r w:rsidR="003832D7" w:rsidRPr="006D3D71">
        <w:rPr>
          <w:rFonts w:asciiTheme="majorBidi" w:hAnsiTheme="majorBidi"/>
          <w:b/>
          <w:bCs/>
          <w:color w:val="auto"/>
          <w:sz w:val="24"/>
          <w:szCs w:val="24"/>
        </w:rPr>
        <w:t>9</w:t>
      </w:r>
      <w:r w:rsidRPr="006D3D71">
        <w:rPr>
          <w:rFonts w:asciiTheme="majorBidi" w:hAnsiTheme="majorBidi"/>
          <w:b/>
          <w:bCs/>
          <w:color w:val="auto"/>
          <w:sz w:val="24"/>
          <w:szCs w:val="24"/>
        </w:rPr>
        <w:t>. Net Interest Margin (NIM)</w:t>
      </w:r>
      <w:bookmarkEnd w:id="519"/>
      <w:bookmarkEnd w:id="520"/>
      <w:bookmarkEnd w:id="521"/>
    </w:p>
    <w:p w14:paraId="3C7C3B84" w14:textId="0282DD05"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Net interest margin is the difference between the interest income earned on loans and the interest expenses paid on deposits, expressed as a percentage of average earning assets</w:t>
      </w:r>
      <w:r w:rsidR="004C65B0" w:rsidRPr="006D3D71">
        <w:rPr>
          <w:rFonts w:asciiTheme="majorBidi" w:hAnsiTheme="majorBidi" w:cstheme="majorBidi"/>
          <w:sz w:val="24"/>
          <w:szCs w:val="24"/>
        </w:rPr>
        <w:t>.</w:t>
      </w:r>
    </w:p>
    <w:p w14:paraId="0503FC6A" w14:textId="3DEB6B5A" w:rsidR="003F0834" w:rsidRPr="006D3D71" w:rsidRDefault="003F0834" w:rsidP="006D3D71">
      <w:pPr>
        <w:pStyle w:val="Heading2"/>
        <w:spacing w:before="0" w:after="0" w:line="360" w:lineRule="auto"/>
        <w:jc w:val="both"/>
        <w:rPr>
          <w:rFonts w:asciiTheme="majorBidi" w:hAnsiTheme="majorBidi"/>
          <w:b/>
          <w:bCs/>
          <w:color w:val="auto"/>
          <w:sz w:val="24"/>
          <w:szCs w:val="24"/>
        </w:rPr>
      </w:pPr>
      <w:bookmarkStart w:id="522" w:name="_Toc193282215"/>
      <w:bookmarkStart w:id="523" w:name="_Toc193282381"/>
      <w:bookmarkStart w:id="524" w:name="_Toc193846438"/>
      <w:r w:rsidRPr="006D3D71">
        <w:rPr>
          <w:rFonts w:asciiTheme="majorBidi" w:hAnsiTheme="majorBidi"/>
          <w:b/>
          <w:bCs/>
          <w:color w:val="auto"/>
          <w:sz w:val="24"/>
          <w:szCs w:val="24"/>
        </w:rPr>
        <w:lastRenderedPageBreak/>
        <w:t>1.9.</w:t>
      </w:r>
      <w:r w:rsidR="003832D7" w:rsidRPr="006D3D71">
        <w:rPr>
          <w:rFonts w:asciiTheme="majorBidi" w:hAnsiTheme="majorBidi"/>
          <w:b/>
          <w:bCs/>
          <w:color w:val="auto"/>
          <w:sz w:val="24"/>
          <w:szCs w:val="24"/>
        </w:rPr>
        <w:t>10</w:t>
      </w:r>
      <w:r w:rsidRPr="006D3D71">
        <w:rPr>
          <w:rFonts w:asciiTheme="majorBidi" w:hAnsiTheme="majorBidi"/>
          <w:b/>
          <w:bCs/>
          <w:color w:val="auto"/>
          <w:sz w:val="24"/>
          <w:szCs w:val="24"/>
        </w:rPr>
        <w:t>. Return on Equity (ROE)</w:t>
      </w:r>
      <w:bookmarkEnd w:id="522"/>
      <w:bookmarkEnd w:id="523"/>
      <w:bookmarkEnd w:id="524"/>
    </w:p>
    <w:p w14:paraId="04F73099" w14:textId="23F427E4"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Return on equity measures a bank’s profitability by assessing the net income generated relative to shareholder equity. It highlights how effectively equity capital is utilized</w:t>
      </w:r>
      <w:r w:rsidR="004C65B0" w:rsidRPr="006D3D71">
        <w:rPr>
          <w:rFonts w:asciiTheme="majorBidi" w:hAnsiTheme="majorBidi" w:cstheme="majorBidi"/>
          <w:sz w:val="24"/>
          <w:szCs w:val="24"/>
        </w:rPr>
        <w:t>.</w:t>
      </w:r>
    </w:p>
    <w:p w14:paraId="1A101901" w14:textId="1CF93E32" w:rsidR="003F0834" w:rsidRPr="006D3D71" w:rsidRDefault="003F0834" w:rsidP="006D3D71">
      <w:pPr>
        <w:pStyle w:val="Heading2"/>
        <w:spacing w:before="0" w:after="0" w:line="360" w:lineRule="auto"/>
        <w:jc w:val="both"/>
        <w:rPr>
          <w:rFonts w:asciiTheme="majorBidi" w:hAnsiTheme="majorBidi"/>
          <w:b/>
          <w:bCs/>
          <w:color w:val="auto"/>
          <w:sz w:val="24"/>
          <w:szCs w:val="24"/>
        </w:rPr>
      </w:pPr>
      <w:bookmarkStart w:id="525" w:name="_Toc193282216"/>
      <w:bookmarkStart w:id="526" w:name="_Toc193282382"/>
      <w:bookmarkStart w:id="527" w:name="_Toc193846439"/>
      <w:r w:rsidRPr="006D3D71">
        <w:rPr>
          <w:rFonts w:asciiTheme="majorBidi" w:hAnsiTheme="majorBidi"/>
          <w:b/>
          <w:bCs/>
          <w:color w:val="auto"/>
          <w:sz w:val="24"/>
          <w:szCs w:val="24"/>
        </w:rPr>
        <w:t>1.9.1</w:t>
      </w:r>
      <w:r w:rsidR="003832D7" w:rsidRPr="006D3D71">
        <w:rPr>
          <w:rFonts w:asciiTheme="majorBidi" w:hAnsiTheme="majorBidi"/>
          <w:b/>
          <w:bCs/>
          <w:color w:val="auto"/>
          <w:sz w:val="24"/>
          <w:szCs w:val="24"/>
        </w:rPr>
        <w:t>1</w:t>
      </w:r>
      <w:r w:rsidRPr="006D3D71">
        <w:rPr>
          <w:rFonts w:asciiTheme="majorBidi" w:hAnsiTheme="majorBidi"/>
          <w:b/>
          <w:bCs/>
          <w:color w:val="auto"/>
          <w:sz w:val="24"/>
          <w:szCs w:val="24"/>
        </w:rPr>
        <w:t>. Return on Assets (ROA)</w:t>
      </w:r>
      <w:bookmarkEnd w:id="525"/>
      <w:bookmarkEnd w:id="526"/>
      <w:bookmarkEnd w:id="527"/>
    </w:p>
    <w:p w14:paraId="769BF069" w14:textId="3343A323"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Return on assets is a measure of a bank's ability to generate net income from its total assets, reflecting operational efficiency</w:t>
      </w:r>
      <w:r w:rsidR="004C65B0" w:rsidRPr="006D3D71">
        <w:rPr>
          <w:rFonts w:asciiTheme="majorBidi" w:hAnsiTheme="majorBidi" w:cstheme="majorBidi"/>
          <w:sz w:val="24"/>
          <w:szCs w:val="24"/>
        </w:rPr>
        <w:t>.</w:t>
      </w:r>
    </w:p>
    <w:p w14:paraId="5762DD0F" w14:textId="75D13965" w:rsidR="003F0834" w:rsidRPr="006D3D71" w:rsidRDefault="003F0834" w:rsidP="006D3D71">
      <w:pPr>
        <w:pStyle w:val="Heading2"/>
        <w:spacing w:before="0" w:after="0" w:line="360" w:lineRule="auto"/>
        <w:jc w:val="both"/>
        <w:rPr>
          <w:rFonts w:asciiTheme="majorBidi" w:hAnsiTheme="majorBidi"/>
          <w:b/>
          <w:bCs/>
          <w:color w:val="auto"/>
          <w:sz w:val="24"/>
          <w:szCs w:val="24"/>
        </w:rPr>
      </w:pPr>
      <w:bookmarkStart w:id="528" w:name="_Toc193282217"/>
      <w:bookmarkStart w:id="529" w:name="_Toc193282383"/>
      <w:bookmarkStart w:id="530" w:name="_Toc193846440"/>
      <w:r w:rsidRPr="006D3D71">
        <w:rPr>
          <w:rFonts w:asciiTheme="majorBidi" w:hAnsiTheme="majorBidi"/>
          <w:b/>
          <w:bCs/>
          <w:color w:val="auto"/>
          <w:sz w:val="24"/>
          <w:szCs w:val="24"/>
        </w:rPr>
        <w:t>1.9.1</w:t>
      </w:r>
      <w:r w:rsidR="003832D7" w:rsidRPr="006D3D71">
        <w:rPr>
          <w:rFonts w:asciiTheme="majorBidi" w:hAnsiTheme="majorBidi"/>
          <w:b/>
          <w:bCs/>
          <w:color w:val="auto"/>
          <w:sz w:val="24"/>
          <w:szCs w:val="24"/>
        </w:rPr>
        <w:t>2</w:t>
      </w:r>
      <w:r w:rsidRPr="006D3D71">
        <w:rPr>
          <w:rFonts w:asciiTheme="majorBidi" w:hAnsiTheme="majorBidi"/>
          <w:b/>
          <w:bCs/>
          <w:color w:val="auto"/>
          <w:sz w:val="24"/>
          <w:szCs w:val="24"/>
        </w:rPr>
        <w:t>. Cash Ratio</w:t>
      </w:r>
      <w:bookmarkEnd w:id="528"/>
      <w:bookmarkEnd w:id="529"/>
      <w:bookmarkEnd w:id="530"/>
    </w:p>
    <w:p w14:paraId="06C77E77" w14:textId="24B5EE63"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The cash ratio measures the proportion of a bank's cash and cash equivalents to its short-term liabilities, offering a stringent measure of liquidity</w:t>
      </w:r>
      <w:r w:rsidR="004C65B0" w:rsidRPr="006D3D71">
        <w:rPr>
          <w:rFonts w:asciiTheme="majorBidi" w:hAnsiTheme="majorBidi" w:cstheme="majorBidi"/>
          <w:sz w:val="24"/>
          <w:szCs w:val="24"/>
        </w:rPr>
        <w:t>.</w:t>
      </w:r>
    </w:p>
    <w:p w14:paraId="2E4B51EE" w14:textId="1CC08CB4" w:rsidR="003F0834" w:rsidRPr="006D3D71" w:rsidRDefault="003F0834" w:rsidP="006D3D71">
      <w:pPr>
        <w:pStyle w:val="Heading2"/>
        <w:spacing w:before="0" w:after="0" w:line="360" w:lineRule="auto"/>
        <w:jc w:val="both"/>
        <w:rPr>
          <w:rFonts w:asciiTheme="majorBidi" w:hAnsiTheme="majorBidi"/>
          <w:b/>
          <w:bCs/>
          <w:color w:val="auto"/>
          <w:sz w:val="24"/>
          <w:szCs w:val="24"/>
        </w:rPr>
      </w:pPr>
      <w:bookmarkStart w:id="531" w:name="_Toc193282218"/>
      <w:bookmarkStart w:id="532" w:name="_Toc193282384"/>
      <w:bookmarkStart w:id="533" w:name="_Toc193846441"/>
      <w:r w:rsidRPr="006D3D71">
        <w:rPr>
          <w:rFonts w:asciiTheme="majorBidi" w:hAnsiTheme="majorBidi"/>
          <w:b/>
          <w:bCs/>
          <w:color w:val="auto"/>
          <w:sz w:val="24"/>
          <w:szCs w:val="24"/>
        </w:rPr>
        <w:t>1.9.1</w:t>
      </w:r>
      <w:r w:rsidR="003832D7" w:rsidRPr="006D3D71">
        <w:rPr>
          <w:rFonts w:asciiTheme="majorBidi" w:hAnsiTheme="majorBidi"/>
          <w:b/>
          <w:bCs/>
          <w:color w:val="auto"/>
          <w:sz w:val="24"/>
          <w:szCs w:val="24"/>
        </w:rPr>
        <w:t>3</w:t>
      </w:r>
      <w:r w:rsidRPr="006D3D71">
        <w:rPr>
          <w:rFonts w:asciiTheme="majorBidi" w:hAnsiTheme="majorBidi"/>
          <w:b/>
          <w:bCs/>
          <w:color w:val="auto"/>
          <w:sz w:val="24"/>
          <w:szCs w:val="24"/>
        </w:rPr>
        <w:t>. Liquidity to Assets Ratio</w:t>
      </w:r>
      <w:bookmarkEnd w:id="531"/>
      <w:bookmarkEnd w:id="532"/>
      <w:bookmarkEnd w:id="533"/>
    </w:p>
    <w:p w14:paraId="1A92E1DE" w14:textId="3210F5CC"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This ratio evaluates the proportion of liquid assets to total assets, indicating the bank’s ability to meet financial obligations promptly</w:t>
      </w:r>
      <w:r w:rsidR="004C65B0" w:rsidRPr="006D3D71">
        <w:rPr>
          <w:rFonts w:asciiTheme="majorBidi" w:hAnsiTheme="majorBidi" w:cstheme="majorBidi"/>
          <w:sz w:val="24"/>
          <w:szCs w:val="24"/>
        </w:rPr>
        <w:t>.</w:t>
      </w:r>
    </w:p>
    <w:p w14:paraId="0FEFC34A" w14:textId="0B6CF588" w:rsidR="003F0834" w:rsidRPr="006D3D71" w:rsidRDefault="003F0834" w:rsidP="006D3D71">
      <w:pPr>
        <w:pStyle w:val="Heading2"/>
        <w:spacing w:before="0" w:after="0" w:line="360" w:lineRule="auto"/>
        <w:jc w:val="both"/>
        <w:rPr>
          <w:rFonts w:asciiTheme="majorBidi" w:hAnsiTheme="majorBidi"/>
          <w:b/>
          <w:bCs/>
          <w:color w:val="auto"/>
          <w:sz w:val="24"/>
          <w:szCs w:val="24"/>
        </w:rPr>
      </w:pPr>
      <w:bookmarkStart w:id="534" w:name="_Toc193282219"/>
      <w:bookmarkStart w:id="535" w:name="_Toc193282385"/>
      <w:bookmarkStart w:id="536" w:name="_Toc193846442"/>
      <w:r w:rsidRPr="006D3D71">
        <w:rPr>
          <w:rFonts w:asciiTheme="majorBidi" w:hAnsiTheme="majorBidi"/>
          <w:b/>
          <w:bCs/>
          <w:color w:val="auto"/>
          <w:sz w:val="24"/>
          <w:szCs w:val="24"/>
        </w:rPr>
        <w:t>1.9.1</w:t>
      </w:r>
      <w:r w:rsidR="003832D7" w:rsidRPr="006D3D71">
        <w:rPr>
          <w:rFonts w:asciiTheme="majorBidi" w:hAnsiTheme="majorBidi"/>
          <w:b/>
          <w:bCs/>
          <w:color w:val="auto"/>
          <w:sz w:val="24"/>
          <w:szCs w:val="24"/>
        </w:rPr>
        <w:t>4</w:t>
      </w:r>
      <w:r w:rsidRPr="006D3D71">
        <w:rPr>
          <w:rFonts w:asciiTheme="majorBidi" w:hAnsiTheme="majorBidi"/>
          <w:b/>
          <w:bCs/>
          <w:color w:val="auto"/>
          <w:sz w:val="24"/>
          <w:szCs w:val="24"/>
        </w:rPr>
        <w:t>. Loans to Deposit Ratio (LDR)</w:t>
      </w:r>
      <w:bookmarkEnd w:id="534"/>
      <w:bookmarkEnd w:id="535"/>
      <w:bookmarkEnd w:id="536"/>
    </w:p>
    <w:p w14:paraId="7C23A5DA" w14:textId="2C05D5FD"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 xml:space="preserve">The loans to deposit ratio </w:t>
      </w:r>
      <w:r w:rsidR="004C65B0" w:rsidRPr="006D3D71">
        <w:rPr>
          <w:rFonts w:asciiTheme="majorBidi" w:hAnsiTheme="majorBidi" w:cstheme="majorBidi"/>
          <w:sz w:val="24"/>
          <w:szCs w:val="24"/>
        </w:rPr>
        <w:t>measure</w:t>
      </w:r>
      <w:r w:rsidRPr="006D3D71">
        <w:rPr>
          <w:rFonts w:asciiTheme="majorBidi" w:hAnsiTheme="majorBidi" w:cstheme="majorBidi"/>
          <w:sz w:val="24"/>
          <w:szCs w:val="24"/>
        </w:rPr>
        <w:t xml:space="preserve"> the proportion of total loans issued relative to total deposits received, indicating the aggressiveness of lending practices</w:t>
      </w:r>
      <w:r w:rsidR="004C65B0" w:rsidRPr="006D3D71">
        <w:rPr>
          <w:rFonts w:asciiTheme="majorBidi" w:hAnsiTheme="majorBidi" w:cstheme="majorBidi"/>
          <w:sz w:val="24"/>
          <w:szCs w:val="24"/>
        </w:rPr>
        <w:t>.</w:t>
      </w:r>
    </w:p>
    <w:p w14:paraId="7E9E9055" w14:textId="77777777" w:rsidR="003F0834" w:rsidRPr="006D3D71" w:rsidRDefault="003F0834" w:rsidP="006D3D71">
      <w:pPr>
        <w:spacing w:after="240" w:line="360" w:lineRule="auto"/>
        <w:jc w:val="both"/>
        <w:rPr>
          <w:rFonts w:asciiTheme="majorBidi" w:eastAsia="Times New Roman" w:hAnsiTheme="majorBidi" w:cstheme="majorBidi"/>
          <w:sz w:val="24"/>
          <w:szCs w:val="24"/>
          <w:shd w:val="clear" w:color="auto" w:fill="FFFFFF"/>
        </w:rPr>
      </w:pPr>
    </w:p>
    <w:p w14:paraId="2413FBB3" w14:textId="77777777" w:rsidR="003F0834" w:rsidRPr="006D3D71" w:rsidRDefault="003F0834" w:rsidP="006D3D71">
      <w:pPr>
        <w:spacing w:after="240" w:line="360" w:lineRule="auto"/>
        <w:jc w:val="both"/>
        <w:rPr>
          <w:rFonts w:asciiTheme="majorBidi" w:eastAsia="Times New Roman" w:hAnsiTheme="majorBidi" w:cstheme="majorBidi"/>
          <w:sz w:val="24"/>
          <w:szCs w:val="24"/>
          <w:shd w:val="clear" w:color="auto" w:fill="FFFFFF"/>
        </w:rPr>
      </w:pPr>
    </w:p>
    <w:p w14:paraId="0AA0233C" w14:textId="77777777" w:rsidR="003D1748" w:rsidRPr="006D3D71" w:rsidRDefault="003D1748" w:rsidP="006D3D71">
      <w:pPr>
        <w:spacing w:line="360" w:lineRule="auto"/>
        <w:jc w:val="both"/>
        <w:rPr>
          <w:rFonts w:asciiTheme="majorBidi" w:hAnsiTheme="majorBidi" w:cstheme="majorBidi"/>
          <w:sz w:val="24"/>
          <w:szCs w:val="24"/>
        </w:rPr>
      </w:pPr>
    </w:p>
    <w:p w14:paraId="3C746414" w14:textId="77777777" w:rsidR="003D1748" w:rsidRPr="006D3D71" w:rsidRDefault="003D1748" w:rsidP="006D3D71">
      <w:pPr>
        <w:keepNext/>
        <w:keepLines/>
        <w:spacing w:after="0" w:line="360" w:lineRule="auto"/>
        <w:jc w:val="center"/>
        <w:outlineLvl w:val="0"/>
        <w:rPr>
          <w:rFonts w:asciiTheme="majorBidi" w:eastAsia="Times New Roman" w:hAnsiTheme="majorBidi" w:cstheme="majorBidi"/>
          <w:b/>
          <w:bCs/>
          <w:sz w:val="24"/>
          <w:szCs w:val="24"/>
        </w:rPr>
      </w:pPr>
      <w:bookmarkStart w:id="537" w:name="_Toc161046679"/>
      <w:bookmarkStart w:id="538" w:name="_Toc161046430"/>
      <w:bookmarkStart w:id="539" w:name="_Toc161046305"/>
      <w:bookmarkStart w:id="540" w:name="_Toc161045789"/>
      <w:bookmarkStart w:id="541" w:name="_Toc156986952"/>
      <w:bookmarkStart w:id="542" w:name="_Toc151578044"/>
      <w:bookmarkStart w:id="543" w:name="_Toc151577925"/>
      <w:bookmarkStart w:id="544" w:name="_Toc121130091"/>
      <w:bookmarkStart w:id="545" w:name="_Toc121129979"/>
      <w:bookmarkStart w:id="546" w:name="_Toc121129867"/>
      <w:bookmarkStart w:id="547" w:name="_Toc86739614"/>
      <w:bookmarkStart w:id="548" w:name="_Toc82502805"/>
      <w:bookmarkStart w:id="549" w:name="_Toc80859165"/>
      <w:bookmarkStart w:id="550" w:name="_Toc57362816"/>
      <w:bookmarkStart w:id="551" w:name="_Toc55050698"/>
      <w:bookmarkStart w:id="552" w:name="_Toc55050428"/>
      <w:bookmarkStart w:id="553" w:name="_Toc53077816"/>
      <w:bookmarkStart w:id="554" w:name="_Toc25909812"/>
      <w:bookmarkStart w:id="555" w:name="_Toc25909684"/>
      <w:bookmarkStart w:id="556" w:name="_Toc22382429"/>
      <w:bookmarkStart w:id="557" w:name="_Toc183425128"/>
      <w:bookmarkStart w:id="558" w:name="_Toc183425219"/>
      <w:bookmarkStart w:id="559" w:name="_Toc183426905"/>
      <w:bookmarkStart w:id="560" w:name="_Toc193282220"/>
      <w:bookmarkStart w:id="561" w:name="_Toc193282386"/>
      <w:bookmarkStart w:id="562" w:name="_Toc193846443"/>
      <w:commentRangeStart w:id="563"/>
      <w:r w:rsidRPr="006D3D71">
        <w:rPr>
          <w:rFonts w:asciiTheme="majorBidi" w:eastAsia="Times New Roman" w:hAnsiTheme="majorBidi" w:cstheme="majorBidi"/>
          <w:b/>
          <w:bCs/>
          <w:sz w:val="24"/>
          <w:szCs w:val="24"/>
        </w:rPr>
        <w:t>CHAPTER TWO</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58301E58" w14:textId="6202DA2E" w:rsidR="003D1748" w:rsidRPr="006D3D71" w:rsidRDefault="00332A43" w:rsidP="006D3D71">
      <w:pPr>
        <w:keepNext/>
        <w:keepLines/>
        <w:spacing w:after="0" w:line="360" w:lineRule="auto"/>
        <w:jc w:val="center"/>
        <w:outlineLvl w:val="0"/>
        <w:rPr>
          <w:rFonts w:asciiTheme="majorBidi" w:eastAsia="Times New Roman" w:hAnsiTheme="majorBidi" w:cstheme="majorBidi"/>
          <w:b/>
          <w:bCs/>
          <w:sz w:val="24"/>
          <w:szCs w:val="24"/>
        </w:rPr>
      </w:pPr>
      <w:bookmarkStart w:id="564" w:name="_Toc161046680"/>
      <w:bookmarkStart w:id="565" w:name="_Toc161046431"/>
      <w:bookmarkStart w:id="566" w:name="_Toc161046306"/>
      <w:bookmarkStart w:id="567" w:name="_Toc161045790"/>
      <w:bookmarkStart w:id="568" w:name="_Toc156986953"/>
      <w:bookmarkStart w:id="569" w:name="_Toc151578045"/>
      <w:bookmarkStart w:id="570" w:name="_Toc151577926"/>
      <w:bookmarkStart w:id="571" w:name="_Toc121130092"/>
      <w:bookmarkStart w:id="572" w:name="_Toc121129980"/>
      <w:bookmarkStart w:id="573" w:name="_Toc121129868"/>
      <w:bookmarkStart w:id="574" w:name="_Toc121129535"/>
      <w:bookmarkStart w:id="575" w:name="_Toc86739615"/>
      <w:bookmarkStart w:id="576" w:name="_Toc82502806"/>
      <w:bookmarkStart w:id="577" w:name="_Toc80859166"/>
      <w:bookmarkStart w:id="578" w:name="_Toc57362817"/>
      <w:bookmarkStart w:id="579" w:name="_Toc55050699"/>
      <w:bookmarkStart w:id="580" w:name="_Toc55050429"/>
      <w:bookmarkStart w:id="581" w:name="_Toc53077817"/>
      <w:bookmarkStart w:id="582" w:name="_Toc53077633"/>
      <w:bookmarkStart w:id="583" w:name="_Toc53073537"/>
      <w:bookmarkStart w:id="584" w:name="_Toc25909813"/>
      <w:bookmarkStart w:id="585" w:name="_Toc25909685"/>
      <w:bookmarkStart w:id="586" w:name="_Toc22382430"/>
      <w:bookmarkStart w:id="587" w:name="_Toc19993312"/>
      <w:bookmarkStart w:id="588" w:name="_Toc183425129"/>
      <w:bookmarkStart w:id="589" w:name="_Toc183425220"/>
      <w:bookmarkStart w:id="590" w:name="_Toc183426906"/>
      <w:bookmarkStart w:id="591" w:name="_Toc193282221"/>
      <w:bookmarkStart w:id="592" w:name="_Toc193282387"/>
      <w:bookmarkStart w:id="593" w:name="_Toc193846444"/>
      <w:r w:rsidRPr="006D3D71">
        <w:rPr>
          <w:rFonts w:asciiTheme="majorBidi" w:eastAsia="Times New Roman" w:hAnsiTheme="majorBidi" w:cstheme="majorBidi"/>
          <w:b/>
          <w:bCs/>
          <w:sz w:val="24"/>
          <w:szCs w:val="24"/>
        </w:rPr>
        <w:t xml:space="preserve">2.0 </w:t>
      </w:r>
      <w:r w:rsidR="003D1748" w:rsidRPr="006D3D71">
        <w:rPr>
          <w:rFonts w:asciiTheme="majorBidi" w:eastAsia="Times New Roman" w:hAnsiTheme="majorBidi" w:cstheme="majorBidi"/>
          <w:b/>
          <w:bCs/>
          <w:sz w:val="24"/>
          <w:szCs w:val="24"/>
        </w:rPr>
        <w:t>LITERATURE REVIEW</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commentRangeEnd w:id="563"/>
      <w:r w:rsidR="00F649DF" w:rsidRPr="006D3D71">
        <w:rPr>
          <w:rStyle w:val="CommentReference"/>
          <w:rFonts w:asciiTheme="majorBidi" w:eastAsia="Calibri" w:hAnsiTheme="majorBidi" w:cstheme="majorBidi"/>
          <w:sz w:val="24"/>
          <w:szCs w:val="24"/>
        </w:rPr>
        <w:commentReference w:id="563"/>
      </w:r>
      <w:bookmarkEnd w:id="593"/>
    </w:p>
    <w:p w14:paraId="3DDCA0A1" w14:textId="65E3FE0D" w:rsidR="003F0834" w:rsidRPr="006D3D71" w:rsidRDefault="003F0834" w:rsidP="006D3D71">
      <w:pPr>
        <w:spacing w:line="360" w:lineRule="auto"/>
        <w:jc w:val="both"/>
        <w:rPr>
          <w:rFonts w:asciiTheme="majorBidi" w:hAnsiTheme="majorBidi" w:cstheme="majorBidi"/>
          <w:b/>
          <w:sz w:val="24"/>
          <w:szCs w:val="24"/>
        </w:rPr>
      </w:pPr>
      <w:r w:rsidRPr="006D3D71">
        <w:rPr>
          <w:rFonts w:asciiTheme="majorBidi" w:hAnsiTheme="majorBidi" w:cstheme="majorBidi"/>
          <w:sz w:val="24"/>
          <w:szCs w:val="24"/>
        </w:rPr>
        <w:t xml:space="preserve">The chapter presents the literature review which is critical look at the existing research significant to the work. The main purpose of this chapter is to review the recorded literature of the key concept in order to facilitate the understanding of the impact on of risk management to the financial performance of commercial bank in Rwanda. This Chapter expresses what different scholars and authors have studied about the contribution of risk management to the financial performance of commercial bank in Rwanda. </w:t>
      </w:r>
    </w:p>
    <w:p w14:paraId="540B03B3" w14:textId="77777777" w:rsidR="003F0834" w:rsidRPr="006D3D71" w:rsidRDefault="003F0834" w:rsidP="006D3D71">
      <w:pPr>
        <w:pStyle w:val="Heading2"/>
        <w:spacing w:before="0" w:after="0" w:line="360" w:lineRule="auto"/>
        <w:jc w:val="both"/>
        <w:rPr>
          <w:rFonts w:asciiTheme="majorBidi" w:eastAsia="Times New Roman" w:hAnsiTheme="majorBidi"/>
          <w:b/>
          <w:bCs/>
          <w:color w:val="auto"/>
          <w:sz w:val="24"/>
          <w:szCs w:val="24"/>
        </w:rPr>
      </w:pPr>
      <w:bookmarkStart w:id="594" w:name="_Toc161046681"/>
      <w:bookmarkStart w:id="595" w:name="_Toc161046432"/>
      <w:bookmarkStart w:id="596" w:name="_Toc161046307"/>
      <w:bookmarkStart w:id="597" w:name="_Toc161045791"/>
      <w:bookmarkStart w:id="598" w:name="_Toc156986954"/>
      <w:bookmarkStart w:id="599" w:name="_Toc151578046"/>
      <w:bookmarkStart w:id="600" w:name="_Toc151577927"/>
      <w:bookmarkStart w:id="601" w:name="_Toc121130093"/>
      <w:bookmarkStart w:id="602" w:name="_Toc121129981"/>
      <w:bookmarkStart w:id="603" w:name="_Toc121129869"/>
      <w:bookmarkStart w:id="604" w:name="_Toc86739616"/>
      <w:bookmarkStart w:id="605" w:name="_Toc82502808"/>
      <w:bookmarkStart w:id="606" w:name="_Toc82502677"/>
      <w:bookmarkStart w:id="607" w:name="_Toc80859168"/>
      <w:bookmarkStart w:id="608" w:name="_Toc57362819"/>
      <w:bookmarkStart w:id="609" w:name="_Toc55050701"/>
      <w:bookmarkStart w:id="610" w:name="_Toc55050431"/>
      <w:bookmarkStart w:id="611" w:name="_Toc53077819"/>
      <w:bookmarkStart w:id="612" w:name="_Toc25909815"/>
      <w:bookmarkStart w:id="613" w:name="_Toc25909687"/>
      <w:bookmarkStart w:id="614" w:name="_Toc22382431"/>
      <w:bookmarkStart w:id="615" w:name="_Toc183425130"/>
      <w:bookmarkStart w:id="616" w:name="_Toc183425221"/>
      <w:bookmarkStart w:id="617" w:name="_Toc183426907"/>
      <w:bookmarkStart w:id="618" w:name="_Toc193282222"/>
      <w:bookmarkStart w:id="619" w:name="_Toc193282388"/>
      <w:bookmarkStart w:id="620" w:name="_Toc193846445"/>
      <w:r w:rsidRPr="006D3D71">
        <w:rPr>
          <w:rFonts w:asciiTheme="majorBidi" w:eastAsia="Times New Roman" w:hAnsiTheme="majorBidi"/>
          <w:b/>
          <w:bCs/>
          <w:color w:val="auto"/>
          <w:sz w:val="24"/>
          <w:szCs w:val="24"/>
        </w:rPr>
        <w:t>2.1. Theoretical review</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14:paraId="4599C13E" w14:textId="77777777" w:rsidR="003F0834" w:rsidRPr="006D3D71" w:rsidRDefault="003F0834" w:rsidP="006D3D71">
      <w:pPr>
        <w:shd w:val="clear" w:color="auto" w:fill="FFFFFF"/>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 xml:space="preserve">This section presents the theoretical review on loan management and profitability. It refers to the newspapers, magazines, articles, books of reports from different authors. </w:t>
      </w:r>
      <w:r w:rsidRPr="006D3D71">
        <w:rPr>
          <w:rFonts w:asciiTheme="majorBidi" w:eastAsia="Times New Roman" w:hAnsiTheme="majorBidi" w:cstheme="majorBidi"/>
          <w:bCs/>
          <w:sz w:val="24"/>
          <w:szCs w:val="24"/>
        </w:rPr>
        <w:t xml:space="preserve">The theories were reviewed from different sources but mostly the written materials. The information </w:t>
      </w:r>
      <w:r w:rsidRPr="006D3D71">
        <w:rPr>
          <w:rFonts w:asciiTheme="majorBidi" w:eastAsia="Times New Roman" w:hAnsiTheme="majorBidi" w:cstheme="majorBidi"/>
          <w:bCs/>
          <w:sz w:val="24"/>
          <w:szCs w:val="24"/>
        </w:rPr>
        <w:lastRenderedPageBreak/>
        <w:t xml:space="preserve">helped the researcher to know much about the topic and it paved a way for a researcher to have in place his own position as far as what others wrote about is concerned. The subsections below discuss fully loan management and </w:t>
      </w:r>
      <w:r w:rsidRPr="006D3D71">
        <w:rPr>
          <w:rFonts w:asciiTheme="majorBidi" w:hAnsiTheme="majorBidi" w:cstheme="majorBidi"/>
          <w:sz w:val="24"/>
          <w:szCs w:val="24"/>
        </w:rPr>
        <w:t>profitability of commercial banks</w:t>
      </w:r>
      <w:r w:rsidRPr="006D3D71">
        <w:rPr>
          <w:rFonts w:asciiTheme="majorBidi" w:eastAsia="Times New Roman" w:hAnsiTheme="majorBidi" w:cstheme="majorBidi"/>
          <w:bCs/>
          <w:sz w:val="24"/>
          <w:szCs w:val="24"/>
        </w:rPr>
        <w:t>.</w:t>
      </w:r>
      <w:r w:rsidRPr="006D3D71">
        <w:rPr>
          <w:rFonts w:asciiTheme="majorBidi" w:hAnsiTheme="majorBidi" w:cstheme="majorBidi"/>
          <w:sz w:val="24"/>
          <w:szCs w:val="24"/>
        </w:rPr>
        <w:t xml:space="preserve"> The theories used in this study are financial accelerator theory and stakeholder theory.</w:t>
      </w:r>
    </w:p>
    <w:p w14:paraId="369751D9" w14:textId="77777777" w:rsidR="003F0834" w:rsidRPr="006D3D71" w:rsidRDefault="003F0834" w:rsidP="006D3D71">
      <w:pPr>
        <w:pStyle w:val="Heading2"/>
        <w:spacing w:before="0" w:after="0" w:line="360" w:lineRule="auto"/>
        <w:jc w:val="both"/>
        <w:rPr>
          <w:rFonts w:asciiTheme="majorBidi" w:eastAsia="Times New Roman" w:hAnsiTheme="majorBidi"/>
          <w:b/>
          <w:bCs/>
          <w:color w:val="auto"/>
          <w:sz w:val="24"/>
          <w:szCs w:val="24"/>
          <w:lang w:val="en-GB" w:bidi="he-IL"/>
        </w:rPr>
      </w:pPr>
      <w:bookmarkStart w:id="621" w:name="_Toc183424788"/>
      <w:bookmarkStart w:id="622" w:name="_Toc183424980"/>
      <w:bookmarkStart w:id="623" w:name="_Toc183425131"/>
      <w:bookmarkStart w:id="624" w:name="_Toc183425222"/>
      <w:bookmarkStart w:id="625" w:name="_Toc183426908"/>
      <w:bookmarkStart w:id="626" w:name="_Toc185603956"/>
      <w:bookmarkStart w:id="627" w:name="_Toc193282223"/>
      <w:bookmarkStart w:id="628" w:name="_Toc193282389"/>
      <w:bookmarkStart w:id="629" w:name="_Toc193846446"/>
      <w:r w:rsidRPr="006D3D71">
        <w:rPr>
          <w:rFonts w:asciiTheme="majorBidi" w:eastAsia="Times New Roman" w:hAnsiTheme="majorBidi"/>
          <w:b/>
          <w:bCs/>
          <w:color w:val="auto"/>
          <w:sz w:val="24"/>
          <w:szCs w:val="24"/>
          <w:lang w:val="en-GB" w:bidi="he-IL"/>
        </w:rPr>
        <w:t>2.1.1. Risk management theory</w:t>
      </w:r>
      <w:bookmarkEnd w:id="621"/>
      <w:bookmarkEnd w:id="622"/>
      <w:bookmarkEnd w:id="623"/>
      <w:bookmarkEnd w:id="624"/>
      <w:bookmarkEnd w:id="625"/>
      <w:bookmarkEnd w:id="626"/>
      <w:bookmarkEnd w:id="627"/>
      <w:bookmarkEnd w:id="628"/>
      <w:bookmarkEnd w:id="629"/>
    </w:p>
    <w:p w14:paraId="662BC201" w14:textId="77777777" w:rsidR="003F0834" w:rsidRPr="006D3D71" w:rsidRDefault="003F0834" w:rsidP="006D3D71">
      <w:pPr>
        <w:spacing w:line="360" w:lineRule="auto"/>
        <w:jc w:val="both"/>
        <w:rPr>
          <w:rFonts w:asciiTheme="majorBidi" w:eastAsia="Times New Roman" w:hAnsiTheme="majorBidi" w:cstheme="majorBidi"/>
          <w:sz w:val="24"/>
          <w:szCs w:val="24"/>
        </w:rPr>
      </w:pPr>
      <w:r w:rsidRPr="006D3D71">
        <w:rPr>
          <w:rFonts w:asciiTheme="majorBidi" w:hAnsiTheme="majorBidi" w:cstheme="majorBidi"/>
          <w:sz w:val="24"/>
          <w:szCs w:val="24"/>
        </w:rPr>
        <w:t xml:space="preserve">With its foundation in the writings of academics like Peter L. Bernstein, risk management theory offers a thorough framework for analyzing credit risk in the context of loan portfolio management </w:t>
      </w:r>
      <w:sdt>
        <w:sdtPr>
          <w:rPr>
            <w:rFonts w:asciiTheme="majorBidi" w:hAnsiTheme="majorBidi" w:cstheme="majorBidi"/>
            <w:sz w:val="24"/>
            <w:szCs w:val="24"/>
          </w:rPr>
          <w:id w:val="1828397003"/>
          <w:citation/>
        </w:sdtPr>
        <w:sdtEndPr/>
        <w:sdtContent>
          <w:r w:rsidRPr="006D3D71">
            <w:rPr>
              <w:rFonts w:asciiTheme="majorBidi" w:hAnsiTheme="majorBidi" w:cstheme="majorBidi"/>
              <w:sz w:val="24"/>
              <w:szCs w:val="24"/>
            </w:rPr>
            <w:fldChar w:fldCharType="begin"/>
          </w:r>
          <w:r w:rsidRPr="006D3D71">
            <w:rPr>
              <w:rFonts w:asciiTheme="majorBidi" w:hAnsiTheme="majorBidi" w:cstheme="majorBidi"/>
              <w:sz w:val="24"/>
              <w:szCs w:val="24"/>
            </w:rPr>
            <w:instrText xml:space="preserve"> CITATION Der14 \l 1033 </w:instrText>
          </w:r>
          <w:r w:rsidRPr="006D3D71">
            <w:rPr>
              <w:rFonts w:asciiTheme="majorBidi" w:hAnsiTheme="majorBidi" w:cstheme="majorBidi"/>
              <w:sz w:val="24"/>
              <w:szCs w:val="24"/>
            </w:rPr>
            <w:fldChar w:fldCharType="separate"/>
          </w:r>
          <w:r w:rsidRPr="006D3D71">
            <w:rPr>
              <w:rFonts w:asciiTheme="majorBidi" w:hAnsiTheme="majorBidi" w:cstheme="majorBidi"/>
              <w:noProof/>
              <w:sz w:val="24"/>
              <w:szCs w:val="24"/>
            </w:rPr>
            <w:t>(Derman, 2014)</w:t>
          </w:r>
          <w:r w:rsidRPr="006D3D71">
            <w:rPr>
              <w:rFonts w:asciiTheme="majorBidi" w:hAnsiTheme="majorBidi" w:cstheme="majorBidi"/>
              <w:sz w:val="24"/>
              <w:szCs w:val="24"/>
            </w:rPr>
            <w:fldChar w:fldCharType="end"/>
          </w:r>
        </w:sdtContent>
      </w:sdt>
      <w:r w:rsidRPr="006D3D71">
        <w:rPr>
          <w:rFonts w:asciiTheme="majorBidi" w:hAnsiTheme="majorBidi" w:cstheme="majorBidi"/>
          <w:sz w:val="24"/>
          <w:szCs w:val="24"/>
        </w:rPr>
        <w:t xml:space="preserve">. </w:t>
      </w:r>
      <w:r w:rsidRPr="006D3D71">
        <w:rPr>
          <w:rFonts w:asciiTheme="majorBidi" w:eastAsia="Times New Roman" w:hAnsiTheme="majorBidi" w:cstheme="majorBidi"/>
          <w:sz w:val="24"/>
          <w:szCs w:val="24"/>
        </w:rPr>
        <w:t>This theory acts as a compass while the study explores the impact of loan asset management techniques on the financial viability of commercial banking institutions in Rwanda, case of GT Bank Plc. The idea emphasizes the methodical procedures that are used to recognize, evaluate, and reduce loan-related risks in order to improve the commercial banks' overall financial performance.</w:t>
      </w:r>
    </w:p>
    <w:p w14:paraId="37BE87D7" w14:textId="77777777"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Peter L. Bernstein's influential work, "Against the Gods: The Remarkable Story of Risk", laid the foundation for understanding risk as an inherent and manageable element in financial decision-making. The theory emphasizes the importance of a proactive approach to risk, acknowledging that effective risk management is essential for sustained financial health. This aligns with Merton's (2014) exploration of the risk structure of interest rates, contributing valuable insights to the assessment of credit risk</w:t>
      </w:r>
      <w:sdt>
        <w:sdtPr>
          <w:rPr>
            <w:rFonts w:asciiTheme="majorBidi" w:hAnsiTheme="majorBidi" w:cstheme="majorBidi"/>
            <w:sz w:val="24"/>
            <w:szCs w:val="24"/>
          </w:rPr>
          <w:id w:val="-1072965185"/>
          <w:citation/>
        </w:sdtPr>
        <w:sdtEndPr/>
        <w:sdtContent>
          <w:r w:rsidRPr="006D3D71">
            <w:rPr>
              <w:rFonts w:asciiTheme="majorBidi" w:hAnsiTheme="majorBidi" w:cstheme="majorBidi"/>
              <w:sz w:val="24"/>
              <w:szCs w:val="24"/>
            </w:rPr>
            <w:fldChar w:fldCharType="begin"/>
          </w:r>
          <w:r w:rsidRPr="006D3D71">
            <w:rPr>
              <w:rFonts w:asciiTheme="majorBidi" w:hAnsiTheme="majorBidi" w:cstheme="majorBidi"/>
              <w:sz w:val="24"/>
              <w:szCs w:val="24"/>
            </w:rPr>
            <w:instrText xml:space="preserve"> CITATION Hir07 \l 1033 </w:instrText>
          </w:r>
          <w:r w:rsidRPr="006D3D71">
            <w:rPr>
              <w:rFonts w:asciiTheme="majorBidi" w:hAnsiTheme="majorBidi" w:cstheme="majorBidi"/>
              <w:sz w:val="24"/>
              <w:szCs w:val="24"/>
            </w:rPr>
            <w:fldChar w:fldCharType="separate"/>
          </w:r>
          <w:r w:rsidRPr="006D3D71">
            <w:rPr>
              <w:rFonts w:asciiTheme="majorBidi" w:hAnsiTheme="majorBidi" w:cstheme="majorBidi"/>
              <w:noProof/>
              <w:sz w:val="24"/>
              <w:szCs w:val="24"/>
            </w:rPr>
            <w:t xml:space="preserve"> (Stiroh, 2007)</w:t>
          </w:r>
          <w:r w:rsidRPr="006D3D71">
            <w:rPr>
              <w:rFonts w:asciiTheme="majorBidi" w:hAnsiTheme="majorBidi" w:cstheme="majorBidi"/>
              <w:sz w:val="24"/>
              <w:szCs w:val="24"/>
            </w:rPr>
            <w:fldChar w:fldCharType="end"/>
          </w:r>
        </w:sdtContent>
      </w:sdt>
      <w:r w:rsidRPr="006D3D71">
        <w:rPr>
          <w:rFonts w:asciiTheme="majorBidi" w:hAnsiTheme="majorBidi" w:cstheme="majorBidi"/>
          <w:sz w:val="24"/>
          <w:szCs w:val="24"/>
        </w:rPr>
        <w:t>.</w:t>
      </w:r>
    </w:p>
    <w:p w14:paraId="236E1707" w14:textId="77777777"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While Risk Management Theory is widely accepted and integral to financial decision-making, it is not immune to criticisms. Scholars and practitioners have raised concerns about certain aspects of the theory, shedding light on potential limitations and challenges.</w:t>
      </w:r>
    </w:p>
    <w:p w14:paraId="51762BCD" w14:textId="77777777"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One notable criticism revolves around the assumption of predictability in risk management models. Critics argue that these models often rely on historical data and presume that the future similarly to the past. However, in dynamic and evolving financial landscapes, unforeseen events and systemic shifts can challenge the predictability of risk models</w:t>
      </w:r>
      <w:sdt>
        <w:sdtPr>
          <w:rPr>
            <w:rFonts w:asciiTheme="majorBidi" w:hAnsiTheme="majorBidi" w:cstheme="majorBidi"/>
            <w:sz w:val="24"/>
            <w:szCs w:val="24"/>
          </w:rPr>
          <w:id w:val="-1239249831"/>
          <w:citation/>
        </w:sdtPr>
        <w:sdtEndPr/>
        <w:sdtContent>
          <w:r w:rsidRPr="006D3D71">
            <w:rPr>
              <w:rFonts w:asciiTheme="majorBidi" w:hAnsiTheme="majorBidi" w:cstheme="majorBidi"/>
              <w:sz w:val="24"/>
              <w:szCs w:val="24"/>
            </w:rPr>
            <w:fldChar w:fldCharType="begin"/>
          </w:r>
          <w:r w:rsidRPr="006D3D71">
            <w:rPr>
              <w:rFonts w:asciiTheme="majorBidi" w:hAnsiTheme="majorBidi" w:cstheme="majorBidi"/>
              <w:sz w:val="24"/>
              <w:szCs w:val="24"/>
            </w:rPr>
            <w:instrText xml:space="preserve"> CITATION Der14 \l 1033 </w:instrText>
          </w:r>
          <w:r w:rsidRPr="006D3D71">
            <w:rPr>
              <w:rFonts w:asciiTheme="majorBidi" w:hAnsiTheme="majorBidi" w:cstheme="majorBidi"/>
              <w:sz w:val="24"/>
              <w:szCs w:val="24"/>
            </w:rPr>
            <w:fldChar w:fldCharType="separate"/>
          </w:r>
          <w:r w:rsidRPr="006D3D71">
            <w:rPr>
              <w:rFonts w:asciiTheme="majorBidi" w:hAnsiTheme="majorBidi" w:cstheme="majorBidi"/>
              <w:noProof/>
              <w:sz w:val="24"/>
              <w:szCs w:val="24"/>
            </w:rPr>
            <w:t xml:space="preserve"> (Derman, 2014)</w:t>
          </w:r>
          <w:r w:rsidRPr="006D3D71">
            <w:rPr>
              <w:rFonts w:asciiTheme="majorBidi" w:hAnsiTheme="majorBidi" w:cstheme="majorBidi"/>
              <w:sz w:val="24"/>
              <w:szCs w:val="24"/>
            </w:rPr>
            <w:fldChar w:fldCharType="end"/>
          </w:r>
        </w:sdtContent>
      </w:sdt>
      <w:r w:rsidRPr="006D3D71">
        <w:rPr>
          <w:rFonts w:asciiTheme="majorBidi" w:hAnsiTheme="majorBidi" w:cstheme="majorBidi"/>
          <w:sz w:val="24"/>
          <w:szCs w:val="24"/>
        </w:rPr>
        <w:t>. This critique highlights the need for continuous refinement and adaptability in risk management strategies.</w:t>
      </w:r>
    </w:p>
    <w:p w14:paraId="3D7B4385" w14:textId="77777777"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 xml:space="preserve">Another criticism involves the overemphasis on quantitative models at the expense of qualitative factors. Risk Management Theory, with its focus on quantitative metrics and statistical modeling, may neglect qualitative aspects such as management judgment, corporate culture, and behavioral elements that also contribute to risk (Wong, 2017). This critique </w:t>
      </w:r>
      <w:r w:rsidRPr="006D3D71">
        <w:rPr>
          <w:rFonts w:asciiTheme="majorBidi" w:hAnsiTheme="majorBidi" w:cstheme="majorBidi"/>
          <w:sz w:val="24"/>
          <w:szCs w:val="24"/>
        </w:rPr>
        <w:lastRenderedPageBreak/>
        <w:t>emphasizes the importance of a balanced approach that considers both quantitative and qualitative dimensions of risk.</w:t>
      </w:r>
    </w:p>
    <w:p w14:paraId="3CDA1C4F" w14:textId="77777777"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Furthermore, critics argue that the reliance on historical data might lead to a false sense of security, especially during periods of economic performance. Nassim Nicholas Taleb's work, particularly "The Black Swan: The Impact of the Highly Improbable" (2007), criticizes risk models that do not adequately account for rare and unpredictable events, emphasizing the significance of robustness in risk management strategies</w:t>
      </w:r>
      <w:sdt>
        <w:sdtPr>
          <w:rPr>
            <w:rFonts w:asciiTheme="majorBidi" w:hAnsiTheme="majorBidi" w:cstheme="majorBidi"/>
            <w:sz w:val="24"/>
            <w:szCs w:val="24"/>
          </w:rPr>
          <w:id w:val="627749915"/>
          <w:citation/>
        </w:sdtPr>
        <w:sdtEndPr/>
        <w:sdtContent>
          <w:r w:rsidRPr="006D3D71">
            <w:rPr>
              <w:rFonts w:asciiTheme="majorBidi" w:hAnsiTheme="majorBidi" w:cstheme="majorBidi"/>
              <w:sz w:val="24"/>
              <w:szCs w:val="24"/>
            </w:rPr>
            <w:fldChar w:fldCharType="begin"/>
          </w:r>
          <w:r w:rsidRPr="006D3D71">
            <w:rPr>
              <w:rFonts w:asciiTheme="majorBidi" w:hAnsiTheme="majorBidi" w:cstheme="majorBidi"/>
              <w:sz w:val="24"/>
              <w:szCs w:val="24"/>
            </w:rPr>
            <w:instrText xml:space="preserve"> CITATION Hir07 \l 1033 </w:instrText>
          </w:r>
          <w:r w:rsidRPr="006D3D71">
            <w:rPr>
              <w:rFonts w:asciiTheme="majorBidi" w:hAnsiTheme="majorBidi" w:cstheme="majorBidi"/>
              <w:sz w:val="24"/>
              <w:szCs w:val="24"/>
            </w:rPr>
            <w:fldChar w:fldCharType="separate"/>
          </w:r>
          <w:r w:rsidRPr="006D3D71">
            <w:rPr>
              <w:rFonts w:asciiTheme="majorBidi" w:hAnsiTheme="majorBidi" w:cstheme="majorBidi"/>
              <w:noProof/>
              <w:sz w:val="24"/>
              <w:szCs w:val="24"/>
            </w:rPr>
            <w:t xml:space="preserve"> (Stiroh, 2007)</w:t>
          </w:r>
          <w:r w:rsidRPr="006D3D71">
            <w:rPr>
              <w:rFonts w:asciiTheme="majorBidi" w:hAnsiTheme="majorBidi" w:cstheme="majorBidi"/>
              <w:sz w:val="24"/>
              <w:szCs w:val="24"/>
            </w:rPr>
            <w:fldChar w:fldCharType="end"/>
          </w:r>
        </w:sdtContent>
      </w:sdt>
      <w:r w:rsidRPr="006D3D71">
        <w:rPr>
          <w:rFonts w:asciiTheme="majorBidi" w:hAnsiTheme="majorBidi" w:cstheme="majorBidi"/>
          <w:sz w:val="24"/>
          <w:szCs w:val="24"/>
        </w:rPr>
        <w:t>.</w:t>
      </w:r>
    </w:p>
    <w:p w14:paraId="167CD81F" w14:textId="77777777"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These criticisms contribute to the ongoing discourse surrounding Risk Management Theory, encouraging researchers and practitioners to refine and evolve risk management practices to address its potential limitations. Incorporating these critiques into the study enhances its depth by acknowledging the complexities and challenges associated with implementing risk management strategies within the context of the Impact of Loan Portfolio Management Strategies on Financial Performance of Commercial Banks in Rwanda, specifically the case of GT Bank Plc</w:t>
      </w:r>
    </w:p>
    <w:p w14:paraId="4E7BD36F" w14:textId="48FBFBFD"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 xml:space="preserve">In the context of the </w:t>
      </w:r>
      <w:r w:rsidR="003E2CDF" w:rsidRPr="006D3D71">
        <w:rPr>
          <w:rFonts w:asciiTheme="majorBidi" w:hAnsiTheme="majorBidi" w:cstheme="majorBidi"/>
          <w:sz w:val="24"/>
          <w:szCs w:val="24"/>
        </w:rPr>
        <w:t>study, risk</w:t>
      </w:r>
      <w:r w:rsidRPr="006D3D71">
        <w:rPr>
          <w:rFonts w:asciiTheme="majorBidi" w:hAnsiTheme="majorBidi" w:cstheme="majorBidi"/>
          <w:sz w:val="24"/>
          <w:szCs w:val="24"/>
        </w:rPr>
        <w:t xml:space="preserve"> management theory is applied to the specific challenges faced by GT Bank </w:t>
      </w:r>
      <w:r w:rsidR="003E2CDF" w:rsidRPr="006D3D71">
        <w:rPr>
          <w:rFonts w:asciiTheme="majorBidi" w:hAnsiTheme="majorBidi" w:cstheme="majorBidi"/>
          <w:sz w:val="24"/>
          <w:szCs w:val="24"/>
        </w:rPr>
        <w:t>Plc.</w:t>
      </w:r>
      <w:r w:rsidRPr="006D3D71">
        <w:rPr>
          <w:rFonts w:asciiTheme="majorBidi" w:hAnsiTheme="majorBidi" w:cstheme="majorBidi"/>
          <w:sz w:val="24"/>
          <w:szCs w:val="24"/>
        </w:rPr>
        <w:t xml:space="preserve"> It involves analyzing financial ratios, employing discriminant analysis (Altman, 1968), and leveraging contemporary credit risk modeling techniques (Löffler &amp; Posch, 2016). Saunders and Cornett's (2008) work on financial institutions management, adopting a risk management approach, further informs the study's exploration of how the implementation of effective risk management strategies influences financial performance</w:t>
      </w:r>
      <w:sdt>
        <w:sdtPr>
          <w:rPr>
            <w:rFonts w:asciiTheme="majorBidi" w:hAnsiTheme="majorBidi" w:cstheme="majorBidi"/>
            <w:sz w:val="24"/>
            <w:szCs w:val="24"/>
          </w:rPr>
          <w:id w:val="-627784222"/>
          <w:citation/>
        </w:sdtPr>
        <w:sdtEndPr/>
        <w:sdtContent>
          <w:r w:rsidRPr="006D3D71">
            <w:rPr>
              <w:rFonts w:asciiTheme="majorBidi" w:hAnsiTheme="majorBidi" w:cstheme="majorBidi"/>
              <w:sz w:val="24"/>
              <w:szCs w:val="24"/>
            </w:rPr>
            <w:fldChar w:fldCharType="begin"/>
          </w:r>
          <w:r w:rsidRPr="006D3D71">
            <w:rPr>
              <w:rFonts w:asciiTheme="majorBidi" w:hAnsiTheme="majorBidi" w:cstheme="majorBidi"/>
              <w:sz w:val="24"/>
              <w:szCs w:val="24"/>
            </w:rPr>
            <w:instrText xml:space="preserve"> CITATION And21 \l 1033 </w:instrText>
          </w:r>
          <w:r w:rsidRPr="006D3D71">
            <w:rPr>
              <w:rFonts w:asciiTheme="majorBidi" w:hAnsiTheme="majorBidi" w:cstheme="majorBidi"/>
              <w:sz w:val="24"/>
              <w:szCs w:val="24"/>
            </w:rPr>
            <w:fldChar w:fldCharType="separate"/>
          </w:r>
          <w:r w:rsidRPr="006D3D71">
            <w:rPr>
              <w:rFonts w:asciiTheme="majorBidi" w:hAnsiTheme="majorBidi" w:cstheme="majorBidi"/>
              <w:noProof/>
              <w:sz w:val="24"/>
              <w:szCs w:val="24"/>
            </w:rPr>
            <w:t xml:space="preserve"> (Amoah, 2021)</w:t>
          </w:r>
          <w:r w:rsidRPr="006D3D71">
            <w:rPr>
              <w:rFonts w:asciiTheme="majorBidi" w:hAnsiTheme="majorBidi" w:cstheme="majorBidi"/>
              <w:sz w:val="24"/>
              <w:szCs w:val="24"/>
            </w:rPr>
            <w:fldChar w:fldCharType="end"/>
          </w:r>
        </w:sdtContent>
      </w:sdt>
      <w:r w:rsidRPr="006D3D71">
        <w:rPr>
          <w:rFonts w:asciiTheme="majorBidi" w:hAnsiTheme="majorBidi" w:cstheme="majorBidi"/>
          <w:sz w:val="24"/>
          <w:szCs w:val="24"/>
        </w:rPr>
        <w:t>.</w:t>
      </w:r>
    </w:p>
    <w:p w14:paraId="7F6B2FAC" w14:textId="2B816D93"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 xml:space="preserve">The interconnectedness of risk management theory and loan portfolio management strategies becomes evident in the practical applications and methodologies proposed by these scholars. The study utilizes these insights to investigate how GT Bank Plc can optimize risk management within its loan portfolio to bolster financial performance. Integrating this theory enhances the study's analytical depth, providing a nuanced understanding of the intricacies involved in managing risk </w:t>
      </w:r>
      <w:r w:rsidR="0084475E" w:rsidRPr="006D3D71">
        <w:rPr>
          <w:rFonts w:asciiTheme="majorBidi" w:hAnsiTheme="majorBidi" w:cstheme="majorBidi"/>
          <w:sz w:val="24"/>
          <w:szCs w:val="24"/>
        </w:rPr>
        <w:t>management and</w:t>
      </w:r>
      <w:r w:rsidRPr="006D3D71">
        <w:rPr>
          <w:rFonts w:asciiTheme="majorBidi" w:hAnsiTheme="majorBidi" w:cstheme="majorBidi"/>
          <w:sz w:val="24"/>
          <w:szCs w:val="24"/>
        </w:rPr>
        <w:t xml:space="preserve"> ensuring the performance of commercial banks.</w:t>
      </w:r>
    </w:p>
    <w:p w14:paraId="4E10DE55" w14:textId="77777777" w:rsidR="003F0834" w:rsidRPr="006D3D71" w:rsidRDefault="003F0834" w:rsidP="006D3D71">
      <w:pPr>
        <w:pStyle w:val="Heading2"/>
        <w:spacing w:before="0" w:after="0" w:line="360" w:lineRule="auto"/>
        <w:jc w:val="both"/>
        <w:rPr>
          <w:rFonts w:asciiTheme="majorBidi" w:eastAsia="Times New Roman" w:hAnsiTheme="majorBidi"/>
          <w:b/>
          <w:bCs/>
          <w:color w:val="auto"/>
          <w:sz w:val="24"/>
          <w:szCs w:val="24"/>
        </w:rPr>
      </w:pPr>
      <w:bookmarkStart w:id="630" w:name="_Toc165640078"/>
      <w:bookmarkStart w:id="631" w:name="_Toc165639869"/>
      <w:bookmarkStart w:id="632" w:name="_Toc183424789"/>
      <w:bookmarkStart w:id="633" w:name="_Toc183424981"/>
      <w:bookmarkStart w:id="634" w:name="_Toc183425132"/>
      <w:bookmarkStart w:id="635" w:name="_Toc183425223"/>
      <w:bookmarkStart w:id="636" w:name="_Toc183426909"/>
      <w:bookmarkStart w:id="637" w:name="_Toc185603957"/>
      <w:bookmarkStart w:id="638" w:name="_Toc193282224"/>
      <w:bookmarkStart w:id="639" w:name="_Toc193282390"/>
      <w:bookmarkStart w:id="640" w:name="_Toc193846447"/>
      <w:r w:rsidRPr="006D3D71">
        <w:rPr>
          <w:rFonts w:asciiTheme="majorBidi" w:eastAsia="Times New Roman" w:hAnsiTheme="majorBidi"/>
          <w:b/>
          <w:bCs/>
          <w:color w:val="auto"/>
          <w:sz w:val="24"/>
          <w:szCs w:val="24"/>
        </w:rPr>
        <w:t>2.1.2. Liquidity Preference Theory</w:t>
      </w:r>
      <w:bookmarkEnd w:id="630"/>
      <w:bookmarkEnd w:id="631"/>
      <w:bookmarkEnd w:id="632"/>
      <w:bookmarkEnd w:id="633"/>
      <w:bookmarkEnd w:id="634"/>
      <w:bookmarkEnd w:id="635"/>
      <w:bookmarkEnd w:id="636"/>
      <w:bookmarkEnd w:id="637"/>
      <w:bookmarkEnd w:id="638"/>
      <w:bookmarkEnd w:id="639"/>
      <w:bookmarkEnd w:id="640"/>
    </w:p>
    <w:p w14:paraId="782E3EAA" w14:textId="77777777" w:rsidR="003F0834" w:rsidRPr="006D3D71" w:rsidRDefault="003F0834" w:rsidP="006D3D71">
      <w:pPr>
        <w:spacing w:line="360" w:lineRule="auto"/>
        <w:jc w:val="both"/>
        <w:rPr>
          <w:rFonts w:asciiTheme="majorBidi" w:eastAsia="Times New Roman" w:hAnsiTheme="majorBidi" w:cstheme="majorBidi"/>
          <w:sz w:val="24"/>
          <w:szCs w:val="24"/>
        </w:rPr>
      </w:pPr>
      <w:r w:rsidRPr="006D3D71">
        <w:rPr>
          <w:rFonts w:asciiTheme="majorBidi" w:eastAsia="Times New Roman" w:hAnsiTheme="majorBidi" w:cstheme="majorBidi"/>
          <w:sz w:val="24"/>
          <w:szCs w:val="24"/>
        </w:rPr>
        <w:t xml:space="preserve">The general idea of the liquidity preference theory was developed by J.M Keynes`s within a simplified model in which there is only two types of financial assets money, the liquid and the bonds with no maturity, the illiquid assets. According to him, an increased preference for liquidity in the model is equivalent to increased demand for money and therefore demand for </w:t>
      </w:r>
      <w:r w:rsidRPr="006D3D71">
        <w:rPr>
          <w:rFonts w:asciiTheme="majorBidi" w:eastAsia="Times New Roman" w:hAnsiTheme="majorBidi" w:cstheme="majorBidi"/>
          <w:sz w:val="24"/>
          <w:szCs w:val="24"/>
        </w:rPr>
        <w:lastRenderedPageBreak/>
        <w:t>money increases wherever more people think interest rates are likely to rise than believes they are likely to fall (Howel &amp; Bain, 2008). The demand for money as an asset was theorized to depend on the interest foregone by not holding bonds (here, the term "bonds" can be understood to also represent stocks and other less liquid assets in general, as well as government bonds). Interest rates, he argues, cannot be a reward for saving as such because, if a person hoards his savings in cash, keeping it under his mattress say, he will receive no interest, although he has nevertheless refrained from consuming all his current income. Instead of a reward for saving, interest, in the Keynesian analysis, is a reward for parting with liquidity.</w:t>
      </w:r>
    </w:p>
    <w:p w14:paraId="2126ED28" w14:textId="77777777" w:rsidR="003F0834" w:rsidRPr="006D3D71" w:rsidRDefault="003F0834" w:rsidP="006D3D71">
      <w:pPr>
        <w:spacing w:line="360" w:lineRule="auto"/>
        <w:jc w:val="both"/>
        <w:rPr>
          <w:rFonts w:asciiTheme="majorBidi" w:eastAsia="Times New Roman" w:hAnsiTheme="majorBidi" w:cstheme="majorBidi"/>
          <w:sz w:val="24"/>
          <w:szCs w:val="24"/>
        </w:rPr>
      </w:pPr>
      <w:r w:rsidRPr="006D3D71">
        <w:rPr>
          <w:rFonts w:asciiTheme="majorBidi" w:eastAsia="Times New Roman" w:hAnsiTheme="majorBidi" w:cstheme="majorBidi"/>
          <w:sz w:val="24"/>
          <w:szCs w:val="24"/>
        </w:rPr>
        <w:t>According to the Liquidity Preference Theory money is held for different motives. These are the transactions motive, precautionary motive, and speculative motive. Transactions Motive: We get income only periodically. We must keep some money with us till we receive income next, in order to be able to carry out transactions. Transactions motive also includes business motive. It takes some time before the businessman can sell his product in the market. But he must be able to pay wages to the workers, cost of raw material, etc. as these become due. He must therefore keep some cash for this purpose. Precautionary Motive: Everyone puts something aside for a rainy day. Some money must be kept to meet unforeseen situations and emergencies. Speculative Motive: The future is uncertain and the rate of interest in the market continues changing. No one can guess what turn the change will take. But everybody hopes, and with confidence, that his guess is likely to be correct. It may or may not be so. Some money, therefore, is kept to speculate on these probable changes to earn profit (Tushar, 2016).</w:t>
      </w:r>
    </w:p>
    <w:p w14:paraId="6D64D27F" w14:textId="77777777" w:rsidR="003F0834" w:rsidRPr="006D3D71" w:rsidRDefault="003F0834" w:rsidP="006D3D71">
      <w:pPr>
        <w:spacing w:line="360" w:lineRule="auto"/>
        <w:jc w:val="both"/>
        <w:rPr>
          <w:rFonts w:asciiTheme="majorBidi" w:eastAsia="Times New Roman" w:hAnsiTheme="majorBidi" w:cstheme="majorBidi"/>
          <w:sz w:val="24"/>
          <w:szCs w:val="24"/>
        </w:rPr>
      </w:pPr>
      <w:r w:rsidRPr="006D3D71">
        <w:rPr>
          <w:rFonts w:asciiTheme="majorBidi" w:eastAsia="Times New Roman" w:hAnsiTheme="majorBidi" w:cstheme="majorBidi"/>
          <w:sz w:val="24"/>
          <w:szCs w:val="24"/>
        </w:rPr>
        <w:t xml:space="preserve">According to this theory, investors will always prefer short term securities to long term securities. To encourage them hold long term bonds, long term securities should yield higher interests than short term bonds. Therefore, the yield curve will always be upward sloping. A hypothesis about the term structure of interest rates (the relationship between interest rates and term to maturity) holding that investors demand a premium for bearing interest rate risk. The extent of the premium increases with term to maturity but at a decreasing rate. The two reasons behind the decreasing rate of increase are that duration, a measure of a bond's price sensitivity to interest rate changes, increases at a decreasing rate with term to maturity and that long term interest rates are typically less volatile than short term interest rates (Bibow, 2005).  This theory addresses the interest rate loan risk management technique. This theory is </w:t>
      </w:r>
      <w:r w:rsidRPr="006D3D71">
        <w:rPr>
          <w:rFonts w:asciiTheme="majorBidi" w:eastAsia="Times New Roman" w:hAnsiTheme="majorBidi" w:cstheme="majorBidi"/>
          <w:sz w:val="24"/>
          <w:szCs w:val="24"/>
        </w:rPr>
        <w:lastRenderedPageBreak/>
        <w:t>related to the study addresses the independent variable of risk management. It evaluates the relationship between of risk management and financial performance.</w:t>
      </w:r>
    </w:p>
    <w:p w14:paraId="4FEC5077" w14:textId="77777777" w:rsidR="003F0834" w:rsidRPr="006D3D71" w:rsidRDefault="003F0834" w:rsidP="006D3D71">
      <w:pPr>
        <w:pStyle w:val="Heading2"/>
        <w:spacing w:before="0" w:after="0" w:line="360" w:lineRule="auto"/>
        <w:jc w:val="both"/>
        <w:rPr>
          <w:rFonts w:asciiTheme="majorBidi" w:eastAsia="Times New Roman" w:hAnsiTheme="majorBidi"/>
          <w:b/>
          <w:bCs/>
          <w:color w:val="auto"/>
          <w:sz w:val="24"/>
          <w:szCs w:val="24"/>
        </w:rPr>
      </w:pPr>
      <w:bookmarkStart w:id="641" w:name="_Toc193282225"/>
      <w:bookmarkStart w:id="642" w:name="_Toc193282391"/>
      <w:bookmarkStart w:id="643" w:name="_Toc193846448"/>
      <w:r w:rsidRPr="006D3D71">
        <w:rPr>
          <w:rFonts w:asciiTheme="majorBidi" w:eastAsia="Times New Roman" w:hAnsiTheme="majorBidi"/>
          <w:b/>
          <w:bCs/>
          <w:color w:val="auto"/>
          <w:sz w:val="24"/>
          <w:szCs w:val="24"/>
        </w:rPr>
        <w:t>2.1.3. Theoretical framework</w:t>
      </w:r>
      <w:bookmarkEnd w:id="641"/>
      <w:bookmarkEnd w:id="642"/>
      <w:bookmarkEnd w:id="643"/>
    </w:p>
    <w:p w14:paraId="37D7C8A9" w14:textId="77777777" w:rsidR="003F0834" w:rsidRPr="006D3D71" w:rsidRDefault="003F0834" w:rsidP="006D3D71">
      <w:pPr>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This study is underpinned by Risk Management Theory, which provides a comprehensive approach to assessing and mitigating credit risk in loan portfolio management. The theory, based on the work of scholars such as Peter L. Bernstein (1996) and Merton (2014), emphasizes systematic procedures to identify, evaluate, and reduce risks associated with loan portfolios. According to Saunders and Cornett (2008), effective risk management strategies are essential for maintaining the financial stability of banking institutions. In the context of GT Bank Plc, this theory guides the analysis of financial ratios and the implementation of contemporary credit risk modeling techniques (Löffler &amp; Posch, 2016) to enhance financial performance. By applying risk management strategies, commercial banks can minimize the impact of non-performing loans (NPLs) and ensure financial stability (Amoah, 2021).</w:t>
      </w:r>
    </w:p>
    <w:p w14:paraId="6C39D6A8" w14:textId="77777777" w:rsidR="003F0834" w:rsidRPr="006D3D71" w:rsidRDefault="003F0834" w:rsidP="006D3D71">
      <w:pPr>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Additionally, Liquidity Preference Theory, as developed by J.M. Keynes (1936), is relevant to this study as it explains the relationship between liquidity, interest rates, and investment decisions. The theory suggests that investors demand a premium for holding long-term securities due to interest rate risk. Howell and Bain (2008) elaborate that increased demand for liquidity leads to higher demand for money, impacting loan and investment decisions. According to Bibow (2005), long-term securities must yield higher interest rates to compensate for liquidity risk, a concept that is particularly relevant for commercial banks. In the context of GT Bank Plc, this theory informs how banks manage liquidity risk and structure their loan portfolios to balance profitability and risk exposure. By maintaining an optimal balance between liquidity and long-term investments, commercial banks can enhance financial performance while effectively managing loan-related risks (Tushar, 2016).</w:t>
      </w:r>
    </w:p>
    <w:p w14:paraId="01ECCE04" w14:textId="77777777" w:rsidR="003F0834" w:rsidRPr="006D3D71" w:rsidRDefault="003F0834" w:rsidP="006D3D71">
      <w:pPr>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Among the theories reviewed, Risk Management Theory serves as the primary underpinning theory for this study. It directly aligns with the study's focus on loan portfolio management strategies and financial performance, offering a structured framework for analyzing and mitigating credit risk in commercial banks. The insights from this theory enable a deeper understanding of how GT Bank Plc can implement effective risk management strategies to reduce NPLs and improve overall financial performance (Wong, 2017).</w:t>
      </w:r>
    </w:p>
    <w:p w14:paraId="74A820FA" w14:textId="77777777" w:rsidR="003F0834" w:rsidRPr="006D3D71" w:rsidRDefault="003F0834" w:rsidP="006D3D71">
      <w:pPr>
        <w:pStyle w:val="Heading2"/>
        <w:spacing w:before="0" w:after="0" w:line="360" w:lineRule="auto"/>
        <w:jc w:val="both"/>
        <w:rPr>
          <w:rFonts w:asciiTheme="majorBidi" w:hAnsiTheme="majorBidi"/>
          <w:b/>
          <w:bCs/>
          <w:color w:val="auto"/>
          <w:sz w:val="24"/>
          <w:szCs w:val="24"/>
        </w:rPr>
      </w:pPr>
      <w:bookmarkStart w:id="644" w:name="_Toc161046684"/>
      <w:bookmarkStart w:id="645" w:name="_Toc161046435"/>
      <w:bookmarkStart w:id="646" w:name="_Toc161046310"/>
      <w:bookmarkStart w:id="647" w:name="_Toc161045794"/>
      <w:bookmarkStart w:id="648" w:name="_Toc156986957"/>
      <w:bookmarkStart w:id="649" w:name="_Toc151578049"/>
      <w:bookmarkStart w:id="650" w:name="_Toc151577930"/>
      <w:bookmarkStart w:id="651" w:name="_Toc183425133"/>
      <w:bookmarkStart w:id="652" w:name="_Toc183425224"/>
      <w:bookmarkStart w:id="653" w:name="_Toc183426910"/>
      <w:bookmarkStart w:id="654" w:name="_Toc193282226"/>
      <w:bookmarkStart w:id="655" w:name="_Toc193282392"/>
      <w:bookmarkStart w:id="656" w:name="_Toc193846449"/>
      <w:bookmarkStart w:id="657" w:name="_Toc121130096"/>
      <w:bookmarkStart w:id="658" w:name="_Toc121129984"/>
      <w:bookmarkStart w:id="659" w:name="_Toc121129872"/>
      <w:bookmarkStart w:id="660" w:name="_Toc86739619"/>
      <w:bookmarkStart w:id="661" w:name="_Toc82502811"/>
      <w:bookmarkStart w:id="662" w:name="_Toc82502680"/>
      <w:bookmarkStart w:id="663" w:name="_Toc80859171"/>
      <w:bookmarkStart w:id="664" w:name="_Toc57362820"/>
      <w:bookmarkStart w:id="665" w:name="_Toc55050702"/>
      <w:bookmarkStart w:id="666" w:name="_Toc55050432"/>
      <w:bookmarkStart w:id="667" w:name="_Toc53077820"/>
      <w:bookmarkStart w:id="668" w:name="_Toc25909818"/>
      <w:bookmarkStart w:id="669" w:name="_Toc25909690"/>
      <w:bookmarkStart w:id="670" w:name="_Toc22382432"/>
      <w:r w:rsidRPr="006D3D71">
        <w:rPr>
          <w:rFonts w:asciiTheme="majorBidi" w:hAnsiTheme="majorBidi"/>
          <w:b/>
          <w:bCs/>
          <w:color w:val="auto"/>
          <w:sz w:val="24"/>
          <w:szCs w:val="24"/>
        </w:rPr>
        <w:lastRenderedPageBreak/>
        <w:t>2.2 Conceptual review</w:t>
      </w:r>
      <w:bookmarkEnd w:id="644"/>
      <w:bookmarkEnd w:id="645"/>
      <w:bookmarkEnd w:id="646"/>
      <w:bookmarkEnd w:id="647"/>
      <w:bookmarkEnd w:id="648"/>
      <w:bookmarkEnd w:id="649"/>
      <w:bookmarkEnd w:id="650"/>
      <w:bookmarkEnd w:id="651"/>
      <w:bookmarkEnd w:id="652"/>
      <w:bookmarkEnd w:id="653"/>
      <w:bookmarkEnd w:id="654"/>
      <w:bookmarkEnd w:id="655"/>
      <w:bookmarkEnd w:id="656"/>
      <w:r w:rsidRPr="006D3D71">
        <w:rPr>
          <w:rFonts w:asciiTheme="majorBidi" w:hAnsiTheme="majorBidi"/>
          <w:b/>
          <w:bCs/>
          <w:color w:val="auto"/>
          <w:sz w:val="24"/>
          <w:szCs w:val="24"/>
        </w:rPr>
        <w:t xml:space="preserve"> </w:t>
      </w:r>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7106197F" w14:textId="77777777" w:rsidR="003F0834" w:rsidRPr="006D3D71" w:rsidRDefault="003F0834" w:rsidP="006D3D71">
      <w:pPr>
        <w:shd w:val="clear" w:color="auto" w:fill="FFFFFF"/>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The section presents the review on loan management and financial performance.</w:t>
      </w:r>
      <w:r w:rsidRPr="006D3D71">
        <w:rPr>
          <w:rFonts w:asciiTheme="majorBidi" w:hAnsiTheme="majorBidi" w:cstheme="majorBidi"/>
          <w:bCs/>
          <w:sz w:val="24"/>
          <w:szCs w:val="24"/>
        </w:rPr>
        <w:t xml:space="preserve"> The subsections below discuss fully </w:t>
      </w:r>
      <w:r w:rsidRPr="006D3D71">
        <w:rPr>
          <w:rFonts w:asciiTheme="majorBidi" w:hAnsiTheme="majorBidi" w:cstheme="majorBidi"/>
          <w:sz w:val="24"/>
          <w:szCs w:val="24"/>
        </w:rPr>
        <w:t>credit management</w:t>
      </w:r>
      <w:r w:rsidRPr="006D3D71">
        <w:rPr>
          <w:rFonts w:asciiTheme="majorBidi" w:hAnsiTheme="majorBidi" w:cstheme="majorBidi"/>
          <w:bCs/>
          <w:sz w:val="24"/>
          <w:szCs w:val="24"/>
        </w:rPr>
        <w:t xml:space="preserve"> strategies and financial performance indicators. </w:t>
      </w:r>
    </w:p>
    <w:p w14:paraId="120D05AA" w14:textId="77777777" w:rsidR="003F0834" w:rsidRPr="006D3D71" w:rsidRDefault="003F0834" w:rsidP="006D3D71">
      <w:pPr>
        <w:pStyle w:val="Heading2"/>
        <w:spacing w:before="0" w:after="0" w:line="360" w:lineRule="auto"/>
        <w:jc w:val="both"/>
        <w:rPr>
          <w:rFonts w:asciiTheme="majorBidi" w:hAnsiTheme="majorBidi"/>
          <w:b/>
          <w:bCs/>
          <w:color w:val="auto"/>
          <w:sz w:val="24"/>
          <w:szCs w:val="24"/>
        </w:rPr>
      </w:pPr>
      <w:bookmarkStart w:id="671" w:name="_Toc156986958"/>
      <w:bookmarkStart w:id="672" w:name="_Toc151578050"/>
      <w:bookmarkStart w:id="673" w:name="_Toc151577931"/>
      <w:bookmarkStart w:id="674" w:name="_Toc161046685"/>
      <w:bookmarkStart w:id="675" w:name="_Toc161046436"/>
      <w:bookmarkStart w:id="676" w:name="_Toc161046311"/>
      <w:bookmarkStart w:id="677" w:name="_Toc161045795"/>
      <w:bookmarkStart w:id="678" w:name="_Toc183425134"/>
      <w:bookmarkStart w:id="679" w:name="_Toc183425225"/>
      <w:bookmarkStart w:id="680" w:name="_Toc183426911"/>
      <w:bookmarkStart w:id="681" w:name="_Toc193282227"/>
      <w:bookmarkStart w:id="682" w:name="_Toc193282393"/>
      <w:bookmarkStart w:id="683" w:name="_Toc193846450"/>
      <w:r w:rsidRPr="006D3D71">
        <w:rPr>
          <w:rFonts w:asciiTheme="majorBidi" w:hAnsiTheme="majorBidi"/>
          <w:b/>
          <w:bCs/>
          <w:color w:val="auto"/>
          <w:sz w:val="24"/>
          <w:szCs w:val="24"/>
        </w:rPr>
        <w:t>2.2.1</w:t>
      </w:r>
      <w:bookmarkEnd w:id="671"/>
      <w:bookmarkEnd w:id="672"/>
      <w:bookmarkEnd w:id="673"/>
      <w:r w:rsidRPr="006D3D71">
        <w:rPr>
          <w:rFonts w:asciiTheme="majorBidi" w:hAnsiTheme="majorBidi"/>
          <w:b/>
          <w:bCs/>
          <w:color w:val="auto"/>
          <w:sz w:val="24"/>
          <w:szCs w:val="24"/>
        </w:rPr>
        <w:t xml:space="preserve"> </w:t>
      </w:r>
      <w:r w:rsidRPr="006D3D71">
        <w:rPr>
          <w:rFonts w:asciiTheme="majorBidi" w:eastAsia="Times New Roman" w:hAnsiTheme="majorBidi"/>
          <w:b/>
          <w:bCs/>
          <w:color w:val="auto"/>
          <w:sz w:val="24"/>
          <w:szCs w:val="24"/>
        </w:rPr>
        <w:t>Credit risk management</w:t>
      </w:r>
      <w:bookmarkEnd w:id="674"/>
      <w:bookmarkEnd w:id="675"/>
      <w:bookmarkEnd w:id="676"/>
      <w:bookmarkEnd w:id="677"/>
      <w:bookmarkEnd w:id="678"/>
      <w:bookmarkEnd w:id="679"/>
      <w:bookmarkEnd w:id="680"/>
      <w:bookmarkEnd w:id="681"/>
      <w:bookmarkEnd w:id="682"/>
      <w:bookmarkEnd w:id="683"/>
      <w:r w:rsidRPr="006D3D71">
        <w:rPr>
          <w:rFonts w:asciiTheme="majorBidi" w:eastAsia="Times New Roman" w:hAnsiTheme="majorBidi"/>
          <w:b/>
          <w:bCs/>
          <w:color w:val="auto"/>
          <w:sz w:val="24"/>
          <w:szCs w:val="24"/>
        </w:rPr>
        <w:t> </w:t>
      </w:r>
    </w:p>
    <w:p w14:paraId="189F0D39" w14:textId="468B77A5" w:rsidR="003F0834" w:rsidRPr="006D3D71" w:rsidRDefault="003F0834" w:rsidP="006D3D71">
      <w:pPr>
        <w:spacing w:after="0" w:line="360" w:lineRule="auto"/>
        <w:jc w:val="both"/>
        <w:rPr>
          <w:rFonts w:asciiTheme="majorBidi" w:eastAsia="Times New Roman" w:hAnsiTheme="majorBidi" w:cstheme="majorBidi"/>
          <w:sz w:val="24"/>
          <w:szCs w:val="24"/>
        </w:rPr>
      </w:pPr>
      <w:bookmarkStart w:id="684" w:name="_Toc423006406"/>
      <w:bookmarkStart w:id="685" w:name="_Toc156986959"/>
      <w:bookmarkStart w:id="686" w:name="_Toc151578051"/>
      <w:bookmarkStart w:id="687" w:name="_Toc151577932"/>
      <w:bookmarkStart w:id="688" w:name="_Toc121130099"/>
      <w:bookmarkStart w:id="689" w:name="_Toc121129987"/>
      <w:bookmarkStart w:id="690" w:name="_Toc121129875"/>
      <w:bookmarkStart w:id="691" w:name="_Toc86739622"/>
      <w:bookmarkStart w:id="692" w:name="_Toc82502814"/>
      <w:bookmarkStart w:id="693" w:name="_Toc82502683"/>
      <w:bookmarkStart w:id="694" w:name="_Toc80859174"/>
      <w:r w:rsidRPr="006D3D71">
        <w:rPr>
          <w:rFonts w:asciiTheme="majorBidi" w:eastAsia="Times New Roman" w:hAnsiTheme="majorBidi" w:cstheme="majorBidi"/>
          <w:bCs/>
          <w:sz w:val="24"/>
          <w:szCs w:val="24"/>
        </w:rPr>
        <w:t>Credit risk management</w:t>
      </w:r>
      <w:r w:rsidRPr="006D3D71">
        <w:rPr>
          <w:rFonts w:asciiTheme="majorBidi" w:eastAsia="Times New Roman" w:hAnsiTheme="majorBidi" w:cstheme="majorBidi"/>
          <w:sz w:val="24"/>
          <w:szCs w:val="24"/>
        </w:rPr>
        <w:t> is the process</w:t>
      </w:r>
      <w:r w:rsidR="0084475E" w:rsidRPr="006D3D71">
        <w:rPr>
          <w:rFonts w:asciiTheme="majorBidi" w:eastAsia="Times New Roman" w:hAnsiTheme="majorBidi" w:cstheme="majorBidi"/>
          <w:sz w:val="24"/>
          <w:szCs w:val="24"/>
        </w:rPr>
        <w:t xml:space="preserve"> of analyzing, assessing, identifying, measuring, and mitigating risks associated with borrowers' failure to repay loans.</w:t>
      </w:r>
      <w:r w:rsidRPr="006D3D71">
        <w:rPr>
          <w:rFonts w:asciiTheme="majorBidi" w:eastAsia="Times New Roman" w:hAnsiTheme="majorBidi" w:cstheme="majorBidi"/>
          <w:sz w:val="24"/>
          <w:szCs w:val="24"/>
        </w:rPr>
        <w:t xml:space="preserve"> </w:t>
      </w:r>
      <w:r w:rsidR="0084475E" w:rsidRPr="006D3D71">
        <w:rPr>
          <w:rFonts w:asciiTheme="majorBidi" w:eastAsia="Times New Roman" w:hAnsiTheme="majorBidi" w:cstheme="majorBidi"/>
          <w:sz w:val="24"/>
          <w:szCs w:val="24"/>
        </w:rPr>
        <w:t xml:space="preserve">and </w:t>
      </w:r>
      <w:r w:rsidRPr="006D3D71">
        <w:rPr>
          <w:rFonts w:asciiTheme="majorBidi" w:eastAsia="Times New Roman" w:hAnsiTheme="majorBidi" w:cstheme="majorBidi"/>
          <w:sz w:val="24"/>
          <w:szCs w:val="24"/>
        </w:rPr>
        <w:t>granting credit, setting the terms it's granted on, recovering this credit when it's due, and ensuring compliance with company credit policy, among other credit related functions. The goal within a bank or company in controlling credit is to improve revenues and profit by facilitating sales and reducing credit risks (Misiura, 2015).</w:t>
      </w:r>
    </w:p>
    <w:p w14:paraId="28CAFB9B" w14:textId="77777777" w:rsidR="003F0834" w:rsidRPr="006D3D71" w:rsidRDefault="003F0834" w:rsidP="006D3D71">
      <w:pPr>
        <w:spacing w:after="0" w:line="360" w:lineRule="auto"/>
        <w:jc w:val="both"/>
        <w:rPr>
          <w:rFonts w:asciiTheme="majorBidi" w:eastAsia="Times New Roman" w:hAnsiTheme="majorBidi" w:cstheme="majorBidi"/>
          <w:sz w:val="24"/>
          <w:szCs w:val="24"/>
        </w:rPr>
      </w:pPr>
      <w:r w:rsidRPr="006D3D71">
        <w:rPr>
          <w:rFonts w:asciiTheme="majorBidi" w:eastAsia="Times New Roman" w:hAnsiTheme="majorBidi" w:cstheme="majorBidi"/>
          <w:sz w:val="24"/>
          <w:szCs w:val="24"/>
        </w:rPr>
        <w:t>A credit risk</w:t>
      </w:r>
      <w:r w:rsidRPr="006D3D71">
        <w:rPr>
          <w:rFonts w:asciiTheme="majorBidi" w:eastAsia="Times New Roman" w:hAnsiTheme="majorBidi" w:cstheme="majorBidi"/>
          <w:bCs/>
          <w:sz w:val="24"/>
          <w:szCs w:val="24"/>
        </w:rPr>
        <w:t xml:space="preserve"> manager</w:t>
      </w:r>
      <w:r w:rsidRPr="006D3D71">
        <w:rPr>
          <w:rFonts w:asciiTheme="majorBidi" w:eastAsia="Times New Roman" w:hAnsiTheme="majorBidi" w:cstheme="majorBidi"/>
          <w:sz w:val="24"/>
          <w:szCs w:val="24"/>
        </w:rPr>
        <w:t xml:space="preserve"> is a person employed by an organization to manage the credit department and make decisions concerning credit limits, acceptable levels of risk, terms of payment and enforcement actions with their customers. This function is often combined with Accounts Receivable and Collections into one department of a company. The role of credit risk manager is variable in its scope and credit risk managers are responsible for (Singh, A.,2013). </w:t>
      </w:r>
      <w:r w:rsidRPr="006D3D71">
        <w:rPr>
          <w:rFonts w:asciiTheme="majorBidi" w:hAnsiTheme="majorBidi" w:cstheme="majorBidi"/>
          <w:sz w:val="24"/>
          <w:szCs w:val="24"/>
        </w:rPr>
        <w:t xml:space="preserve">Credit risk is a situation where the borrower fails to pay back the acquired loan to the lender. In the context of commercial banks, credit risk refers to the exposure that a commercial bank faces when its client takes a loan and fails to </w:t>
      </w:r>
      <w:proofErr w:type="spellStart"/>
      <w:r w:rsidRPr="006D3D71">
        <w:rPr>
          <w:rFonts w:asciiTheme="majorBidi" w:hAnsiTheme="majorBidi" w:cstheme="majorBidi"/>
          <w:sz w:val="24"/>
          <w:szCs w:val="24"/>
        </w:rPr>
        <w:t>honour</w:t>
      </w:r>
      <w:proofErr w:type="spellEnd"/>
      <w:r w:rsidRPr="006D3D71">
        <w:rPr>
          <w:rFonts w:asciiTheme="majorBidi" w:hAnsiTheme="majorBidi" w:cstheme="majorBidi"/>
          <w:sz w:val="24"/>
          <w:szCs w:val="24"/>
        </w:rPr>
        <w:t xml:space="preserve"> payment obligations on due date or at maturity (Coyle, 2000). It is the possibility of losing the outstanding loan partially or totally, due to credit events. Failure to pay this credit affects the financial performance of the commercial bank.</w:t>
      </w:r>
    </w:p>
    <w:p w14:paraId="0E23301F" w14:textId="77777777" w:rsidR="003F0834" w:rsidRPr="006D3D71" w:rsidRDefault="003F0834" w:rsidP="006D3D71">
      <w:pPr>
        <w:spacing w:after="0" w:line="360" w:lineRule="auto"/>
        <w:jc w:val="both"/>
        <w:rPr>
          <w:rFonts w:asciiTheme="majorBidi" w:hAnsiTheme="majorBidi" w:cstheme="majorBidi"/>
          <w:sz w:val="24"/>
          <w:szCs w:val="24"/>
        </w:rPr>
      </w:pPr>
      <w:proofErr w:type="spellStart"/>
      <w:r w:rsidRPr="006D3D71">
        <w:rPr>
          <w:rFonts w:asciiTheme="majorBidi" w:hAnsiTheme="majorBidi" w:cstheme="majorBidi"/>
          <w:sz w:val="24"/>
          <w:szCs w:val="24"/>
        </w:rPr>
        <w:t>Onaolapo</w:t>
      </w:r>
      <w:proofErr w:type="spellEnd"/>
      <w:r w:rsidRPr="006D3D71">
        <w:rPr>
          <w:rFonts w:asciiTheme="majorBidi" w:hAnsiTheme="majorBidi" w:cstheme="majorBidi"/>
          <w:sz w:val="24"/>
          <w:szCs w:val="24"/>
        </w:rPr>
        <w:t xml:space="preserve"> (2012) analyzed the relationship between the credit risk management efficiency and financial health in selected Nigerian commercial banking sector and the study hypothesized negative relationship between Efficiency of Credit Risk Management, bank performance and operational effectiveness. The findings revealed minimal causation between Deposit Exposure (DE) and performance but greater dependency on operational efficiency parameters (</w:t>
      </w:r>
      <w:proofErr w:type="spellStart"/>
      <w:r w:rsidRPr="006D3D71">
        <w:rPr>
          <w:rFonts w:asciiTheme="majorBidi" w:hAnsiTheme="majorBidi" w:cstheme="majorBidi"/>
          <w:sz w:val="24"/>
          <w:szCs w:val="24"/>
        </w:rPr>
        <w:t>Onaolapo</w:t>
      </w:r>
      <w:proofErr w:type="spellEnd"/>
      <w:r w:rsidRPr="006D3D71">
        <w:rPr>
          <w:rFonts w:asciiTheme="majorBidi" w:hAnsiTheme="majorBidi" w:cstheme="majorBidi"/>
          <w:sz w:val="24"/>
          <w:szCs w:val="24"/>
        </w:rPr>
        <w:t>, 2012).</w:t>
      </w:r>
    </w:p>
    <w:p w14:paraId="76F9BB53" w14:textId="51E5A513" w:rsidR="003F0834" w:rsidRPr="006D3D71" w:rsidRDefault="003F0834" w:rsidP="006D3D71">
      <w:pPr>
        <w:pStyle w:val="Heading2"/>
        <w:spacing w:before="0" w:after="0" w:line="360" w:lineRule="auto"/>
        <w:jc w:val="both"/>
        <w:rPr>
          <w:rFonts w:asciiTheme="majorBidi" w:hAnsiTheme="majorBidi"/>
          <w:b/>
          <w:bCs/>
          <w:color w:val="auto"/>
          <w:sz w:val="24"/>
          <w:szCs w:val="24"/>
        </w:rPr>
      </w:pPr>
      <w:bookmarkStart w:id="695" w:name="_Toc193282228"/>
      <w:bookmarkStart w:id="696" w:name="_Toc193282394"/>
      <w:bookmarkStart w:id="697" w:name="_Toc193846451"/>
      <w:bookmarkStart w:id="698" w:name="_Toc497726649"/>
      <w:bookmarkStart w:id="699" w:name="_Toc183425142"/>
      <w:bookmarkStart w:id="700" w:name="_Toc183425233"/>
      <w:bookmarkStart w:id="701" w:name="_Toc183426919"/>
      <w:bookmarkEnd w:id="684"/>
      <w:bookmarkEnd w:id="685"/>
      <w:bookmarkEnd w:id="686"/>
      <w:bookmarkEnd w:id="687"/>
      <w:bookmarkEnd w:id="688"/>
      <w:bookmarkEnd w:id="689"/>
      <w:bookmarkEnd w:id="690"/>
      <w:bookmarkEnd w:id="691"/>
      <w:bookmarkEnd w:id="692"/>
      <w:bookmarkEnd w:id="693"/>
      <w:bookmarkEnd w:id="694"/>
      <w:r w:rsidRPr="006D3D71">
        <w:rPr>
          <w:rFonts w:asciiTheme="majorBidi" w:hAnsiTheme="majorBidi"/>
          <w:b/>
          <w:bCs/>
          <w:color w:val="auto"/>
          <w:sz w:val="24"/>
          <w:szCs w:val="24"/>
        </w:rPr>
        <w:t xml:space="preserve">2.2.1.1. </w:t>
      </w:r>
      <w:bookmarkEnd w:id="695"/>
      <w:bookmarkEnd w:id="696"/>
      <w:r w:rsidR="000F7DFA" w:rsidRPr="006D3D71">
        <w:rPr>
          <w:rFonts w:asciiTheme="majorBidi" w:hAnsiTheme="majorBidi"/>
          <w:b/>
          <w:bCs/>
          <w:color w:val="auto"/>
          <w:sz w:val="24"/>
          <w:szCs w:val="24"/>
        </w:rPr>
        <w:t>Borrower creditworthiness assessment</w:t>
      </w:r>
      <w:bookmarkEnd w:id="697"/>
    </w:p>
    <w:p w14:paraId="2BF19E94" w14:textId="77777777" w:rsidR="000F7DFA" w:rsidRPr="006D3D71" w:rsidRDefault="000F7DFA" w:rsidP="006D3D71">
      <w:pPr>
        <w:spacing w:line="360" w:lineRule="auto"/>
        <w:rPr>
          <w:rFonts w:asciiTheme="majorBidi" w:hAnsiTheme="majorBidi" w:cstheme="majorBidi"/>
          <w:sz w:val="24"/>
          <w:szCs w:val="24"/>
        </w:rPr>
      </w:pPr>
      <w:bookmarkStart w:id="702" w:name="_Toc193282229"/>
      <w:bookmarkStart w:id="703" w:name="_Toc193282395"/>
      <w:r w:rsidRPr="006D3D71">
        <w:rPr>
          <w:rFonts w:asciiTheme="majorBidi" w:hAnsiTheme="majorBidi" w:cstheme="majorBidi"/>
          <w:sz w:val="24"/>
          <w:szCs w:val="24"/>
        </w:rPr>
        <w:t xml:space="preserve">Borrower creditworthiness assessment is a fundamental component of credit risk management that determines the ability of borrowers to meet their debt obligations. It involves evaluating financial stability, repayment history, and overall credit risk before approving loans. An inadequate assessment process can lead to higher exposure to non-performing loans (NPLs), which negatively impacts a bank’s financial performance (Makri et </w:t>
      </w:r>
      <w:r w:rsidRPr="006D3D71">
        <w:rPr>
          <w:rFonts w:asciiTheme="majorBidi" w:hAnsiTheme="majorBidi" w:cstheme="majorBidi"/>
          <w:sz w:val="24"/>
          <w:szCs w:val="24"/>
        </w:rPr>
        <w:lastRenderedPageBreak/>
        <w:t>al., 2015). For GT Bank Plc Rwanda, ensuring a robust borrower creditworthiness assessment process is crucial in mitigating credit risk and maintaining profitability.</w:t>
      </w:r>
    </w:p>
    <w:p w14:paraId="6F5D51E1" w14:textId="0565A90F" w:rsidR="000F7DFA" w:rsidRPr="006D3D71" w:rsidRDefault="000F7DFA" w:rsidP="006D3D71">
      <w:pPr>
        <w:spacing w:line="360" w:lineRule="auto"/>
        <w:rPr>
          <w:rFonts w:asciiTheme="majorBidi" w:hAnsiTheme="majorBidi" w:cstheme="majorBidi"/>
          <w:sz w:val="24"/>
          <w:szCs w:val="24"/>
        </w:rPr>
      </w:pPr>
      <w:r w:rsidRPr="006D3D71">
        <w:rPr>
          <w:rFonts w:asciiTheme="majorBidi" w:hAnsiTheme="majorBidi" w:cstheme="majorBidi"/>
          <w:sz w:val="24"/>
          <w:szCs w:val="24"/>
        </w:rPr>
        <w:t>A strong borrower creditworthiness assessment framework enhances loan quality and reduces default rates. Ghosh (2017) highlights that when banks rigorously assess borrower financial health—including income levels, debt-to-income ratios, and credit history</w:t>
      </w:r>
      <w:r w:rsidR="003832D7" w:rsidRPr="006D3D71">
        <w:rPr>
          <w:rFonts w:asciiTheme="majorBidi" w:hAnsiTheme="majorBidi" w:cstheme="majorBidi"/>
          <w:sz w:val="24"/>
          <w:szCs w:val="24"/>
        </w:rPr>
        <w:t xml:space="preserve"> </w:t>
      </w:r>
      <w:r w:rsidRPr="006D3D71">
        <w:rPr>
          <w:rFonts w:asciiTheme="majorBidi" w:hAnsiTheme="majorBidi" w:cstheme="majorBidi"/>
          <w:sz w:val="24"/>
          <w:szCs w:val="24"/>
        </w:rPr>
        <w:t>they can significantly lower the risk of loan defaults. In contrast, weak assessment processes increase the likelihood of extending credit to high-risk borrowers, leading to financial instability. GT Bank Plc Rwanda can strengthen its credit risk management by implementing automated credit scoring models, leveraging financial data analytics, and enforcing strict loan approval criteria.</w:t>
      </w:r>
    </w:p>
    <w:p w14:paraId="6A1B2337" w14:textId="77777777" w:rsidR="000F7DFA" w:rsidRPr="006D3D71" w:rsidRDefault="000F7DFA" w:rsidP="006D3D71">
      <w:pPr>
        <w:spacing w:line="360" w:lineRule="auto"/>
        <w:rPr>
          <w:rFonts w:asciiTheme="majorBidi" w:hAnsiTheme="majorBidi" w:cstheme="majorBidi"/>
          <w:sz w:val="24"/>
          <w:szCs w:val="24"/>
        </w:rPr>
      </w:pPr>
      <w:r w:rsidRPr="006D3D71">
        <w:rPr>
          <w:rFonts w:asciiTheme="majorBidi" w:hAnsiTheme="majorBidi" w:cstheme="majorBidi"/>
          <w:sz w:val="24"/>
          <w:szCs w:val="24"/>
        </w:rPr>
        <w:t>Beyond its role in risk mitigation, borrower creditworthiness assessment also impacts investor confidence and capital acquisition. Banks with strong credit evaluation mechanisms are perceived as financially stable, making them more attractive to investors. In competitive banking environments like Rwanda, maintaining a rigorous creditworthiness assessment system is essential for GT Bank Plc Rwanda to enhance its reputation and expand lending operations. By integrating advanced borrower evaluation tools, such as predictive risk modeling and industry benchmarking, the bank can improve decision-making and ensure sustainable lending practices.</w:t>
      </w:r>
    </w:p>
    <w:p w14:paraId="2E22E633" w14:textId="60BC89D6" w:rsidR="000F7DFA" w:rsidRPr="006D3D71" w:rsidRDefault="000F7DFA" w:rsidP="006D3D71">
      <w:pPr>
        <w:spacing w:line="360" w:lineRule="auto"/>
        <w:rPr>
          <w:rFonts w:asciiTheme="majorBidi" w:hAnsiTheme="majorBidi" w:cstheme="majorBidi"/>
          <w:sz w:val="24"/>
          <w:szCs w:val="24"/>
        </w:rPr>
      </w:pPr>
      <w:r w:rsidRPr="006D3D71">
        <w:rPr>
          <w:rFonts w:asciiTheme="majorBidi" w:hAnsiTheme="majorBidi" w:cstheme="majorBidi"/>
          <w:sz w:val="24"/>
          <w:szCs w:val="24"/>
        </w:rPr>
        <w:t>Moreover, borrower creditworthiness assessment is influenced by macroeconomic conditions, including GDP growth, inflation, and employment rates. Badar and Javid (2018) argue that banks operating in volatile economies must adapt their assessment frameworks to account for economic fluctuations that may impact borrower repayment capacity. For GT Bank Plc Rwanda, incorporating external economic indicators into its risk evaluation model</w:t>
      </w:r>
      <w:r w:rsidR="003832D7" w:rsidRPr="006D3D71">
        <w:rPr>
          <w:rFonts w:asciiTheme="majorBidi" w:hAnsiTheme="majorBidi" w:cstheme="majorBidi"/>
          <w:sz w:val="24"/>
          <w:szCs w:val="24"/>
        </w:rPr>
        <w:t xml:space="preserve"> </w:t>
      </w:r>
      <w:r w:rsidRPr="006D3D71">
        <w:rPr>
          <w:rFonts w:asciiTheme="majorBidi" w:hAnsiTheme="majorBidi" w:cstheme="majorBidi"/>
          <w:sz w:val="24"/>
          <w:szCs w:val="24"/>
        </w:rPr>
        <w:t>such as job market trends, industry risks, and monetary policy changes</w:t>
      </w:r>
      <w:r w:rsidR="003832D7" w:rsidRPr="006D3D71">
        <w:rPr>
          <w:rFonts w:asciiTheme="majorBidi" w:hAnsiTheme="majorBidi" w:cstheme="majorBidi"/>
          <w:sz w:val="24"/>
          <w:szCs w:val="24"/>
        </w:rPr>
        <w:t xml:space="preserve"> </w:t>
      </w:r>
      <w:r w:rsidRPr="006D3D71">
        <w:rPr>
          <w:rFonts w:asciiTheme="majorBidi" w:hAnsiTheme="majorBidi" w:cstheme="majorBidi"/>
          <w:sz w:val="24"/>
          <w:szCs w:val="24"/>
        </w:rPr>
        <w:t>can provide deeper insights into credit risk exposure.</w:t>
      </w:r>
    </w:p>
    <w:p w14:paraId="5E639784" w14:textId="5A47B32D" w:rsidR="000F7DFA" w:rsidRPr="006D3D71" w:rsidRDefault="000F7DFA" w:rsidP="006D3D71">
      <w:pPr>
        <w:spacing w:line="360" w:lineRule="auto"/>
        <w:rPr>
          <w:rFonts w:asciiTheme="majorBidi" w:hAnsiTheme="majorBidi" w:cstheme="majorBidi"/>
          <w:sz w:val="24"/>
          <w:szCs w:val="24"/>
        </w:rPr>
      </w:pPr>
      <w:r w:rsidRPr="006D3D71">
        <w:rPr>
          <w:rFonts w:asciiTheme="majorBidi" w:hAnsiTheme="majorBidi" w:cstheme="majorBidi"/>
          <w:sz w:val="24"/>
          <w:szCs w:val="24"/>
        </w:rPr>
        <w:t>This study will analyze how effectively GT Bank Plc Rwanda utilizes borrower creditworthiness assessments to minimize loan default risks and enhance overall financial performance.</w:t>
      </w:r>
    </w:p>
    <w:p w14:paraId="09B23C43" w14:textId="08187CAC" w:rsidR="000F7DFA" w:rsidRPr="006D3D71" w:rsidRDefault="000F7DFA" w:rsidP="006D3D71">
      <w:pPr>
        <w:pStyle w:val="Heading2"/>
        <w:spacing w:before="0" w:after="0" w:line="360" w:lineRule="auto"/>
        <w:jc w:val="both"/>
        <w:rPr>
          <w:rFonts w:asciiTheme="majorBidi" w:hAnsiTheme="majorBidi"/>
          <w:b/>
          <w:bCs/>
          <w:color w:val="auto"/>
          <w:sz w:val="24"/>
          <w:szCs w:val="24"/>
        </w:rPr>
      </w:pPr>
      <w:bookmarkStart w:id="704" w:name="_Toc193846452"/>
      <w:bookmarkStart w:id="705" w:name="_Toc193282230"/>
      <w:bookmarkStart w:id="706" w:name="_Toc193282396"/>
      <w:bookmarkEnd w:id="702"/>
      <w:bookmarkEnd w:id="703"/>
      <w:r w:rsidRPr="006D3D71">
        <w:rPr>
          <w:rFonts w:asciiTheme="majorBidi" w:hAnsiTheme="majorBidi"/>
          <w:b/>
          <w:bCs/>
          <w:color w:val="auto"/>
          <w:sz w:val="24"/>
          <w:szCs w:val="24"/>
        </w:rPr>
        <w:t>2.2.1.</w:t>
      </w:r>
      <w:r w:rsidR="003832D7" w:rsidRPr="006D3D71">
        <w:rPr>
          <w:rFonts w:asciiTheme="majorBidi" w:hAnsiTheme="majorBidi"/>
          <w:b/>
          <w:bCs/>
          <w:color w:val="auto"/>
          <w:sz w:val="24"/>
          <w:szCs w:val="24"/>
        </w:rPr>
        <w:t>2</w:t>
      </w:r>
      <w:r w:rsidRPr="006D3D71">
        <w:rPr>
          <w:rFonts w:asciiTheme="majorBidi" w:hAnsiTheme="majorBidi"/>
          <w:b/>
          <w:bCs/>
          <w:color w:val="auto"/>
          <w:sz w:val="24"/>
          <w:szCs w:val="24"/>
        </w:rPr>
        <w:t>. Credit Concentration Risk</w:t>
      </w:r>
      <w:bookmarkEnd w:id="704"/>
    </w:p>
    <w:p w14:paraId="15BE99A1" w14:textId="77777777" w:rsidR="000F7DFA" w:rsidRPr="006D3D71" w:rsidRDefault="000F7DFA" w:rsidP="006D3D71">
      <w:pPr>
        <w:spacing w:line="360" w:lineRule="auto"/>
        <w:rPr>
          <w:rFonts w:asciiTheme="majorBidi" w:hAnsiTheme="majorBidi" w:cstheme="majorBidi"/>
          <w:sz w:val="24"/>
          <w:szCs w:val="24"/>
        </w:rPr>
      </w:pPr>
      <w:r w:rsidRPr="006D3D71">
        <w:rPr>
          <w:rFonts w:asciiTheme="majorBidi" w:hAnsiTheme="majorBidi" w:cstheme="majorBidi"/>
          <w:sz w:val="24"/>
          <w:szCs w:val="24"/>
        </w:rPr>
        <w:t xml:space="preserve">Credit concentration risk refers to the potential financial losses a bank may face due to excessive exposure to a specific borrower, industry, or sector. When a significant portion of a bank’s loan portfolio is concentrated in a particular category, it increases vulnerability to </w:t>
      </w:r>
      <w:r w:rsidRPr="006D3D71">
        <w:rPr>
          <w:rFonts w:asciiTheme="majorBidi" w:hAnsiTheme="majorBidi" w:cstheme="majorBidi"/>
          <w:sz w:val="24"/>
          <w:szCs w:val="24"/>
        </w:rPr>
        <w:lastRenderedPageBreak/>
        <w:t>economic downturns, market volatility, or sector-specific disruptions (Makri et al., 2015). Effective management of credit concentration risk is essential for GT Bank Plc Rwanda to ensure portfolio diversification and minimize exposure to high-risk segments.</w:t>
      </w:r>
    </w:p>
    <w:p w14:paraId="4C186D4F" w14:textId="77777777" w:rsidR="000F7DFA" w:rsidRPr="006D3D71" w:rsidRDefault="000F7DFA" w:rsidP="006D3D71">
      <w:pPr>
        <w:spacing w:line="360" w:lineRule="auto"/>
        <w:rPr>
          <w:rFonts w:asciiTheme="majorBidi" w:hAnsiTheme="majorBidi" w:cstheme="majorBidi"/>
          <w:sz w:val="24"/>
          <w:szCs w:val="24"/>
        </w:rPr>
      </w:pPr>
      <w:r w:rsidRPr="006D3D71">
        <w:rPr>
          <w:rFonts w:asciiTheme="majorBidi" w:hAnsiTheme="majorBidi" w:cstheme="majorBidi"/>
          <w:sz w:val="24"/>
          <w:szCs w:val="24"/>
        </w:rPr>
        <w:t>A high level of credit concentration can negatively impact financial performance by increasing the likelihood of default within a specific borrower group. Ghosh (2017) emphasizes that banks with well-diversified loan portfolios tend to have lower default risks and higher profitability. However, when lending activities are heavily concentrated in a few industries, such as real estate or agriculture, the bank becomes more susceptible to financial distress if those sectors underperform. GT Bank Plc Rwanda can mitigate this risk by adopting diversified lending strategies, setting sectoral lending limits, and conducting stress testing to evaluate potential risks associated with concentrated exposures.</w:t>
      </w:r>
    </w:p>
    <w:p w14:paraId="602655E6" w14:textId="77777777" w:rsidR="000F7DFA" w:rsidRPr="006D3D71" w:rsidRDefault="000F7DFA" w:rsidP="006D3D71">
      <w:pPr>
        <w:spacing w:line="360" w:lineRule="auto"/>
        <w:rPr>
          <w:rFonts w:asciiTheme="majorBidi" w:hAnsiTheme="majorBidi" w:cstheme="majorBidi"/>
          <w:sz w:val="24"/>
          <w:szCs w:val="24"/>
        </w:rPr>
      </w:pPr>
      <w:r w:rsidRPr="006D3D71">
        <w:rPr>
          <w:rFonts w:asciiTheme="majorBidi" w:hAnsiTheme="majorBidi" w:cstheme="majorBidi"/>
          <w:sz w:val="24"/>
          <w:szCs w:val="24"/>
        </w:rPr>
        <w:t>Beyond sectoral concentration, credit concentration risk also arises from large single-borrower exposures. If a bank extends significant credit to a few large clients, its financial stability becomes dependent on their repayment ability. Badar and Javid (2018) argue that excessive exposure to a single borrower or corporate entity increases systemic risk, particularly in times of economic uncertainty. GT Bank Plc Rwanda can reduce this risk by implementing borrower exposure limits and credit risk mitigation techniques, such as syndication of large loans and collateral diversification.</w:t>
      </w:r>
    </w:p>
    <w:p w14:paraId="39BA4F77" w14:textId="77777777" w:rsidR="000F7DFA" w:rsidRPr="006D3D71" w:rsidRDefault="000F7DFA" w:rsidP="006D3D71">
      <w:pPr>
        <w:spacing w:line="360" w:lineRule="auto"/>
        <w:rPr>
          <w:rFonts w:asciiTheme="majorBidi" w:hAnsiTheme="majorBidi" w:cstheme="majorBidi"/>
          <w:sz w:val="24"/>
          <w:szCs w:val="24"/>
        </w:rPr>
      </w:pPr>
      <w:r w:rsidRPr="006D3D71">
        <w:rPr>
          <w:rFonts w:asciiTheme="majorBidi" w:hAnsiTheme="majorBidi" w:cstheme="majorBidi"/>
          <w:sz w:val="24"/>
          <w:szCs w:val="24"/>
        </w:rPr>
        <w:t>Additionally, regulatory guidelines from the Basel Committee on Banking Supervision highlight the importance of limiting credit concentration risk to maintain financial stability. Regulatory frameworks often mandate banks to ensure that no single borrower or sector exceeds a specific percentage of their total loan portfolio. By adhering to these standards and incorporating risk-adjusted pricing strategies, GT Bank Plc Rwanda can effectively manage credit concentration risk and enhance long-term profitability.</w:t>
      </w:r>
    </w:p>
    <w:p w14:paraId="3B876C2F" w14:textId="77777777" w:rsidR="000F7DFA" w:rsidRPr="006D3D71" w:rsidRDefault="000F7DFA" w:rsidP="006D3D71">
      <w:pPr>
        <w:spacing w:line="360" w:lineRule="auto"/>
        <w:rPr>
          <w:rFonts w:asciiTheme="majorBidi" w:hAnsiTheme="majorBidi" w:cstheme="majorBidi"/>
          <w:sz w:val="24"/>
          <w:szCs w:val="24"/>
        </w:rPr>
      </w:pPr>
      <w:r w:rsidRPr="006D3D71">
        <w:rPr>
          <w:rFonts w:asciiTheme="majorBidi" w:hAnsiTheme="majorBidi" w:cstheme="majorBidi"/>
          <w:sz w:val="24"/>
          <w:szCs w:val="24"/>
        </w:rPr>
        <w:t>This study will examine how GT Bank Plc Rwanda addresses credit concentration risk through diversified lending, regulatory compliance, and risk assessment models, and its impact on financial performance.</w:t>
      </w:r>
    </w:p>
    <w:p w14:paraId="6D40D88D" w14:textId="77777777" w:rsidR="000F7DFA" w:rsidRPr="006D3D71" w:rsidRDefault="000F7DFA" w:rsidP="006D3D71">
      <w:pPr>
        <w:spacing w:line="360" w:lineRule="auto"/>
        <w:rPr>
          <w:rFonts w:asciiTheme="majorBidi" w:hAnsiTheme="majorBidi" w:cstheme="majorBidi"/>
          <w:sz w:val="24"/>
          <w:szCs w:val="24"/>
        </w:rPr>
      </w:pPr>
    </w:p>
    <w:p w14:paraId="42B6574E" w14:textId="20294894" w:rsidR="000F7DFA" w:rsidRPr="006D3D71" w:rsidRDefault="000F7DFA" w:rsidP="006D3D71">
      <w:pPr>
        <w:pStyle w:val="Heading2"/>
        <w:spacing w:before="0" w:after="0" w:line="360" w:lineRule="auto"/>
        <w:jc w:val="both"/>
        <w:rPr>
          <w:rFonts w:asciiTheme="majorBidi" w:hAnsiTheme="majorBidi"/>
          <w:b/>
          <w:bCs/>
          <w:color w:val="auto"/>
          <w:sz w:val="24"/>
          <w:szCs w:val="24"/>
        </w:rPr>
      </w:pPr>
      <w:bookmarkStart w:id="707" w:name="_Toc193846453"/>
      <w:bookmarkStart w:id="708" w:name="_Toc193282231"/>
      <w:bookmarkStart w:id="709" w:name="_Toc193282397"/>
      <w:bookmarkEnd w:id="705"/>
      <w:bookmarkEnd w:id="706"/>
      <w:r w:rsidRPr="006D3D71">
        <w:rPr>
          <w:rFonts w:asciiTheme="majorBidi" w:hAnsiTheme="majorBidi"/>
          <w:b/>
          <w:bCs/>
          <w:color w:val="auto"/>
          <w:sz w:val="24"/>
          <w:szCs w:val="24"/>
        </w:rPr>
        <w:t>2.2.1.</w:t>
      </w:r>
      <w:r w:rsidR="003832D7" w:rsidRPr="006D3D71">
        <w:rPr>
          <w:rFonts w:asciiTheme="majorBidi" w:hAnsiTheme="majorBidi"/>
          <w:b/>
          <w:bCs/>
          <w:color w:val="auto"/>
          <w:sz w:val="24"/>
          <w:szCs w:val="24"/>
        </w:rPr>
        <w:t>3</w:t>
      </w:r>
      <w:r w:rsidRPr="006D3D71">
        <w:rPr>
          <w:rFonts w:asciiTheme="majorBidi" w:hAnsiTheme="majorBidi"/>
          <w:b/>
          <w:bCs/>
          <w:color w:val="auto"/>
          <w:sz w:val="24"/>
          <w:szCs w:val="24"/>
        </w:rPr>
        <w:t>. Debt Restructuring &amp; Recovery Strategies</w:t>
      </w:r>
      <w:bookmarkEnd w:id="707"/>
    </w:p>
    <w:p w14:paraId="684018E2" w14:textId="77777777" w:rsidR="000F7DFA" w:rsidRPr="006D3D71" w:rsidRDefault="000F7DFA" w:rsidP="006D3D71">
      <w:pPr>
        <w:spacing w:line="360" w:lineRule="auto"/>
        <w:rPr>
          <w:rFonts w:asciiTheme="majorBidi" w:hAnsiTheme="majorBidi" w:cstheme="majorBidi"/>
          <w:sz w:val="24"/>
          <w:szCs w:val="24"/>
        </w:rPr>
      </w:pPr>
      <w:r w:rsidRPr="006D3D71">
        <w:rPr>
          <w:rFonts w:asciiTheme="majorBidi" w:hAnsiTheme="majorBidi" w:cstheme="majorBidi"/>
          <w:sz w:val="24"/>
          <w:szCs w:val="24"/>
        </w:rPr>
        <w:t xml:space="preserve">Debt restructuring and recovery strategies play a crucial role in managing credit risk and ensuring financial stability in commercial banks. These strategies involve modifying loan </w:t>
      </w:r>
      <w:r w:rsidRPr="006D3D71">
        <w:rPr>
          <w:rFonts w:asciiTheme="majorBidi" w:hAnsiTheme="majorBidi" w:cstheme="majorBidi"/>
          <w:sz w:val="24"/>
          <w:szCs w:val="24"/>
        </w:rPr>
        <w:lastRenderedPageBreak/>
        <w:t>terms, negotiating repayment plans, or implementing legal measures to recover non-performing loans (NPLs). Effective debt restructuring helps prevent defaults, while robust recovery mechanisms enhance a bank’s ability to minimize financial losses. For GT Bank Plc Rwanda, implementing proactive debt restructuring and recovery strategies is essential to maintaining profitability and reducing credit risk exposure.</w:t>
      </w:r>
    </w:p>
    <w:p w14:paraId="7E07963A" w14:textId="77777777" w:rsidR="000F7DFA" w:rsidRPr="006D3D71" w:rsidRDefault="000F7DFA" w:rsidP="006D3D71">
      <w:pPr>
        <w:spacing w:line="360" w:lineRule="auto"/>
        <w:rPr>
          <w:rFonts w:asciiTheme="majorBidi" w:hAnsiTheme="majorBidi" w:cstheme="majorBidi"/>
          <w:sz w:val="24"/>
          <w:szCs w:val="24"/>
        </w:rPr>
      </w:pPr>
      <w:r w:rsidRPr="006D3D71">
        <w:rPr>
          <w:rFonts w:asciiTheme="majorBidi" w:hAnsiTheme="majorBidi" w:cstheme="majorBidi"/>
          <w:sz w:val="24"/>
          <w:szCs w:val="24"/>
        </w:rPr>
        <w:t>A well-structured debt restructuring process allows financially distressed borrowers to renegotiate their loan terms. According to Ghosh (2017), banks that actively engage in restructuring loans—through extended repayment periods, reduced interest rates, or loan rescheduling—are more likely to recover outstanding debts while maintaining customer relationships. In Rwanda’s banking sector, GT Bank Plc can leverage tailored restructuring solutions to help borrowers regain financial stability while safeguarding its loan portfolio.</w:t>
      </w:r>
    </w:p>
    <w:p w14:paraId="041B2024" w14:textId="300BBF56" w:rsidR="000F7DFA" w:rsidRPr="006D3D71" w:rsidRDefault="000F7DFA" w:rsidP="00A83808">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 xml:space="preserve">Beyond restructuring, effective debt recovery strategies are essential for reducing non-performing assets (NPAs) and improving financial performance. Makri et al. (2015) highlight </w:t>
      </w:r>
      <w:r w:rsidR="00C77651" w:rsidRPr="006D3D71">
        <w:rPr>
          <w:rFonts w:asciiTheme="majorBidi" w:hAnsiTheme="majorBidi" w:cstheme="majorBidi"/>
          <w:sz w:val="24"/>
          <w:szCs w:val="24"/>
        </w:rPr>
        <w:t>that bank</w:t>
      </w:r>
      <w:r w:rsidRPr="006D3D71">
        <w:rPr>
          <w:rFonts w:asciiTheme="majorBidi" w:hAnsiTheme="majorBidi" w:cstheme="majorBidi"/>
          <w:sz w:val="24"/>
          <w:szCs w:val="24"/>
        </w:rPr>
        <w:t xml:space="preserve"> with structured loan recovery mechanisms, such as collateral enforcement, legal proceedings, and debt collection agencies, tend to have lower default rates. By implementing early warning systems, GT Bank Plc Rwanda can identify potential defaults at an early stage and take preventive actions, such as loan restructuring or intensified collection efforts.</w:t>
      </w:r>
    </w:p>
    <w:p w14:paraId="1FACBC4D" w14:textId="77777777" w:rsidR="000F7DFA" w:rsidRPr="006D3D71" w:rsidRDefault="000F7DFA" w:rsidP="00A83808">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Moreover, the effectiveness of debt recovery significantly impacts a bank’s liquidity and long-term stability. Badar and Javid (2018) emphasize that high loan recovery rates reduce the need for loan loss provisions, thereby improving profitability. GT Bank Plc Rwanda can strengthen its recovery framework by integrating data-driven risk assessment models, automating debt collection processes, and enforcing collateral-backed lending practices to ensure a higher default recovery rate.</w:t>
      </w:r>
    </w:p>
    <w:p w14:paraId="40C0AACB" w14:textId="77777777" w:rsidR="000F7DFA" w:rsidRPr="006D3D71" w:rsidRDefault="000F7DFA" w:rsidP="00A83808">
      <w:pPr>
        <w:spacing w:line="360" w:lineRule="auto"/>
        <w:rPr>
          <w:rFonts w:asciiTheme="majorBidi" w:hAnsiTheme="majorBidi" w:cstheme="majorBidi"/>
          <w:sz w:val="24"/>
          <w:szCs w:val="24"/>
        </w:rPr>
      </w:pPr>
      <w:r w:rsidRPr="006D3D71">
        <w:rPr>
          <w:rFonts w:asciiTheme="majorBidi" w:hAnsiTheme="majorBidi" w:cstheme="majorBidi"/>
          <w:sz w:val="24"/>
          <w:szCs w:val="24"/>
        </w:rPr>
        <w:t>This study will explore how GT Bank Plc Rwanda’s debt restructuring and recovery strategies contribute to credit risk management and their overall impact on financial performance.</w:t>
      </w:r>
    </w:p>
    <w:p w14:paraId="391FD269" w14:textId="172C5C06" w:rsidR="000F7DFA" w:rsidRPr="006D3D71" w:rsidRDefault="000F7DFA" w:rsidP="006D3D71">
      <w:pPr>
        <w:pStyle w:val="Heading2"/>
        <w:spacing w:before="0" w:after="0" w:line="360" w:lineRule="auto"/>
        <w:jc w:val="both"/>
        <w:rPr>
          <w:rFonts w:asciiTheme="majorBidi" w:hAnsiTheme="majorBidi"/>
          <w:b/>
          <w:bCs/>
          <w:color w:val="auto"/>
          <w:sz w:val="24"/>
          <w:szCs w:val="24"/>
        </w:rPr>
      </w:pPr>
      <w:bookmarkStart w:id="710" w:name="_Toc193846454"/>
      <w:bookmarkStart w:id="711" w:name="_Toc193282232"/>
      <w:bookmarkStart w:id="712" w:name="_Toc193282398"/>
      <w:bookmarkEnd w:id="708"/>
      <w:bookmarkEnd w:id="709"/>
      <w:r w:rsidRPr="006D3D71">
        <w:rPr>
          <w:rFonts w:asciiTheme="majorBidi" w:hAnsiTheme="majorBidi"/>
          <w:b/>
          <w:bCs/>
          <w:color w:val="auto"/>
          <w:sz w:val="24"/>
          <w:szCs w:val="24"/>
        </w:rPr>
        <w:t>2.2.1.</w:t>
      </w:r>
      <w:r w:rsidR="003832D7" w:rsidRPr="006D3D71">
        <w:rPr>
          <w:rFonts w:asciiTheme="majorBidi" w:hAnsiTheme="majorBidi"/>
          <w:b/>
          <w:bCs/>
          <w:color w:val="auto"/>
          <w:sz w:val="24"/>
          <w:szCs w:val="24"/>
        </w:rPr>
        <w:t>4</w:t>
      </w:r>
      <w:r w:rsidRPr="006D3D71">
        <w:rPr>
          <w:rFonts w:asciiTheme="majorBidi" w:hAnsiTheme="majorBidi"/>
          <w:b/>
          <w:bCs/>
          <w:color w:val="auto"/>
          <w:sz w:val="24"/>
          <w:szCs w:val="24"/>
        </w:rPr>
        <w:t>. Credit Risk Monitoring Frequency</w:t>
      </w:r>
      <w:bookmarkEnd w:id="710"/>
    </w:p>
    <w:p w14:paraId="14D7DA38" w14:textId="77777777" w:rsidR="000F7DFA" w:rsidRPr="006D3D71" w:rsidRDefault="000F7DFA" w:rsidP="00E34B42">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 xml:space="preserve">Credit Risk Monitoring Frequency plays a vital role in ensuring the stability and profitability of commercial banks by continuously assessing borrowers' financial health and identifying potential defaults before they escalate. It refers to how often a bank evaluates its credit portfolio, borrower repayment behavior, and overall credit risk exposure. A higher monitoring frequency allows banks to detect early warning signs of financial distress, take </w:t>
      </w:r>
      <w:r w:rsidRPr="006D3D71">
        <w:rPr>
          <w:rFonts w:asciiTheme="majorBidi" w:hAnsiTheme="majorBidi" w:cstheme="majorBidi"/>
          <w:sz w:val="24"/>
          <w:szCs w:val="24"/>
        </w:rPr>
        <w:lastRenderedPageBreak/>
        <w:t>preventive measures, and reduce the likelihood of loan defaults. For GT Bank Plc Rwanda, implementing an effective credit risk monitoring framework is essential to maintaining a sound loan portfolio and mitigating potential financial losses.</w:t>
      </w:r>
    </w:p>
    <w:p w14:paraId="37DB422D" w14:textId="77777777" w:rsidR="000F7DFA" w:rsidRPr="006D3D71" w:rsidRDefault="000F7DFA" w:rsidP="00E34B42">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A robust credit risk monitoring system involves regular borrower assessments, loan performance tracking, and real-time risk analysis. According to Makri et al. (2015), banks that frequently monitor their credit risk exposure tend to have lower non-performing loan (NPL) ratios and higher financial stability. GT Bank Plc Rwanda can enhance its risk monitoring by leveraging automated risk assessment models, credit scoring systems, and periodic borrower evaluations to maintain a proactive approach to risk management.</w:t>
      </w:r>
    </w:p>
    <w:p w14:paraId="71869C26" w14:textId="77777777" w:rsidR="000F7DFA" w:rsidRPr="006D3D71" w:rsidRDefault="000F7DFA" w:rsidP="00E34B42">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Moreover, Ghosh (2017) emphasizes that frequent credit monitoring strengthens decision-making by providing timely insights into loan repayment trends and borrower financial health. A structured approach, including monthly or quarterly credit reviews, can help GT Bank Plc Rwanda identify potential defaulters early and implement appropriate risk mitigation strategies such as loan restructuring, increased collateral requirements, or stricter lending policies.</w:t>
      </w:r>
    </w:p>
    <w:p w14:paraId="54215BE8" w14:textId="77777777" w:rsidR="000F7DFA" w:rsidRPr="006D3D71" w:rsidRDefault="000F7DFA" w:rsidP="00E34B42">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In addition, the effectiveness of credit risk monitoring is closely linked to economic conditions and borrower-specific factors. Badar and Javid (2018) highlight that banks operating in emerging economies like Rwanda must continuously assess external factors, such as inflation rates, GDP growth, and employment trends, as these significantly impact borrowers' repayment capacity. By incorporating macroeconomic analysis into its credit monitoring framework, GT Bank Plc Rwanda can ensure a more comprehensive risk management approach.</w:t>
      </w:r>
    </w:p>
    <w:p w14:paraId="1ECFC819" w14:textId="77777777" w:rsidR="000F7DFA" w:rsidRPr="006D3D71" w:rsidRDefault="000F7DFA" w:rsidP="00E34B42">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This study will examine how GT Bank Plc Rwanda's credit risk monitoring frequency influences its ability to manage credit risk effectively and its overall impact on financial performance.</w:t>
      </w:r>
    </w:p>
    <w:p w14:paraId="6FE3B260" w14:textId="77777777" w:rsidR="003F0834" w:rsidRPr="006D3D71" w:rsidRDefault="003F0834" w:rsidP="006D3D71">
      <w:pPr>
        <w:pStyle w:val="Heading2"/>
        <w:spacing w:before="0" w:after="0" w:line="360" w:lineRule="auto"/>
        <w:jc w:val="both"/>
        <w:rPr>
          <w:rFonts w:asciiTheme="majorBidi" w:hAnsiTheme="majorBidi"/>
          <w:b/>
          <w:bCs/>
          <w:color w:val="auto"/>
          <w:sz w:val="24"/>
          <w:szCs w:val="24"/>
        </w:rPr>
      </w:pPr>
      <w:bookmarkStart w:id="713" w:name="_Toc193846455"/>
      <w:r w:rsidRPr="006D3D71">
        <w:rPr>
          <w:rFonts w:asciiTheme="majorBidi" w:hAnsiTheme="majorBidi"/>
          <w:b/>
          <w:bCs/>
          <w:color w:val="auto"/>
          <w:sz w:val="24"/>
          <w:szCs w:val="24"/>
        </w:rPr>
        <w:t>2.2.1.5. Credit Risk monitoring frequency</w:t>
      </w:r>
      <w:bookmarkEnd w:id="711"/>
      <w:bookmarkEnd w:id="712"/>
      <w:bookmarkEnd w:id="713"/>
    </w:p>
    <w:p w14:paraId="0D3F1326" w14:textId="77777777" w:rsidR="003F0834" w:rsidRPr="006D3D71" w:rsidRDefault="003F0834" w:rsidP="006D3D71">
      <w:pPr>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 xml:space="preserve">Credit risk monitoring frequency refers to how often a bank reviews and evaluates its loan portfolio to identify and address emerging risks. Frequent monitoring enables early detection of potential defaults, allowing banks to take corrective measures before risks escalate. Karanja et al. (2016) argued that regular credit monitoring enhances a bank's ability to maintain a high-quality loan portfolio and minimize losses. For GT Bank Plc Rwanda, </w:t>
      </w:r>
      <w:r w:rsidRPr="006D3D71">
        <w:rPr>
          <w:rFonts w:asciiTheme="majorBidi" w:hAnsiTheme="majorBidi" w:cstheme="majorBidi"/>
          <w:sz w:val="24"/>
          <w:szCs w:val="24"/>
        </w:rPr>
        <w:lastRenderedPageBreak/>
        <w:t>establishing an optimal monitoring frequency ensures proactive management of credit risks, contributing to stable financial performance.</w:t>
      </w:r>
    </w:p>
    <w:p w14:paraId="47CE5F76" w14:textId="77777777" w:rsidR="003F0834" w:rsidRPr="006D3D71" w:rsidRDefault="003F0834" w:rsidP="006D3D71">
      <w:pPr>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 xml:space="preserve">Effective credit monitoring involves continuous assessment of borrower behavior, market conditions, and collateral value. According to </w:t>
      </w:r>
      <w:proofErr w:type="spellStart"/>
      <w:r w:rsidRPr="006D3D71">
        <w:rPr>
          <w:rFonts w:asciiTheme="majorBidi" w:hAnsiTheme="majorBidi" w:cstheme="majorBidi"/>
          <w:sz w:val="24"/>
          <w:szCs w:val="24"/>
        </w:rPr>
        <w:t>Mileris</w:t>
      </w:r>
      <w:proofErr w:type="spellEnd"/>
      <w:r w:rsidRPr="006D3D71">
        <w:rPr>
          <w:rFonts w:asciiTheme="majorBidi" w:hAnsiTheme="majorBidi" w:cstheme="majorBidi"/>
          <w:sz w:val="24"/>
          <w:szCs w:val="24"/>
        </w:rPr>
        <w:t xml:space="preserve"> (2018), banks with higher monitoring frequencies are better equipped to respond to dynamic economic conditions and borrower-specific risks. For instance, GT Bank Plc Rwanda can integrate advanced credit monitoring tools, such as artificial intelligence and predictive analytics, to enhance the accuracy and efficiency of its monitoring processes. These technologies can provide real-time insights, enabling swift action to prevent defaults.</w:t>
      </w:r>
    </w:p>
    <w:p w14:paraId="533116B8" w14:textId="77777777" w:rsidR="003F0834" w:rsidRPr="006D3D71" w:rsidRDefault="003F0834" w:rsidP="006D3D71">
      <w:pPr>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 xml:space="preserve">The benefits of frequent credit risk monitoring extend to regulatory compliance and overall operational efficiency. </w:t>
      </w:r>
      <w:proofErr w:type="spellStart"/>
      <w:r w:rsidRPr="006D3D71">
        <w:rPr>
          <w:rFonts w:asciiTheme="majorBidi" w:hAnsiTheme="majorBidi" w:cstheme="majorBidi"/>
          <w:sz w:val="24"/>
          <w:szCs w:val="24"/>
        </w:rPr>
        <w:t>Kimondo</w:t>
      </w:r>
      <w:proofErr w:type="spellEnd"/>
      <w:r w:rsidRPr="006D3D71">
        <w:rPr>
          <w:rFonts w:asciiTheme="majorBidi" w:hAnsiTheme="majorBidi" w:cstheme="majorBidi"/>
          <w:sz w:val="24"/>
          <w:szCs w:val="24"/>
        </w:rPr>
        <w:t xml:space="preserve"> and </w:t>
      </w:r>
      <w:proofErr w:type="spellStart"/>
      <w:r w:rsidRPr="006D3D71">
        <w:rPr>
          <w:rFonts w:asciiTheme="majorBidi" w:hAnsiTheme="majorBidi" w:cstheme="majorBidi"/>
          <w:sz w:val="24"/>
          <w:szCs w:val="24"/>
        </w:rPr>
        <w:t>Kihara</w:t>
      </w:r>
      <w:proofErr w:type="spellEnd"/>
      <w:r w:rsidRPr="006D3D71">
        <w:rPr>
          <w:rFonts w:asciiTheme="majorBidi" w:hAnsiTheme="majorBidi" w:cstheme="majorBidi"/>
          <w:sz w:val="24"/>
          <w:szCs w:val="24"/>
        </w:rPr>
        <w:t xml:space="preserve"> (2020) observed that banks with robust monitoring frameworks are more likely to meet regulatory requirements related to risk management, reducing the likelihood of penalties and enhancing stakeholder confidence. For GT Bank Plc Rwanda, aligning its monitoring practices with both internal and external risk management standards is essential for maintaining its market position and financial health. This study will evaluate how the frequency of credit risk monitoring influences the bank’s ability to mitigate risks and sustain profitability.</w:t>
      </w:r>
    </w:p>
    <w:p w14:paraId="1D417D6B" w14:textId="77777777" w:rsidR="003F0834" w:rsidRPr="006D3D71" w:rsidRDefault="003F0834" w:rsidP="006D3D71">
      <w:pPr>
        <w:pStyle w:val="Heading2"/>
        <w:spacing w:before="0" w:after="0" w:line="360" w:lineRule="auto"/>
        <w:jc w:val="both"/>
        <w:rPr>
          <w:rFonts w:asciiTheme="majorBidi" w:hAnsiTheme="majorBidi"/>
          <w:b/>
          <w:bCs/>
          <w:color w:val="auto"/>
          <w:sz w:val="24"/>
          <w:szCs w:val="24"/>
          <w:lang w:val="en-GB"/>
        </w:rPr>
      </w:pPr>
      <w:bookmarkStart w:id="714" w:name="_Toc193282233"/>
      <w:bookmarkStart w:id="715" w:name="_Toc193282399"/>
      <w:bookmarkStart w:id="716" w:name="_Toc193846456"/>
      <w:bookmarkEnd w:id="698"/>
      <w:bookmarkEnd w:id="699"/>
      <w:bookmarkEnd w:id="700"/>
      <w:bookmarkEnd w:id="701"/>
      <w:r w:rsidRPr="006D3D71">
        <w:rPr>
          <w:rFonts w:asciiTheme="majorBidi" w:hAnsiTheme="majorBidi"/>
          <w:b/>
          <w:bCs/>
          <w:color w:val="auto"/>
          <w:sz w:val="24"/>
          <w:szCs w:val="24"/>
          <w:lang w:val="en-GB"/>
        </w:rPr>
        <w:t>2.2.2. Financial performance</w:t>
      </w:r>
      <w:bookmarkEnd w:id="714"/>
      <w:bookmarkEnd w:id="715"/>
      <w:bookmarkEnd w:id="716"/>
    </w:p>
    <w:p w14:paraId="74752CE9" w14:textId="77777777"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Financial performance is a critical indicator of a commercial bank's overall health and sustainability, reflecting its ability to generate profits while managing operational efficiency and risk exposure. It is measured using various financial metrics such as return on assets (ROA), return on equity (ROE), net interest margin (NIM), and liquidity ratios, among others. These metrics provide insights into the bank’s profitability, efficiency in resource utilization, and ability to meet short-term and long-term financial obligations (Olaniyi, 2017). In a competitive banking environment, financial performance serves as a benchmark for attracting investors, retaining customers, and complying with regulatory requirements.</w:t>
      </w:r>
    </w:p>
    <w:p w14:paraId="4E48EBF1" w14:textId="77777777"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 xml:space="preserve">In commercial banks, financial performance is intricately linked to effective risk management practices. According to </w:t>
      </w:r>
      <w:proofErr w:type="spellStart"/>
      <w:r w:rsidRPr="006D3D71">
        <w:rPr>
          <w:rFonts w:asciiTheme="majorBidi" w:hAnsiTheme="majorBidi" w:cstheme="majorBidi"/>
          <w:sz w:val="24"/>
          <w:szCs w:val="24"/>
        </w:rPr>
        <w:t>Kipesha</w:t>
      </w:r>
      <w:proofErr w:type="spellEnd"/>
      <w:r w:rsidRPr="006D3D71">
        <w:rPr>
          <w:rFonts w:asciiTheme="majorBidi" w:hAnsiTheme="majorBidi" w:cstheme="majorBidi"/>
          <w:sz w:val="24"/>
          <w:szCs w:val="24"/>
        </w:rPr>
        <w:t xml:space="preserve"> and Moshi (2019), banks that adopt robust frameworks to mitigate credit, market, and operational risks tend to achieve better financial outcomes. This is particularly important in developing economies where macroeconomic conditions, regulatory changes, and market volatility pose significant challenges. For commercial banks such as GT Bank Plc Rwanda, enhancing financial performance involves striking a balance between profit maximization and maintaining customer trust, regulatory compliance, and </w:t>
      </w:r>
      <w:r w:rsidRPr="006D3D71">
        <w:rPr>
          <w:rFonts w:asciiTheme="majorBidi" w:hAnsiTheme="majorBidi" w:cstheme="majorBidi"/>
          <w:sz w:val="24"/>
          <w:szCs w:val="24"/>
        </w:rPr>
        <w:lastRenderedPageBreak/>
        <w:t>financial stability. This study explores the interplay between financial performance and risk management, shedding light on how banks can optimize their operations to thrive in competitive and dynamic markets.</w:t>
      </w:r>
    </w:p>
    <w:p w14:paraId="5E905BC8" w14:textId="77777777" w:rsidR="003F0834" w:rsidRPr="006D3D71" w:rsidRDefault="003F0834" w:rsidP="006D3D71">
      <w:pPr>
        <w:pStyle w:val="Heading2"/>
        <w:spacing w:before="0" w:after="0" w:line="360" w:lineRule="auto"/>
        <w:jc w:val="both"/>
        <w:rPr>
          <w:rFonts w:asciiTheme="majorBidi" w:hAnsiTheme="majorBidi"/>
          <w:b/>
          <w:bCs/>
          <w:color w:val="auto"/>
          <w:sz w:val="24"/>
          <w:szCs w:val="24"/>
        </w:rPr>
      </w:pPr>
      <w:bookmarkStart w:id="717" w:name="_Toc193282234"/>
      <w:bookmarkStart w:id="718" w:name="_Toc193282400"/>
      <w:bookmarkStart w:id="719" w:name="_Toc193846457"/>
      <w:bookmarkStart w:id="720" w:name="_Toc161046699"/>
      <w:bookmarkStart w:id="721" w:name="_Toc161046450"/>
      <w:bookmarkStart w:id="722" w:name="_Toc161046325"/>
      <w:bookmarkStart w:id="723" w:name="_Toc161045809"/>
      <w:bookmarkStart w:id="724" w:name="_Toc156986969"/>
      <w:bookmarkStart w:id="725" w:name="_Toc151578063"/>
      <w:bookmarkStart w:id="726" w:name="_Toc151577944"/>
      <w:bookmarkStart w:id="727" w:name="_Toc121130109"/>
      <w:bookmarkStart w:id="728" w:name="_Toc121129997"/>
      <w:bookmarkStart w:id="729" w:name="_Toc121129885"/>
      <w:bookmarkStart w:id="730" w:name="_Toc86739634"/>
      <w:bookmarkStart w:id="731" w:name="_Toc82502826"/>
      <w:bookmarkStart w:id="732" w:name="_Toc82502695"/>
      <w:bookmarkStart w:id="733" w:name="_Toc80859186"/>
      <w:bookmarkStart w:id="734" w:name="_Toc57362831"/>
      <w:bookmarkStart w:id="735" w:name="_Toc55050713"/>
      <w:bookmarkStart w:id="736" w:name="_Toc55050443"/>
      <w:bookmarkStart w:id="737" w:name="_Toc53077831"/>
      <w:bookmarkStart w:id="738" w:name="_Toc25909827"/>
      <w:bookmarkStart w:id="739" w:name="_Toc25909699"/>
      <w:bookmarkStart w:id="740" w:name="_Toc22382441"/>
      <w:bookmarkStart w:id="741" w:name="_Toc7187760"/>
      <w:bookmarkStart w:id="742" w:name="_Toc7186616"/>
      <w:bookmarkStart w:id="743" w:name="_Toc530644539"/>
      <w:bookmarkStart w:id="744" w:name="_Toc524408433"/>
      <w:bookmarkStart w:id="745" w:name="_Toc524408323"/>
      <w:bookmarkStart w:id="746" w:name="_Toc524379225"/>
      <w:bookmarkStart w:id="747" w:name="_Toc518560365"/>
      <w:bookmarkStart w:id="748" w:name="_Toc495580705"/>
      <w:bookmarkStart w:id="749" w:name="_Toc494621137"/>
      <w:bookmarkStart w:id="750" w:name="_Toc494621038"/>
      <w:bookmarkStart w:id="751" w:name="_Toc494620937"/>
      <w:bookmarkStart w:id="752" w:name="_Toc494620755"/>
      <w:bookmarkStart w:id="753" w:name="_Toc20034775"/>
      <w:bookmarkStart w:id="754" w:name="_Toc20034676"/>
      <w:bookmarkStart w:id="755" w:name="_Toc20034577"/>
      <w:bookmarkStart w:id="756" w:name="_Toc12894949"/>
      <w:bookmarkStart w:id="757" w:name="_Toc11314923"/>
      <w:bookmarkStart w:id="758" w:name="_Toc11314541"/>
      <w:bookmarkStart w:id="759" w:name="_Toc183425153"/>
      <w:bookmarkStart w:id="760" w:name="_Toc183425244"/>
      <w:bookmarkStart w:id="761" w:name="_Toc183426932"/>
      <w:r w:rsidRPr="006D3D71">
        <w:rPr>
          <w:rFonts w:asciiTheme="majorBidi" w:hAnsiTheme="majorBidi"/>
          <w:b/>
          <w:bCs/>
          <w:color w:val="auto"/>
          <w:sz w:val="24"/>
          <w:szCs w:val="24"/>
        </w:rPr>
        <w:t>2.2.2.1. Net Interest Margin (NIM)</w:t>
      </w:r>
      <w:bookmarkEnd w:id="717"/>
      <w:bookmarkEnd w:id="718"/>
      <w:bookmarkEnd w:id="719"/>
    </w:p>
    <w:p w14:paraId="631E02B0" w14:textId="77777777" w:rsidR="003F0834" w:rsidRPr="006D3D71" w:rsidRDefault="003F0834" w:rsidP="006D3D71">
      <w:pPr>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Net Interest Margin (NIM) is a key financial metric used to assess a bank’s efficiency in managing its interest income relative to its interest-bearing liabilities. It is calculated as the difference between interest income generated from loans and investments and the interest paid on deposits and borrowings, divided by the bank's earning assets. The formula is:</w:t>
      </w:r>
    </w:p>
    <w:p w14:paraId="1159FD85" w14:textId="77777777" w:rsidR="003F0834" w:rsidRPr="006D3D71" w:rsidRDefault="003F0834" w:rsidP="006D3D71">
      <w:pPr>
        <w:spacing w:after="0" w:line="360" w:lineRule="auto"/>
        <w:jc w:val="both"/>
        <w:rPr>
          <w:rFonts w:asciiTheme="majorBidi" w:hAnsiTheme="majorBidi" w:cstheme="majorBidi"/>
          <w:sz w:val="24"/>
          <w:szCs w:val="24"/>
          <w:lang w:val="en-GB" w:eastAsia="en-GB"/>
        </w:rPr>
      </w:pPr>
      <m:oMath>
        <m:r>
          <w:rPr>
            <w:rFonts w:ascii="Cambria Math" w:hAnsi="Cambria Math" w:cstheme="majorBidi"/>
            <w:sz w:val="24"/>
            <w:szCs w:val="24"/>
            <w:lang w:val="en-GB" w:eastAsia="en-GB"/>
          </w:rPr>
          <m:t>NIM=</m:t>
        </m:r>
        <m:f>
          <m:fPr>
            <m:ctrlPr>
              <w:rPr>
                <w:rFonts w:ascii="Cambria Math" w:hAnsi="Cambria Math" w:cstheme="majorBidi"/>
                <w:i/>
                <w:sz w:val="24"/>
                <w:szCs w:val="24"/>
                <w:lang w:val="en-GB" w:eastAsia="en-GB"/>
              </w:rPr>
            </m:ctrlPr>
          </m:fPr>
          <m:num>
            <m:r>
              <w:rPr>
                <w:rFonts w:ascii="Cambria Math" w:hAnsi="Cambria Math" w:cstheme="majorBidi"/>
                <w:sz w:val="24"/>
                <w:szCs w:val="24"/>
                <w:lang w:val="en-GB" w:eastAsia="en-GB"/>
              </w:rPr>
              <m:t>Interest income-Interest exoenses</m:t>
            </m:r>
          </m:num>
          <m:den>
            <m:r>
              <w:rPr>
                <w:rFonts w:ascii="Cambria Math" w:hAnsi="Cambria Math" w:cstheme="majorBidi"/>
                <w:sz w:val="24"/>
                <w:szCs w:val="24"/>
                <w:lang w:val="en-GB" w:eastAsia="en-GB"/>
              </w:rPr>
              <m:t>Average earnings assets</m:t>
            </m:r>
          </m:den>
        </m:f>
      </m:oMath>
      <w:r w:rsidRPr="006D3D71">
        <w:rPr>
          <w:rFonts w:asciiTheme="majorBidi" w:eastAsia="Times New Roman" w:hAnsiTheme="majorBidi" w:cstheme="majorBidi"/>
          <w:sz w:val="24"/>
          <w:szCs w:val="24"/>
          <w:lang w:val="en-GB" w:eastAsia="en-GB"/>
        </w:rPr>
        <w:t xml:space="preserve"> × 100</w:t>
      </w:r>
    </w:p>
    <w:p w14:paraId="445F9A27" w14:textId="77777777" w:rsidR="003F0834" w:rsidRPr="006D3D71" w:rsidRDefault="003F0834" w:rsidP="006D3D71">
      <w:pPr>
        <w:spacing w:after="0" w:line="360" w:lineRule="auto"/>
        <w:jc w:val="both"/>
        <w:rPr>
          <w:rFonts w:asciiTheme="majorBidi" w:hAnsiTheme="majorBidi" w:cstheme="majorBidi"/>
          <w:sz w:val="24"/>
          <w:szCs w:val="24"/>
        </w:rPr>
      </w:pPr>
    </w:p>
    <w:p w14:paraId="22A9A4E9" w14:textId="77777777" w:rsidR="003F0834" w:rsidRPr="006D3D71" w:rsidRDefault="003F0834" w:rsidP="006D3D71">
      <w:pPr>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A high NIM indicates effective interest rate management and a profitable lending structure. According to Kanan et al. (2016), banks with higher NIMs typically exhibit better financial performance, as they are able to generate substantial income from their core lending activities. Factors such as market competition, loan portfolio quality, and macroeconomic conditions significantly impact NIM.</w:t>
      </w:r>
    </w:p>
    <w:p w14:paraId="612830D8" w14:textId="77777777" w:rsidR="003F0834" w:rsidRPr="006D3D71" w:rsidRDefault="003F0834" w:rsidP="006D3D71">
      <w:pPr>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The NIM metric also reflects the bank’s ability to manage risks associated with interest rate fluctuations. Saeed and Zahid (2017) emphasized that an optimal NIM is essential for ensuring sustainable profitability, especially during periods of interest rate volatility. For banks operating in developing economies, including GT Bank Plc Rwanda, managing NIM is critical due to the volatility in lending rates and limited availability of low-cost deposits.</w:t>
      </w:r>
    </w:p>
    <w:p w14:paraId="5DE6C321" w14:textId="77777777" w:rsidR="003F0834" w:rsidRPr="006D3D71" w:rsidRDefault="003F0834" w:rsidP="006D3D71">
      <w:pPr>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In the context of GT Bank Plc Rwanda, the study will analyze how the bank’s NIM affects its financial stability and overall profitability. A deeper understanding of NIM can provide insights into the bank’s credit allocation strategies and its ability to balance income generation with cost management, a critical aspect of improving financial performance in a competitive market environment.</w:t>
      </w:r>
    </w:p>
    <w:p w14:paraId="78D8C212" w14:textId="77777777" w:rsidR="003F0834" w:rsidRPr="006D3D71" w:rsidRDefault="003F0834" w:rsidP="006D3D71">
      <w:pPr>
        <w:pStyle w:val="Heading2"/>
        <w:spacing w:before="0" w:after="0" w:line="360" w:lineRule="auto"/>
        <w:jc w:val="both"/>
        <w:rPr>
          <w:rFonts w:asciiTheme="majorBidi" w:hAnsiTheme="majorBidi"/>
          <w:b/>
          <w:bCs/>
          <w:color w:val="auto"/>
          <w:sz w:val="24"/>
          <w:szCs w:val="24"/>
        </w:rPr>
      </w:pPr>
      <w:bookmarkStart w:id="762" w:name="_Toc193282235"/>
      <w:bookmarkStart w:id="763" w:name="_Toc193282401"/>
      <w:bookmarkStart w:id="764" w:name="_Toc193846458"/>
      <w:r w:rsidRPr="006D3D71">
        <w:rPr>
          <w:rFonts w:asciiTheme="majorBidi" w:hAnsiTheme="majorBidi"/>
          <w:b/>
          <w:bCs/>
          <w:color w:val="auto"/>
          <w:sz w:val="24"/>
          <w:szCs w:val="24"/>
        </w:rPr>
        <w:t>2.2.2.2. Return on Equity (ROE)</w:t>
      </w:r>
      <w:bookmarkEnd w:id="762"/>
      <w:bookmarkEnd w:id="763"/>
      <w:bookmarkEnd w:id="764"/>
    </w:p>
    <w:p w14:paraId="2E9A1AC3" w14:textId="77777777" w:rsidR="003F0834" w:rsidRPr="006D3D71" w:rsidRDefault="003F0834" w:rsidP="006D3D71">
      <w:pPr>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Return on Equity (ROE) is a financial ratio that measures a bank’s profitability in relation to shareholders’ equity, indicating how effectively management is using equity capital to generate profits. The formula for ROE is:</w:t>
      </w:r>
    </w:p>
    <w:p w14:paraId="690165CE" w14:textId="77777777" w:rsidR="003F0834" w:rsidRPr="006D3D71" w:rsidRDefault="003F0834" w:rsidP="006D3D71">
      <w:pPr>
        <w:spacing w:after="0" w:line="360" w:lineRule="auto"/>
        <w:jc w:val="both"/>
        <w:rPr>
          <w:rFonts w:asciiTheme="majorBidi" w:hAnsiTheme="majorBidi" w:cstheme="majorBidi"/>
          <w:sz w:val="24"/>
          <w:szCs w:val="24"/>
          <w:lang w:val="en-GB" w:eastAsia="en-GB"/>
        </w:rPr>
      </w:pPr>
      <m:oMath>
        <m:r>
          <w:rPr>
            <w:rFonts w:ascii="Cambria Math" w:hAnsi="Cambria Math" w:cstheme="majorBidi"/>
            <w:sz w:val="24"/>
            <w:szCs w:val="24"/>
            <w:lang w:val="en-GB" w:eastAsia="en-GB"/>
          </w:rPr>
          <m:t>ROE=</m:t>
        </m:r>
        <m:f>
          <m:fPr>
            <m:ctrlPr>
              <w:rPr>
                <w:rFonts w:ascii="Cambria Math" w:hAnsi="Cambria Math" w:cstheme="majorBidi"/>
                <w:i/>
                <w:sz w:val="24"/>
                <w:szCs w:val="24"/>
                <w:lang w:val="en-GB" w:eastAsia="en-GB"/>
              </w:rPr>
            </m:ctrlPr>
          </m:fPr>
          <m:num>
            <m:r>
              <w:rPr>
                <w:rFonts w:ascii="Cambria Math" w:hAnsi="Cambria Math" w:cstheme="majorBidi"/>
                <w:sz w:val="24"/>
                <w:szCs w:val="24"/>
                <w:lang w:val="en-GB" w:eastAsia="en-GB"/>
              </w:rPr>
              <m:t>Net Income</m:t>
            </m:r>
          </m:num>
          <m:den>
            <m:r>
              <w:rPr>
                <w:rFonts w:ascii="Cambria Math" w:hAnsi="Cambria Math" w:cstheme="majorBidi"/>
                <w:sz w:val="24"/>
                <w:szCs w:val="24"/>
                <w:lang w:val="en-GB" w:eastAsia="en-GB"/>
              </w:rPr>
              <m:t>Shareholde</m:t>
            </m:r>
            <m:sSup>
              <m:sSupPr>
                <m:ctrlPr>
                  <w:rPr>
                    <w:rFonts w:ascii="Cambria Math" w:hAnsi="Cambria Math" w:cstheme="majorBidi"/>
                    <w:i/>
                    <w:sz w:val="24"/>
                    <w:szCs w:val="24"/>
                    <w:lang w:val="en-GB" w:eastAsia="en-GB"/>
                  </w:rPr>
                </m:ctrlPr>
              </m:sSupPr>
              <m:e>
                <m:r>
                  <w:rPr>
                    <w:rFonts w:ascii="Cambria Math" w:hAnsi="Cambria Math" w:cstheme="majorBidi"/>
                    <w:sz w:val="24"/>
                    <w:szCs w:val="24"/>
                    <w:lang w:val="en-GB" w:eastAsia="en-GB"/>
                  </w:rPr>
                  <m:t>r</m:t>
                </m:r>
              </m:e>
              <m:sup>
                <m:r>
                  <w:rPr>
                    <w:rFonts w:ascii="Cambria Math" w:hAnsi="Cambria Math" w:cstheme="majorBidi"/>
                    <w:sz w:val="24"/>
                    <w:szCs w:val="24"/>
                    <w:lang w:val="en-GB" w:eastAsia="en-GB"/>
                  </w:rPr>
                  <m:t>'</m:t>
                </m:r>
              </m:sup>
            </m:sSup>
            <m:r>
              <w:rPr>
                <w:rFonts w:ascii="Cambria Math" w:hAnsi="Cambria Math" w:cstheme="majorBidi"/>
                <w:sz w:val="24"/>
                <w:szCs w:val="24"/>
                <w:lang w:val="en-GB" w:eastAsia="en-GB"/>
              </w:rPr>
              <m:t>s Equity</m:t>
            </m:r>
          </m:den>
        </m:f>
      </m:oMath>
      <w:r w:rsidRPr="006D3D71">
        <w:rPr>
          <w:rFonts w:asciiTheme="majorBidi" w:eastAsia="Times New Roman" w:hAnsiTheme="majorBidi" w:cstheme="majorBidi"/>
          <w:sz w:val="24"/>
          <w:szCs w:val="24"/>
          <w:lang w:val="en-GB" w:eastAsia="en-GB"/>
        </w:rPr>
        <w:t xml:space="preserve"> × 100</w:t>
      </w:r>
    </w:p>
    <w:p w14:paraId="75AB8E29" w14:textId="77777777" w:rsidR="003F0834" w:rsidRPr="006D3D71" w:rsidRDefault="003F0834" w:rsidP="006D3D71">
      <w:pPr>
        <w:spacing w:after="0" w:line="360" w:lineRule="auto"/>
        <w:jc w:val="both"/>
        <w:rPr>
          <w:rFonts w:asciiTheme="majorBidi" w:hAnsiTheme="majorBidi" w:cstheme="majorBidi"/>
          <w:sz w:val="24"/>
          <w:szCs w:val="24"/>
        </w:rPr>
      </w:pPr>
    </w:p>
    <w:p w14:paraId="5179C489" w14:textId="77777777" w:rsidR="003F0834" w:rsidRPr="006D3D71" w:rsidRDefault="003F0834" w:rsidP="006D3D71">
      <w:pPr>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lastRenderedPageBreak/>
        <w:t>ROE is a widely used metric in evaluating a bank’s performance, as it demonstrates the return generated for each unit of equity invested by shareholders. Fawzi et al. (2018) noted that a high ROE signifies efficient utilization of equity and strong profitability, making it a crucial metric for investors and stakeholders. Factors influencing ROE include operational efficiency, leverage, and the bank’s risk exposure.</w:t>
      </w:r>
    </w:p>
    <w:p w14:paraId="4775AF89" w14:textId="77777777" w:rsidR="003F0834" w:rsidRPr="006D3D71" w:rsidRDefault="003F0834" w:rsidP="006D3D71">
      <w:pPr>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While ROE is an important indicator, it is also sensitive to risk-taking behaviors. Higher leverage can inflate ROE, but it may expose the bank to greater financial risks. Tarek and Youssef (2020) emphasized the need for balanced risk management to sustain a favorable ROE without jeopardizing long-term stability. For GT Bank Plc Rwanda, maintaining an optimal ROE requires effective capital allocation strategies and prudent risk management.</w:t>
      </w:r>
    </w:p>
    <w:p w14:paraId="08DBE69A" w14:textId="77777777" w:rsidR="003F0834" w:rsidRPr="006D3D71" w:rsidRDefault="003F0834" w:rsidP="006D3D71">
      <w:pPr>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In the Rwandan banking sector, ROE serves as a benchmark for comparing financial performance among peers. This study will examine how GT Bank Plc Rwanda’s ROE reflects its operational strategies and the effectiveness of its risk management practices. Insights from this analysis will inform strategies to enhance shareholder value and sustain profitability.</w:t>
      </w:r>
    </w:p>
    <w:p w14:paraId="772A4E86" w14:textId="77777777" w:rsidR="003F0834" w:rsidRPr="006D3D71" w:rsidRDefault="003F0834" w:rsidP="006D3D71">
      <w:pPr>
        <w:pStyle w:val="Heading2"/>
        <w:spacing w:before="0" w:after="0" w:line="360" w:lineRule="auto"/>
        <w:jc w:val="both"/>
        <w:rPr>
          <w:rFonts w:asciiTheme="majorBidi" w:hAnsiTheme="majorBidi"/>
          <w:b/>
          <w:bCs/>
          <w:color w:val="auto"/>
          <w:sz w:val="24"/>
          <w:szCs w:val="24"/>
        </w:rPr>
      </w:pPr>
      <w:bookmarkStart w:id="765" w:name="_Toc193282236"/>
      <w:bookmarkStart w:id="766" w:name="_Toc193282402"/>
      <w:bookmarkStart w:id="767" w:name="_Toc193846459"/>
      <w:r w:rsidRPr="006D3D71">
        <w:rPr>
          <w:rFonts w:asciiTheme="majorBidi" w:hAnsiTheme="majorBidi"/>
          <w:b/>
          <w:bCs/>
          <w:color w:val="auto"/>
          <w:sz w:val="24"/>
          <w:szCs w:val="24"/>
        </w:rPr>
        <w:t>2.2.2.3. Return on Assets (ROA)</w:t>
      </w:r>
      <w:bookmarkEnd w:id="765"/>
      <w:bookmarkEnd w:id="766"/>
      <w:bookmarkEnd w:id="767"/>
    </w:p>
    <w:p w14:paraId="2D136DCE" w14:textId="77777777" w:rsidR="003F0834" w:rsidRPr="006D3D71" w:rsidRDefault="003F0834" w:rsidP="006D3D71">
      <w:pPr>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Return on Assets (ROA) measures a bank’s ability to generate net income from its total assets, indicating operational efficiency and profitability. The formula for ROA is:</w:t>
      </w:r>
    </w:p>
    <w:p w14:paraId="5D684CE1" w14:textId="77777777" w:rsidR="003F0834" w:rsidRPr="006D3D71" w:rsidRDefault="003F0834" w:rsidP="006D3D71">
      <w:pPr>
        <w:spacing w:after="0" w:line="360" w:lineRule="auto"/>
        <w:jc w:val="both"/>
        <w:rPr>
          <w:rFonts w:asciiTheme="majorBidi" w:hAnsiTheme="majorBidi" w:cstheme="majorBidi"/>
          <w:sz w:val="24"/>
          <w:szCs w:val="24"/>
          <w:lang w:val="en-GB" w:eastAsia="en-GB"/>
        </w:rPr>
      </w:pPr>
      <m:oMath>
        <m:r>
          <w:rPr>
            <w:rFonts w:ascii="Cambria Math" w:hAnsi="Cambria Math" w:cstheme="majorBidi"/>
            <w:sz w:val="24"/>
            <w:szCs w:val="24"/>
            <w:lang w:val="en-GB" w:eastAsia="en-GB"/>
          </w:rPr>
          <m:t>ROA=</m:t>
        </m:r>
        <m:f>
          <m:fPr>
            <m:ctrlPr>
              <w:rPr>
                <w:rFonts w:ascii="Cambria Math" w:hAnsi="Cambria Math" w:cstheme="majorBidi"/>
                <w:i/>
                <w:sz w:val="24"/>
                <w:szCs w:val="24"/>
                <w:lang w:val="en-GB" w:eastAsia="en-GB"/>
              </w:rPr>
            </m:ctrlPr>
          </m:fPr>
          <m:num>
            <m:r>
              <w:rPr>
                <w:rFonts w:ascii="Cambria Math" w:hAnsi="Cambria Math" w:cstheme="majorBidi"/>
                <w:sz w:val="24"/>
                <w:szCs w:val="24"/>
                <w:lang w:val="en-GB" w:eastAsia="en-GB"/>
              </w:rPr>
              <m:t>Net Income</m:t>
            </m:r>
          </m:num>
          <m:den>
            <m:r>
              <w:rPr>
                <w:rFonts w:ascii="Cambria Math" w:hAnsi="Cambria Math" w:cstheme="majorBidi"/>
                <w:sz w:val="24"/>
                <w:szCs w:val="24"/>
                <w:lang w:val="en-GB" w:eastAsia="en-GB"/>
              </w:rPr>
              <m:t>Total assets</m:t>
            </m:r>
          </m:den>
        </m:f>
      </m:oMath>
      <w:r w:rsidRPr="006D3D71">
        <w:rPr>
          <w:rFonts w:asciiTheme="majorBidi" w:eastAsia="Times New Roman" w:hAnsiTheme="majorBidi" w:cstheme="majorBidi"/>
          <w:sz w:val="24"/>
          <w:szCs w:val="24"/>
          <w:lang w:val="en-GB" w:eastAsia="en-GB"/>
        </w:rPr>
        <w:t xml:space="preserve"> × 100</w:t>
      </w:r>
    </w:p>
    <w:p w14:paraId="055A33CD" w14:textId="77777777" w:rsidR="003F0834" w:rsidRPr="006D3D71" w:rsidRDefault="003F0834" w:rsidP="006D3D71">
      <w:pPr>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ROA is particularly important in the banking industry, where asset-heavy operations dominate. According to Kanga and Otieno (2017), a higher ROA reflects efficient management of resources and better financial performance. Factors such as asset quality, operational efficiency, and income diversification significantly influence ROA.</w:t>
      </w:r>
    </w:p>
    <w:p w14:paraId="7081EDB3" w14:textId="77777777" w:rsidR="003F0834" w:rsidRPr="006D3D71" w:rsidRDefault="003F0834" w:rsidP="006D3D71">
      <w:pPr>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Banks with strong ROA figures are better positioned to withstand market fluctuations and economic downturns. Muthoni and Kamau (2019) highlighted that ROA is a reliable measure of financial stability, as it accounts for both income generation and cost management. For GT Bank Plc Rwanda, enhancing ROA involves optimizing asset utilization and minimizing non-performing loans.</w:t>
      </w:r>
    </w:p>
    <w:p w14:paraId="4388EF01" w14:textId="77777777" w:rsidR="003F0834" w:rsidRPr="006D3D71" w:rsidRDefault="003F0834" w:rsidP="006D3D71">
      <w:pPr>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This study will investigate how GT Bank Plc Rwanda’s ROA is influenced by its risk management practices and asset quality. Understanding the dynamics of ROA will provide insights into the bank’s operational efficiency and its ability to balance profitability with sustainable growth, a key consideration for stakeholders in Rwanda’s competitive banking sector.</w:t>
      </w:r>
    </w:p>
    <w:p w14:paraId="7745C051" w14:textId="77777777" w:rsidR="003F0834" w:rsidRPr="006D3D71" w:rsidRDefault="003F0834" w:rsidP="006D3D71">
      <w:pPr>
        <w:pStyle w:val="Heading2"/>
        <w:spacing w:before="0" w:after="0" w:line="360" w:lineRule="auto"/>
        <w:jc w:val="both"/>
        <w:rPr>
          <w:rFonts w:asciiTheme="majorBidi" w:hAnsiTheme="majorBidi"/>
          <w:b/>
          <w:bCs/>
          <w:color w:val="auto"/>
          <w:sz w:val="24"/>
          <w:szCs w:val="24"/>
        </w:rPr>
      </w:pPr>
      <w:bookmarkStart w:id="768" w:name="_Toc193282237"/>
      <w:bookmarkStart w:id="769" w:name="_Toc193282403"/>
      <w:bookmarkStart w:id="770" w:name="_Toc193846460"/>
      <w:r w:rsidRPr="006D3D71">
        <w:rPr>
          <w:rFonts w:asciiTheme="majorBidi" w:hAnsiTheme="majorBidi"/>
          <w:b/>
          <w:bCs/>
          <w:color w:val="auto"/>
          <w:sz w:val="24"/>
          <w:szCs w:val="24"/>
        </w:rPr>
        <w:lastRenderedPageBreak/>
        <w:t>2.2.2.4. Cash Ratio</w:t>
      </w:r>
      <w:bookmarkEnd w:id="768"/>
      <w:bookmarkEnd w:id="769"/>
      <w:bookmarkEnd w:id="770"/>
    </w:p>
    <w:p w14:paraId="49EFE427" w14:textId="77777777"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The cash ratio is a liquidity metric that evaluates a bank's ability to meet its short-term liabilities using only its most liquid assets, such as cash and cash equivalents. The formula is:</w:t>
      </w:r>
    </w:p>
    <w:p w14:paraId="13108868" w14:textId="77777777" w:rsidR="003F0834" w:rsidRPr="006D3D71" w:rsidRDefault="003F0834" w:rsidP="006D3D71">
      <w:pPr>
        <w:spacing w:after="0" w:line="360" w:lineRule="auto"/>
        <w:jc w:val="both"/>
        <w:rPr>
          <w:rFonts w:asciiTheme="majorBidi" w:hAnsiTheme="majorBidi" w:cstheme="majorBidi"/>
          <w:sz w:val="24"/>
          <w:szCs w:val="24"/>
          <w:lang w:val="en-GB" w:eastAsia="en-GB"/>
        </w:rPr>
      </w:pPr>
      <m:oMath>
        <m:r>
          <w:rPr>
            <w:rFonts w:ascii="Cambria Math" w:hAnsi="Cambria Math" w:cstheme="majorBidi"/>
            <w:sz w:val="24"/>
            <w:szCs w:val="24"/>
            <w:lang w:val="en-GB" w:eastAsia="en-GB"/>
          </w:rPr>
          <m:t>Cash ratio=</m:t>
        </m:r>
        <m:f>
          <m:fPr>
            <m:ctrlPr>
              <w:rPr>
                <w:rFonts w:ascii="Cambria Math" w:hAnsi="Cambria Math" w:cstheme="majorBidi"/>
                <w:i/>
                <w:sz w:val="24"/>
                <w:szCs w:val="24"/>
                <w:lang w:val="en-GB" w:eastAsia="en-GB"/>
              </w:rPr>
            </m:ctrlPr>
          </m:fPr>
          <m:num>
            <m:r>
              <w:rPr>
                <w:rFonts w:ascii="Cambria Math" w:hAnsi="Cambria Math" w:cstheme="majorBidi"/>
                <w:sz w:val="24"/>
                <w:szCs w:val="24"/>
                <w:lang w:val="en-GB" w:eastAsia="en-GB"/>
              </w:rPr>
              <m:t>Cash and cash equivalents</m:t>
            </m:r>
          </m:num>
          <m:den>
            <m:r>
              <w:rPr>
                <w:rFonts w:ascii="Cambria Math" w:hAnsi="Cambria Math" w:cstheme="majorBidi"/>
                <w:sz w:val="24"/>
                <w:szCs w:val="24"/>
                <w:lang w:val="en-GB" w:eastAsia="en-GB"/>
              </w:rPr>
              <m:t>Total liabilities</m:t>
            </m:r>
          </m:den>
        </m:f>
      </m:oMath>
      <w:r w:rsidRPr="006D3D71">
        <w:rPr>
          <w:rFonts w:asciiTheme="majorBidi" w:eastAsia="Times New Roman" w:hAnsiTheme="majorBidi" w:cstheme="majorBidi"/>
          <w:sz w:val="24"/>
          <w:szCs w:val="24"/>
          <w:lang w:val="en-GB" w:eastAsia="en-GB"/>
        </w:rPr>
        <w:t xml:space="preserve"> × 100</w:t>
      </w:r>
    </w:p>
    <w:p w14:paraId="7C4DC842" w14:textId="77777777" w:rsidR="003F0834" w:rsidRPr="006D3D71" w:rsidRDefault="003F0834" w:rsidP="006D3D71">
      <w:pPr>
        <w:spacing w:line="360" w:lineRule="auto"/>
        <w:jc w:val="both"/>
        <w:rPr>
          <w:rFonts w:asciiTheme="majorBidi" w:hAnsiTheme="majorBidi" w:cstheme="majorBidi"/>
          <w:sz w:val="24"/>
          <w:szCs w:val="24"/>
        </w:rPr>
      </w:pPr>
    </w:p>
    <w:p w14:paraId="4F087AF2" w14:textId="77777777"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A higher cash ratio indicates that the bank maintains sufficient liquid reserves to cover immediate obligations without relying on asset liquidation. According to Ahmed and Saeed (2016), this ratio is a critical indicator of liquidity management, especially during periods of financial stress. In the banking sector, maintaining an optimal cash ratio is essential to safeguard customer deposits and enhance confidence in the institution. However, excessively high cash ratios can signal inefficiency in utilizing funds for income-generating activities, such as lending or investments. As discussed by Lin and Huang (2018), a balanced cash ratio is vital to ensure liquidity while maximizing profitability. For GT Bank Plc Rwanda, this metric reflects the bank's preparedness to address liquidity shocks and maintain operational stability.</w:t>
      </w:r>
    </w:p>
    <w:p w14:paraId="13617035" w14:textId="77777777"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This study will explore how GT Bank Plc Rwanda's cash ratio contributes to its financial resilience and operational efficiency. By analyzing trends in the cash ratio, the research aims to provide insights into the bank’s liquidity management practices and their implications for financial performance in Rwanda's competitive banking landscape.</w:t>
      </w:r>
    </w:p>
    <w:p w14:paraId="1C1A5003" w14:textId="77777777" w:rsidR="003F0834" w:rsidRPr="006D3D71" w:rsidRDefault="003F0834" w:rsidP="006D3D71">
      <w:pPr>
        <w:pStyle w:val="Heading2"/>
        <w:spacing w:before="0" w:after="0" w:line="360" w:lineRule="auto"/>
        <w:jc w:val="both"/>
        <w:rPr>
          <w:rFonts w:asciiTheme="majorBidi" w:hAnsiTheme="majorBidi"/>
          <w:b/>
          <w:bCs/>
          <w:color w:val="auto"/>
          <w:sz w:val="24"/>
          <w:szCs w:val="24"/>
        </w:rPr>
      </w:pPr>
      <w:bookmarkStart w:id="771" w:name="_Toc193282238"/>
      <w:bookmarkStart w:id="772" w:name="_Toc193282404"/>
      <w:bookmarkStart w:id="773" w:name="_Toc193846461"/>
      <w:r w:rsidRPr="006D3D71">
        <w:rPr>
          <w:rFonts w:asciiTheme="majorBidi" w:hAnsiTheme="majorBidi"/>
          <w:b/>
          <w:bCs/>
          <w:color w:val="auto"/>
          <w:sz w:val="24"/>
          <w:szCs w:val="24"/>
        </w:rPr>
        <w:t>2.2.2.5. Capital Adequacy</w:t>
      </w:r>
      <w:bookmarkEnd w:id="771"/>
      <w:bookmarkEnd w:id="772"/>
      <w:bookmarkEnd w:id="773"/>
    </w:p>
    <w:p w14:paraId="387C43C1" w14:textId="77777777"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Capital adequacy is a critical measure of a bank's financial strength, indicating its ability to absorb potential losses and continue operations. The Capital Adequacy Ratio (CAR) is calculated as:</w:t>
      </w:r>
    </w:p>
    <w:p w14:paraId="12401397" w14:textId="77777777" w:rsidR="003F0834" w:rsidRPr="006D3D71" w:rsidRDefault="003F0834" w:rsidP="006D3D71">
      <w:pPr>
        <w:spacing w:after="0" w:line="360" w:lineRule="auto"/>
        <w:jc w:val="both"/>
        <w:rPr>
          <w:rFonts w:asciiTheme="majorBidi" w:hAnsiTheme="majorBidi" w:cstheme="majorBidi"/>
          <w:sz w:val="24"/>
          <w:szCs w:val="24"/>
          <w:lang w:val="en-GB" w:eastAsia="en-GB"/>
        </w:rPr>
      </w:pPr>
      <m:oMath>
        <m:r>
          <w:rPr>
            <w:rFonts w:ascii="Cambria Math" w:hAnsi="Cambria Math" w:cstheme="majorBidi"/>
            <w:sz w:val="24"/>
            <w:szCs w:val="24"/>
            <w:lang w:val="en-GB" w:eastAsia="en-GB"/>
          </w:rPr>
          <m:t>CAR=</m:t>
        </m:r>
        <m:f>
          <m:fPr>
            <m:ctrlPr>
              <w:rPr>
                <w:rFonts w:ascii="Cambria Math" w:hAnsi="Cambria Math" w:cstheme="majorBidi"/>
                <w:i/>
                <w:sz w:val="24"/>
                <w:szCs w:val="24"/>
                <w:lang w:val="en-GB" w:eastAsia="en-GB"/>
              </w:rPr>
            </m:ctrlPr>
          </m:fPr>
          <m:num>
            <m:r>
              <w:rPr>
                <w:rFonts w:ascii="Cambria Math" w:hAnsi="Cambria Math" w:cstheme="majorBidi"/>
                <w:sz w:val="24"/>
                <w:szCs w:val="24"/>
                <w:lang w:val="en-GB" w:eastAsia="en-GB"/>
              </w:rPr>
              <m:t>Tier 1+Tier 2 capital</m:t>
            </m:r>
          </m:num>
          <m:den>
            <m:r>
              <w:rPr>
                <w:rFonts w:ascii="Cambria Math" w:hAnsi="Cambria Math" w:cstheme="majorBidi"/>
                <w:sz w:val="24"/>
                <w:szCs w:val="24"/>
                <w:lang w:val="en-GB" w:eastAsia="en-GB"/>
              </w:rPr>
              <m:t>Risk weighted assets</m:t>
            </m:r>
          </m:den>
        </m:f>
      </m:oMath>
      <w:r w:rsidRPr="006D3D71">
        <w:rPr>
          <w:rFonts w:asciiTheme="majorBidi" w:eastAsia="Times New Roman" w:hAnsiTheme="majorBidi" w:cstheme="majorBidi"/>
          <w:sz w:val="24"/>
          <w:szCs w:val="24"/>
          <w:lang w:val="en-GB" w:eastAsia="en-GB"/>
        </w:rPr>
        <w:t xml:space="preserve"> × 100</w:t>
      </w:r>
    </w:p>
    <w:p w14:paraId="3F3C3E7B" w14:textId="77777777"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A higher CAR reflects a well-capitalized bank, capable of withstanding economic shocks and protecting depositors' interests. Al-</w:t>
      </w:r>
      <w:proofErr w:type="spellStart"/>
      <w:r w:rsidRPr="006D3D71">
        <w:rPr>
          <w:rFonts w:asciiTheme="majorBidi" w:hAnsiTheme="majorBidi" w:cstheme="majorBidi"/>
          <w:sz w:val="24"/>
          <w:szCs w:val="24"/>
        </w:rPr>
        <w:t>Khazali</w:t>
      </w:r>
      <w:proofErr w:type="spellEnd"/>
      <w:r w:rsidRPr="006D3D71">
        <w:rPr>
          <w:rFonts w:asciiTheme="majorBidi" w:hAnsiTheme="majorBidi" w:cstheme="majorBidi"/>
          <w:sz w:val="24"/>
          <w:szCs w:val="24"/>
        </w:rPr>
        <w:t xml:space="preserve"> and </w:t>
      </w:r>
      <w:proofErr w:type="spellStart"/>
      <w:r w:rsidRPr="006D3D71">
        <w:rPr>
          <w:rFonts w:asciiTheme="majorBidi" w:hAnsiTheme="majorBidi" w:cstheme="majorBidi"/>
          <w:sz w:val="24"/>
          <w:szCs w:val="24"/>
        </w:rPr>
        <w:t>Mirzaei</w:t>
      </w:r>
      <w:proofErr w:type="spellEnd"/>
      <w:r w:rsidRPr="006D3D71">
        <w:rPr>
          <w:rFonts w:asciiTheme="majorBidi" w:hAnsiTheme="majorBidi" w:cstheme="majorBidi"/>
          <w:sz w:val="24"/>
          <w:szCs w:val="24"/>
        </w:rPr>
        <w:t xml:space="preserve"> (2017) argued that capital adequacy ensures compliance with regulatory requirements, such as those outlined by Basel III, and supports the bank's financial stability. In addition to regulatory compliance, capital adequacy affects investor confidence and credit ratings.</w:t>
      </w:r>
    </w:p>
    <w:p w14:paraId="0535B81F" w14:textId="77777777"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lastRenderedPageBreak/>
        <w:t>Efficient capital management balances risk-taking and profitability, a challenge particularly evident in emerging markets. Research by Mugenda et al. (2020) found that banks with robust CARs experienced improved profitability and customer trust, as they were better equipped to weather financial disruptions. For GT Bank Plc Rwanda, maintaining an adequate CAR is essential to support growth, comply with regulatory frameworks, and manage risks effectively. This study will investigate how capital adequacy influences GT Bank Plc Rwanda's financial performance and resilience. By examining the bank's CAR trends, the research will offer insights into the role of effective capitalization in achieving sustainable profitability and market competitiveness.</w:t>
      </w:r>
    </w:p>
    <w:p w14:paraId="78E54304" w14:textId="586595CA" w:rsidR="003F0834" w:rsidRPr="006D3D71" w:rsidRDefault="003F0834" w:rsidP="006D3D71">
      <w:pPr>
        <w:pStyle w:val="Heading2"/>
        <w:spacing w:before="0" w:after="0" w:line="360" w:lineRule="auto"/>
        <w:jc w:val="both"/>
        <w:rPr>
          <w:rFonts w:asciiTheme="majorBidi" w:hAnsiTheme="majorBidi"/>
          <w:b/>
          <w:bCs/>
          <w:color w:val="auto"/>
          <w:sz w:val="24"/>
          <w:szCs w:val="24"/>
        </w:rPr>
      </w:pPr>
      <w:bookmarkStart w:id="774" w:name="_Toc193282239"/>
      <w:bookmarkStart w:id="775" w:name="_Toc193282405"/>
      <w:bookmarkStart w:id="776" w:name="_Toc193846462"/>
      <w:r w:rsidRPr="006D3D71">
        <w:rPr>
          <w:rFonts w:asciiTheme="majorBidi" w:hAnsiTheme="majorBidi"/>
          <w:b/>
          <w:bCs/>
          <w:color w:val="auto"/>
          <w:sz w:val="24"/>
          <w:szCs w:val="24"/>
        </w:rPr>
        <w:t>2.2.2.</w:t>
      </w:r>
      <w:r w:rsidR="00D411CF" w:rsidRPr="006D3D71">
        <w:rPr>
          <w:rFonts w:asciiTheme="majorBidi" w:hAnsiTheme="majorBidi"/>
          <w:b/>
          <w:bCs/>
          <w:color w:val="auto"/>
          <w:sz w:val="24"/>
          <w:szCs w:val="24"/>
        </w:rPr>
        <w:t>6</w:t>
      </w:r>
      <w:r w:rsidRPr="006D3D71">
        <w:rPr>
          <w:rFonts w:asciiTheme="majorBidi" w:hAnsiTheme="majorBidi"/>
          <w:b/>
          <w:bCs/>
          <w:color w:val="auto"/>
          <w:sz w:val="24"/>
          <w:szCs w:val="24"/>
        </w:rPr>
        <w:t>. Loan to deposits</w:t>
      </w:r>
      <w:bookmarkEnd w:id="774"/>
      <w:bookmarkEnd w:id="775"/>
      <w:bookmarkEnd w:id="776"/>
    </w:p>
    <w:p w14:paraId="0E48F4C8" w14:textId="77777777"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The Loans to Deposit Ratio (LDR) assesses a bank's ability to utilize its deposits for lending activities, providing a measure of operational efficiency and risk management. The formula is:</w:t>
      </w:r>
    </w:p>
    <w:p w14:paraId="1FE347BE" w14:textId="77777777" w:rsidR="003F0834" w:rsidRPr="006D3D71" w:rsidRDefault="003F0834" w:rsidP="006D3D71">
      <w:pPr>
        <w:spacing w:after="0" w:line="360" w:lineRule="auto"/>
        <w:jc w:val="both"/>
        <w:rPr>
          <w:rFonts w:asciiTheme="majorBidi" w:hAnsiTheme="majorBidi" w:cstheme="majorBidi"/>
          <w:sz w:val="24"/>
          <w:szCs w:val="24"/>
          <w:lang w:val="en-GB" w:eastAsia="en-GB"/>
        </w:rPr>
      </w:pPr>
      <m:oMath>
        <m:r>
          <w:rPr>
            <w:rFonts w:ascii="Cambria Math" w:hAnsi="Cambria Math" w:cstheme="majorBidi"/>
            <w:sz w:val="24"/>
            <w:szCs w:val="24"/>
            <w:lang w:val="en-GB" w:eastAsia="en-GB"/>
          </w:rPr>
          <m:t>Loans to deposits ratio=</m:t>
        </m:r>
        <m:f>
          <m:fPr>
            <m:ctrlPr>
              <w:rPr>
                <w:rFonts w:ascii="Cambria Math" w:hAnsi="Cambria Math" w:cstheme="majorBidi"/>
                <w:i/>
                <w:sz w:val="24"/>
                <w:szCs w:val="24"/>
                <w:lang w:val="en-GB" w:eastAsia="en-GB"/>
              </w:rPr>
            </m:ctrlPr>
          </m:fPr>
          <m:num>
            <m:r>
              <w:rPr>
                <w:rFonts w:ascii="Cambria Math" w:hAnsi="Cambria Math" w:cstheme="majorBidi"/>
                <w:sz w:val="24"/>
                <w:szCs w:val="24"/>
                <w:lang w:val="en-GB" w:eastAsia="en-GB"/>
              </w:rPr>
              <m:t>Total loans</m:t>
            </m:r>
          </m:num>
          <m:den>
            <m:r>
              <w:rPr>
                <w:rFonts w:ascii="Cambria Math" w:hAnsi="Cambria Math" w:cstheme="majorBidi"/>
                <w:sz w:val="24"/>
                <w:szCs w:val="24"/>
                <w:lang w:val="en-GB" w:eastAsia="en-GB"/>
              </w:rPr>
              <m:t>Total deposits</m:t>
            </m:r>
          </m:den>
        </m:f>
      </m:oMath>
      <w:r w:rsidRPr="006D3D71">
        <w:rPr>
          <w:rFonts w:asciiTheme="majorBidi" w:eastAsia="Times New Roman" w:hAnsiTheme="majorBidi" w:cstheme="majorBidi"/>
          <w:sz w:val="24"/>
          <w:szCs w:val="24"/>
          <w:lang w:val="en-GB" w:eastAsia="en-GB"/>
        </w:rPr>
        <w:t xml:space="preserve"> × 100</w:t>
      </w:r>
    </w:p>
    <w:p w14:paraId="6D440881" w14:textId="77777777"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A high LDR indicates aggressive lending, which may increase profitability but also exposes the bank to higher credit risks. Conversely, a low LDR suggests underutilization of available funds, potentially reducing income from lending. According to Kamau and Were (2018), the LDR serves as a critical indicator of a bank's financial health, balancing liquidity and income generation.</w:t>
      </w:r>
    </w:p>
    <w:p w14:paraId="66073DD0" w14:textId="77777777"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In emerging economies, the LDR is influenced by factors such as interest rate policies, customer borrowing behavior, and economic stability. Muthoni and Ndungu (2020) observed that an optimal LDR enhances a bank's profitability while maintaining liquidity to meet withdrawal demands. For GT Bank Plc Rwanda, achieving an optimal LDR is critical to ensuring efficient resource allocation while managing risks associated with over-lending.</w:t>
      </w:r>
    </w:p>
    <w:p w14:paraId="3EDB45A1" w14:textId="77777777"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This study will analyze the impact of GT Bank Plc Rwanda’s LDR on its financial performance, highlighting the importance of balancing lending practices with deposit mobilization strategies. The findings will provide insights into how effective LDR management can enhance profitability and mitigate financial risks in the Rwandan banking sector.</w:t>
      </w:r>
    </w:p>
    <w:p w14:paraId="7D0B0EFF" w14:textId="77777777" w:rsidR="003F0834" w:rsidRPr="006D3D71" w:rsidRDefault="003F0834" w:rsidP="006D3D71">
      <w:pPr>
        <w:pStyle w:val="Heading2"/>
        <w:spacing w:before="0" w:after="0" w:line="360" w:lineRule="auto"/>
        <w:jc w:val="both"/>
        <w:rPr>
          <w:rFonts w:asciiTheme="majorBidi" w:eastAsia="Times New Roman" w:hAnsiTheme="majorBidi"/>
          <w:b/>
          <w:bCs/>
          <w:color w:val="auto"/>
          <w:sz w:val="24"/>
          <w:szCs w:val="24"/>
          <w:lang w:val="en-ZA" w:eastAsia="en-ZA"/>
        </w:rPr>
      </w:pPr>
      <w:bookmarkStart w:id="777" w:name="_Toc193282240"/>
      <w:bookmarkStart w:id="778" w:name="_Toc193282406"/>
      <w:bookmarkStart w:id="779" w:name="_Toc193846463"/>
      <w:r w:rsidRPr="006D3D71">
        <w:rPr>
          <w:rFonts w:asciiTheme="majorBidi" w:eastAsia="Times New Roman" w:hAnsiTheme="majorBidi"/>
          <w:b/>
          <w:bCs/>
          <w:color w:val="auto"/>
          <w:sz w:val="24"/>
          <w:szCs w:val="24"/>
          <w:lang w:val="en-ZA" w:eastAsia="en-ZA"/>
        </w:rPr>
        <w:lastRenderedPageBreak/>
        <w:t>2.3. Empirical review</w:t>
      </w:r>
      <w:bookmarkEnd w:id="777"/>
      <w:bookmarkEnd w:id="778"/>
      <w:bookmarkEnd w:id="779"/>
    </w:p>
    <w:p w14:paraId="2C4B40DA" w14:textId="77777777" w:rsidR="003F0834" w:rsidRPr="006D3D71" w:rsidRDefault="003F0834" w:rsidP="006D3D71">
      <w:pPr>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Abdullahi (2021) carried out a study on the effect of credit risk management on financial performance in Nigeria. The aim was to evaluate the influence of credit risk management practices, such as non-performing loan (NPL) ratios and collateral requirements, on bank profitability. The study adopted a descriptive research design, sampling 200 employees from five commercial banks. Data collection involved questionnaires and secondary financial records, analyzed using multiple regression models. The findings revealed that high NPL ratios negatively impacted return on assets (ROA), with a significant p-value of &lt;0.01. Collateral coverage showed a positive but weaker relationship with profitability. Abdullahi concluded that effective credit risk management practices are critical for minimizing losses and improving financial outcomes in the banking sector. Despite offering valuable insights, the study’s reliance on data from five banks limits its generalizability. Additionally, the exclusion of external factors, such as macroeconomic conditions, weakens its conclusions.</w:t>
      </w:r>
    </w:p>
    <w:p w14:paraId="5E03BA8B" w14:textId="77777777" w:rsidR="003F0834" w:rsidRPr="006D3D71" w:rsidRDefault="003F0834" w:rsidP="006D3D71">
      <w:pPr>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Chen et al. (2022) conducted a study in China to analyze the relationship between credit risk monitoring and financial stability in commercial banks. The aim was to examine how monitoring frequency and credit recovery strategies influenced profitability. Using a longitudinal research design, the researchers analyzed data from 25 commercial banks over five years (2017–2021). Secondary data from bank financial reports were analyzed using panel regression analysis. The results showed that monthly credit risk monitoring improved net interest margin (NIM) by 15%, while efficient recovery strategies enhanced loan repayments by 20%. The study concluded that frequent monitoring and recovery strategies are vital for sustaining profitability in a competitive banking environment. While the study provides robust quantitative findings, it lacks qualitative insights that could explain the challenges faced in implementing credit risk monitoring practices. Additionally, focusing only on large commercial banks neglects the dynamics in smaller or rural banks.</w:t>
      </w:r>
    </w:p>
    <w:p w14:paraId="305F711A" w14:textId="25E8A603" w:rsidR="003240D8" w:rsidRPr="00C77651" w:rsidRDefault="003F0834" w:rsidP="006D3D71">
      <w:pPr>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 xml:space="preserve">Mwangi and Njoroge (2021) carried out a study in Kenya to assess how credit risk management strategies impacted financial performance. The study focused on </w:t>
      </w:r>
      <w:r w:rsidR="0043039F" w:rsidRPr="006D3D71">
        <w:rPr>
          <w:rFonts w:asciiTheme="majorBidi" w:hAnsiTheme="majorBidi" w:cstheme="majorBidi"/>
          <w:sz w:val="24"/>
          <w:szCs w:val="24"/>
        </w:rPr>
        <w:t>Borrower Creditworthiness Assessment</w:t>
      </w:r>
      <w:r w:rsidR="0043039F" w:rsidRPr="006D3D71">
        <w:rPr>
          <w:rStyle w:val="Strong"/>
          <w:rFonts w:asciiTheme="majorBidi" w:hAnsiTheme="majorBidi" w:cstheme="majorBidi"/>
          <w:b w:val="0"/>
          <w:bCs w:val="0"/>
          <w:sz w:val="24"/>
          <w:szCs w:val="24"/>
        </w:rPr>
        <w:t>, Credit Concentration Risk</w:t>
      </w:r>
      <w:r w:rsidR="0043039F" w:rsidRPr="006D3D71">
        <w:rPr>
          <w:rFonts w:asciiTheme="majorBidi" w:hAnsiTheme="majorBidi" w:cstheme="majorBidi"/>
          <w:sz w:val="24"/>
          <w:szCs w:val="24"/>
        </w:rPr>
        <w:t>, Debt Restructuring &amp; Recovery Strategies</w:t>
      </w:r>
      <w:r w:rsidR="0043039F" w:rsidRPr="006D3D71">
        <w:rPr>
          <w:rStyle w:val="Strong"/>
          <w:rFonts w:asciiTheme="majorBidi" w:hAnsiTheme="majorBidi" w:cstheme="majorBidi"/>
          <w:sz w:val="24"/>
          <w:szCs w:val="24"/>
        </w:rPr>
        <w:t xml:space="preserve">, </w:t>
      </w:r>
      <w:r w:rsidR="0043039F" w:rsidRPr="006D3D71">
        <w:rPr>
          <w:rStyle w:val="Strong"/>
          <w:rFonts w:asciiTheme="majorBidi" w:hAnsiTheme="majorBidi" w:cstheme="majorBidi"/>
          <w:b w:val="0"/>
          <w:bCs w:val="0"/>
          <w:sz w:val="24"/>
          <w:szCs w:val="24"/>
        </w:rPr>
        <w:t>Borrower Creditworthiness Assessment, Credit</w:t>
      </w:r>
      <w:r w:rsidR="0043039F" w:rsidRPr="006D3D71">
        <w:rPr>
          <w:rFonts w:asciiTheme="majorBidi" w:hAnsiTheme="majorBidi" w:cstheme="majorBidi"/>
          <w:sz w:val="24"/>
          <w:szCs w:val="24"/>
        </w:rPr>
        <w:t xml:space="preserve"> Risk Monitoring Frequency, Collateral Management, Credit risk rating systems</w:t>
      </w:r>
      <w:r w:rsidR="003240D8" w:rsidRPr="006D3D71">
        <w:rPr>
          <w:rFonts w:asciiTheme="majorBidi" w:hAnsiTheme="majorBidi" w:cstheme="majorBidi"/>
          <w:sz w:val="24"/>
          <w:szCs w:val="24"/>
        </w:rPr>
        <w:t xml:space="preserve"> A case study approach was employed, targeting eight commercial banks and involving 250 respondents from credit and risk management departments. Data were </w:t>
      </w:r>
      <w:r w:rsidR="003240D8" w:rsidRPr="00C77651">
        <w:rPr>
          <w:rFonts w:asciiTheme="majorBidi" w:hAnsiTheme="majorBidi" w:cstheme="majorBidi"/>
          <w:sz w:val="24"/>
          <w:szCs w:val="24"/>
        </w:rPr>
        <w:t xml:space="preserve">collected through structured questionnaires and analyzed using regression models. The findings indicated that ineffective credit risk monitoring frequency significantly reduced return on equity (ROE), with a negative beta </w:t>
      </w:r>
      <w:r w:rsidR="003240D8" w:rsidRPr="00C77651">
        <w:rPr>
          <w:rFonts w:asciiTheme="majorBidi" w:hAnsiTheme="majorBidi" w:cstheme="majorBidi"/>
          <w:sz w:val="24"/>
          <w:szCs w:val="24"/>
        </w:rPr>
        <w:lastRenderedPageBreak/>
        <w:t>coefficient of -0.65, highlighting the importance of continuous risk assessment. Effective Credit risk rating systems enhanced profitability by reducing processing times, while robust debt restructuring and recovery strategies minimized losses associated with loan defaults. Furthermore, comprehensive borrower creditworthiness assessment played a crucial role in improving loan portfolio quality and reducing non-performing assets. Lastly, credit concentration risk management was found to mitigate the impact of excessive exposure to specific borrowers or industries, thereby enhancing financial stability. Mwangi and Njoroge concluded that a proactive approach to risk management positively influences bank performance. However, the study’s reliance on a single case study design limits its applicability to other countries. Additionally, the use of questionnaires might introduce subjectivity, potentially affecting the accuracy of reported outcomes.</w:t>
      </w:r>
      <w:r w:rsidR="00045F27" w:rsidRPr="00C77651">
        <w:rPr>
          <w:rFonts w:asciiTheme="majorBidi" w:hAnsiTheme="majorBidi" w:cstheme="majorBidi"/>
          <w:sz w:val="24"/>
          <w:szCs w:val="24"/>
        </w:rPr>
        <w:t xml:space="preserve"> </w:t>
      </w:r>
      <w:r w:rsidR="003240D8" w:rsidRPr="00C77651">
        <w:rPr>
          <w:rFonts w:asciiTheme="majorBidi" w:hAnsiTheme="majorBidi" w:cstheme="majorBidi"/>
          <w:sz w:val="24"/>
          <w:szCs w:val="24"/>
        </w:rPr>
        <w:t xml:space="preserve">Singh and Gupta (2023) investigated the effects of credit risk management practices on the financial performance of commercial banks in India. The research aimed to evaluate how borrower creditworthiness assessment, credit concentration risk, and debt restructuring </w:t>
      </w:r>
      <w:r w:rsidR="00045F27" w:rsidRPr="00C77651">
        <w:rPr>
          <w:rFonts w:asciiTheme="majorBidi" w:hAnsiTheme="majorBidi" w:cstheme="majorBidi"/>
          <w:sz w:val="24"/>
          <w:szCs w:val="24"/>
        </w:rPr>
        <w:t>and recovery</w:t>
      </w:r>
      <w:r w:rsidR="003240D8" w:rsidRPr="00C77651">
        <w:rPr>
          <w:rFonts w:asciiTheme="majorBidi" w:hAnsiTheme="majorBidi" w:cstheme="majorBidi"/>
          <w:sz w:val="24"/>
          <w:szCs w:val="24"/>
        </w:rPr>
        <w:t xml:space="preserve"> strategies impacted profitability metrics such as Return on Assets (ROA) and Net Interest Margin (NIM). A quantitative research design was utilized, analyzing data from 30 banks over a six-year period (2016–2022). Secondary financial data were obtained from bank reports and analyzed using panel regression techniques. The findings revealed that banks implementing rigorous borrower creditworthiness assessments experienced lower default rates, leading to improved financial stability. Additionally, effective debt restructuring and recovery strategies enhanced loan repayment rates, ensuring sustainable profitability. Singh and Gupta concluded that a proactive approach to credit risk management, including frequent credit risk monitoring, plays a crucial role in mitigating losses and enhancing overall performance. However, the study does not account for regulatory changes that may influence credit risk strategies, and the absence of qualitative data limits an in-depth understanding of operational challenges.</w:t>
      </w:r>
    </w:p>
    <w:p w14:paraId="22DE4064" w14:textId="17EB4591" w:rsidR="003F0834" w:rsidRPr="00C77651" w:rsidRDefault="003240D8" w:rsidP="006D3D71">
      <w:pPr>
        <w:spacing w:after="0" w:line="360" w:lineRule="auto"/>
        <w:jc w:val="both"/>
        <w:rPr>
          <w:rFonts w:asciiTheme="majorBidi" w:hAnsiTheme="majorBidi" w:cstheme="majorBidi"/>
          <w:sz w:val="24"/>
          <w:szCs w:val="24"/>
        </w:rPr>
      </w:pPr>
      <w:r w:rsidRPr="00C77651">
        <w:rPr>
          <w:rFonts w:asciiTheme="majorBidi" w:hAnsiTheme="majorBidi" w:cstheme="majorBidi"/>
          <w:sz w:val="24"/>
          <w:szCs w:val="24"/>
        </w:rPr>
        <w:t xml:space="preserve">Kamau (2022) conducted a study on the relationship between credit risk management and financial performance in Uganda, focusing on credit approval process efficiency, credit risk monitoring frequency, and collateral management as key determinants of profitability. A mixed-methods approach was adopted, involving 200 respondents from six banks and secondary data analysis covering five years (2017–2021). Statistical analysis using ANOVA and regression models revealed that efficient credit approval processes accelerated loan disbursements while maintaining risk control, leading to higher returns. Additionally, frequent credit risk monitoring allowed banks to identify early warning signs of potential defaults, thereby reducing non-performing loans. The study also emphasized the role of credit </w:t>
      </w:r>
      <w:r w:rsidRPr="00C77651">
        <w:rPr>
          <w:rFonts w:asciiTheme="majorBidi" w:hAnsiTheme="majorBidi" w:cstheme="majorBidi"/>
          <w:sz w:val="24"/>
          <w:szCs w:val="24"/>
        </w:rPr>
        <w:lastRenderedPageBreak/>
        <w:t>concentration risk, noting that excessive exposure to specific industries or borrowers increased financial vulnerability. Kamau concluded that strengthening credit risk rating systems and collateral management practices is essential for maintaining a healthy loan portfolio and ensuring financial sustainability. However, the study primarily focused on urban banks, limiting insights into rural banking experiences. Moreover, while the mixed-methods approach provided valuable quantitative data, a deeper qualitative exploration could have offered more comprehensive insights into the operational challenges of credit risk management</w:t>
      </w:r>
      <w:r w:rsidR="003F0834" w:rsidRPr="00C77651">
        <w:rPr>
          <w:rFonts w:asciiTheme="majorBidi" w:hAnsiTheme="majorBidi" w:cstheme="majorBidi"/>
          <w:sz w:val="24"/>
          <w:szCs w:val="24"/>
        </w:rPr>
        <w:t>.</w:t>
      </w:r>
    </w:p>
    <w:p w14:paraId="43590263" w14:textId="77777777" w:rsidR="003F0834" w:rsidRPr="006D3D71" w:rsidRDefault="003F0834" w:rsidP="006D3D71">
      <w:pPr>
        <w:pStyle w:val="Heading2"/>
        <w:spacing w:before="0" w:after="0" w:line="360" w:lineRule="auto"/>
        <w:jc w:val="both"/>
        <w:rPr>
          <w:rFonts w:asciiTheme="majorBidi" w:eastAsia="Times New Roman" w:hAnsiTheme="majorBidi"/>
          <w:b/>
          <w:bCs/>
          <w:color w:val="auto"/>
          <w:sz w:val="24"/>
          <w:szCs w:val="24"/>
          <w:lang w:val="en-ZA" w:eastAsia="en-ZA"/>
        </w:rPr>
      </w:pPr>
      <w:bookmarkStart w:id="780" w:name="_Toc193282241"/>
      <w:bookmarkStart w:id="781" w:name="_Toc193282407"/>
      <w:bookmarkStart w:id="782" w:name="_Toc193846464"/>
      <w:r w:rsidRPr="006D3D71">
        <w:rPr>
          <w:rFonts w:asciiTheme="majorBidi" w:eastAsia="Times New Roman" w:hAnsiTheme="majorBidi"/>
          <w:b/>
          <w:bCs/>
          <w:color w:val="auto"/>
          <w:sz w:val="24"/>
          <w:szCs w:val="24"/>
          <w:lang w:val="en-ZA" w:eastAsia="en-ZA"/>
        </w:rPr>
        <w:t>2.4. Research Gap</w:t>
      </w:r>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80"/>
      <w:bookmarkEnd w:id="781"/>
      <w:bookmarkEnd w:id="782"/>
    </w:p>
    <w:p w14:paraId="42CBAC38" w14:textId="77777777" w:rsidR="00045F27" w:rsidRPr="00F16DC1" w:rsidRDefault="00045F27" w:rsidP="00E34B42">
      <w:pPr>
        <w:spacing w:line="360" w:lineRule="auto"/>
        <w:jc w:val="both"/>
        <w:rPr>
          <w:rFonts w:asciiTheme="majorBidi" w:hAnsiTheme="majorBidi" w:cstheme="majorBidi"/>
          <w:sz w:val="24"/>
          <w:szCs w:val="24"/>
        </w:rPr>
      </w:pPr>
      <w:bookmarkStart w:id="783" w:name="_Toc165640095"/>
      <w:bookmarkStart w:id="784" w:name="_Toc165639886"/>
      <w:bookmarkStart w:id="785" w:name="_Toc163808539"/>
      <w:bookmarkStart w:id="786" w:name="_Toc163808416"/>
      <w:bookmarkStart w:id="787" w:name="_Toc163052534"/>
      <w:bookmarkStart w:id="788" w:name="_Toc160712480"/>
      <w:bookmarkStart w:id="789" w:name="_Toc160712389"/>
      <w:bookmarkStart w:id="790" w:name="_Toc512596365"/>
      <w:bookmarkStart w:id="791" w:name="_Toc513041353"/>
      <w:bookmarkStart w:id="792" w:name="_Toc513041614"/>
      <w:bookmarkStart w:id="793" w:name="_Toc513042124"/>
      <w:bookmarkStart w:id="794" w:name="_Toc523982528"/>
      <w:bookmarkStart w:id="795" w:name="_Toc523982851"/>
      <w:bookmarkStart w:id="796" w:name="_Toc523983047"/>
      <w:bookmarkStart w:id="797" w:name="_Toc523983756"/>
      <w:bookmarkStart w:id="798" w:name="_Toc523983862"/>
      <w:bookmarkStart w:id="799" w:name="_Toc524693368"/>
      <w:bookmarkStart w:id="800" w:name="_Toc524949106"/>
      <w:bookmarkStart w:id="801" w:name="_Toc535316357"/>
      <w:bookmarkStart w:id="802" w:name="_Toc535317652"/>
      <w:bookmarkStart w:id="803" w:name="_Toc60645638"/>
      <w:bookmarkStart w:id="804" w:name="_Toc60645782"/>
      <w:bookmarkStart w:id="805" w:name="_Toc60645887"/>
      <w:bookmarkStart w:id="806" w:name="_Toc60645998"/>
      <w:bookmarkStart w:id="807" w:name="_Toc71539944"/>
      <w:bookmarkStart w:id="808" w:name="_Toc83795229"/>
      <w:bookmarkStart w:id="809" w:name="_Toc83795360"/>
      <w:bookmarkStart w:id="810" w:name="_Toc83795471"/>
      <w:bookmarkStart w:id="811" w:name="_Toc83871108"/>
      <w:bookmarkStart w:id="812" w:name="_Toc83871220"/>
      <w:bookmarkStart w:id="813" w:name="_Toc85525474"/>
      <w:bookmarkStart w:id="814" w:name="_Toc89785853"/>
      <w:bookmarkStart w:id="815" w:name="_Toc114143680"/>
      <w:bookmarkStart w:id="816" w:name="_Toc114144647"/>
      <w:bookmarkStart w:id="817" w:name="_Toc114144727"/>
      <w:bookmarkStart w:id="818" w:name="_Toc115951811"/>
      <w:bookmarkStart w:id="819" w:name="_Toc119068734"/>
      <w:bookmarkStart w:id="820" w:name="_Toc183425154"/>
      <w:bookmarkStart w:id="821" w:name="_Toc183425245"/>
      <w:bookmarkStart w:id="822" w:name="_Toc183426933"/>
      <w:bookmarkStart w:id="823" w:name="_Toc193282242"/>
      <w:bookmarkStart w:id="824" w:name="_Toc193282408"/>
      <w:bookmarkStart w:id="825" w:name="_Toc165640097"/>
      <w:bookmarkStart w:id="826" w:name="_Toc165639888"/>
      <w:bookmarkStart w:id="827" w:name="_Toc163808541"/>
      <w:bookmarkStart w:id="828" w:name="_Toc163808418"/>
      <w:bookmarkStart w:id="829" w:name="_Toc163808245"/>
      <w:bookmarkStart w:id="830" w:name="_Toc163807669"/>
      <w:bookmarkStart w:id="831" w:name="_Toc163052536"/>
      <w:bookmarkStart w:id="832" w:name="_Toc160712922"/>
      <w:bookmarkStart w:id="833" w:name="_Toc160712482"/>
      <w:bookmarkStart w:id="834" w:name="_Toc160712391"/>
      <w:bookmarkStart w:id="835" w:name="_Toc150159788"/>
      <w:bookmarkStart w:id="836" w:name="_Toc136974129"/>
      <w:bookmarkStart w:id="837" w:name="_Toc183425005"/>
      <w:bookmarkStart w:id="838" w:name="_Toc183425156"/>
      <w:bookmarkStart w:id="839" w:name="_Toc183425247"/>
      <w:bookmarkStart w:id="840" w:name="_Toc183426935"/>
      <w:bookmarkStart w:id="841" w:name="_Toc185603987"/>
      <w:bookmarkStart w:id="842" w:name="_Toc193281920"/>
      <w:bookmarkStart w:id="843" w:name="_Toc193282244"/>
      <w:bookmarkStart w:id="844" w:name="_Toc193282410"/>
      <w:r w:rsidRPr="00F16DC1">
        <w:rPr>
          <w:rFonts w:asciiTheme="majorBidi" w:hAnsiTheme="majorBidi" w:cstheme="majorBidi"/>
          <w:sz w:val="24"/>
          <w:szCs w:val="24"/>
        </w:rPr>
        <w:t>The reviewed empirical studies provide significant insights into the relationship between credit risk management practices and financial performance. For instance, Abdullahi (2021) in Nigeria found that weak borrower creditworthiness assessment led to high loan defaults, negatively impacting return on assets (ROA). Similarly, Chen et al. (2022) in China demonstrated that frequent credit risk monitoring enhances financial stability by allowing early identification of potential defaults. Mwangi and Njoroge (2021) in Kenya identified efficient credit approval processes as a critical factor in improving financial performance by reducing loan processing delays and enhancing decision accuracy. Likewise, Singh and Gupta (2023) in India highlighted the importance of debt restructuring and recovery strategies in mitigating credit risks and improving loan repayment rates. In Uganda, Kamau (2022) found that credit concentration risk significantly influences financial stability, with banks exposed to a narrow borrower base facing higher risks of default.</w:t>
      </w:r>
    </w:p>
    <w:p w14:paraId="1A9ABBAF" w14:textId="63DB5633" w:rsidR="00045F27" w:rsidRPr="00F16DC1" w:rsidRDefault="00045F27" w:rsidP="00E34B42">
      <w:pPr>
        <w:spacing w:line="360" w:lineRule="auto"/>
        <w:jc w:val="both"/>
        <w:rPr>
          <w:rFonts w:asciiTheme="majorBidi" w:hAnsiTheme="majorBidi" w:cstheme="majorBidi"/>
          <w:sz w:val="24"/>
          <w:szCs w:val="24"/>
        </w:rPr>
      </w:pPr>
      <w:r w:rsidRPr="00F16DC1">
        <w:rPr>
          <w:rFonts w:asciiTheme="majorBidi" w:hAnsiTheme="majorBidi" w:cstheme="majorBidi"/>
          <w:sz w:val="24"/>
          <w:szCs w:val="24"/>
        </w:rPr>
        <w:t xml:space="preserve">While these studies contribute to the global understanding of credit risk management, they do not specifically address the operational and regulatory peculiarities of the Rwandan banking sector, particularly in institutions like GT Bank Plc Rwanda. Most of the reviewed studies focus on banking systems in countries with larger and more developed financial markets, where risk management frameworks and regulatory environments differ significantly from Rwanda’s. Rwanda’s banking sector is characterized by its smaller market size, high reliance on microfinance institutions, and rapid adoption of digital banking solutions. Despite regulatory frameworks emphasizing financial inclusion and prudential supervision, the extent to which credit risk management strategies such as borrower creditworthiness assessment, credit concentration risk management, debt restructuring &amp; recovery, and frequent credit risk monitoring impact financial performance remains underexplored. This gap is particularly critical for GT Bank Plc Rwanda, as understanding these localized dynamics is essential for </w:t>
      </w:r>
      <w:r w:rsidRPr="00F16DC1">
        <w:rPr>
          <w:rFonts w:asciiTheme="majorBidi" w:hAnsiTheme="majorBidi" w:cstheme="majorBidi"/>
          <w:sz w:val="24"/>
          <w:szCs w:val="24"/>
        </w:rPr>
        <w:lastRenderedPageBreak/>
        <w:t>formulating risk management strategies that align with the country’s economic and regulatory environment.</w:t>
      </w:r>
    </w:p>
    <w:p w14:paraId="3D1EEC29" w14:textId="77777777" w:rsidR="00045F27" w:rsidRPr="00F16DC1" w:rsidRDefault="00045F27" w:rsidP="00E34B42">
      <w:pPr>
        <w:spacing w:line="360" w:lineRule="auto"/>
        <w:jc w:val="both"/>
        <w:rPr>
          <w:rFonts w:asciiTheme="majorBidi" w:hAnsiTheme="majorBidi" w:cstheme="majorBidi"/>
          <w:sz w:val="24"/>
          <w:szCs w:val="24"/>
        </w:rPr>
      </w:pPr>
      <w:r w:rsidRPr="00F16DC1">
        <w:rPr>
          <w:rFonts w:asciiTheme="majorBidi" w:hAnsiTheme="majorBidi" w:cstheme="majorBidi"/>
          <w:sz w:val="24"/>
          <w:szCs w:val="24"/>
        </w:rPr>
        <w:t>Furthermore, while the reviewed studies predominantly rely on quantitative methodologies, they often overlook qualitative insights into the practical challenges of implementing credit risk management practices. The experiences of credit officers, risk managers, and operational staff in adapting to new credit policies, managing collateral, and assessing borrower risks remain largely unexamined. This lack of qualitative exploration limits the understanding of organizational and behavioral factors that influence the effectiveness of credit risk management strategies. By incorporating both quantitative and qualitative approaches, this study seeks to fill these gaps, offering a comprehensive perspective on how borrower creditworthiness assessment, credit concentration risk, debt restructuring &amp; recovery, and credit risk monitoring frequency influence financial performance in the Rwandan context, with GT Bank Plc Rwanda serving as the focal case.</w:t>
      </w:r>
    </w:p>
    <w:p w14:paraId="7D84C1D7" w14:textId="77777777" w:rsidR="00045F27" w:rsidRPr="00F16DC1" w:rsidRDefault="00045F27" w:rsidP="00E34B42">
      <w:pPr>
        <w:spacing w:line="360" w:lineRule="auto"/>
        <w:jc w:val="both"/>
        <w:rPr>
          <w:rFonts w:asciiTheme="majorBidi" w:hAnsiTheme="majorBidi" w:cstheme="majorBidi"/>
          <w:sz w:val="24"/>
          <w:szCs w:val="24"/>
        </w:rPr>
      </w:pPr>
    </w:p>
    <w:p w14:paraId="3FE4C591" w14:textId="77777777" w:rsidR="00045F27" w:rsidRPr="006D3D71" w:rsidRDefault="00045F27" w:rsidP="00E34B42">
      <w:pPr>
        <w:spacing w:line="360" w:lineRule="auto"/>
        <w:jc w:val="both"/>
        <w:rPr>
          <w:rFonts w:asciiTheme="majorBidi" w:hAnsiTheme="majorBidi" w:cstheme="majorBidi"/>
          <w:sz w:val="24"/>
          <w:szCs w:val="24"/>
        </w:rPr>
      </w:pPr>
    </w:p>
    <w:p w14:paraId="236A6E1E" w14:textId="77777777" w:rsidR="00045F27" w:rsidRPr="006D3D71" w:rsidRDefault="00045F27" w:rsidP="006D3D71">
      <w:pPr>
        <w:spacing w:line="360" w:lineRule="auto"/>
        <w:rPr>
          <w:rFonts w:asciiTheme="majorBidi" w:hAnsiTheme="majorBidi" w:cstheme="majorBidi"/>
          <w:sz w:val="24"/>
          <w:szCs w:val="24"/>
        </w:rPr>
      </w:pPr>
    </w:p>
    <w:p w14:paraId="76A8A1B3" w14:textId="77777777" w:rsidR="00045F27" w:rsidRDefault="00045F27" w:rsidP="006D3D71">
      <w:pPr>
        <w:spacing w:line="360" w:lineRule="auto"/>
        <w:rPr>
          <w:rFonts w:asciiTheme="majorBidi" w:hAnsiTheme="majorBidi" w:cstheme="majorBidi"/>
          <w:sz w:val="24"/>
          <w:szCs w:val="24"/>
        </w:rPr>
      </w:pPr>
    </w:p>
    <w:p w14:paraId="400CFF09" w14:textId="77777777" w:rsidR="00F16DC1" w:rsidRDefault="00F16DC1" w:rsidP="006D3D71">
      <w:pPr>
        <w:spacing w:line="360" w:lineRule="auto"/>
        <w:rPr>
          <w:rFonts w:asciiTheme="majorBidi" w:hAnsiTheme="majorBidi" w:cstheme="majorBidi"/>
          <w:sz w:val="24"/>
          <w:szCs w:val="24"/>
        </w:rPr>
      </w:pPr>
    </w:p>
    <w:p w14:paraId="2FAA11AE" w14:textId="77777777" w:rsidR="00F16DC1" w:rsidRDefault="00F16DC1" w:rsidP="006D3D71">
      <w:pPr>
        <w:spacing w:line="360" w:lineRule="auto"/>
        <w:rPr>
          <w:rFonts w:asciiTheme="majorBidi" w:hAnsiTheme="majorBidi" w:cstheme="majorBidi"/>
          <w:sz w:val="24"/>
          <w:szCs w:val="24"/>
        </w:rPr>
      </w:pPr>
    </w:p>
    <w:p w14:paraId="66EE737E" w14:textId="77777777" w:rsidR="00F16DC1" w:rsidRDefault="00F16DC1" w:rsidP="006D3D71">
      <w:pPr>
        <w:spacing w:line="360" w:lineRule="auto"/>
        <w:rPr>
          <w:rFonts w:asciiTheme="majorBidi" w:hAnsiTheme="majorBidi" w:cstheme="majorBidi"/>
          <w:sz w:val="24"/>
          <w:szCs w:val="24"/>
        </w:rPr>
      </w:pPr>
    </w:p>
    <w:p w14:paraId="5575683B" w14:textId="77777777" w:rsidR="00F16DC1" w:rsidRDefault="00F16DC1" w:rsidP="006D3D71">
      <w:pPr>
        <w:spacing w:line="360" w:lineRule="auto"/>
        <w:rPr>
          <w:rFonts w:asciiTheme="majorBidi" w:hAnsiTheme="majorBidi" w:cstheme="majorBidi"/>
          <w:sz w:val="24"/>
          <w:szCs w:val="24"/>
        </w:rPr>
      </w:pPr>
    </w:p>
    <w:p w14:paraId="0ADBD118" w14:textId="77777777" w:rsidR="00F16DC1" w:rsidRDefault="00F16DC1" w:rsidP="006D3D71">
      <w:pPr>
        <w:spacing w:line="360" w:lineRule="auto"/>
        <w:rPr>
          <w:rFonts w:asciiTheme="majorBidi" w:hAnsiTheme="majorBidi" w:cstheme="majorBidi"/>
          <w:sz w:val="24"/>
          <w:szCs w:val="24"/>
        </w:rPr>
      </w:pPr>
    </w:p>
    <w:p w14:paraId="1B4E57C7" w14:textId="77777777" w:rsidR="00F16DC1" w:rsidRDefault="00F16DC1" w:rsidP="006D3D71">
      <w:pPr>
        <w:spacing w:line="360" w:lineRule="auto"/>
        <w:rPr>
          <w:rFonts w:asciiTheme="majorBidi" w:hAnsiTheme="majorBidi" w:cstheme="majorBidi"/>
          <w:sz w:val="24"/>
          <w:szCs w:val="24"/>
        </w:rPr>
      </w:pPr>
    </w:p>
    <w:p w14:paraId="79E40E0E" w14:textId="77777777" w:rsidR="00F16DC1" w:rsidRDefault="00F16DC1" w:rsidP="006D3D71">
      <w:pPr>
        <w:spacing w:line="360" w:lineRule="auto"/>
        <w:rPr>
          <w:rFonts w:asciiTheme="majorBidi" w:hAnsiTheme="majorBidi" w:cstheme="majorBidi"/>
          <w:sz w:val="24"/>
          <w:szCs w:val="24"/>
        </w:rPr>
      </w:pPr>
    </w:p>
    <w:p w14:paraId="29944FBF" w14:textId="77777777" w:rsidR="00C77651" w:rsidRDefault="00C77651" w:rsidP="006D3D71">
      <w:pPr>
        <w:spacing w:line="360" w:lineRule="auto"/>
        <w:rPr>
          <w:rFonts w:asciiTheme="majorBidi" w:hAnsiTheme="majorBidi" w:cstheme="majorBidi"/>
          <w:sz w:val="24"/>
          <w:szCs w:val="24"/>
        </w:rPr>
      </w:pPr>
    </w:p>
    <w:p w14:paraId="2E0305D8" w14:textId="77777777" w:rsidR="00F16DC1" w:rsidRPr="006D3D71" w:rsidRDefault="00F16DC1" w:rsidP="006D3D71">
      <w:pPr>
        <w:spacing w:line="360" w:lineRule="auto"/>
        <w:rPr>
          <w:rFonts w:asciiTheme="majorBidi" w:hAnsiTheme="majorBidi" w:cstheme="majorBidi"/>
          <w:sz w:val="24"/>
          <w:szCs w:val="24"/>
        </w:rPr>
      </w:pPr>
    </w:p>
    <w:p w14:paraId="3E80213B" w14:textId="77777777" w:rsidR="003D1748" w:rsidRPr="006D3D71" w:rsidRDefault="003D1748" w:rsidP="006D3D71">
      <w:pPr>
        <w:spacing w:after="0" w:line="360" w:lineRule="auto"/>
        <w:outlineLvl w:val="1"/>
        <w:rPr>
          <w:rFonts w:asciiTheme="majorBidi" w:eastAsia="Times New Roman" w:hAnsiTheme="majorBidi" w:cstheme="majorBidi"/>
          <w:b/>
          <w:sz w:val="24"/>
          <w:szCs w:val="24"/>
        </w:rPr>
      </w:pPr>
    </w:p>
    <w:p w14:paraId="6C9613B5" w14:textId="26E1C646" w:rsidR="003D1748" w:rsidRPr="006D3D71" w:rsidRDefault="003D1748" w:rsidP="006D3D71">
      <w:pPr>
        <w:spacing w:after="0" w:line="360" w:lineRule="auto"/>
        <w:jc w:val="center"/>
        <w:outlineLvl w:val="1"/>
        <w:rPr>
          <w:rFonts w:asciiTheme="majorBidi" w:eastAsia="Times New Roman" w:hAnsiTheme="majorBidi" w:cstheme="majorBidi"/>
          <w:b/>
          <w:sz w:val="24"/>
          <w:szCs w:val="24"/>
        </w:rPr>
      </w:pPr>
      <w:bookmarkStart w:id="845" w:name="_Toc193846465"/>
      <w:commentRangeStart w:id="846"/>
      <w:r w:rsidRPr="006D3D71">
        <w:rPr>
          <w:rFonts w:asciiTheme="majorBidi" w:eastAsia="Times New Roman" w:hAnsiTheme="majorBidi" w:cstheme="majorBidi"/>
          <w:b/>
          <w:sz w:val="24"/>
          <w:szCs w:val="24"/>
        </w:rPr>
        <w:t>CHAPTER THREE</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45"/>
    </w:p>
    <w:p w14:paraId="547EFDF7" w14:textId="6C9B901B" w:rsidR="003D1748" w:rsidRPr="006D3D71" w:rsidRDefault="00332A43" w:rsidP="006D3D71">
      <w:pPr>
        <w:keepNext/>
        <w:keepLines/>
        <w:tabs>
          <w:tab w:val="left" w:pos="2506"/>
          <w:tab w:val="center" w:pos="4513"/>
        </w:tabs>
        <w:spacing w:after="0" w:line="360" w:lineRule="auto"/>
        <w:outlineLvl w:val="1"/>
        <w:rPr>
          <w:rFonts w:asciiTheme="majorBidi" w:eastAsia="Times New Roman" w:hAnsiTheme="majorBidi" w:cstheme="majorBidi"/>
          <w:b/>
          <w:bCs/>
          <w:sz w:val="24"/>
          <w:szCs w:val="24"/>
          <w:lang w:val="en-GB"/>
        </w:rPr>
      </w:pPr>
      <w:bookmarkStart w:id="847" w:name="_Toc512596366"/>
      <w:bookmarkStart w:id="848" w:name="_Toc165640096"/>
      <w:bookmarkStart w:id="849" w:name="_Toc165639887"/>
      <w:bookmarkStart w:id="850" w:name="_Toc163808540"/>
      <w:bookmarkStart w:id="851" w:name="_Toc163808417"/>
      <w:bookmarkStart w:id="852" w:name="_Toc163052535"/>
      <w:bookmarkStart w:id="853" w:name="_Toc160712481"/>
      <w:bookmarkStart w:id="854" w:name="_Toc160712390"/>
      <w:bookmarkStart w:id="855" w:name="_Toc513041354"/>
      <w:bookmarkStart w:id="856" w:name="_Toc513041615"/>
      <w:bookmarkStart w:id="857" w:name="_Toc513042125"/>
      <w:bookmarkStart w:id="858" w:name="_Toc523982529"/>
      <w:bookmarkStart w:id="859" w:name="_Toc523982852"/>
      <w:bookmarkStart w:id="860" w:name="_Toc523983048"/>
      <w:bookmarkStart w:id="861" w:name="_Toc523983757"/>
      <w:bookmarkStart w:id="862" w:name="_Toc523983863"/>
      <w:bookmarkStart w:id="863" w:name="_Toc524693369"/>
      <w:bookmarkStart w:id="864" w:name="_Toc524949107"/>
      <w:bookmarkStart w:id="865" w:name="_Toc535316358"/>
      <w:bookmarkStart w:id="866" w:name="_Toc535317653"/>
      <w:bookmarkStart w:id="867" w:name="_Toc60644763"/>
      <w:bookmarkStart w:id="868" w:name="_Toc60645639"/>
      <w:bookmarkStart w:id="869" w:name="_Toc60645783"/>
      <w:bookmarkStart w:id="870" w:name="_Toc60645888"/>
      <w:bookmarkStart w:id="871" w:name="_Toc60645999"/>
      <w:bookmarkStart w:id="872" w:name="_Toc71539945"/>
      <w:bookmarkStart w:id="873" w:name="_Toc83795230"/>
      <w:bookmarkStart w:id="874" w:name="_Toc83795361"/>
      <w:bookmarkStart w:id="875" w:name="_Toc83795472"/>
      <w:bookmarkStart w:id="876" w:name="_Toc83871109"/>
      <w:bookmarkStart w:id="877" w:name="_Toc83871221"/>
      <w:bookmarkStart w:id="878" w:name="_Toc85525475"/>
      <w:bookmarkStart w:id="879" w:name="_Toc89785854"/>
      <w:bookmarkStart w:id="880" w:name="_Toc114143681"/>
      <w:bookmarkStart w:id="881" w:name="_Toc114144648"/>
      <w:bookmarkStart w:id="882" w:name="_Toc114144728"/>
      <w:bookmarkStart w:id="883" w:name="_Toc115951812"/>
      <w:bookmarkStart w:id="884" w:name="_Toc119068735"/>
      <w:bookmarkStart w:id="885" w:name="_Toc183425155"/>
      <w:bookmarkStart w:id="886" w:name="_Toc183425246"/>
      <w:bookmarkStart w:id="887" w:name="_Toc183426934"/>
      <w:bookmarkStart w:id="888" w:name="_Toc193282243"/>
      <w:bookmarkStart w:id="889" w:name="_Toc193282409"/>
      <w:r w:rsidRPr="006D3D71">
        <w:rPr>
          <w:rFonts w:asciiTheme="majorBidi" w:eastAsia="Times New Roman" w:hAnsiTheme="majorBidi" w:cstheme="majorBidi"/>
          <w:b/>
          <w:bCs/>
          <w:sz w:val="24"/>
          <w:szCs w:val="24"/>
        </w:rPr>
        <w:lastRenderedPageBreak/>
        <w:tab/>
      </w:r>
      <w:bookmarkStart w:id="890" w:name="_Toc193846466"/>
      <w:r w:rsidRPr="006D3D71">
        <w:rPr>
          <w:rFonts w:asciiTheme="majorBidi" w:eastAsia="Times New Roman" w:hAnsiTheme="majorBidi" w:cstheme="majorBidi"/>
          <w:b/>
          <w:bCs/>
          <w:sz w:val="24"/>
          <w:szCs w:val="24"/>
        </w:rPr>
        <w:t xml:space="preserve">3.0 </w:t>
      </w:r>
      <w:r w:rsidRPr="006D3D71">
        <w:rPr>
          <w:rFonts w:asciiTheme="majorBidi" w:eastAsia="Times New Roman" w:hAnsiTheme="majorBidi" w:cstheme="majorBidi"/>
          <w:b/>
          <w:bCs/>
          <w:sz w:val="24"/>
          <w:szCs w:val="24"/>
        </w:rPr>
        <w:tab/>
      </w:r>
      <w:r w:rsidR="003D1748" w:rsidRPr="006D3D71">
        <w:rPr>
          <w:rFonts w:asciiTheme="majorBidi" w:eastAsia="Times New Roman" w:hAnsiTheme="majorBidi" w:cstheme="majorBidi"/>
          <w:b/>
          <w:bCs/>
          <w:sz w:val="24"/>
          <w:szCs w:val="24"/>
        </w:rPr>
        <w:t>RESEARCH METHEDOL</w:t>
      </w:r>
      <w:bookmarkEnd w:id="847"/>
      <w:r w:rsidR="003D1748" w:rsidRPr="006D3D71">
        <w:rPr>
          <w:rFonts w:asciiTheme="majorBidi" w:eastAsia="Times New Roman" w:hAnsiTheme="majorBidi" w:cstheme="majorBidi"/>
          <w:b/>
          <w:bCs/>
          <w:sz w:val="24"/>
          <w:szCs w:val="24"/>
          <w:lang w:val="en-GB"/>
        </w:rPr>
        <w:t>OGY</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commentRangeEnd w:id="846"/>
      <w:r w:rsidR="00F649DF" w:rsidRPr="006D3D71">
        <w:rPr>
          <w:rStyle w:val="CommentReference"/>
          <w:rFonts w:asciiTheme="majorBidi" w:eastAsia="Calibri" w:hAnsiTheme="majorBidi" w:cstheme="majorBidi"/>
          <w:sz w:val="24"/>
          <w:szCs w:val="24"/>
        </w:rPr>
        <w:commentReference w:id="846"/>
      </w:r>
      <w:bookmarkEnd w:id="890"/>
    </w:p>
    <w:p w14:paraId="039C57D4" w14:textId="0B1E5A51" w:rsidR="003F0834" w:rsidRPr="006D3D71" w:rsidRDefault="003F0834" w:rsidP="00E34B42">
      <w:pPr>
        <w:spacing w:line="360" w:lineRule="auto"/>
        <w:jc w:val="both"/>
        <w:rPr>
          <w:rFonts w:asciiTheme="majorBidi" w:hAnsiTheme="majorBidi" w:cstheme="majorBidi"/>
          <w:b/>
          <w:sz w:val="24"/>
          <w:szCs w:val="24"/>
          <w:lang w:val="en-GB"/>
        </w:rPr>
      </w:pPr>
      <w:r w:rsidRPr="006D3D71">
        <w:rPr>
          <w:rFonts w:asciiTheme="majorBidi" w:hAnsiTheme="majorBidi" w:cstheme="majorBidi"/>
          <w:sz w:val="24"/>
          <w:szCs w:val="24"/>
        </w:rPr>
        <w:t>This chapter is about the overall approach to the research process, from the rational underpinning of the study to the collection and analysis of the data collected about the effect of risk management on financial performance of commercial banks in Rwanda with the case study of GT Bank Plc.</w:t>
      </w:r>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p>
    <w:p w14:paraId="1FE20D6D" w14:textId="77777777" w:rsidR="003F0834" w:rsidRPr="006D3D71" w:rsidRDefault="003F0834" w:rsidP="00E34B42">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This chapter is organized under the following sections: Research design, area of the study, sampling design, data collection procedures used in this research, data processing and analysis, ethical consideration, and the limitations of the study.</w:t>
      </w:r>
    </w:p>
    <w:p w14:paraId="3E29C4EC" w14:textId="77777777" w:rsidR="003F0834" w:rsidRPr="006D3D71" w:rsidRDefault="003F0834" w:rsidP="006D3D71">
      <w:pPr>
        <w:pStyle w:val="Heading2"/>
        <w:spacing w:line="360" w:lineRule="auto"/>
        <w:jc w:val="both"/>
        <w:rPr>
          <w:rFonts w:asciiTheme="majorBidi" w:eastAsia="Times New Roman" w:hAnsiTheme="majorBidi"/>
          <w:b/>
          <w:bCs/>
          <w:color w:val="auto"/>
          <w:sz w:val="24"/>
          <w:szCs w:val="24"/>
        </w:rPr>
      </w:pPr>
      <w:bookmarkStart w:id="891" w:name="_Toc126685008"/>
      <w:bookmarkStart w:id="892" w:name="_Toc126684863"/>
      <w:bookmarkStart w:id="893" w:name="_Toc126684714"/>
      <w:bookmarkStart w:id="894" w:name="_Toc126684290"/>
      <w:bookmarkStart w:id="895" w:name="_Toc126683299"/>
      <w:bookmarkStart w:id="896" w:name="_Toc126683175"/>
      <w:bookmarkStart w:id="897" w:name="_Toc117249479"/>
      <w:bookmarkStart w:id="898" w:name="_Toc114550930"/>
      <w:bookmarkStart w:id="899" w:name="_Toc114502421"/>
      <w:bookmarkStart w:id="900" w:name="_Toc114502100"/>
      <w:bookmarkStart w:id="901" w:name="_Toc114501060"/>
      <w:bookmarkStart w:id="902" w:name="_Toc70435652"/>
      <w:bookmarkStart w:id="903" w:name="_Toc70435519"/>
      <w:bookmarkStart w:id="904" w:name="_Toc70434435"/>
      <w:bookmarkStart w:id="905" w:name="_Toc50437432"/>
      <w:bookmarkStart w:id="906" w:name="_Toc50437313"/>
      <w:bookmarkStart w:id="907" w:name="_Toc50437194"/>
      <w:bookmarkStart w:id="908" w:name="_Toc50436958"/>
      <w:bookmarkStart w:id="909" w:name="_Toc6941538"/>
      <w:bookmarkStart w:id="910" w:name="_Toc4609598"/>
      <w:bookmarkStart w:id="911" w:name="_Toc4609463"/>
      <w:bookmarkStart w:id="912" w:name="_Toc165640098"/>
      <w:bookmarkStart w:id="913" w:name="_Toc165639889"/>
      <w:bookmarkStart w:id="914" w:name="_Toc183425248"/>
      <w:bookmarkStart w:id="915" w:name="_Toc183426936"/>
      <w:bookmarkStart w:id="916" w:name="_Toc193282245"/>
      <w:bookmarkStart w:id="917" w:name="_Toc193282411"/>
      <w:bookmarkStart w:id="918" w:name="_Toc193846467"/>
      <w:r w:rsidRPr="006D3D71">
        <w:rPr>
          <w:rFonts w:asciiTheme="majorBidi" w:eastAsia="Times New Roman" w:hAnsiTheme="majorBidi"/>
          <w:b/>
          <w:bCs/>
          <w:color w:val="auto"/>
          <w:sz w:val="24"/>
          <w:szCs w:val="24"/>
        </w:rPr>
        <w:t>3.1. Description of the study</w:t>
      </w:r>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r w:rsidRPr="006D3D71">
        <w:rPr>
          <w:rFonts w:asciiTheme="majorBidi" w:eastAsia="Times New Roman" w:hAnsiTheme="majorBidi"/>
          <w:b/>
          <w:bCs/>
          <w:color w:val="auto"/>
          <w:sz w:val="24"/>
          <w:szCs w:val="24"/>
        </w:rPr>
        <w:t xml:space="preserve"> area</w:t>
      </w:r>
      <w:bookmarkEnd w:id="912"/>
      <w:bookmarkEnd w:id="913"/>
      <w:bookmarkEnd w:id="914"/>
      <w:bookmarkEnd w:id="915"/>
      <w:bookmarkEnd w:id="916"/>
      <w:bookmarkEnd w:id="917"/>
      <w:bookmarkEnd w:id="918"/>
      <w:r w:rsidRPr="006D3D71">
        <w:rPr>
          <w:rFonts w:asciiTheme="majorBidi" w:eastAsia="Times New Roman" w:hAnsiTheme="majorBidi"/>
          <w:b/>
          <w:bCs/>
          <w:color w:val="auto"/>
          <w:sz w:val="24"/>
          <w:szCs w:val="24"/>
        </w:rPr>
        <w:t xml:space="preserve"> </w:t>
      </w:r>
    </w:p>
    <w:p w14:paraId="63745FA8" w14:textId="77777777" w:rsidR="003F0834" w:rsidRPr="006D3D71" w:rsidRDefault="003F0834" w:rsidP="006D3D71">
      <w:pPr>
        <w:spacing w:line="360" w:lineRule="auto"/>
        <w:jc w:val="both"/>
        <w:rPr>
          <w:rFonts w:asciiTheme="majorBidi" w:hAnsiTheme="majorBidi" w:cstheme="majorBidi"/>
          <w:sz w:val="24"/>
          <w:szCs w:val="24"/>
        </w:rPr>
      </w:pPr>
      <w:bookmarkStart w:id="919" w:name="_Toc165640099"/>
      <w:bookmarkStart w:id="920" w:name="_Toc165639890"/>
      <w:bookmarkStart w:id="921" w:name="_Toc163808542"/>
      <w:bookmarkStart w:id="922" w:name="_Toc163808419"/>
      <w:bookmarkStart w:id="923" w:name="_Toc163052537"/>
      <w:bookmarkStart w:id="924" w:name="_Toc160712483"/>
      <w:bookmarkStart w:id="925" w:name="_Toc160712392"/>
      <w:bookmarkStart w:id="926" w:name="_Toc467607308"/>
      <w:bookmarkStart w:id="927" w:name="_Toc511372322"/>
      <w:bookmarkStart w:id="928" w:name="_Toc511382829"/>
      <w:bookmarkStart w:id="929" w:name="_Toc511382952"/>
      <w:bookmarkStart w:id="930" w:name="_Toc512596367"/>
      <w:bookmarkStart w:id="931" w:name="_Toc513041355"/>
      <w:bookmarkStart w:id="932" w:name="_Toc513041616"/>
      <w:bookmarkStart w:id="933" w:name="_Toc513042126"/>
      <w:bookmarkStart w:id="934" w:name="_Toc523982531"/>
      <w:bookmarkStart w:id="935" w:name="_Toc523982854"/>
      <w:bookmarkStart w:id="936" w:name="_Toc523983050"/>
      <w:bookmarkStart w:id="937" w:name="_Toc523983759"/>
      <w:bookmarkStart w:id="938" w:name="_Toc523983865"/>
      <w:bookmarkStart w:id="939" w:name="_Toc524693371"/>
      <w:bookmarkStart w:id="940" w:name="_Toc524949109"/>
      <w:bookmarkStart w:id="941" w:name="_Toc535316360"/>
      <w:bookmarkStart w:id="942" w:name="_Toc535317655"/>
      <w:bookmarkStart w:id="943" w:name="_Toc60645641"/>
      <w:bookmarkStart w:id="944" w:name="_Toc60645785"/>
      <w:bookmarkStart w:id="945" w:name="_Toc60645890"/>
      <w:bookmarkStart w:id="946" w:name="_Toc60646001"/>
      <w:bookmarkStart w:id="947" w:name="_Toc71539947"/>
      <w:bookmarkStart w:id="948" w:name="_Toc83795232"/>
      <w:bookmarkStart w:id="949" w:name="_Toc83795363"/>
      <w:bookmarkStart w:id="950" w:name="_Toc83795474"/>
      <w:bookmarkStart w:id="951" w:name="_Toc83871111"/>
      <w:bookmarkStart w:id="952" w:name="_Toc83871223"/>
      <w:bookmarkStart w:id="953" w:name="_Toc85525477"/>
      <w:bookmarkStart w:id="954" w:name="_Toc89785855"/>
      <w:bookmarkStart w:id="955" w:name="_Toc114143682"/>
      <w:bookmarkStart w:id="956" w:name="_Toc114144649"/>
      <w:bookmarkStart w:id="957" w:name="_Toc114144729"/>
      <w:bookmarkStart w:id="958" w:name="_Toc115951813"/>
      <w:bookmarkStart w:id="959" w:name="_Toc119068736"/>
      <w:bookmarkStart w:id="960" w:name="_Toc183425158"/>
      <w:bookmarkStart w:id="961" w:name="_Toc183425249"/>
      <w:bookmarkStart w:id="962" w:name="_Toc183426937"/>
      <w:r w:rsidRPr="006D3D71">
        <w:rPr>
          <w:rFonts w:asciiTheme="majorBidi" w:hAnsiTheme="majorBidi" w:cstheme="majorBidi"/>
          <w:sz w:val="24"/>
          <w:szCs w:val="24"/>
        </w:rPr>
        <w:t>GT Bank Plc Rwanda is a subsidiary of Guaranty Trust Holding Company (GTCO), a leading financial institution headquartered in Nigeria. Established in Rwanda in 2013, GT Bank Plc Rwanda has rapidly grown to become one of the prominent players in the country’s banking sector. The bank operates under the regulatory framework of the National Bank of Rwanda (BNR), adhering to Rwanda's stringent financial guidelines and promoting financial inclusion in alignment with the government’s Vision 2050.</w:t>
      </w:r>
    </w:p>
    <w:p w14:paraId="0286ACA4" w14:textId="77777777"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GT Bank Plc Rwanda offers a wide range of banking products and services, including retail and corporate banking, investment banking, treasury services, and digital banking solutions. The bank is particularly recognized for its innovative approach to digital banking, providing platforms such as mobile and internet banking to enhance customer convenience. GT Bank Plc Rwanda serves diverse clients, including individuals, SMEs, and large corporations, contributing significantly to Rwanda's economic development by supporting key sectors such as agriculture, construction, and trade.</w:t>
      </w:r>
    </w:p>
    <w:p w14:paraId="0399C5AE" w14:textId="77777777"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The bank prides itself on a strong commitment to risk management and operational efficiency, emphasizing credit risk management practices to ensure profitability and sustainability. With its focus on innovation, customer-centric services, and adherence to global standards, GT Bank Plc Rwanda has positioned itself as a reliable financial partner in the Rwandan market. However, the bank also faces challenges such as managing credit risks in an evolving financial ecosystem, competing with local and regional banks, and aligning with Rwanda’s financial inclusion goals. These aspects make GT Bank Plc Rwanda a relevant and compelling case for studying the impact of risk management on financial performance in the Rwandan context.</w:t>
      </w:r>
    </w:p>
    <w:p w14:paraId="3D415D3C" w14:textId="77777777" w:rsidR="003F0834" w:rsidRPr="006D3D71" w:rsidRDefault="003F0834" w:rsidP="006D3D71">
      <w:pPr>
        <w:pStyle w:val="Heading2"/>
        <w:spacing w:line="360" w:lineRule="auto"/>
        <w:jc w:val="both"/>
        <w:rPr>
          <w:rFonts w:asciiTheme="majorBidi" w:eastAsia="Times New Roman" w:hAnsiTheme="majorBidi"/>
          <w:b/>
          <w:bCs/>
          <w:color w:val="auto"/>
          <w:sz w:val="24"/>
          <w:szCs w:val="24"/>
        </w:rPr>
      </w:pPr>
      <w:bookmarkStart w:id="963" w:name="_Toc193282246"/>
      <w:bookmarkStart w:id="964" w:name="_Toc193282412"/>
      <w:bookmarkStart w:id="965" w:name="_Toc193846468"/>
      <w:r w:rsidRPr="006D3D71">
        <w:rPr>
          <w:rFonts w:asciiTheme="majorBidi" w:eastAsia="Times New Roman" w:hAnsiTheme="majorBidi"/>
          <w:b/>
          <w:bCs/>
          <w:color w:val="auto"/>
          <w:sz w:val="24"/>
          <w:szCs w:val="24"/>
        </w:rPr>
        <w:lastRenderedPageBreak/>
        <w:t>3.2. Research design</w:t>
      </w:r>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p>
    <w:p w14:paraId="0FA29A09" w14:textId="2EC35171" w:rsidR="003F0834" w:rsidRPr="006D3D71" w:rsidRDefault="003F0834" w:rsidP="006D3D71">
      <w:pPr>
        <w:spacing w:after="0" w:line="360" w:lineRule="auto"/>
        <w:jc w:val="both"/>
        <w:rPr>
          <w:rFonts w:asciiTheme="majorBidi" w:hAnsiTheme="majorBidi" w:cstheme="majorBidi"/>
          <w:sz w:val="24"/>
          <w:szCs w:val="24"/>
        </w:rPr>
      </w:pPr>
      <w:bookmarkStart w:id="966" w:name="_Toc165640100"/>
      <w:bookmarkStart w:id="967" w:name="_Toc165639891"/>
      <w:bookmarkStart w:id="968" w:name="_Toc163808543"/>
      <w:bookmarkStart w:id="969" w:name="_Toc163808420"/>
      <w:bookmarkStart w:id="970" w:name="_Toc163052538"/>
      <w:bookmarkStart w:id="971" w:name="_Toc160712484"/>
      <w:bookmarkStart w:id="972" w:name="_Toc160712393"/>
      <w:bookmarkStart w:id="973" w:name="_Toc103068565"/>
      <w:bookmarkStart w:id="974" w:name="_Toc70435653"/>
      <w:bookmarkStart w:id="975" w:name="_Toc70435520"/>
      <w:bookmarkStart w:id="976" w:name="_Toc70434436"/>
      <w:bookmarkStart w:id="977" w:name="_Toc50437434"/>
      <w:bookmarkStart w:id="978" w:name="_Toc50437315"/>
      <w:bookmarkStart w:id="979" w:name="_Toc50437196"/>
      <w:bookmarkStart w:id="980" w:name="_Toc50436960"/>
      <w:bookmarkStart w:id="981" w:name="_Toc6941540"/>
      <w:bookmarkStart w:id="982" w:name="_Toc4609600"/>
      <w:bookmarkStart w:id="983" w:name="_Toc4609465"/>
      <w:bookmarkStart w:id="984" w:name="_Toc524408442"/>
      <w:bookmarkStart w:id="985" w:name="_Toc524408332"/>
      <w:bookmarkStart w:id="986" w:name="_Toc524379234"/>
      <w:bookmarkStart w:id="987" w:name="_Toc495580714"/>
      <w:bookmarkStart w:id="988" w:name="_Toc494621145"/>
      <w:bookmarkStart w:id="989" w:name="_Toc494621046"/>
      <w:bookmarkStart w:id="990" w:name="_Toc494620945"/>
      <w:bookmarkStart w:id="991" w:name="_Toc494620763"/>
      <w:bookmarkStart w:id="992" w:name="_Toc183425159"/>
      <w:bookmarkStart w:id="993" w:name="_Toc183425250"/>
      <w:bookmarkStart w:id="994" w:name="_Toc183426938"/>
      <w:bookmarkStart w:id="995" w:name="_Toc68597102"/>
      <w:bookmarkStart w:id="996" w:name="_Toc60059873"/>
      <w:bookmarkStart w:id="997" w:name="_Toc59094768"/>
      <w:bookmarkStart w:id="998" w:name="_Toc47994289"/>
      <w:bookmarkStart w:id="999" w:name="_Toc47994160"/>
      <w:bookmarkStart w:id="1000" w:name="_Toc43278950"/>
      <w:bookmarkStart w:id="1001" w:name="_Toc24567375"/>
      <w:bookmarkStart w:id="1002" w:name="_Toc24567251"/>
      <w:bookmarkStart w:id="1003" w:name="_Toc24567128"/>
      <w:bookmarkStart w:id="1004" w:name="_Toc24566468"/>
      <w:bookmarkStart w:id="1005" w:name="_Toc24566337"/>
      <w:bookmarkStart w:id="1006" w:name="_Toc535750150"/>
      <w:bookmarkStart w:id="1007" w:name="_Toc535749856"/>
      <w:bookmarkStart w:id="1008" w:name="_Toc523756136"/>
      <w:bookmarkStart w:id="1009" w:name="_Toc521573095"/>
      <w:bookmarkStart w:id="1010" w:name="_Toc521572834"/>
      <w:bookmarkStart w:id="1011" w:name="_Toc521570844"/>
      <w:bookmarkStart w:id="1012" w:name="_Toc497051279"/>
      <w:bookmarkStart w:id="1013" w:name="_Toc489781766"/>
      <w:bookmarkStart w:id="1014" w:name="_Toc457417560"/>
      <w:bookmarkStart w:id="1015" w:name="_Toc456561063"/>
      <w:bookmarkStart w:id="1016" w:name="_Toc443286943"/>
      <w:bookmarkStart w:id="1017" w:name="_Toc441441106"/>
      <w:bookmarkStart w:id="1018" w:name="_Toc434945143"/>
      <w:bookmarkStart w:id="1019" w:name="_Toc119068742"/>
      <w:bookmarkStart w:id="1020" w:name="_Toc115951820"/>
      <w:bookmarkStart w:id="1021" w:name="_Toc114144738"/>
      <w:bookmarkStart w:id="1022" w:name="_Toc114144658"/>
      <w:bookmarkStart w:id="1023" w:name="_Toc85639762"/>
      <w:bookmarkStart w:id="1024" w:name="_Toc85639659"/>
      <w:bookmarkStart w:id="1025" w:name="_Toc85639310"/>
      <w:bookmarkStart w:id="1026" w:name="_Toc54075525"/>
      <w:bookmarkStart w:id="1027" w:name="_Toc51900770"/>
      <w:bookmarkStart w:id="1028" w:name="_Toc51898888"/>
      <w:bookmarkStart w:id="1029" w:name="_Toc51898762"/>
      <w:bookmarkStart w:id="1030" w:name="_Toc25824823"/>
      <w:bookmarkStart w:id="1031" w:name="_Toc20412978"/>
      <w:bookmarkStart w:id="1032" w:name="_Toc20412856"/>
      <w:bookmarkStart w:id="1033" w:name="_Toc20411411"/>
      <w:bookmarkStart w:id="1034" w:name="_Toc20410761"/>
      <w:bookmarkStart w:id="1035" w:name="_Toc20410540"/>
      <w:bookmarkStart w:id="1036" w:name="_Toc7171015"/>
      <w:bookmarkStart w:id="1037" w:name="_Toc89785861"/>
      <w:bookmarkStart w:id="1038" w:name="_Toc85525483"/>
      <w:bookmarkStart w:id="1039" w:name="_Toc83871229"/>
      <w:bookmarkStart w:id="1040" w:name="_Toc83871117"/>
      <w:bookmarkStart w:id="1041" w:name="_Toc83834401"/>
      <w:bookmarkStart w:id="1042" w:name="_Toc83795480"/>
      <w:bookmarkStart w:id="1043" w:name="_Toc83794629"/>
      <w:bookmarkStart w:id="1044" w:name="_Toc71539953"/>
      <w:bookmarkStart w:id="1045" w:name="_Toc66345783"/>
      <w:bookmarkStart w:id="1046" w:name="_Toc62670184"/>
      <w:bookmarkStart w:id="1047" w:name="_Toc62668094"/>
      <w:bookmarkStart w:id="1048" w:name="_Toc43904652"/>
      <w:bookmarkStart w:id="1049" w:name="_Toc43904364"/>
      <w:bookmarkStart w:id="1050" w:name="_Toc405082428"/>
      <w:bookmarkStart w:id="1051" w:name="_Toc425875546"/>
      <w:r w:rsidRPr="006D3D71">
        <w:rPr>
          <w:rFonts w:asciiTheme="majorBidi" w:hAnsiTheme="majorBidi" w:cstheme="majorBidi"/>
          <w:sz w:val="24"/>
          <w:szCs w:val="24"/>
        </w:rPr>
        <w:t>A research design serves as the action plan for collecting and analyzing data in a manner that address</w:t>
      </w:r>
      <w:r w:rsidR="00575F6F" w:rsidRPr="006D3D71">
        <w:rPr>
          <w:rFonts w:asciiTheme="majorBidi" w:hAnsiTheme="majorBidi" w:cstheme="majorBidi"/>
          <w:sz w:val="24"/>
          <w:szCs w:val="24"/>
        </w:rPr>
        <w:t>ed</w:t>
      </w:r>
      <w:r w:rsidRPr="006D3D71">
        <w:rPr>
          <w:rFonts w:asciiTheme="majorBidi" w:hAnsiTheme="majorBidi" w:cstheme="majorBidi"/>
          <w:sz w:val="24"/>
          <w:szCs w:val="24"/>
        </w:rPr>
        <w:t xml:space="preserve"> the research objectives. For this study, a descriptive and correlational research design </w:t>
      </w:r>
      <w:r w:rsidR="00575F6F" w:rsidRPr="006D3D71">
        <w:rPr>
          <w:rFonts w:asciiTheme="majorBidi" w:hAnsiTheme="majorBidi" w:cstheme="majorBidi"/>
          <w:sz w:val="24"/>
          <w:szCs w:val="24"/>
        </w:rPr>
        <w:t>was</w:t>
      </w:r>
      <w:r w:rsidRPr="006D3D71">
        <w:rPr>
          <w:rFonts w:asciiTheme="majorBidi" w:hAnsiTheme="majorBidi" w:cstheme="majorBidi"/>
          <w:sz w:val="24"/>
          <w:szCs w:val="24"/>
        </w:rPr>
        <w:t xml:space="preserve"> adopted. The descriptive design is chosen because it </w:t>
      </w:r>
      <w:r w:rsidR="00575F6F" w:rsidRPr="006D3D71">
        <w:rPr>
          <w:rFonts w:asciiTheme="majorBidi" w:hAnsiTheme="majorBidi" w:cstheme="majorBidi"/>
          <w:sz w:val="24"/>
          <w:szCs w:val="24"/>
        </w:rPr>
        <w:t xml:space="preserve">enabled </w:t>
      </w:r>
      <w:r w:rsidRPr="006D3D71">
        <w:rPr>
          <w:rFonts w:asciiTheme="majorBidi" w:hAnsiTheme="majorBidi" w:cstheme="majorBidi"/>
          <w:sz w:val="24"/>
          <w:szCs w:val="24"/>
        </w:rPr>
        <w:t xml:space="preserve">the detailed analysis and description of the risk management strategies employed by GT Bank Plc Rwanda. This approach </w:t>
      </w:r>
      <w:r w:rsidR="00575F6F" w:rsidRPr="006D3D71">
        <w:rPr>
          <w:rFonts w:asciiTheme="majorBidi" w:hAnsiTheme="majorBidi" w:cstheme="majorBidi"/>
          <w:sz w:val="24"/>
          <w:szCs w:val="24"/>
        </w:rPr>
        <w:t>was</w:t>
      </w:r>
      <w:r w:rsidRPr="006D3D71">
        <w:rPr>
          <w:rFonts w:asciiTheme="majorBidi" w:hAnsiTheme="majorBidi" w:cstheme="majorBidi"/>
          <w:sz w:val="24"/>
          <w:szCs w:val="24"/>
        </w:rPr>
        <w:t xml:space="preserve"> particularly suitable for working with secondary data, as it facilitate</w:t>
      </w:r>
      <w:r w:rsidR="00575F6F" w:rsidRPr="006D3D71">
        <w:rPr>
          <w:rFonts w:asciiTheme="majorBidi" w:hAnsiTheme="majorBidi" w:cstheme="majorBidi"/>
          <w:sz w:val="24"/>
          <w:szCs w:val="24"/>
        </w:rPr>
        <w:t>d</w:t>
      </w:r>
      <w:r w:rsidRPr="006D3D71">
        <w:rPr>
          <w:rFonts w:asciiTheme="majorBidi" w:hAnsiTheme="majorBidi" w:cstheme="majorBidi"/>
          <w:sz w:val="24"/>
          <w:szCs w:val="24"/>
        </w:rPr>
        <w:t xml:space="preserve"> the presentation of an accurate profile of variables without altering the data's original context.</w:t>
      </w:r>
    </w:p>
    <w:p w14:paraId="6BFC0E41" w14:textId="2104F89D" w:rsidR="003F0834" w:rsidRPr="006D3D71" w:rsidRDefault="003F0834" w:rsidP="006D3D71">
      <w:pPr>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The study also employ</w:t>
      </w:r>
      <w:r w:rsidR="00575F6F" w:rsidRPr="006D3D71">
        <w:rPr>
          <w:rFonts w:asciiTheme="majorBidi" w:hAnsiTheme="majorBidi" w:cstheme="majorBidi"/>
          <w:sz w:val="24"/>
          <w:szCs w:val="24"/>
        </w:rPr>
        <w:t>ed</w:t>
      </w:r>
      <w:r w:rsidRPr="006D3D71">
        <w:rPr>
          <w:rFonts w:asciiTheme="majorBidi" w:hAnsiTheme="majorBidi" w:cstheme="majorBidi"/>
          <w:sz w:val="24"/>
          <w:szCs w:val="24"/>
        </w:rPr>
        <w:t xml:space="preserve"> a correlational design to examine the relationship between the independent variable (risk management strategies) and the dependent variable (financial performance of GT Bank Plc Rwanda). To achieve this, multiple linear regression analysis </w:t>
      </w:r>
      <w:r w:rsidR="00575F6F" w:rsidRPr="006D3D71">
        <w:rPr>
          <w:rFonts w:asciiTheme="majorBidi" w:hAnsiTheme="majorBidi" w:cstheme="majorBidi"/>
          <w:sz w:val="24"/>
          <w:szCs w:val="24"/>
        </w:rPr>
        <w:t>was</w:t>
      </w:r>
      <w:r w:rsidRPr="006D3D71">
        <w:rPr>
          <w:rFonts w:asciiTheme="majorBidi" w:hAnsiTheme="majorBidi" w:cstheme="majorBidi"/>
          <w:sz w:val="24"/>
          <w:szCs w:val="24"/>
        </w:rPr>
        <w:t xml:space="preserve"> utilized. This statistical method </w:t>
      </w:r>
      <w:r w:rsidR="00575F6F" w:rsidRPr="006D3D71">
        <w:rPr>
          <w:rFonts w:asciiTheme="majorBidi" w:hAnsiTheme="majorBidi" w:cstheme="majorBidi"/>
          <w:sz w:val="24"/>
          <w:szCs w:val="24"/>
        </w:rPr>
        <w:t>was</w:t>
      </w:r>
      <w:r w:rsidRPr="006D3D71">
        <w:rPr>
          <w:rFonts w:asciiTheme="majorBidi" w:hAnsiTheme="majorBidi" w:cstheme="majorBidi"/>
          <w:sz w:val="24"/>
          <w:szCs w:val="24"/>
        </w:rPr>
        <w:t xml:space="preserve"> particularly appropriate for secondary data analysis because it allow</w:t>
      </w:r>
      <w:r w:rsidR="00575F6F" w:rsidRPr="006D3D71">
        <w:rPr>
          <w:rFonts w:asciiTheme="majorBidi" w:hAnsiTheme="majorBidi" w:cstheme="majorBidi"/>
          <w:sz w:val="24"/>
          <w:szCs w:val="24"/>
        </w:rPr>
        <w:t xml:space="preserve">ed </w:t>
      </w:r>
      <w:r w:rsidRPr="006D3D71">
        <w:rPr>
          <w:rFonts w:asciiTheme="majorBidi" w:hAnsiTheme="majorBidi" w:cstheme="majorBidi"/>
          <w:sz w:val="24"/>
          <w:szCs w:val="24"/>
        </w:rPr>
        <w:t xml:space="preserve">for the exploration of relationships among multiple variables simultaneously. By using regression analysis, the study will quantify the potential impact of specific risk management strategies, such as </w:t>
      </w:r>
      <w:r w:rsidR="00C859B5" w:rsidRPr="006D3D71">
        <w:rPr>
          <w:rFonts w:asciiTheme="majorBidi" w:hAnsiTheme="majorBidi" w:cstheme="majorBidi"/>
          <w:sz w:val="24"/>
          <w:szCs w:val="24"/>
        </w:rPr>
        <w:t>Borrower Creditworthiness Assessment</w:t>
      </w:r>
      <w:r w:rsidR="00C859B5" w:rsidRPr="006D3D71">
        <w:rPr>
          <w:rStyle w:val="Strong"/>
          <w:rFonts w:asciiTheme="majorBidi" w:hAnsiTheme="majorBidi" w:cstheme="majorBidi"/>
          <w:b w:val="0"/>
          <w:bCs w:val="0"/>
          <w:sz w:val="24"/>
          <w:szCs w:val="24"/>
        </w:rPr>
        <w:t>, Credit Concentration Risk</w:t>
      </w:r>
      <w:r w:rsidR="00C859B5" w:rsidRPr="006D3D71">
        <w:rPr>
          <w:rFonts w:asciiTheme="majorBidi" w:hAnsiTheme="majorBidi" w:cstheme="majorBidi"/>
          <w:sz w:val="24"/>
          <w:szCs w:val="24"/>
        </w:rPr>
        <w:t>, Debt Restructuring &amp; Recovery Strategies</w:t>
      </w:r>
      <w:r w:rsidR="00C859B5" w:rsidRPr="006D3D71">
        <w:rPr>
          <w:rStyle w:val="Strong"/>
          <w:rFonts w:asciiTheme="majorBidi" w:hAnsiTheme="majorBidi" w:cstheme="majorBidi"/>
          <w:sz w:val="24"/>
          <w:szCs w:val="24"/>
        </w:rPr>
        <w:t xml:space="preserve">, </w:t>
      </w:r>
      <w:r w:rsidR="00C859B5" w:rsidRPr="006D3D71">
        <w:rPr>
          <w:rStyle w:val="Strong"/>
          <w:rFonts w:asciiTheme="majorBidi" w:hAnsiTheme="majorBidi" w:cstheme="majorBidi"/>
          <w:b w:val="0"/>
          <w:bCs w:val="0"/>
          <w:sz w:val="24"/>
          <w:szCs w:val="24"/>
        </w:rPr>
        <w:t>Borrower Creditworthiness Assessment, Credit</w:t>
      </w:r>
      <w:r w:rsidR="00C859B5" w:rsidRPr="006D3D71">
        <w:rPr>
          <w:rFonts w:asciiTheme="majorBidi" w:hAnsiTheme="majorBidi" w:cstheme="majorBidi"/>
          <w:sz w:val="24"/>
          <w:szCs w:val="24"/>
        </w:rPr>
        <w:t xml:space="preserve"> Risk Monitoring Frequency, Collateral Management, Credit risk rating systems</w:t>
      </w:r>
      <w:r w:rsidRPr="006D3D71">
        <w:rPr>
          <w:rFonts w:asciiTheme="majorBidi" w:hAnsiTheme="majorBidi" w:cstheme="majorBidi"/>
          <w:sz w:val="24"/>
          <w:szCs w:val="24"/>
        </w:rPr>
        <w:t>, on financial performance indicators like ROA, ROE, and NIM.</w:t>
      </w:r>
    </w:p>
    <w:p w14:paraId="3FBBBC4A" w14:textId="559298E0" w:rsidR="003F0834" w:rsidRPr="006D3D71" w:rsidRDefault="003F0834" w:rsidP="006D3D71">
      <w:pPr>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The combination of descriptive and correlational designs ensure</w:t>
      </w:r>
      <w:r w:rsidR="00575F6F" w:rsidRPr="006D3D71">
        <w:rPr>
          <w:rFonts w:asciiTheme="majorBidi" w:hAnsiTheme="majorBidi" w:cstheme="majorBidi"/>
          <w:sz w:val="24"/>
          <w:szCs w:val="24"/>
        </w:rPr>
        <w:t>d</w:t>
      </w:r>
      <w:r w:rsidRPr="006D3D71">
        <w:rPr>
          <w:rFonts w:asciiTheme="majorBidi" w:hAnsiTheme="majorBidi" w:cstheme="majorBidi"/>
          <w:sz w:val="24"/>
          <w:szCs w:val="24"/>
        </w:rPr>
        <w:t xml:space="preserve"> that the study provides a comprehensive understanding of how risk management influences financial performance. The descriptive component highlight</w:t>
      </w:r>
      <w:r w:rsidR="00575F6F" w:rsidRPr="006D3D71">
        <w:rPr>
          <w:rFonts w:asciiTheme="majorBidi" w:hAnsiTheme="majorBidi" w:cstheme="majorBidi"/>
          <w:sz w:val="24"/>
          <w:szCs w:val="24"/>
        </w:rPr>
        <w:t>ed</w:t>
      </w:r>
      <w:r w:rsidRPr="006D3D71">
        <w:rPr>
          <w:rFonts w:asciiTheme="majorBidi" w:hAnsiTheme="majorBidi" w:cstheme="majorBidi"/>
          <w:sz w:val="24"/>
          <w:szCs w:val="24"/>
        </w:rPr>
        <w:t xml:space="preserve"> the current practices at GT Bank Plc Rwanda, while the regression analysis offer</w:t>
      </w:r>
      <w:r w:rsidR="00575F6F" w:rsidRPr="006D3D71">
        <w:rPr>
          <w:rFonts w:asciiTheme="majorBidi" w:hAnsiTheme="majorBidi" w:cstheme="majorBidi"/>
          <w:sz w:val="24"/>
          <w:szCs w:val="24"/>
        </w:rPr>
        <w:t>ed</w:t>
      </w:r>
      <w:r w:rsidRPr="006D3D71">
        <w:rPr>
          <w:rFonts w:asciiTheme="majorBidi" w:hAnsiTheme="majorBidi" w:cstheme="majorBidi"/>
          <w:sz w:val="24"/>
          <w:szCs w:val="24"/>
        </w:rPr>
        <w:t xml:space="preserve"> insights into the strength and significance of the relationships between variables.</w:t>
      </w:r>
    </w:p>
    <w:p w14:paraId="20333348" w14:textId="77777777" w:rsidR="003F0834" w:rsidRPr="006D3D71" w:rsidRDefault="003F0834" w:rsidP="006D3D71">
      <w:pPr>
        <w:pStyle w:val="Heading2"/>
        <w:spacing w:line="360" w:lineRule="auto"/>
        <w:jc w:val="both"/>
        <w:rPr>
          <w:rFonts w:asciiTheme="majorBidi" w:eastAsia="Times New Roman" w:hAnsiTheme="majorBidi"/>
          <w:b/>
          <w:bCs/>
          <w:color w:val="auto"/>
          <w:sz w:val="24"/>
          <w:szCs w:val="24"/>
        </w:rPr>
      </w:pPr>
      <w:bookmarkStart w:id="1052" w:name="_Toc193282247"/>
      <w:bookmarkStart w:id="1053" w:name="_Toc193282413"/>
      <w:bookmarkStart w:id="1054" w:name="_Toc193846469"/>
      <w:r w:rsidRPr="006D3D71">
        <w:rPr>
          <w:rFonts w:asciiTheme="majorBidi" w:eastAsia="Times New Roman" w:hAnsiTheme="majorBidi"/>
          <w:b/>
          <w:bCs/>
          <w:color w:val="auto"/>
          <w:sz w:val="24"/>
          <w:szCs w:val="24"/>
        </w:rPr>
        <w:t>3.3. Population of the study</w:t>
      </w:r>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1052"/>
      <w:bookmarkEnd w:id="1053"/>
      <w:bookmarkEnd w:id="1054"/>
      <w:r w:rsidRPr="006D3D71">
        <w:rPr>
          <w:rFonts w:asciiTheme="majorBidi" w:eastAsia="Times New Roman" w:hAnsiTheme="majorBidi"/>
          <w:b/>
          <w:bCs/>
          <w:color w:val="auto"/>
          <w:sz w:val="24"/>
          <w:szCs w:val="24"/>
        </w:rPr>
        <w:t xml:space="preserve"> </w:t>
      </w:r>
      <w:bookmarkStart w:id="1055" w:name="_Toc165640101"/>
      <w:bookmarkStart w:id="1056" w:name="_Toc165639892"/>
      <w:bookmarkStart w:id="1057" w:name="_Toc163808544"/>
      <w:bookmarkStart w:id="1058" w:name="_Toc163808421"/>
      <w:bookmarkStart w:id="1059" w:name="_Toc163808248"/>
      <w:bookmarkStart w:id="1060" w:name="_Toc163807672"/>
      <w:bookmarkStart w:id="1061" w:name="_Toc163052539"/>
      <w:bookmarkStart w:id="1062" w:name="_Toc160712925"/>
      <w:bookmarkStart w:id="1063" w:name="_Toc160712485"/>
      <w:bookmarkStart w:id="1064" w:name="_Toc160712394"/>
      <w:bookmarkStart w:id="1065" w:name="_Toc150159791"/>
      <w:bookmarkStart w:id="1066" w:name="_Toc103068566"/>
      <w:bookmarkStart w:id="1067" w:name="_Toc103054627"/>
      <w:bookmarkStart w:id="1068" w:name="_Toc183425009"/>
      <w:bookmarkStart w:id="1069" w:name="_Toc183425160"/>
      <w:bookmarkStart w:id="1070" w:name="_Toc183425251"/>
      <w:bookmarkStart w:id="1071" w:name="_Toc183426939"/>
      <w:bookmarkStart w:id="1072" w:name="_Toc185603991"/>
    </w:p>
    <w:p w14:paraId="1794E0C6" w14:textId="5781496E" w:rsidR="00847544" w:rsidRPr="006D3D71" w:rsidRDefault="00847544" w:rsidP="006D3D71">
      <w:pPr>
        <w:spacing w:line="360" w:lineRule="auto"/>
        <w:jc w:val="both"/>
        <w:rPr>
          <w:rFonts w:asciiTheme="majorBidi" w:hAnsiTheme="majorBidi" w:cstheme="majorBidi"/>
          <w:sz w:val="24"/>
          <w:szCs w:val="24"/>
        </w:rPr>
      </w:pPr>
      <w:bookmarkStart w:id="1073" w:name="_Toc43904653"/>
      <w:bookmarkStart w:id="1074" w:name="_Toc43904365"/>
      <w:bookmarkStart w:id="1075" w:name="_Toc35526968"/>
      <w:bookmarkStart w:id="1076" w:name="_Toc165640102"/>
      <w:bookmarkStart w:id="1077" w:name="_Toc165639893"/>
      <w:bookmarkStart w:id="1078" w:name="_Toc163808545"/>
      <w:bookmarkStart w:id="1079" w:name="_Toc163808422"/>
      <w:bookmarkStart w:id="1080" w:name="_Toc163052540"/>
      <w:bookmarkStart w:id="1081" w:name="_Toc160712486"/>
      <w:bookmarkStart w:id="1082" w:name="_Toc160712395"/>
      <w:bookmarkStart w:id="1083" w:name="_Toc103068567"/>
      <w:bookmarkStart w:id="1084" w:name="_Toc95477379"/>
      <w:bookmarkStart w:id="1085" w:name="_Toc93591082"/>
      <w:bookmarkStart w:id="1086" w:name="_Toc66346461"/>
      <w:bookmarkStart w:id="1087" w:name="_Toc62670185"/>
      <w:bookmarkStart w:id="1088" w:name="_Toc183425161"/>
      <w:bookmarkStart w:id="1089" w:name="_Toc183425252"/>
      <w:bookmarkStart w:id="1090" w:name="_Toc183426940"/>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r w:rsidRPr="00847544">
        <w:rPr>
          <w:rFonts w:asciiTheme="majorBidi" w:hAnsiTheme="majorBidi" w:cstheme="majorBidi"/>
          <w:sz w:val="24"/>
          <w:szCs w:val="24"/>
        </w:rPr>
        <w:t xml:space="preserve">The target population for this study includes both the employees across various departments at GT Bank Plc Rwanda and the annual financial data from 2019 </w:t>
      </w:r>
      <w:r>
        <w:rPr>
          <w:rFonts w:asciiTheme="majorBidi" w:hAnsiTheme="majorBidi" w:cstheme="majorBidi"/>
          <w:sz w:val="24"/>
          <w:szCs w:val="24"/>
        </w:rPr>
        <w:t>to 2023. T</w:t>
      </w:r>
      <w:r w:rsidRPr="00847544">
        <w:rPr>
          <w:rFonts w:asciiTheme="majorBidi" w:hAnsiTheme="majorBidi" w:cstheme="majorBidi"/>
          <w:sz w:val="24"/>
          <w:szCs w:val="24"/>
        </w:rPr>
        <w:t>he bank’s departments have a total target population of 100 individuals, with a sample size of 59 selected for analysis. These departments include Credit and Risk Management (28 individuals, 17 sampled), Finance and Management (11 individuals, 7 sampled), Loan (18 individuals, 9 sampled), Accounting (20 individuals, 12 sampled), Recovery (14 individuals, 8 sampled), and Strategic and Planning (9 individuals, 6 sampled). In addition, the study utilizes financial data from the bank covering a five-year period, pro</w:t>
      </w:r>
      <w:r>
        <w:rPr>
          <w:rFonts w:asciiTheme="majorBidi" w:hAnsiTheme="majorBidi" w:cstheme="majorBidi"/>
          <w:sz w:val="24"/>
          <w:szCs w:val="24"/>
        </w:rPr>
        <w:t>viding 60 observations (12</w:t>
      </w:r>
      <w:r w:rsidRPr="00847544">
        <w:rPr>
          <w:rFonts w:asciiTheme="majorBidi" w:hAnsiTheme="majorBidi" w:cstheme="majorBidi"/>
          <w:sz w:val="24"/>
          <w:szCs w:val="24"/>
        </w:rPr>
        <w:t xml:space="preserve"> variables measured annually over 5 years) to analyze the relationship between credit risk management strategies and financial performance. This combined dataset offers a </w:t>
      </w:r>
      <w:r w:rsidRPr="00847544">
        <w:rPr>
          <w:rFonts w:asciiTheme="majorBidi" w:hAnsiTheme="majorBidi" w:cstheme="majorBidi"/>
          <w:sz w:val="24"/>
          <w:szCs w:val="24"/>
        </w:rPr>
        <w:lastRenderedPageBreak/>
        <w:t>comprehensive basis for examining how risk management practices impact the bank's financial outcomes, with the study employing multiple linear regression analysis for the evaluation.</w:t>
      </w:r>
    </w:p>
    <w:p w14:paraId="178979AB" w14:textId="12EADC68" w:rsidR="003F0834" w:rsidRPr="006D3D71" w:rsidRDefault="003F0834" w:rsidP="006D3D71">
      <w:pPr>
        <w:pStyle w:val="Heading2"/>
        <w:numPr>
          <w:ilvl w:val="2"/>
          <w:numId w:val="11"/>
        </w:numPr>
        <w:spacing w:line="360" w:lineRule="auto"/>
        <w:jc w:val="both"/>
        <w:rPr>
          <w:rFonts w:asciiTheme="majorBidi" w:eastAsia="SimSun" w:hAnsiTheme="majorBidi"/>
          <w:b/>
          <w:bCs/>
          <w:color w:val="auto"/>
          <w:sz w:val="24"/>
          <w:szCs w:val="24"/>
          <w:lang w:eastAsia="ja-JP"/>
        </w:rPr>
      </w:pPr>
      <w:bookmarkStart w:id="1091" w:name="_Toc193282248"/>
      <w:bookmarkStart w:id="1092" w:name="_Toc193282414"/>
      <w:bookmarkStart w:id="1093" w:name="_Toc193846470"/>
      <w:r w:rsidRPr="006D3D71">
        <w:rPr>
          <w:rFonts w:asciiTheme="majorBidi" w:eastAsia="SimSun" w:hAnsiTheme="majorBidi"/>
          <w:b/>
          <w:bCs/>
          <w:color w:val="auto"/>
          <w:sz w:val="24"/>
          <w:szCs w:val="24"/>
          <w:lang w:eastAsia="ja-JP"/>
        </w:rPr>
        <w:t>Sample size</w:t>
      </w:r>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p>
    <w:p w14:paraId="06273DD8" w14:textId="5BFA0AB3" w:rsidR="0047315B" w:rsidRDefault="0047315B" w:rsidP="006D3D71">
      <w:pPr>
        <w:spacing w:line="360" w:lineRule="auto"/>
        <w:jc w:val="both"/>
        <w:rPr>
          <w:rFonts w:asciiTheme="majorBidi" w:hAnsiTheme="majorBidi" w:cstheme="majorBidi"/>
          <w:sz w:val="24"/>
          <w:szCs w:val="24"/>
        </w:rPr>
      </w:pPr>
      <w:bookmarkStart w:id="1094" w:name="_Toc165640103"/>
      <w:bookmarkStart w:id="1095" w:name="_Toc165639894"/>
      <w:bookmarkStart w:id="1096" w:name="_Toc163808546"/>
      <w:bookmarkStart w:id="1097" w:name="_Toc163808423"/>
      <w:bookmarkStart w:id="1098" w:name="_Toc163052541"/>
      <w:bookmarkStart w:id="1099" w:name="_Toc160712487"/>
      <w:bookmarkStart w:id="1100" w:name="_Toc160712396"/>
      <w:bookmarkStart w:id="1101" w:name="_Toc183425162"/>
      <w:bookmarkStart w:id="1102" w:name="_Toc183425253"/>
      <w:bookmarkStart w:id="1103" w:name="_Toc183426941"/>
      <w:r w:rsidRPr="0047315B">
        <w:rPr>
          <w:rFonts w:asciiTheme="majorBidi" w:hAnsiTheme="majorBidi" w:cstheme="majorBidi"/>
          <w:sz w:val="24"/>
          <w:szCs w:val="24"/>
        </w:rPr>
        <w:t>The sample size for this study is based on both the employees across various departments at GT Bank Plc Rwanda and the bank’s annual financial data from 2019 to 2023. The total target population includes 100 individuals from departments such as Credit and Risk Management (28 individuals, 17 sampled), Finance and Management (11 individuals, 7 sampled), Loan (18 individuals, 9 sampled), Accounting (20 individuals, 12 sampled), Recovery (14 individuals, 8 sampled), and Strategic and Planning (9 individuals, 6 sampled), with a tot</w:t>
      </w:r>
      <w:r w:rsidR="00670E8A">
        <w:rPr>
          <w:rFonts w:asciiTheme="majorBidi" w:hAnsiTheme="majorBidi" w:cstheme="majorBidi"/>
          <w:sz w:val="24"/>
          <w:szCs w:val="24"/>
        </w:rPr>
        <w:t>al sample size of 59 respondents</w:t>
      </w:r>
      <w:r w:rsidRPr="0047315B">
        <w:rPr>
          <w:rFonts w:asciiTheme="majorBidi" w:hAnsiTheme="majorBidi" w:cstheme="majorBidi"/>
          <w:sz w:val="24"/>
          <w:szCs w:val="24"/>
        </w:rPr>
        <w:t xml:space="preserve"> selected for analysis. Additionally, the study incorporates 60 observations from the bank’s financial data, which consists of 12 key variables related to credit risk management and financial performance, measured annually over five years. The variables include Borrower Creditworthiness Assessment, Credit Concentration Risk, Debt Restructuring &amp; Recovery Strategies, and financial performance indicators such as Net Interest Margin (NIM), Return on Equity (ROE), and Return on Assets (ROA). These 60 observations form the dataset for multiple linear regression analysis to explore the relationship between credit risk management strategies and financial performance. Since the data is secondary, no additional sampling is required, and the study will use the complete set of available data from 2019 to 2023, providing a comprehensive foundation for statistical analysis.</w:t>
      </w:r>
    </w:p>
    <w:p w14:paraId="55E629A7" w14:textId="3827AF21" w:rsidR="002469AF" w:rsidRPr="00C77651" w:rsidRDefault="002469AF" w:rsidP="006D3D71">
      <w:pPr>
        <w:spacing w:line="360" w:lineRule="auto"/>
        <w:jc w:val="both"/>
        <w:rPr>
          <w:rFonts w:asciiTheme="majorBidi" w:hAnsiTheme="majorBidi" w:cstheme="majorBidi"/>
          <w:b/>
          <w:bCs/>
          <w:sz w:val="24"/>
          <w:szCs w:val="24"/>
        </w:rPr>
      </w:pPr>
      <w:r w:rsidRPr="00C77651">
        <w:rPr>
          <w:rFonts w:asciiTheme="majorBidi" w:hAnsiTheme="majorBidi" w:cstheme="majorBidi"/>
          <w:b/>
          <w:bCs/>
          <w:sz w:val="24"/>
          <w:szCs w:val="24"/>
        </w:rPr>
        <w:t>Table 3.1</w:t>
      </w:r>
      <w:r w:rsidR="00C77651">
        <w:rPr>
          <w:rFonts w:asciiTheme="majorBidi" w:hAnsiTheme="majorBidi" w:cstheme="majorBidi"/>
          <w:b/>
          <w:bCs/>
          <w:sz w:val="24"/>
          <w:szCs w:val="24"/>
        </w:rPr>
        <w:t xml:space="preserve"> </w:t>
      </w:r>
      <w:r w:rsidRPr="00C77651">
        <w:rPr>
          <w:rFonts w:asciiTheme="majorBidi" w:hAnsiTheme="majorBidi" w:cstheme="majorBidi"/>
          <w:b/>
          <w:bCs/>
          <w:sz w:val="24"/>
          <w:szCs w:val="24"/>
        </w:rPr>
        <w:t xml:space="preserve">summary of sample size </w:t>
      </w:r>
    </w:p>
    <w:tbl>
      <w:tblPr>
        <w:tblStyle w:val="TableGrid"/>
        <w:tblW w:w="0" w:type="auto"/>
        <w:tblLook w:val="04A0" w:firstRow="1" w:lastRow="0" w:firstColumn="1" w:lastColumn="0" w:noHBand="0" w:noVBand="1"/>
      </w:tblPr>
      <w:tblGrid>
        <w:gridCol w:w="3243"/>
        <w:gridCol w:w="2739"/>
        <w:gridCol w:w="3034"/>
      </w:tblGrid>
      <w:tr w:rsidR="002469AF" w14:paraId="3D9D911B" w14:textId="77777777" w:rsidTr="002469AF">
        <w:tc>
          <w:tcPr>
            <w:tcW w:w="3243" w:type="dxa"/>
          </w:tcPr>
          <w:p w14:paraId="75BC97F7" w14:textId="5DC932D1" w:rsidR="002469AF" w:rsidRDefault="002469AF" w:rsidP="006D3D71">
            <w:pPr>
              <w:spacing w:line="360" w:lineRule="auto"/>
              <w:jc w:val="both"/>
              <w:rPr>
                <w:rFonts w:asciiTheme="majorBidi" w:hAnsiTheme="majorBidi" w:cstheme="majorBidi"/>
                <w:sz w:val="24"/>
                <w:szCs w:val="24"/>
              </w:rPr>
            </w:pPr>
            <w:r>
              <w:rPr>
                <w:rFonts w:asciiTheme="majorBidi" w:hAnsiTheme="majorBidi" w:cstheme="majorBidi"/>
                <w:sz w:val="24"/>
                <w:szCs w:val="24"/>
              </w:rPr>
              <w:t>Departments</w:t>
            </w:r>
          </w:p>
        </w:tc>
        <w:tc>
          <w:tcPr>
            <w:tcW w:w="2739" w:type="dxa"/>
          </w:tcPr>
          <w:p w14:paraId="36F7420F" w14:textId="262BE156" w:rsidR="002469AF" w:rsidRDefault="002469AF" w:rsidP="006D3D71">
            <w:pPr>
              <w:spacing w:line="360" w:lineRule="auto"/>
              <w:jc w:val="both"/>
              <w:rPr>
                <w:rFonts w:asciiTheme="majorBidi" w:hAnsiTheme="majorBidi" w:cstheme="majorBidi"/>
                <w:sz w:val="24"/>
                <w:szCs w:val="24"/>
              </w:rPr>
            </w:pPr>
            <w:r>
              <w:rPr>
                <w:rFonts w:asciiTheme="majorBidi" w:hAnsiTheme="majorBidi" w:cstheme="majorBidi"/>
                <w:sz w:val="24"/>
                <w:szCs w:val="24"/>
              </w:rPr>
              <w:t>Target population</w:t>
            </w:r>
          </w:p>
        </w:tc>
        <w:tc>
          <w:tcPr>
            <w:tcW w:w="3034" w:type="dxa"/>
          </w:tcPr>
          <w:p w14:paraId="5F1ED9FC" w14:textId="66DFE8EA" w:rsidR="002469AF" w:rsidRDefault="002469AF" w:rsidP="006D3D71">
            <w:pPr>
              <w:spacing w:line="360" w:lineRule="auto"/>
              <w:jc w:val="both"/>
              <w:rPr>
                <w:rFonts w:asciiTheme="majorBidi" w:hAnsiTheme="majorBidi" w:cstheme="majorBidi"/>
                <w:sz w:val="24"/>
                <w:szCs w:val="24"/>
              </w:rPr>
            </w:pPr>
            <w:r>
              <w:rPr>
                <w:rFonts w:asciiTheme="majorBidi" w:hAnsiTheme="majorBidi" w:cstheme="majorBidi"/>
                <w:sz w:val="24"/>
                <w:szCs w:val="24"/>
              </w:rPr>
              <w:t>Sample size</w:t>
            </w:r>
          </w:p>
        </w:tc>
      </w:tr>
      <w:tr w:rsidR="002469AF" w14:paraId="3F6F42AB" w14:textId="77777777" w:rsidTr="002469AF">
        <w:tc>
          <w:tcPr>
            <w:tcW w:w="3243" w:type="dxa"/>
          </w:tcPr>
          <w:p w14:paraId="60D49C9D" w14:textId="72180BB6" w:rsidR="002469AF" w:rsidRDefault="002469AF" w:rsidP="006D3D71">
            <w:pPr>
              <w:spacing w:line="360" w:lineRule="auto"/>
              <w:jc w:val="both"/>
              <w:rPr>
                <w:rFonts w:asciiTheme="majorBidi" w:hAnsiTheme="majorBidi" w:cstheme="majorBidi"/>
                <w:sz w:val="24"/>
                <w:szCs w:val="24"/>
              </w:rPr>
            </w:pPr>
            <w:r>
              <w:rPr>
                <w:rFonts w:asciiTheme="majorBidi" w:hAnsiTheme="majorBidi" w:cstheme="majorBidi"/>
                <w:sz w:val="24"/>
                <w:szCs w:val="24"/>
              </w:rPr>
              <w:t>Credit and risk management department</w:t>
            </w:r>
          </w:p>
        </w:tc>
        <w:tc>
          <w:tcPr>
            <w:tcW w:w="2739" w:type="dxa"/>
          </w:tcPr>
          <w:p w14:paraId="1D32A60F" w14:textId="704481A9" w:rsidR="002469AF" w:rsidRDefault="002469AF" w:rsidP="006D3D71">
            <w:pPr>
              <w:spacing w:line="360" w:lineRule="auto"/>
              <w:jc w:val="both"/>
              <w:rPr>
                <w:rFonts w:asciiTheme="majorBidi" w:hAnsiTheme="majorBidi" w:cstheme="majorBidi"/>
                <w:sz w:val="24"/>
                <w:szCs w:val="24"/>
              </w:rPr>
            </w:pPr>
            <w:r>
              <w:rPr>
                <w:rFonts w:asciiTheme="majorBidi" w:hAnsiTheme="majorBidi" w:cstheme="majorBidi"/>
                <w:sz w:val="24"/>
                <w:szCs w:val="24"/>
              </w:rPr>
              <w:t>28</w:t>
            </w:r>
          </w:p>
        </w:tc>
        <w:tc>
          <w:tcPr>
            <w:tcW w:w="3034" w:type="dxa"/>
          </w:tcPr>
          <w:p w14:paraId="57890AC6" w14:textId="27C5E15B" w:rsidR="002469AF" w:rsidRDefault="002469AF" w:rsidP="006D3D71">
            <w:pPr>
              <w:spacing w:line="360" w:lineRule="auto"/>
              <w:jc w:val="both"/>
              <w:rPr>
                <w:rFonts w:asciiTheme="majorBidi" w:hAnsiTheme="majorBidi" w:cstheme="majorBidi"/>
                <w:sz w:val="24"/>
                <w:szCs w:val="24"/>
              </w:rPr>
            </w:pPr>
            <w:r>
              <w:rPr>
                <w:rFonts w:asciiTheme="majorBidi" w:hAnsiTheme="majorBidi" w:cstheme="majorBidi"/>
                <w:sz w:val="24"/>
                <w:szCs w:val="24"/>
              </w:rPr>
              <w:t>17</w:t>
            </w:r>
          </w:p>
        </w:tc>
      </w:tr>
      <w:tr w:rsidR="002469AF" w14:paraId="0DCE633F" w14:textId="77777777" w:rsidTr="002469AF">
        <w:tc>
          <w:tcPr>
            <w:tcW w:w="3243" w:type="dxa"/>
          </w:tcPr>
          <w:p w14:paraId="2A5D73D0" w14:textId="5812CD47" w:rsidR="002469AF" w:rsidRDefault="002469AF" w:rsidP="006D3D71">
            <w:pPr>
              <w:spacing w:line="360" w:lineRule="auto"/>
              <w:jc w:val="both"/>
              <w:rPr>
                <w:rFonts w:asciiTheme="majorBidi" w:hAnsiTheme="majorBidi" w:cstheme="majorBidi"/>
                <w:sz w:val="24"/>
                <w:szCs w:val="24"/>
              </w:rPr>
            </w:pPr>
            <w:r>
              <w:rPr>
                <w:rFonts w:asciiTheme="majorBidi" w:hAnsiTheme="majorBidi" w:cstheme="majorBidi"/>
                <w:sz w:val="24"/>
                <w:szCs w:val="24"/>
              </w:rPr>
              <w:t>Finance and management department</w:t>
            </w:r>
          </w:p>
        </w:tc>
        <w:tc>
          <w:tcPr>
            <w:tcW w:w="2739" w:type="dxa"/>
          </w:tcPr>
          <w:p w14:paraId="56C4E8C3" w14:textId="540A0E9F" w:rsidR="002469AF" w:rsidRDefault="002469AF" w:rsidP="006D3D71">
            <w:pPr>
              <w:spacing w:line="360" w:lineRule="auto"/>
              <w:jc w:val="both"/>
              <w:rPr>
                <w:rFonts w:asciiTheme="majorBidi" w:hAnsiTheme="majorBidi" w:cstheme="majorBidi"/>
                <w:sz w:val="24"/>
                <w:szCs w:val="24"/>
              </w:rPr>
            </w:pPr>
            <w:r>
              <w:rPr>
                <w:rFonts w:asciiTheme="majorBidi" w:hAnsiTheme="majorBidi" w:cstheme="majorBidi"/>
                <w:sz w:val="24"/>
                <w:szCs w:val="24"/>
              </w:rPr>
              <w:t>11</w:t>
            </w:r>
          </w:p>
        </w:tc>
        <w:tc>
          <w:tcPr>
            <w:tcW w:w="3034" w:type="dxa"/>
          </w:tcPr>
          <w:p w14:paraId="5E30B64C" w14:textId="305F316C" w:rsidR="002469AF" w:rsidRDefault="002469AF" w:rsidP="006D3D71">
            <w:pPr>
              <w:spacing w:line="360" w:lineRule="auto"/>
              <w:jc w:val="both"/>
              <w:rPr>
                <w:rFonts w:asciiTheme="majorBidi" w:hAnsiTheme="majorBidi" w:cstheme="majorBidi"/>
                <w:sz w:val="24"/>
                <w:szCs w:val="24"/>
              </w:rPr>
            </w:pPr>
            <w:r>
              <w:rPr>
                <w:rFonts w:asciiTheme="majorBidi" w:hAnsiTheme="majorBidi" w:cstheme="majorBidi"/>
                <w:sz w:val="24"/>
                <w:szCs w:val="24"/>
              </w:rPr>
              <w:t>7</w:t>
            </w:r>
          </w:p>
        </w:tc>
      </w:tr>
      <w:tr w:rsidR="002469AF" w14:paraId="6D7071EE" w14:textId="77777777" w:rsidTr="002469AF">
        <w:tc>
          <w:tcPr>
            <w:tcW w:w="3243" w:type="dxa"/>
          </w:tcPr>
          <w:p w14:paraId="41C20F00" w14:textId="4158B1B7" w:rsidR="002469AF" w:rsidRDefault="002469AF" w:rsidP="006D3D71">
            <w:pPr>
              <w:spacing w:line="360" w:lineRule="auto"/>
              <w:jc w:val="both"/>
              <w:rPr>
                <w:rFonts w:asciiTheme="majorBidi" w:hAnsiTheme="majorBidi" w:cstheme="majorBidi"/>
                <w:sz w:val="24"/>
                <w:szCs w:val="24"/>
              </w:rPr>
            </w:pPr>
            <w:r>
              <w:rPr>
                <w:rFonts w:asciiTheme="majorBidi" w:hAnsiTheme="majorBidi" w:cstheme="majorBidi"/>
                <w:sz w:val="24"/>
                <w:szCs w:val="24"/>
              </w:rPr>
              <w:t>Loan department</w:t>
            </w:r>
          </w:p>
        </w:tc>
        <w:tc>
          <w:tcPr>
            <w:tcW w:w="2739" w:type="dxa"/>
          </w:tcPr>
          <w:p w14:paraId="5378AECA" w14:textId="3F4C890E" w:rsidR="002469AF" w:rsidRDefault="002469AF" w:rsidP="006D3D71">
            <w:pPr>
              <w:spacing w:line="360" w:lineRule="auto"/>
              <w:jc w:val="both"/>
              <w:rPr>
                <w:rFonts w:asciiTheme="majorBidi" w:hAnsiTheme="majorBidi" w:cstheme="majorBidi"/>
                <w:sz w:val="24"/>
                <w:szCs w:val="24"/>
              </w:rPr>
            </w:pPr>
            <w:r>
              <w:rPr>
                <w:rFonts w:asciiTheme="majorBidi" w:hAnsiTheme="majorBidi" w:cstheme="majorBidi"/>
                <w:sz w:val="24"/>
                <w:szCs w:val="24"/>
              </w:rPr>
              <w:t>18</w:t>
            </w:r>
          </w:p>
        </w:tc>
        <w:tc>
          <w:tcPr>
            <w:tcW w:w="3034" w:type="dxa"/>
          </w:tcPr>
          <w:p w14:paraId="4CC645CC" w14:textId="1BD6D278" w:rsidR="002469AF" w:rsidRDefault="002469AF" w:rsidP="006D3D71">
            <w:pPr>
              <w:spacing w:line="360" w:lineRule="auto"/>
              <w:jc w:val="both"/>
              <w:rPr>
                <w:rFonts w:asciiTheme="majorBidi" w:hAnsiTheme="majorBidi" w:cstheme="majorBidi"/>
                <w:sz w:val="24"/>
                <w:szCs w:val="24"/>
              </w:rPr>
            </w:pPr>
            <w:r>
              <w:rPr>
                <w:rFonts w:asciiTheme="majorBidi" w:hAnsiTheme="majorBidi" w:cstheme="majorBidi"/>
                <w:sz w:val="24"/>
                <w:szCs w:val="24"/>
              </w:rPr>
              <w:t>9</w:t>
            </w:r>
          </w:p>
        </w:tc>
      </w:tr>
      <w:tr w:rsidR="002469AF" w14:paraId="56775669" w14:textId="77777777" w:rsidTr="002469AF">
        <w:tc>
          <w:tcPr>
            <w:tcW w:w="3243" w:type="dxa"/>
          </w:tcPr>
          <w:p w14:paraId="0DCFBAF7" w14:textId="4871AEBF" w:rsidR="002469AF" w:rsidRDefault="002469AF" w:rsidP="006D3D71">
            <w:pPr>
              <w:spacing w:line="360" w:lineRule="auto"/>
              <w:jc w:val="both"/>
              <w:rPr>
                <w:rFonts w:asciiTheme="majorBidi" w:hAnsiTheme="majorBidi" w:cstheme="majorBidi"/>
                <w:sz w:val="24"/>
                <w:szCs w:val="24"/>
              </w:rPr>
            </w:pPr>
            <w:r>
              <w:rPr>
                <w:rFonts w:asciiTheme="majorBidi" w:hAnsiTheme="majorBidi" w:cstheme="majorBidi"/>
                <w:sz w:val="24"/>
                <w:szCs w:val="24"/>
              </w:rPr>
              <w:t>Accounting department</w:t>
            </w:r>
          </w:p>
        </w:tc>
        <w:tc>
          <w:tcPr>
            <w:tcW w:w="2739" w:type="dxa"/>
          </w:tcPr>
          <w:p w14:paraId="58840FDB" w14:textId="6DC8333B" w:rsidR="002469AF" w:rsidRDefault="002469AF" w:rsidP="006D3D71">
            <w:pPr>
              <w:spacing w:line="360" w:lineRule="auto"/>
              <w:jc w:val="both"/>
              <w:rPr>
                <w:rFonts w:asciiTheme="majorBidi" w:hAnsiTheme="majorBidi" w:cstheme="majorBidi"/>
                <w:sz w:val="24"/>
                <w:szCs w:val="24"/>
              </w:rPr>
            </w:pPr>
            <w:r>
              <w:rPr>
                <w:rFonts w:asciiTheme="majorBidi" w:hAnsiTheme="majorBidi" w:cstheme="majorBidi"/>
                <w:sz w:val="24"/>
                <w:szCs w:val="24"/>
              </w:rPr>
              <w:t>20</w:t>
            </w:r>
          </w:p>
        </w:tc>
        <w:tc>
          <w:tcPr>
            <w:tcW w:w="3034" w:type="dxa"/>
          </w:tcPr>
          <w:p w14:paraId="754440D0" w14:textId="77164CC1" w:rsidR="002469AF" w:rsidRDefault="002469AF" w:rsidP="006D3D71">
            <w:pPr>
              <w:spacing w:line="360" w:lineRule="auto"/>
              <w:jc w:val="both"/>
              <w:rPr>
                <w:rFonts w:asciiTheme="majorBidi" w:hAnsiTheme="majorBidi" w:cstheme="majorBidi"/>
                <w:sz w:val="24"/>
                <w:szCs w:val="24"/>
              </w:rPr>
            </w:pPr>
            <w:r>
              <w:rPr>
                <w:rFonts w:asciiTheme="majorBidi" w:hAnsiTheme="majorBidi" w:cstheme="majorBidi"/>
                <w:sz w:val="24"/>
                <w:szCs w:val="24"/>
              </w:rPr>
              <w:t>12</w:t>
            </w:r>
          </w:p>
        </w:tc>
      </w:tr>
      <w:tr w:rsidR="002469AF" w14:paraId="05D7006D" w14:textId="77777777" w:rsidTr="002469AF">
        <w:tc>
          <w:tcPr>
            <w:tcW w:w="3243" w:type="dxa"/>
          </w:tcPr>
          <w:p w14:paraId="3B3AD4E2" w14:textId="4A0C8958" w:rsidR="002469AF" w:rsidRDefault="002469AF" w:rsidP="006D3D71">
            <w:pPr>
              <w:spacing w:line="360" w:lineRule="auto"/>
              <w:jc w:val="both"/>
              <w:rPr>
                <w:rFonts w:asciiTheme="majorBidi" w:hAnsiTheme="majorBidi" w:cstheme="majorBidi"/>
                <w:sz w:val="24"/>
                <w:szCs w:val="24"/>
              </w:rPr>
            </w:pPr>
            <w:r>
              <w:rPr>
                <w:rFonts w:asciiTheme="majorBidi" w:hAnsiTheme="majorBidi" w:cstheme="majorBidi"/>
                <w:sz w:val="24"/>
                <w:szCs w:val="24"/>
              </w:rPr>
              <w:t>Recovery department</w:t>
            </w:r>
          </w:p>
        </w:tc>
        <w:tc>
          <w:tcPr>
            <w:tcW w:w="2739" w:type="dxa"/>
          </w:tcPr>
          <w:p w14:paraId="72DAB516" w14:textId="74F7E4D4" w:rsidR="002469AF" w:rsidRDefault="002469AF" w:rsidP="006D3D71">
            <w:pPr>
              <w:spacing w:line="360" w:lineRule="auto"/>
              <w:jc w:val="both"/>
              <w:rPr>
                <w:rFonts w:asciiTheme="majorBidi" w:hAnsiTheme="majorBidi" w:cstheme="majorBidi"/>
                <w:sz w:val="24"/>
                <w:szCs w:val="24"/>
              </w:rPr>
            </w:pPr>
            <w:r>
              <w:rPr>
                <w:rFonts w:asciiTheme="majorBidi" w:hAnsiTheme="majorBidi" w:cstheme="majorBidi"/>
                <w:sz w:val="24"/>
                <w:szCs w:val="24"/>
              </w:rPr>
              <w:t>14</w:t>
            </w:r>
          </w:p>
        </w:tc>
        <w:tc>
          <w:tcPr>
            <w:tcW w:w="3034" w:type="dxa"/>
          </w:tcPr>
          <w:p w14:paraId="5B05BAAA" w14:textId="3665095B" w:rsidR="002469AF" w:rsidRDefault="002469AF" w:rsidP="006D3D71">
            <w:pPr>
              <w:spacing w:line="360" w:lineRule="auto"/>
              <w:jc w:val="both"/>
              <w:rPr>
                <w:rFonts w:asciiTheme="majorBidi" w:hAnsiTheme="majorBidi" w:cstheme="majorBidi"/>
                <w:sz w:val="24"/>
                <w:szCs w:val="24"/>
              </w:rPr>
            </w:pPr>
            <w:r>
              <w:rPr>
                <w:rFonts w:asciiTheme="majorBidi" w:hAnsiTheme="majorBidi" w:cstheme="majorBidi"/>
                <w:sz w:val="24"/>
                <w:szCs w:val="24"/>
              </w:rPr>
              <w:t>8</w:t>
            </w:r>
          </w:p>
        </w:tc>
      </w:tr>
      <w:tr w:rsidR="002469AF" w14:paraId="5C92682D" w14:textId="77777777" w:rsidTr="002469AF">
        <w:tc>
          <w:tcPr>
            <w:tcW w:w="3243" w:type="dxa"/>
          </w:tcPr>
          <w:p w14:paraId="243801F5" w14:textId="7A2D7126" w:rsidR="002469AF" w:rsidRDefault="002469AF" w:rsidP="006D3D71">
            <w:pPr>
              <w:spacing w:line="360" w:lineRule="auto"/>
              <w:jc w:val="both"/>
              <w:rPr>
                <w:rFonts w:asciiTheme="majorBidi" w:hAnsiTheme="majorBidi" w:cstheme="majorBidi"/>
                <w:sz w:val="24"/>
                <w:szCs w:val="24"/>
              </w:rPr>
            </w:pPr>
            <w:r>
              <w:rPr>
                <w:rFonts w:asciiTheme="majorBidi" w:hAnsiTheme="majorBidi" w:cstheme="majorBidi"/>
                <w:sz w:val="24"/>
                <w:szCs w:val="24"/>
              </w:rPr>
              <w:t>Strategic and planning department</w:t>
            </w:r>
          </w:p>
        </w:tc>
        <w:tc>
          <w:tcPr>
            <w:tcW w:w="2739" w:type="dxa"/>
          </w:tcPr>
          <w:p w14:paraId="07B8B5EC" w14:textId="5B35764F" w:rsidR="002469AF" w:rsidRDefault="002469AF" w:rsidP="006D3D71">
            <w:pPr>
              <w:spacing w:line="360" w:lineRule="auto"/>
              <w:jc w:val="both"/>
              <w:rPr>
                <w:rFonts w:asciiTheme="majorBidi" w:hAnsiTheme="majorBidi" w:cstheme="majorBidi"/>
                <w:sz w:val="24"/>
                <w:szCs w:val="24"/>
              </w:rPr>
            </w:pPr>
            <w:r>
              <w:rPr>
                <w:rFonts w:asciiTheme="majorBidi" w:hAnsiTheme="majorBidi" w:cstheme="majorBidi"/>
                <w:sz w:val="24"/>
                <w:szCs w:val="24"/>
              </w:rPr>
              <w:t>9</w:t>
            </w:r>
          </w:p>
        </w:tc>
        <w:tc>
          <w:tcPr>
            <w:tcW w:w="3034" w:type="dxa"/>
          </w:tcPr>
          <w:p w14:paraId="13AFDBDD" w14:textId="24AF199A" w:rsidR="002469AF" w:rsidRDefault="002469AF" w:rsidP="006D3D71">
            <w:pPr>
              <w:spacing w:line="360" w:lineRule="auto"/>
              <w:jc w:val="both"/>
              <w:rPr>
                <w:rFonts w:asciiTheme="majorBidi" w:hAnsiTheme="majorBidi" w:cstheme="majorBidi"/>
                <w:sz w:val="24"/>
                <w:szCs w:val="24"/>
              </w:rPr>
            </w:pPr>
            <w:r>
              <w:rPr>
                <w:rFonts w:asciiTheme="majorBidi" w:hAnsiTheme="majorBidi" w:cstheme="majorBidi"/>
                <w:sz w:val="24"/>
                <w:szCs w:val="24"/>
              </w:rPr>
              <w:t>6</w:t>
            </w:r>
          </w:p>
        </w:tc>
      </w:tr>
      <w:tr w:rsidR="002469AF" w14:paraId="2BDD7B7C" w14:textId="77777777" w:rsidTr="002469AF">
        <w:tc>
          <w:tcPr>
            <w:tcW w:w="3243" w:type="dxa"/>
          </w:tcPr>
          <w:p w14:paraId="77B37DB5" w14:textId="161753E1" w:rsidR="002469AF" w:rsidRDefault="002469AF" w:rsidP="006D3D71">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Total</w:t>
            </w:r>
          </w:p>
        </w:tc>
        <w:tc>
          <w:tcPr>
            <w:tcW w:w="2739" w:type="dxa"/>
          </w:tcPr>
          <w:p w14:paraId="1425F0E8" w14:textId="46A7BFB2" w:rsidR="002469AF" w:rsidRDefault="002469AF" w:rsidP="006D3D71">
            <w:pPr>
              <w:spacing w:line="360" w:lineRule="auto"/>
              <w:jc w:val="both"/>
              <w:rPr>
                <w:rFonts w:asciiTheme="majorBidi" w:hAnsiTheme="majorBidi" w:cstheme="majorBidi"/>
                <w:sz w:val="24"/>
                <w:szCs w:val="24"/>
              </w:rPr>
            </w:pPr>
            <w:r>
              <w:rPr>
                <w:rFonts w:asciiTheme="majorBidi" w:hAnsiTheme="majorBidi" w:cstheme="majorBidi"/>
                <w:sz w:val="24"/>
                <w:szCs w:val="24"/>
              </w:rPr>
              <w:t>100</w:t>
            </w:r>
          </w:p>
        </w:tc>
        <w:tc>
          <w:tcPr>
            <w:tcW w:w="3034" w:type="dxa"/>
          </w:tcPr>
          <w:p w14:paraId="3BEA7028" w14:textId="54FACA01" w:rsidR="002469AF" w:rsidRDefault="002469AF" w:rsidP="006D3D71">
            <w:pPr>
              <w:spacing w:line="360" w:lineRule="auto"/>
              <w:jc w:val="both"/>
              <w:rPr>
                <w:rFonts w:asciiTheme="majorBidi" w:hAnsiTheme="majorBidi" w:cstheme="majorBidi"/>
                <w:sz w:val="24"/>
                <w:szCs w:val="24"/>
              </w:rPr>
            </w:pPr>
            <w:r>
              <w:rPr>
                <w:rFonts w:asciiTheme="majorBidi" w:hAnsiTheme="majorBidi" w:cstheme="majorBidi"/>
                <w:sz w:val="24"/>
                <w:szCs w:val="24"/>
              </w:rPr>
              <w:t>59</w:t>
            </w:r>
          </w:p>
        </w:tc>
      </w:tr>
    </w:tbl>
    <w:p w14:paraId="69CC1A0F" w14:textId="4064BEC8" w:rsidR="003F0834" w:rsidRDefault="003F0834" w:rsidP="006D3D71">
      <w:pPr>
        <w:spacing w:line="360" w:lineRule="auto"/>
        <w:jc w:val="both"/>
        <w:rPr>
          <w:rFonts w:asciiTheme="majorBidi" w:hAnsiTheme="majorBidi" w:cstheme="majorBidi"/>
          <w:sz w:val="24"/>
          <w:szCs w:val="24"/>
        </w:rPr>
      </w:pPr>
    </w:p>
    <w:p w14:paraId="73F7D08D" w14:textId="77777777" w:rsidR="0047315B" w:rsidRPr="006D3D71" w:rsidRDefault="0047315B" w:rsidP="006D3D71">
      <w:pPr>
        <w:spacing w:line="360" w:lineRule="auto"/>
        <w:jc w:val="both"/>
        <w:rPr>
          <w:rFonts w:asciiTheme="majorBidi" w:hAnsiTheme="majorBidi" w:cstheme="majorBidi"/>
          <w:sz w:val="24"/>
          <w:szCs w:val="24"/>
        </w:rPr>
      </w:pPr>
    </w:p>
    <w:p w14:paraId="6F17F23E" w14:textId="77777777" w:rsidR="003F0834" w:rsidRPr="006D3D71" w:rsidRDefault="003F0834" w:rsidP="006D3D71">
      <w:pPr>
        <w:pStyle w:val="Heading2"/>
        <w:spacing w:line="360" w:lineRule="auto"/>
        <w:jc w:val="both"/>
        <w:rPr>
          <w:rFonts w:asciiTheme="majorBidi" w:eastAsia="Times New Roman" w:hAnsiTheme="majorBidi"/>
          <w:b/>
          <w:bCs/>
          <w:color w:val="auto"/>
          <w:sz w:val="24"/>
          <w:szCs w:val="24"/>
        </w:rPr>
      </w:pPr>
      <w:bookmarkStart w:id="1104" w:name="_Toc193282249"/>
      <w:bookmarkStart w:id="1105" w:name="_Toc193282415"/>
      <w:bookmarkStart w:id="1106" w:name="_Toc193846471"/>
      <w:r w:rsidRPr="006D3D71">
        <w:rPr>
          <w:rFonts w:asciiTheme="majorBidi" w:eastAsia="Times New Roman" w:hAnsiTheme="majorBidi"/>
          <w:b/>
          <w:bCs/>
          <w:color w:val="auto"/>
          <w:sz w:val="24"/>
          <w:szCs w:val="24"/>
        </w:rPr>
        <w:t>3.3.2 Sampling technique</w:t>
      </w:r>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94"/>
      <w:bookmarkEnd w:id="1095"/>
      <w:bookmarkEnd w:id="1096"/>
      <w:bookmarkEnd w:id="1097"/>
      <w:bookmarkEnd w:id="1098"/>
      <w:bookmarkEnd w:id="1099"/>
      <w:bookmarkEnd w:id="1100"/>
      <w:bookmarkEnd w:id="1101"/>
      <w:bookmarkEnd w:id="1102"/>
      <w:bookmarkEnd w:id="1103"/>
      <w:bookmarkEnd w:id="1104"/>
      <w:bookmarkEnd w:id="1105"/>
      <w:bookmarkEnd w:id="1106"/>
    </w:p>
    <w:p w14:paraId="04B52F1C" w14:textId="6150B0BE" w:rsidR="003F0834" w:rsidRPr="006D3D71" w:rsidRDefault="003F0834" w:rsidP="006D3D71">
      <w:pPr>
        <w:spacing w:line="360" w:lineRule="auto"/>
        <w:jc w:val="both"/>
        <w:rPr>
          <w:rFonts w:asciiTheme="majorBidi" w:hAnsiTheme="majorBidi" w:cstheme="majorBidi"/>
          <w:sz w:val="24"/>
          <w:szCs w:val="24"/>
        </w:rPr>
      </w:pPr>
      <w:bookmarkStart w:id="1107" w:name="_Toc165640104"/>
      <w:bookmarkStart w:id="1108" w:name="_Toc165639895"/>
      <w:bookmarkStart w:id="1109" w:name="_Toc163808547"/>
      <w:bookmarkStart w:id="1110" w:name="_Toc163808424"/>
      <w:bookmarkStart w:id="1111" w:name="_Toc163052542"/>
      <w:bookmarkStart w:id="1112" w:name="_Toc183425163"/>
      <w:bookmarkStart w:id="1113" w:name="_Toc183425254"/>
      <w:bookmarkStart w:id="1114" w:name="_Toc183426942"/>
      <w:bookmarkStart w:id="1115" w:name="_Toc160712493"/>
      <w:bookmarkStart w:id="1116" w:name="_Toc160712402"/>
      <w:bookmarkStart w:id="1117" w:name="_Toc513041364"/>
      <w:bookmarkStart w:id="1118" w:name="_Toc513041625"/>
      <w:bookmarkStart w:id="1119" w:name="_Toc513042135"/>
      <w:bookmarkStart w:id="1120" w:name="_Toc523982540"/>
      <w:bookmarkStart w:id="1121" w:name="_Toc523982863"/>
      <w:bookmarkStart w:id="1122" w:name="_Toc523983059"/>
      <w:bookmarkStart w:id="1123" w:name="_Toc523983768"/>
      <w:bookmarkStart w:id="1124" w:name="_Toc523983874"/>
      <w:bookmarkStart w:id="1125" w:name="_Toc524693380"/>
      <w:bookmarkStart w:id="1126" w:name="_Toc524949118"/>
      <w:bookmarkStart w:id="1127" w:name="_Toc535316369"/>
      <w:bookmarkStart w:id="1128" w:name="_Toc535317664"/>
      <w:bookmarkStart w:id="1129" w:name="_Toc60645650"/>
      <w:bookmarkStart w:id="1130" w:name="_Toc60645794"/>
      <w:bookmarkStart w:id="1131" w:name="_Toc60645899"/>
      <w:bookmarkStart w:id="1132" w:name="_Toc60646010"/>
      <w:bookmarkStart w:id="1133" w:name="_Toc71539956"/>
      <w:bookmarkStart w:id="1134" w:name="_Toc83795241"/>
      <w:bookmarkStart w:id="1135" w:name="_Toc83795372"/>
      <w:bookmarkStart w:id="1136" w:name="_Toc83795483"/>
      <w:bookmarkStart w:id="1137" w:name="_Toc83871120"/>
      <w:bookmarkStart w:id="1138" w:name="_Toc83871232"/>
      <w:bookmarkStart w:id="1139" w:name="_Toc85525486"/>
      <w:bookmarkStart w:id="1140" w:name="_Toc89785864"/>
      <w:bookmarkStart w:id="1141" w:name="_Toc114143689"/>
      <w:bookmarkStart w:id="1142" w:name="_Toc114144661"/>
      <w:bookmarkStart w:id="1143" w:name="_Toc114144741"/>
      <w:bookmarkStart w:id="1144" w:name="_Toc115951823"/>
      <w:bookmarkStart w:id="1145" w:name="_Toc119068745"/>
      <w:bookmarkStart w:id="1146" w:name="_Toc467607317"/>
      <w:bookmarkStart w:id="1147" w:name="_Toc511372332"/>
      <w:bookmarkStart w:id="1148" w:name="_Toc511382839"/>
      <w:bookmarkStart w:id="1149" w:name="_Toc511382962"/>
      <w:bookmarkStart w:id="1150" w:name="_Toc512596379"/>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r w:rsidRPr="006D3D71">
        <w:rPr>
          <w:rFonts w:asciiTheme="majorBidi" w:hAnsiTheme="majorBidi" w:cstheme="majorBidi"/>
          <w:sz w:val="24"/>
          <w:szCs w:val="24"/>
        </w:rPr>
        <w:t>The sampling technique used in this study is non-probability sampling, specifically a census approach, as the study rel</w:t>
      </w:r>
      <w:r w:rsidR="00D62D44" w:rsidRPr="006D3D71">
        <w:rPr>
          <w:rFonts w:asciiTheme="majorBidi" w:hAnsiTheme="majorBidi" w:cstheme="majorBidi"/>
          <w:sz w:val="24"/>
          <w:szCs w:val="24"/>
        </w:rPr>
        <w:t>ied</w:t>
      </w:r>
      <w:r w:rsidRPr="006D3D71">
        <w:rPr>
          <w:rFonts w:asciiTheme="majorBidi" w:hAnsiTheme="majorBidi" w:cstheme="majorBidi"/>
          <w:sz w:val="24"/>
          <w:szCs w:val="24"/>
        </w:rPr>
        <w:t xml:space="preserve"> on the entire available population of secondary data from GT Bank Plc Rwanda for the period 2019 to 2023. This approach involves using all relevant data points from the bank’s financial reports and risk management records for each of the 12 identified variables over the five-year period. Therefore, there </w:t>
      </w:r>
      <w:r w:rsidR="00575F6F" w:rsidRPr="006D3D71">
        <w:rPr>
          <w:rFonts w:asciiTheme="majorBidi" w:hAnsiTheme="majorBidi" w:cstheme="majorBidi"/>
          <w:sz w:val="24"/>
          <w:szCs w:val="24"/>
        </w:rPr>
        <w:t>was</w:t>
      </w:r>
      <w:r w:rsidRPr="006D3D71">
        <w:rPr>
          <w:rFonts w:asciiTheme="majorBidi" w:hAnsiTheme="majorBidi" w:cstheme="majorBidi"/>
          <w:sz w:val="24"/>
          <w:szCs w:val="24"/>
        </w:rPr>
        <w:t xml:space="preserve"> no random selection of data, and all 55 observations (11 variables × 5 years) </w:t>
      </w:r>
      <w:r w:rsidR="00575F6F" w:rsidRPr="006D3D71">
        <w:rPr>
          <w:rFonts w:asciiTheme="majorBidi" w:hAnsiTheme="majorBidi" w:cstheme="majorBidi"/>
          <w:sz w:val="24"/>
          <w:szCs w:val="24"/>
        </w:rPr>
        <w:t>was</w:t>
      </w:r>
      <w:r w:rsidRPr="006D3D71">
        <w:rPr>
          <w:rFonts w:asciiTheme="majorBidi" w:hAnsiTheme="majorBidi" w:cstheme="majorBidi"/>
          <w:sz w:val="24"/>
          <w:szCs w:val="24"/>
        </w:rPr>
        <w:t xml:space="preserve"> included in the study, ensuring comprehensive coverage of the risk management practices and financial performance of the bank.</w:t>
      </w:r>
    </w:p>
    <w:p w14:paraId="35DCFEF1" w14:textId="77777777" w:rsidR="003F0834" w:rsidRPr="006D3D71" w:rsidRDefault="003F0834" w:rsidP="006D3D71">
      <w:pPr>
        <w:pStyle w:val="Heading2"/>
        <w:spacing w:line="360" w:lineRule="auto"/>
        <w:jc w:val="both"/>
        <w:rPr>
          <w:rFonts w:asciiTheme="majorBidi" w:eastAsia="Times New Roman" w:hAnsiTheme="majorBidi"/>
          <w:b/>
          <w:bCs/>
          <w:color w:val="auto"/>
          <w:sz w:val="24"/>
          <w:szCs w:val="24"/>
        </w:rPr>
      </w:pPr>
      <w:bookmarkStart w:id="1151" w:name="_Toc193282250"/>
      <w:bookmarkStart w:id="1152" w:name="_Toc193282416"/>
      <w:bookmarkStart w:id="1153" w:name="_Toc193846472"/>
      <w:r w:rsidRPr="006D3D71">
        <w:rPr>
          <w:rFonts w:asciiTheme="majorBidi" w:eastAsia="Times New Roman" w:hAnsiTheme="majorBidi"/>
          <w:b/>
          <w:bCs/>
          <w:color w:val="auto"/>
          <w:sz w:val="24"/>
          <w:szCs w:val="24"/>
        </w:rPr>
        <w:t>3.4 Data collection techniques and tools</w:t>
      </w:r>
      <w:bookmarkEnd w:id="1107"/>
      <w:bookmarkEnd w:id="1108"/>
      <w:bookmarkEnd w:id="1109"/>
      <w:bookmarkEnd w:id="1110"/>
      <w:bookmarkEnd w:id="1111"/>
      <w:bookmarkEnd w:id="1112"/>
      <w:bookmarkEnd w:id="1113"/>
      <w:bookmarkEnd w:id="1114"/>
      <w:bookmarkEnd w:id="1151"/>
      <w:bookmarkEnd w:id="1152"/>
      <w:bookmarkEnd w:id="1153"/>
      <w:r w:rsidRPr="006D3D71">
        <w:rPr>
          <w:rFonts w:asciiTheme="majorBidi" w:eastAsia="Times New Roman" w:hAnsiTheme="majorBidi"/>
          <w:b/>
          <w:bCs/>
          <w:color w:val="auto"/>
          <w:sz w:val="24"/>
          <w:szCs w:val="24"/>
        </w:rPr>
        <w:t xml:space="preserve">  </w:t>
      </w:r>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p>
    <w:p w14:paraId="43A9DE6B" w14:textId="77777777" w:rsidR="00670E8A" w:rsidRPr="00670E8A" w:rsidRDefault="00670E8A" w:rsidP="00670E8A">
      <w:pPr>
        <w:spacing w:after="0" w:line="360" w:lineRule="auto"/>
        <w:jc w:val="both"/>
        <w:rPr>
          <w:rFonts w:asciiTheme="majorBidi" w:hAnsiTheme="majorBidi" w:cstheme="majorBidi"/>
          <w:sz w:val="24"/>
          <w:szCs w:val="24"/>
        </w:rPr>
      </w:pPr>
      <w:bookmarkStart w:id="1154" w:name="_Toc165640107"/>
      <w:bookmarkStart w:id="1155" w:name="_Toc165639898"/>
      <w:bookmarkStart w:id="1156" w:name="_Toc163808550"/>
      <w:bookmarkStart w:id="1157" w:name="_Toc163808427"/>
      <w:bookmarkStart w:id="1158" w:name="_Toc163052545"/>
      <w:bookmarkStart w:id="1159" w:name="_Toc160712496"/>
      <w:bookmarkStart w:id="1160" w:name="_Toc160712405"/>
      <w:bookmarkStart w:id="1161" w:name="_Toc498317859"/>
      <w:bookmarkStart w:id="1162" w:name="_Toc525711351"/>
      <w:bookmarkStart w:id="1163" w:name="_Toc85338997"/>
      <w:bookmarkStart w:id="1164" w:name="_Toc183425257"/>
      <w:bookmarkStart w:id="1165" w:name="_Toc183426945"/>
      <w:bookmarkEnd w:id="1146"/>
      <w:bookmarkEnd w:id="1147"/>
      <w:bookmarkEnd w:id="1148"/>
      <w:bookmarkEnd w:id="1149"/>
      <w:bookmarkEnd w:id="1150"/>
      <w:r w:rsidRPr="00670E8A">
        <w:rPr>
          <w:rFonts w:asciiTheme="majorBidi" w:hAnsiTheme="majorBidi" w:cstheme="majorBidi"/>
          <w:sz w:val="24"/>
          <w:szCs w:val="24"/>
        </w:rPr>
        <w:t>The data collection technique for this study involved the use of both primary and secondary data. Secondary data specifically included financial and risk management records from GT Bank Plc Rwanda for the period 2019 to 2023. The primary source of data was the bank’s annual financial statements, annual reports, and internal risk management reports provided by GT Bank employees. These documents offered detailed information on the bank’s financial performance and credit risk management strategies. The documents were accessed from the bank's publicly available records or obtained directly from the bank’s management when necessary.</w:t>
      </w:r>
    </w:p>
    <w:p w14:paraId="66C6870F" w14:textId="77777777" w:rsidR="00670E8A" w:rsidRPr="00670E8A" w:rsidRDefault="00670E8A" w:rsidP="00670E8A">
      <w:pPr>
        <w:spacing w:after="0" w:line="360" w:lineRule="auto"/>
        <w:jc w:val="both"/>
        <w:rPr>
          <w:rFonts w:asciiTheme="majorBidi" w:hAnsiTheme="majorBidi" w:cstheme="majorBidi"/>
          <w:sz w:val="24"/>
          <w:szCs w:val="24"/>
        </w:rPr>
      </w:pPr>
      <w:r w:rsidRPr="00670E8A">
        <w:rPr>
          <w:rFonts w:asciiTheme="majorBidi" w:hAnsiTheme="majorBidi" w:cstheme="majorBidi"/>
          <w:sz w:val="24"/>
          <w:szCs w:val="24"/>
        </w:rPr>
        <w:t>The key data collected included Net Interest Margin, Return on Equity, Return on Assets, Cash Ratio, Capital Adequacy Ratio, Loans to Deposit Ratio, and credit risk management variables such as Borrower Creditworthiness Assessment, Credit Concentration Risk, Debt Restructuring &amp; Recovery Strategies, Credit Risk Monitoring Frequency, Collateral Management, and Credit Risk Rating Systems. The data was extracted systematically, ensuring the inclusion of all necessary information for each year within the five-year period. This provided a solid foundation for statistical analysis.</w:t>
      </w:r>
    </w:p>
    <w:p w14:paraId="66D0C968" w14:textId="77777777" w:rsidR="00670E8A" w:rsidRPr="006D3D71" w:rsidRDefault="00670E8A" w:rsidP="006D3D71">
      <w:pPr>
        <w:spacing w:after="0" w:line="360" w:lineRule="auto"/>
        <w:rPr>
          <w:rFonts w:asciiTheme="majorBidi" w:hAnsiTheme="majorBidi" w:cstheme="majorBidi"/>
          <w:sz w:val="24"/>
          <w:szCs w:val="24"/>
        </w:rPr>
      </w:pPr>
    </w:p>
    <w:p w14:paraId="34DB1407" w14:textId="77777777" w:rsidR="003F0834" w:rsidRPr="006D3D71" w:rsidRDefault="003F0834" w:rsidP="006D3D71">
      <w:pPr>
        <w:pStyle w:val="Heading2"/>
        <w:spacing w:line="360" w:lineRule="auto"/>
        <w:jc w:val="both"/>
        <w:rPr>
          <w:rFonts w:asciiTheme="majorBidi" w:eastAsia="Times New Roman" w:hAnsiTheme="majorBidi"/>
          <w:b/>
          <w:bCs/>
          <w:color w:val="auto"/>
          <w:sz w:val="24"/>
          <w:szCs w:val="24"/>
        </w:rPr>
      </w:pPr>
      <w:bookmarkStart w:id="1166" w:name="_Toc193282251"/>
      <w:bookmarkStart w:id="1167" w:name="_Toc193282417"/>
      <w:bookmarkStart w:id="1168" w:name="_Toc193846473"/>
      <w:r w:rsidRPr="006D3D71">
        <w:rPr>
          <w:rFonts w:asciiTheme="majorBidi" w:eastAsia="Times New Roman" w:hAnsiTheme="majorBidi"/>
          <w:b/>
          <w:bCs/>
          <w:color w:val="auto"/>
          <w:sz w:val="24"/>
          <w:szCs w:val="24"/>
        </w:rPr>
        <w:lastRenderedPageBreak/>
        <w:t>3.5. Data Validity and reliability</w:t>
      </w:r>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r w:rsidRPr="006D3D71">
        <w:rPr>
          <w:rFonts w:asciiTheme="majorBidi" w:eastAsia="Times New Roman" w:hAnsiTheme="majorBidi"/>
          <w:b/>
          <w:bCs/>
          <w:color w:val="auto"/>
          <w:sz w:val="24"/>
          <w:szCs w:val="24"/>
        </w:rPr>
        <w:t xml:space="preserve"> </w:t>
      </w:r>
    </w:p>
    <w:p w14:paraId="539C17F3" w14:textId="77777777" w:rsidR="003F0834" w:rsidRPr="006D3D71" w:rsidRDefault="003F0834" w:rsidP="006D3D71">
      <w:pPr>
        <w:autoSpaceDE w:val="0"/>
        <w:autoSpaceDN w:val="0"/>
        <w:adjustRightInd w:val="0"/>
        <w:spacing w:after="0" w:line="360" w:lineRule="auto"/>
        <w:jc w:val="both"/>
        <w:rPr>
          <w:rFonts w:asciiTheme="majorBidi" w:hAnsiTheme="majorBidi" w:cstheme="majorBidi"/>
          <w:sz w:val="24"/>
          <w:szCs w:val="24"/>
        </w:rPr>
      </w:pPr>
      <w:bookmarkStart w:id="1169" w:name="_Toc396466930"/>
      <w:bookmarkStart w:id="1170" w:name="_Toc397414966"/>
      <w:bookmarkStart w:id="1171" w:name="_Toc398296019"/>
      <w:bookmarkStart w:id="1172" w:name="_Toc398296147"/>
      <w:bookmarkStart w:id="1173" w:name="_Toc398296287"/>
      <w:bookmarkStart w:id="1174" w:name="_Toc398296468"/>
      <w:bookmarkStart w:id="1175" w:name="_Toc398296550"/>
      <w:bookmarkStart w:id="1176" w:name="_Toc428530741"/>
      <w:bookmarkStart w:id="1177" w:name="_Toc431048804"/>
      <w:bookmarkStart w:id="1178" w:name="_Toc464182778"/>
      <w:bookmarkStart w:id="1179" w:name="_Toc498317860"/>
      <w:bookmarkStart w:id="1180" w:name="_Toc525711352"/>
      <w:bookmarkStart w:id="1181" w:name="_Toc85338998"/>
      <w:bookmarkStart w:id="1182" w:name="_Toc453595493"/>
      <w:r w:rsidRPr="006D3D71">
        <w:rPr>
          <w:rFonts w:asciiTheme="majorBidi" w:hAnsiTheme="majorBidi" w:cstheme="majorBidi"/>
          <w:sz w:val="24"/>
          <w:szCs w:val="24"/>
        </w:rPr>
        <w:t>To ensure that the instrument measured what it supposed to measure, the instrument is checked to insure validity and reliability.</w:t>
      </w:r>
    </w:p>
    <w:p w14:paraId="264FA317" w14:textId="77777777" w:rsidR="003F0834" w:rsidRPr="006D3D71" w:rsidRDefault="003F0834" w:rsidP="006D3D71">
      <w:pPr>
        <w:pStyle w:val="Heading2"/>
        <w:spacing w:line="360" w:lineRule="auto"/>
        <w:jc w:val="both"/>
        <w:rPr>
          <w:rFonts w:asciiTheme="majorBidi" w:eastAsia="Times New Roman" w:hAnsiTheme="majorBidi"/>
          <w:b/>
          <w:bCs/>
          <w:color w:val="auto"/>
          <w:sz w:val="24"/>
          <w:szCs w:val="24"/>
        </w:rPr>
      </w:pPr>
      <w:bookmarkStart w:id="1183" w:name="_Toc165640108"/>
      <w:bookmarkStart w:id="1184" w:name="_Toc165639899"/>
      <w:bookmarkStart w:id="1185" w:name="_Toc163808551"/>
      <w:bookmarkStart w:id="1186" w:name="_Toc163808428"/>
      <w:bookmarkStart w:id="1187" w:name="_Toc163052546"/>
      <w:bookmarkStart w:id="1188" w:name="_Toc160712497"/>
      <w:bookmarkStart w:id="1189" w:name="_Toc160712406"/>
      <w:bookmarkStart w:id="1190" w:name="_Toc183425258"/>
      <w:bookmarkStart w:id="1191" w:name="_Toc183426946"/>
      <w:bookmarkStart w:id="1192" w:name="_Toc193282252"/>
      <w:bookmarkStart w:id="1193" w:name="_Toc193282418"/>
      <w:bookmarkStart w:id="1194" w:name="_Toc193846474"/>
      <w:r w:rsidRPr="006D3D71">
        <w:rPr>
          <w:rFonts w:asciiTheme="majorBidi" w:eastAsia="Times New Roman" w:hAnsiTheme="majorBidi"/>
          <w:b/>
          <w:bCs/>
          <w:color w:val="auto"/>
          <w:sz w:val="24"/>
          <w:szCs w:val="24"/>
        </w:rPr>
        <w:t>3.5.1 Data Validity</w:t>
      </w:r>
      <w:bookmarkEnd w:id="1183"/>
      <w:bookmarkEnd w:id="1184"/>
      <w:bookmarkEnd w:id="1185"/>
      <w:bookmarkEnd w:id="1186"/>
      <w:bookmarkEnd w:id="1187"/>
      <w:bookmarkEnd w:id="1188"/>
      <w:bookmarkEnd w:id="1189"/>
      <w:bookmarkEnd w:id="1190"/>
      <w:bookmarkEnd w:id="1191"/>
      <w:bookmarkEnd w:id="1192"/>
      <w:bookmarkEnd w:id="1193"/>
      <w:bookmarkEnd w:id="1194"/>
      <w:r w:rsidRPr="006D3D71">
        <w:rPr>
          <w:rFonts w:asciiTheme="majorBidi" w:eastAsia="Times New Roman" w:hAnsiTheme="majorBidi"/>
          <w:b/>
          <w:bCs/>
          <w:color w:val="auto"/>
          <w:sz w:val="24"/>
          <w:szCs w:val="24"/>
        </w:rPr>
        <w:t xml:space="preserve"> </w:t>
      </w:r>
    </w:p>
    <w:p w14:paraId="58306CB7" w14:textId="0319AC35" w:rsidR="003F0834" w:rsidRPr="006D3D71" w:rsidRDefault="003F0834" w:rsidP="006D3D71">
      <w:pPr>
        <w:spacing w:line="360" w:lineRule="auto"/>
        <w:jc w:val="both"/>
        <w:rPr>
          <w:rFonts w:asciiTheme="majorBidi" w:hAnsiTheme="majorBidi" w:cstheme="majorBidi"/>
          <w:sz w:val="24"/>
          <w:szCs w:val="24"/>
        </w:rPr>
      </w:pPr>
      <w:bookmarkStart w:id="1195" w:name="_Toc183425259"/>
      <w:bookmarkStart w:id="1196" w:name="_Toc183426947"/>
      <w:r w:rsidRPr="006D3D71">
        <w:rPr>
          <w:rFonts w:asciiTheme="majorBidi" w:hAnsiTheme="majorBidi" w:cstheme="majorBidi"/>
          <w:sz w:val="24"/>
          <w:szCs w:val="24"/>
        </w:rPr>
        <w:t xml:space="preserve">The validity of this study </w:t>
      </w:r>
      <w:r w:rsidR="00575F6F" w:rsidRPr="006D3D71">
        <w:rPr>
          <w:rFonts w:asciiTheme="majorBidi" w:hAnsiTheme="majorBidi" w:cstheme="majorBidi"/>
          <w:sz w:val="24"/>
          <w:szCs w:val="24"/>
        </w:rPr>
        <w:t>was</w:t>
      </w:r>
      <w:r w:rsidRPr="006D3D71">
        <w:rPr>
          <w:rFonts w:asciiTheme="majorBidi" w:hAnsiTheme="majorBidi" w:cstheme="majorBidi"/>
          <w:sz w:val="24"/>
          <w:szCs w:val="24"/>
        </w:rPr>
        <w:t xml:space="preserve"> ensured by using secondary data sourced directly from GT Bank Plc Rwanda's financial statements and official reports. These documents are considered credible, authoritative, and reflect accurate information regarding the bank’s financial performance and risk management practices. To further ensure validity, the study will focus on annual data from the five-year period 2019 to 2023, which enables a comprehensive analysis of trends and patterns over time. The variables selected for the study, such as </w:t>
      </w:r>
      <w:r w:rsidR="004150D2" w:rsidRPr="006D3D71">
        <w:rPr>
          <w:rFonts w:asciiTheme="majorBidi" w:hAnsiTheme="majorBidi" w:cstheme="majorBidi"/>
          <w:sz w:val="24"/>
          <w:szCs w:val="24"/>
        </w:rPr>
        <w:t>the Net</w:t>
      </w:r>
      <w:r w:rsidRPr="006D3D71">
        <w:rPr>
          <w:rFonts w:asciiTheme="majorBidi" w:hAnsiTheme="majorBidi" w:cstheme="majorBidi"/>
          <w:sz w:val="24"/>
          <w:szCs w:val="24"/>
        </w:rPr>
        <w:t xml:space="preserve"> Interest Margin, and Return on Assets, are commonly recognized in banking and finance research, ensuring that the data used is relevant and aligned with established measures in the field</w:t>
      </w:r>
    </w:p>
    <w:p w14:paraId="54C78DA2" w14:textId="77777777" w:rsidR="003F0834" w:rsidRPr="006D3D71" w:rsidRDefault="003F0834" w:rsidP="006D3D71">
      <w:pPr>
        <w:spacing w:line="360" w:lineRule="auto"/>
        <w:jc w:val="both"/>
        <w:rPr>
          <w:rFonts w:asciiTheme="majorBidi" w:hAnsiTheme="majorBidi" w:cstheme="majorBidi"/>
          <w:sz w:val="24"/>
          <w:szCs w:val="24"/>
        </w:rPr>
      </w:pPr>
    </w:p>
    <w:p w14:paraId="069161F0" w14:textId="77777777" w:rsidR="003F0834" w:rsidRPr="006D3D71" w:rsidRDefault="003F0834" w:rsidP="006D3D71">
      <w:pPr>
        <w:pStyle w:val="Heading2"/>
        <w:spacing w:line="360" w:lineRule="auto"/>
        <w:jc w:val="both"/>
        <w:rPr>
          <w:rFonts w:asciiTheme="majorBidi" w:hAnsiTheme="majorBidi"/>
          <w:b/>
          <w:bCs/>
          <w:color w:val="auto"/>
          <w:sz w:val="24"/>
          <w:szCs w:val="24"/>
        </w:rPr>
      </w:pPr>
      <w:bookmarkStart w:id="1197" w:name="_Toc193282253"/>
      <w:bookmarkStart w:id="1198" w:name="_Toc193282419"/>
      <w:bookmarkStart w:id="1199" w:name="_Toc193846475"/>
      <w:r w:rsidRPr="006D3D71">
        <w:rPr>
          <w:rFonts w:asciiTheme="majorBidi" w:hAnsiTheme="majorBidi"/>
          <w:b/>
          <w:bCs/>
          <w:color w:val="auto"/>
          <w:sz w:val="24"/>
          <w:szCs w:val="24"/>
        </w:rPr>
        <w:t>3.5.2 Reliability</w:t>
      </w:r>
      <w:bookmarkEnd w:id="1195"/>
      <w:bookmarkEnd w:id="1196"/>
      <w:bookmarkEnd w:id="1197"/>
      <w:bookmarkEnd w:id="1198"/>
      <w:bookmarkEnd w:id="1199"/>
    </w:p>
    <w:p w14:paraId="1266DEC0" w14:textId="67915645" w:rsidR="003F0834" w:rsidRPr="006D3D71" w:rsidRDefault="003F0834" w:rsidP="006D3D71">
      <w:pPr>
        <w:spacing w:line="360" w:lineRule="auto"/>
        <w:rPr>
          <w:rFonts w:asciiTheme="majorBidi" w:hAnsiTheme="majorBidi" w:cstheme="majorBidi"/>
          <w:sz w:val="24"/>
          <w:szCs w:val="24"/>
        </w:rPr>
      </w:pPr>
      <w:bookmarkStart w:id="1200" w:name="_Toc193281930"/>
      <w:bookmarkStart w:id="1201" w:name="_Toc193282254"/>
      <w:bookmarkStart w:id="1202" w:name="_Toc193282420"/>
      <w:bookmarkStart w:id="1203" w:name="_Toc165640112"/>
      <w:bookmarkStart w:id="1204" w:name="_Toc165639903"/>
      <w:bookmarkStart w:id="1205" w:name="_Toc163808555"/>
      <w:bookmarkStart w:id="1206" w:name="_Toc163808432"/>
      <w:bookmarkStart w:id="1207" w:name="_Toc163052549"/>
      <w:bookmarkStart w:id="1208" w:name="_Toc160712501"/>
      <w:bookmarkStart w:id="1209" w:name="_Toc160712410"/>
      <w:bookmarkStart w:id="1210" w:name="_Toc74044405"/>
      <w:bookmarkStart w:id="1211" w:name="_Toc69364403"/>
      <w:bookmarkStart w:id="1212" w:name="_Toc57964563"/>
      <w:bookmarkStart w:id="1213" w:name="_Toc9877268"/>
      <w:bookmarkStart w:id="1214" w:name="_Toc9772604"/>
      <w:bookmarkStart w:id="1215" w:name="_Toc9772489"/>
      <w:bookmarkStart w:id="1216" w:name="_Toc9101911"/>
      <w:bookmarkStart w:id="1217" w:name="_Toc9101795"/>
      <w:bookmarkStart w:id="1218" w:name="_Toc9101679"/>
      <w:bookmarkStart w:id="1219" w:name="_Toc9100739"/>
      <w:bookmarkStart w:id="1220" w:name="_Toc9099801"/>
      <w:bookmarkStart w:id="1221" w:name="_Toc7171025"/>
      <w:bookmarkStart w:id="1222" w:name="_Toc535317668"/>
      <w:bookmarkStart w:id="1223" w:name="_Toc535316373"/>
      <w:bookmarkStart w:id="1224" w:name="_Toc524949122"/>
      <w:bookmarkStart w:id="1225" w:name="_Toc524693384"/>
      <w:bookmarkStart w:id="1226" w:name="_Toc523983878"/>
      <w:bookmarkStart w:id="1227" w:name="_Toc523983772"/>
      <w:bookmarkStart w:id="1228" w:name="_Toc523983063"/>
      <w:bookmarkStart w:id="1229" w:name="_Toc523982867"/>
      <w:bookmarkStart w:id="1230" w:name="_Toc523982544"/>
      <w:bookmarkStart w:id="1231" w:name="_Toc513042142"/>
      <w:bookmarkStart w:id="1232" w:name="_Toc513041632"/>
      <w:bookmarkStart w:id="1233" w:name="_Toc513041371"/>
      <w:bookmarkStart w:id="1234" w:name="_Toc183425262"/>
      <w:bookmarkStart w:id="1235" w:name="_Toc183426950"/>
      <w:bookmarkStart w:id="1236" w:name="_Toc403422882"/>
      <w:bookmarkStart w:id="1237" w:name="_Toc85339001"/>
      <w:bookmarkStart w:id="1238" w:name="_Toc525711355"/>
      <w:bookmarkStart w:id="1239" w:name="_Toc498317863"/>
      <w:bookmarkStart w:id="1240" w:name="_Toc464182781"/>
      <w:bookmarkStart w:id="1241" w:name="_Toc431048811"/>
      <w:bookmarkEnd w:id="1169"/>
      <w:bookmarkEnd w:id="1170"/>
      <w:bookmarkEnd w:id="1171"/>
      <w:bookmarkEnd w:id="1172"/>
      <w:bookmarkEnd w:id="1173"/>
      <w:bookmarkEnd w:id="1174"/>
      <w:bookmarkEnd w:id="1175"/>
      <w:bookmarkEnd w:id="1176"/>
      <w:bookmarkEnd w:id="1177"/>
      <w:bookmarkEnd w:id="1178"/>
      <w:bookmarkEnd w:id="1179"/>
      <w:bookmarkEnd w:id="1180"/>
      <w:bookmarkEnd w:id="1181"/>
      <w:r w:rsidRPr="006D3D71">
        <w:rPr>
          <w:rFonts w:asciiTheme="majorBidi" w:hAnsiTheme="majorBidi" w:cstheme="majorBidi"/>
          <w:sz w:val="24"/>
          <w:szCs w:val="24"/>
        </w:rPr>
        <w:t xml:space="preserve">For reliability, the study will rely on publicly accessible financial records and reports that are consistently produced by GT Bank Plc Rwanda. These records are standardized and undergo rigorous internal and external auditing processes, which enhances their consistency and dependability. Additionally, the data used in this study </w:t>
      </w:r>
      <w:r w:rsidR="00575F6F" w:rsidRPr="006D3D71">
        <w:rPr>
          <w:rFonts w:asciiTheme="majorBidi" w:hAnsiTheme="majorBidi" w:cstheme="majorBidi"/>
          <w:sz w:val="24"/>
          <w:szCs w:val="24"/>
        </w:rPr>
        <w:t>was</w:t>
      </w:r>
      <w:r w:rsidRPr="006D3D71">
        <w:rPr>
          <w:rFonts w:asciiTheme="majorBidi" w:hAnsiTheme="majorBidi" w:cstheme="majorBidi"/>
          <w:sz w:val="24"/>
          <w:szCs w:val="24"/>
        </w:rPr>
        <w:t xml:space="preserve"> drawn from official documents that are regularly updated and reflect the bank’s operational performance and credit risk management strategies. To ensure consistency, the same set of variables and time frame (2019–2023) </w:t>
      </w:r>
      <w:r w:rsidR="00575F6F" w:rsidRPr="006D3D71">
        <w:rPr>
          <w:rFonts w:asciiTheme="majorBidi" w:hAnsiTheme="majorBidi" w:cstheme="majorBidi"/>
          <w:sz w:val="24"/>
          <w:szCs w:val="24"/>
        </w:rPr>
        <w:t>was</w:t>
      </w:r>
      <w:r w:rsidRPr="006D3D71">
        <w:rPr>
          <w:rFonts w:asciiTheme="majorBidi" w:hAnsiTheme="majorBidi" w:cstheme="majorBidi"/>
          <w:sz w:val="24"/>
          <w:szCs w:val="24"/>
        </w:rPr>
        <w:t xml:space="preserve"> maintained throughout the study, and the data </w:t>
      </w:r>
      <w:r w:rsidR="00575F6F" w:rsidRPr="006D3D71">
        <w:rPr>
          <w:rFonts w:asciiTheme="majorBidi" w:hAnsiTheme="majorBidi" w:cstheme="majorBidi"/>
          <w:sz w:val="24"/>
          <w:szCs w:val="24"/>
        </w:rPr>
        <w:t>was</w:t>
      </w:r>
      <w:r w:rsidRPr="006D3D71">
        <w:rPr>
          <w:rFonts w:asciiTheme="majorBidi" w:hAnsiTheme="majorBidi" w:cstheme="majorBidi"/>
          <w:sz w:val="24"/>
          <w:szCs w:val="24"/>
        </w:rPr>
        <w:t xml:space="preserve"> collected systematically for each year, minimizing any potential inconsistencies or biases in the data collection process. By utilizing these reliable data sources, the study aims to provide consistent and valid results that accurately reflect the relationship between risk management practices and financial performance at GT Bank Plc Rwanda.</w:t>
      </w:r>
      <w:bookmarkEnd w:id="1200"/>
      <w:bookmarkEnd w:id="1201"/>
      <w:bookmarkEnd w:id="1202"/>
    </w:p>
    <w:p w14:paraId="0F7C25D3" w14:textId="77777777" w:rsidR="003F0834" w:rsidRPr="006D3D71" w:rsidRDefault="003F0834" w:rsidP="006D3D71">
      <w:pPr>
        <w:pStyle w:val="Heading2"/>
        <w:spacing w:line="360" w:lineRule="auto"/>
        <w:jc w:val="both"/>
        <w:rPr>
          <w:rFonts w:asciiTheme="majorBidi" w:hAnsiTheme="majorBidi"/>
          <w:b/>
          <w:bCs/>
          <w:color w:val="auto"/>
          <w:sz w:val="24"/>
          <w:szCs w:val="24"/>
        </w:rPr>
      </w:pPr>
      <w:bookmarkStart w:id="1242" w:name="_Toc193282255"/>
      <w:bookmarkStart w:id="1243" w:name="_Toc193282421"/>
      <w:bookmarkStart w:id="1244" w:name="_Toc193846476"/>
      <w:bookmarkStart w:id="1245" w:name="_Toc165640117"/>
      <w:bookmarkStart w:id="1246" w:name="_Toc165639908"/>
      <w:bookmarkStart w:id="1247" w:name="_Toc163808560"/>
      <w:bookmarkStart w:id="1248" w:name="_Toc163808437"/>
      <w:bookmarkStart w:id="1249" w:name="_Toc163052554"/>
      <w:bookmarkStart w:id="1250" w:name="_Toc160712506"/>
      <w:bookmarkStart w:id="1251" w:name="_Toc160712415"/>
      <w:bookmarkStart w:id="1252" w:name="_Toc183425267"/>
      <w:bookmarkStart w:id="1253" w:name="_Toc183426955"/>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r w:rsidRPr="006D3D71">
        <w:rPr>
          <w:rFonts w:asciiTheme="majorBidi" w:hAnsiTheme="majorBidi"/>
          <w:b/>
          <w:bCs/>
          <w:color w:val="auto"/>
          <w:sz w:val="24"/>
          <w:szCs w:val="24"/>
        </w:rPr>
        <w:t>3.6. Data processing, analysis and interpretation</w:t>
      </w:r>
      <w:bookmarkEnd w:id="1242"/>
      <w:bookmarkEnd w:id="1243"/>
      <w:bookmarkEnd w:id="1244"/>
    </w:p>
    <w:p w14:paraId="28C3BA5D" w14:textId="77777777" w:rsidR="003F0834" w:rsidRPr="006D3D71" w:rsidRDefault="003F0834" w:rsidP="006D3D71">
      <w:pPr>
        <w:tabs>
          <w:tab w:val="left" w:pos="2820"/>
        </w:tabs>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 xml:space="preserve">Raw data was transformed into meaningful interpreted report using different techniques. In order to get quality information, there is generally need for standard checking so that the researcher could end up with realistic data, which clearly reflect the depicted situation. Thus, </w:t>
      </w:r>
      <w:r w:rsidRPr="006D3D71">
        <w:rPr>
          <w:rFonts w:asciiTheme="majorBidi" w:hAnsiTheme="majorBidi" w:cstheme="majorBidi"/>
          <w:sz w:val="24"/>
          <w:szCs w:val="24"/>
        </w:rPr>
        <w:lastRenderedPageBreak/>
        <w:t xml:space="preserve">stand checking is done through editing, coding, and tabulation. This is done in order to reduce detailed </w:t>
      </w:r>
      <w:bookmarkStart w:id="1254" w:name="_Toc23871852"/>
      <w:bookmarkStart w:id="1255" w:name="_Toc307673647"/>
      <w:bookmarkStart w:id="1256" w:name="_Toc463538612"/>
      <w:bookmarkStart w:id="1257" w:name="_Toc485867577"/>
      <w:r w:rsidRPr="006D3D71">
        <w:rPr>
          <w:rFonts w:asciiTheme="majorBidi" w:hAnsiTheme="majorBidi" w:cstheme="majorBidi"/>
          <w:sz w:val="24"/>
          <w:szCs w:val="24"/>
        </w:rPr>
        <w:t>data to manageable proportions.</w:t>
      </w:r>
    </w:p>
    <w:p w14:paraId="77D149CA" w14:textId="77777777" w:rsidR="003F0834" w:rsidRPr="006D3D71" w:rsidRDefault="003F0834" w:rsidP="006D3D71">
      <w:pPr>
        <w:pStyle w:val="Heading2"/>
        <w:spacing w:line="360" w:lineRule="auto"/>
        <w:jc w:val="both"/>
        <w:rPr>
          <w:rFonts w:asciiTheme="majorBidi" w:hAnsiTheme="majorBidi"/>
          <w:b/>
          <w:bCs/>
          <w:color w:val="auto"/>
          <w:sz w:val="24"/>
          <w:szCs w:val="24"/>
        </w:rPr>
      </w:pPr>
      <w:bookmarkStart w:id="1258" w:name="_Toc69715408"/>
      <w:bookmarkStart w:id="1259" w:name="_Toc97632168"/>
      <w:bookmarkStart w:id="1260" w:name="_Toc102214762"/>
      <w:bookmarkStart w:id="1261" w:name="_Toc154058576"/>
      <w:bookmarkStart w:id="1262" w:name="_Toc154058786"/>
      <w:bookmarkStart w:id="1263" w:name="_Toc154058922"/>
      <w:bookmarkStart w:id="1264" w:name="_Toc159928391"/>
      <w:bookmarkStart w:id="1265" w:name="_Toc185937738"/>
      <w:bookmarkStart w:id="1266" w:name="_Toc193282256"/>
      <w:bookmarkStart w:id="1267" w:name="_Toc193282422"/>
      <w:bookmarkStart w:id="1268" w:name="_Toc193846477"/>
      <w:r w:rsidRPr="006D3D71">
        <w:rPr>
          <w:rFonts w:asciiTheme="majorBidi" w:hAnsiTheme="majorBidi"/>
          <w:b/>
          <w:bCs/>
          <w:color w:val="auto"/>
          <w:sz w:val="24"/>
          <w:szCs w:val="24"/>
        </w:rPr>
        <w:t>3.6.1. Data processing</w:t>
      </w:r>
      <w:bookmarkEnd w:id="1254"/>
      <w:bookmarkEnd w:id="1258"/>
      <w:bookmarkEnd w:id="1259"/>
      <w:bookmarkEnd w:id="1260"/>
      <w:bookmarkEnd w:id="1261"/>
      <w:bookmarkEnd w:id="1262"/>
      <w:bookmarkEnd w:id="1263"/>
      <w:bookmarkEnd w:id="1264"/>
      <w:bookmarkEnd w:id="1265"/>
      <w:bookmarkEnd w:id="1266"/>
      <w:bookmarkEnd w:id="1267"/>
      <w:bookmarkEnd w:id="1268"/>
      <w:r w:rsidRPr="006D3D71">
        <w:rPr>
          <w:rFonts w:asciiTheme="majorBidi" w:hAnsiTheme="majorBidi"/>
          <w:b/>
          <w:bCs/>
          <w:color w:val="auto"/>
          <w:sz w:val="24"/>
          <w:szCs w:val="24"/>
        </w:rPr>
        <w:t xml:space="preserve">  </w:t>
      </w:r>
      <w:bookmarkStart w:id="1269" w:name="_Toc23871853"/>
    </w:p>
    <w:p w14:paraId="3308B994" w14:textId="2BE49184"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The data processing for this study involve</w:t>
      </w:r>
      <w:r w:rsidR="00D62D44" w:rsidRPr="006D3D71">
        <w:rPr>
          <w:rFonts w:asciiTheme="majorBidi" w:hAnsiTheme="majorBidi" w:cstheme="majorBidi"/>
          <w:sz w:val="24"/>
          <w:szCs w:val="24"/>
        </w:rPr>
        <w:t>d</w:t>
      </w:r>
      <w:r w:rsidRPr="006D3D71">
        <w:rPr>
          <w:rFonts w:asciiTheme="majorBidi" w:hAnsiTheme="majorBidi" w:cstheme="majorBidi"/>
          <w:sz w:val="24"/>
          <w:szCs w:val="24"/>
        </w:rPr>
        <w:t xml:space="preserve"> the following key steps: editing, coding, and classification, ensuring that the secondary data from GT Bank Plc Rwanda is accurately prepared for analysis.</w:t>
      </w:r>
    </w:p>
    <w:p w14:paraId="70C42B85" w14:textId="77777777" w:rsidR="003F0834" w:rsidRPr="006D3D71" w:rsidRDefault="003F0834" w:rsidP="006D3D71">
      <w:pPr>
        <w:tabs>
          <w:tab w:val="left" w:pos="2820"/>
        </w:tabs>
        <w:spacing w:after="0" w:line="360" w:lineRule="auto"/>
        <w:jc w:val="both"/>
        <w:rPr>
          <w:rFonts w:asciiTheme="majorBidi" w:hAnsiTheme="majorBidi" w:cstheme="majorBidi"/>
          <w:b/>
          <w:sz w:val="24"/>
          <w:szCs w:val="24"/>
        </w:rPr>
      </w:pPr>
      <w:r w:rsidRPr="006D3D71">
        <w:rPr>
          <w:rFonts w:asciiTheme="majorBidi" w:hAnsiTheme="majorBidi" w:cstheme="majorBidi"/>
          <w:b/>
          <w:sz w:val="24"/>
          <w:szCs w:val="24"/>
        </w:rPr>
        <w:t>a. Editing</w:t>
      </w:r>
      <w:bookmarkEnd w:id="1255"/>
      <w:bookmarkEnd w:id="1256"/>
      <w:bookmarkEnd w:id="1257"/>
      <w:bookmarkEnd w:id="1269"/>
    </w:p>
    <w:p w14:paraId="30C67578" w14:textId="4673EE13" w:rsidR="003F0834" w:rsidRPr="006D3D71" w:rsidRDefault="003F0834" w:rsidP="006D3D71">
      <w:pPr>
        <w:spacing w:line="360" w:lineRule="auto"/>
        <w:jc w:val="both"/>
        <w:rPr>
          <w:rFonts w:asciiTheme="majorBidi" w:hAnsiTheme="majorBidi" w:cstheme="majorBidi"/>
          <w:sz w:val="24"/>
          <w:szCs w:val="24"/>
        </w:rPr>
      </w:pPr>
      <w:bookmarkStart w:id="1270" w:name="_Toc307673648"/>
      <w:bookmarkStart w:id="1271" w:name="_Toc463538613"/>
      <w:bookmarkStart w:id="1272" w:name="_Toc485867578"/>
      <w:bookmarkStart w:id="1273" w:name="_Toc23871854"/>
      <w:r w:rsidRPr="006D3D71">
        <w:rPr>
          <w:rFonts w:asciiTheme="majorBidi" w:hAnsiTheme="majorBidi" w:cstheme="majorBidi"/>
          <w:sz w:val="24"/>
          <w:szCs w:val="24"/>
        </w:rPr>
        <w:t>The first step in data processing involve</w:t>
      </w:r>
      <w:r w:rsidR="00D62D44" w:rsidRPr="006D3D71">
        <w:rPr>
          <w:rFonts w:asciiTheme="majorBidi" w:hAnsiTheme="majorBidi" w:cstheme="majorBidi"/>
          <w:sz w:val="24"/>
          <w:szCs w:val="24"/>
        </w:rPr>
        <w:t>d</w:t>
      </w:r>
      <w:r w:rsidRPr="006D3D71">
        <w:rPr>
          <w:rFonts w:asciiTheme="majorBidi" w:hAnsiTheme="majorBidi" w:cstheme="majorBidi"/>
          <w:sz w:val="24"/>
          <w:szCs w:val="24"/>
        </w:rPr>
        <w:t xml:space="preserve"> the editing of the collected data to ensure that it is complete, accurate, and free from errors. This process involve</w:t>
      </w:r>
      <w:r w:rsidR="00D62D44" w:rsidRPr="006D3D71">
        <w:rPr>
          <w:rFonts w:asciiTheme="majorBidi" w:hAnsiTheme="majorBidi" w:cstheme="majorBidi"/>
          <w:sz w:val="24"/>
          <w:szCs w:val="24"/>
        </w:rPr>
        <w:t>d</w:t>
      </w:r>
      <w:r w:rsidRPr="006D3D71">
        <w:rPr>
          <w:rFonts w:asciiTheme="majorBidi" w:hAnsiTheme="majorBidi" w:cstheme="majorBidi"/>
          <w:sz w:val="24"/>
          <w:szCs w:val="24"/>
        </w:rPr>
        <w:t xml:space="preserve"> reviewing the financial statements and reports from GT Bank Plc Rwanda to identify any missing or inconsistent data points. If any discrepancies or errors are identified, the data </w:t>
      </w:r>
      <w:r w:rsidR="00575F6F" w:rsidRPr="006D3D71">
        <w:rPr>
          <w:rFonts w:asciiTheme="majorBidi" w:hAnsiTheme="majorBidi" w:cstheme="majorBidi"/>
          <w:sz w:val="24"/>
          <w:szCs w:val="24"/>
        </w:rPr>
        <w:t>was</w:t>
      </w:r>
      <w:r w:rsidRPr="006D3D71">
        <w:rPr>
          <w:rFonts w:asciiTheme="majorBidi" w:hAnsiTheme="majorBidi" w:cstheme="majorBidi"/>
          <w:sz w:val="24"/>
          <w:szCs w:val="24"/>
        </w:rPr>
        <w:t xml:space="preserve"> cross-checked with the original source documents to correct the mistakes. Since the data used </w:t>
      </w:r>
      <w:r w:rsidR="00575F6F" w:rsidRPr="006D3D71">
        <w:rPr>
          <w:rFonts w:asciiTheme="majorBidi" w:hAnsiTheme="majorBidi" w:cstheme="majorBidi"/>
          <w:sz w:val="24"/>
          <w:szCs w:val="24"/>
        </w:rPr>
        <w:t>was</w:t>
      </w:r>
      <w:r w:rsidRPr="006D3D71">
        <w:rPr>
          <w:rFonts w:asciiTheme="majorBidi" w:hAnsiTheme="majorBidi" w:cstheme="majorBidi"/>
          <w:sz w:val="24"/>
          <w:szCs w:val="24"/>
        </w:rPr>
        <w:t xml:space="preserve"> secondary, it is important to ensure that all variables (such a</w:t>
      </w:r>
      <w:r w:rsidR="00C859B5" w:rsidRPr="006D3D71">
        <w:rPr>
          <w:rFonts w:asciiTheme="majorBidi" w:hAnsiTheme="majorBidi" w:cstheme="majorBidi"/>
          <w:sz w:val="24"/>
          <w:szCs w:val="24"/>
        </w:rPr>
        <w:t>s</w:t>
      </w:r>
      <w:r w:rsidRPr="006D3D71">
        <w:rPr>
          <w:rFonts w:asciiTheme="majorBidi" w:hAnsiTheme="majorBidi" w:cstheme="majorBidi"/>
          <w:sz w:val="24"/>
          <w:szCs w:val="24"/>
        </w:rPr>
        <w:t xml:space="preserve"> Net Interest Margin, Return on Equity, etc.) are correctly transcribed and consistent across the five years under study (2019–2023).</w:t>
      </w:r>
    </w:p>
    <w:p w14:paraId="489542A7" w14:textId="77777777" w:rsidR="003F0834" w:rsidRPr="006D3D71" w:rsidRDefault="003F0834" w:rsidP="006D3D71">
      <w:pPr>
        <w:tabs>
          <w:tab w:val="left" w:pos="2820"/>
        </w:tabs>
        <w:spacing w:after="0" w:line="360" w:lineRule="auto"/>
        <w:jc w:val="both"/>
        <w:rPr>
          <w:rFonts w:asciiTheme="majorBidi" w:hAnsiTheme="majorBidi" w:cstheme="majorBidi"/>
          <w:b/>
          <w:sz w:val="24"/>
          <w:szCs w:val="24"/>
        </w:rPr>
      </w:pPr>
      <w:r w:rsidRPr="006D3D71">
        <w:rPr>
          <w:rFonts w:asciiTheme="majorBidi" w:hAnsiTheme="majorBidi" w:cstheme="majorBidi"/>
          <w:b/>
          <w:sz w:val="24"/>
          <w:szCs w:val="24"/>
        </w:rPr>
        <w:t>b. Coding</w:t>
      </w:r>
      <w:bookmarkEnd w:id="1270"/>
      <w:bookmarkEnd w:id="1271"/>
      <w:bookmarkEnd w:id="1272"/>
      <w:bookmarkEnd w:id="1273"/>
    </w:p>
    <w:p w14:paraId="212AD424" w14:textId="7FECCC85" w:rsidR="003F0834" w:rsidRPr="006D3D71" w:rsidRDefault="003F0834" w:rsidP="006D3D71">
      <w:pPr>
        <w:spacing w:after="0" w:line="360" w:lineRule="auto"/>
        <w:rPr>
          <w:rFonts w:asciiTheme="majorBidi" w:hAnsiTheme="majorBidi" w:cstheme="majorBidi"/>
          <w:sz w:val="24"/>
          <w:szCs w:val="24"/>
        </w:rPr>
      </w:pPr>
      <w:bookmarkStart w:id="1274" w:name="_Toc307673649"/>
      <w:bookmarkStart w:id="1275" w:name="_Toc463538614"/>
      <w:r w:rsidRPr="006D3D71">
        <w:rPr>
          <w:rFonts w:asciiTheme="majorBidi" w:hAnsiTheme="majorBidi" w:cstheme="majorBidi"/>
          <w:sz w:val="24"/>
          <w:szCs w:val="24"/>
        </w:rPr>
        <w:t xml:space="preserve">Once the data has been edited for accuracy, the next step </w:t>
      </w:r>
      <w:r w:rsidR="00575F6F" w:rsidRPr="006D3D71">
        <w:rPr>
          <w:rFonts w:asciiTheme="majorBidi" w:hAnsiTheme="majorBidi" w:cstheme="majorBidi"/>
          <w:sz w:val="24"/>
          <w:szCs w:val="24"/>
        </w:rPr>
        <w:t>was</w:t>
      </w:r>
      <w:r w:rsidRPr="006D3D71">
        <w:rPr>
          <w:rFonts w:asciiTheme="majorBidi" w:hAnsiTheme="majorBidi" w:cstheme="majorBidi"/>
          <w:sz w:val="24"/>
          <w:szCs w:val="24"/>
        </w:rPr>
        <w:t xml:space="preserve"> coding the data for ease of analysis. Each variable in the study (both credit risk management and financial performance variables) </w:t>
      </w:r>
      <w:r w:rsidR="00575F6F" w:rsidRPr="006D3D71">
        <w:rPr>
          <w:rFonts w:asciiTheme="majorBidi" w:hAnsiTheme="majorBidi" w:cstheme="majorBidi"/>
          <w:sz w:val="24"/>
          <w:szCs w:val="24"/>
        </w:rPr>
        <w:t>was</w:t>
      </w:r>
      <w:r w:rsidRPr="006D3D71">
        <w:rPr>
          <w:rFonts w:asciiTheme="majorBidi" w:hAnsiTheme="majorBidi" w:cstheme="majorBidi"/>
          <w:sz w:val="24"/>
          <w:szCs w:val="24"/>
        </w:rPr>
        <w:t xml:space="preserve"> assigned specific numerical or categorical codes. For example, financial performance variables such as Net Interest Margin and Return on Assets </w:t>
      </w:r>
      <w:r w:rsidR="00575F6F" w:rsidRPr="006D3D71">
        <w:rPr>
          <w:rFonts w:asciiTheme="majorBidi" w:hAnsiTheme="majorBidi" w:cstheme="majorBidi"/>
          <w:sz w:val="24"/>
          <w:szCs w:val="24"/>
        </w:rPr>
        <w:t>was</w:t>
      </w:r>
      <w:r w:rsidRPr="006D3D71">
        <w:rPr>
          <w:rFonts w:asciiTheme="majorBidi" w:hAnsiTheme="majorBidi" w:cstheme="majorBidi"/>
          <w:sz w:val="24"/>
          <w:szCs w:val="24"/>
        </w:rPr>
        <w:t xml:space="preserve"> coded as continuous variables, while credit risk management variables like </w:t>
      </w:r>
      <w:r w:rsidR="00C859B5" w:rsidRPr="006D3D71">
        <w:rPr>
          <w:rFonts w:asciiTheme="majorBidi" w:hAnsiTheme="majorBidi" w:cstheme="majorBidi"/>
          <w:sz w:val="24"/>
          <w:szCs w:val="24"/>
        </w:rPr>
        <w:t>Borrower Creditworthiness Assessment</w:t>
      </w:r>
      <w:r w:rsidR="00C859B5" w:rsidRPr="006D3D71">
        <w:rPr>
          <w:rStyle w:val="Strong"/>
          <w:rFonts w:asciiTheme="majorBidi" w:hAnsiTheme="majorBidi" w:cstheme="majorBidi"/>
          <w:b w:val="0"/>
          <w:bCs w:val="0"/>
          <w:sz w:val="24"/>
          <w:szCs w:val="24"/>
        </w:rPr>
        <w:t>, Credit Concentration Risk</w:t>
      </w:r>
      <w:r w:rsidR="00C859B5" w:rsidRPr="006D3D71">
        <w:rPr>
          <w:rFonts w:asciiTheme="majorBidi" w:hAnsiTheme="majorBidi" w:cstheme="majorBidi"/>
          <w:sz w:val="24"/>
          <w:szCs w:val="24"/>
        </w:rPr>
        <w:t>, Credit risk rating systems</w:t>
      </w:r>
      <w:r w:rsidR="00737B0E" w:rsidRPr="006D3D71">
        <w:rPr>
          <w:rStyle w:val="Strong"/>
          <w:rFonts w:asciiTheme="majorBidi" w:hAnsiTheme="majorBidi" w:cstheme="majorBidi"/>
          <w:sz w:val="24"/>
          <w:szCs w:val="24"/>
        </w:rPr>
        <w:t xml:space="preserve"> </w:t>
      </w:r>
      <w:r w:rsidRPr="006D3D71">
        <w:rPr>
          <w:rFonts w:asciiTheme="majorBidi" w:hAnsiTheme="majorBidi" w:cstheme="majorBidi"/>
          <w:sz w:val="24"/>
          <w:szCs w:val="24"/>
        </w:rPr>
        <w:t xml:space="preserve">may be classified </w:t>
      </w:r>
      <w:r w:rsidR="00716F72" w:rsidRPr="006D3D71">
        <w:rPr>
          <w:rFonts w:asciiTheme="majorBidi" w:hAnsiTheme="majorBidi" w:cstheme="majorBidi"/>
          <w:sz w:val="24"/>
          <w:szCs w:val="24"/>
        </w:rPr>
        <w:t>as percentages</w:t>
      </w:r>
      <w:r w:rsidRPr="006D3D71">
        <w:rPr>
          <w:rFonts w:asciiTheme="majorBidi" w:hAnsiTheme="majorBidi" w:cstheme="majorBidi"/>
          <w:sz w:val="24"/>
          <w:szCs w:val="24"/>
        </w:rPr>
        <w:t>. This coding process will simplify the input of data into statistical software for analysis, making it easier to run descriptive and inferential statistics.</w:t>
      </w:r>
    </w:p>
    <w:p w14:paraId="031929E5" w14:textId="77777777" w:rsidR="003F0834" w:rsidRPr="006D3D71" w:rsidRDefault="003F0834" w:rsidP="006D3D71">
      <w:pPr>
        <w:tabs>
          <w:tab w:val="left" w:pos="2820"/>
        </w:tabs>
        <w:spacing w:after="0" w:line="360" w:lineRule="auto"/>
        <w:jc w:val="both"/>
        <w:rPr>
          <w:rFonts w:asciiTheme="majorBidi" w:hAnsiTheme="majorBidi" w:cstheme="majorBidi"/>
          <w:b/>
          <w:sz w:val="24"/>
          <w:szCs w:val="24"/>
        </w:rPr>
      </w:pPr>
      <w:r w:rsidRPr="006D3D71">
        <w:rPr>
          <w:rFonts w:asciiTheme="majorBidi" w:hAnsiTheme="majorBidi" w:cstheme="majorBidi"/>
          <w:b/>
          <w:sz w:val="24"/>
          <w:szCs w:val="24"/>
        </w:rPr>
        <w:t>c. Classification</w:t>
      </w:r>
    </w:p>
    <w:p w14:paraId="7768EE3C" w14:textId="065C5133"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 xml:space="preserve">After coding, the data </w:t>
      </w:r>
      <w:r w:rsidR="00575F6F" w:rsidRPr="006D3D71">
        <w:rPr>
          <w:rFonts w:asciiTheme="majorBidi" w:hAnsiTheme="majorBidi" w:cstheme="majorBidi"/>
          <w:sz w:val="24"/>
          <w:szCs w:val="24"/>
        </w:rPr>
        <w:t>was</w:t>
      </w:r>
      <w:r w:rsidRPr="006D3D71">
        <w:rPr>
          <w:rFonts w:asciiTheme="majorBidi" w:hAnsiTheme="majorBidi" w:cstheme="majorBidi"/>
          <w:sz w:val="24"/>
          <w:szCs w:val="24"/>
        </w:rPr>
        <w:t xml:space="preserve"> classified into categories based on the variables specified in the conceptual framework. The 1</w:t>
      </w:r>
      <w:r w:rsidR="00597F9E">
        <w:rPr>
          <w:rFonts w:asciiTheme="majorBidi" w:hAnsiTheme="majorBidi" w:cstheme="majorBidi"/>
          <w:sz w:val="24"/>
          <w:szCs w:val="24"/>
        </w:rPr>
        <w:t>2</w:t>
      </w:r>
      <w:r w:rsidRPr="006D3D71">
        <w:rPr>
          <w:rFonts w:asciiTheme="majorBidi" w:hAnsiTheme="majorBidi" w:cstheme="majorBidi"/>
          <w:sz w:val="24"/>
          <w:szCs w:val="24"/>
        </w:rPr>
        <w:t xml:space="preserve"> variables </w:t>
      </w:r>
      <w:r w:rsidR="00D62D44" w:rsidRPr="006D3D71">
        <w:rPr>
          <w:rFonts w:asciiTheme="majorBidi" w:hAnsiTheme="majorBidi" w:cstheme="majorBidi"/>
          <w:sz w:val="24"/>
          <w:szCs w:val="24"/>
        </w:rPr>
        <w:t>were</w:t>
      </w:r>
      <w:r w:rsidRPr="006D3D71">
        <w:rPr>
          <w:rFonts w:asciiTheme="majorBidi" w:hAnsiTheme="majorBidi" w:cstheme="majorBidi"/>
          <w:sz w:val="24"/>
          <w:szCs w:val="24"/>
        </w:rPr>
        <w:t xml:space="preserve"> grouped into two main categories: credit risk management variables (e.g., </w:t>
      </w:r>
      <w:r w:rsidR="00C859B5" w:rsidRPr="006D3D71">
        <w:rPr>
          <w:rFonts w:asciiTheme="majorBidi" w:hAnsiTheme="majorBidi" w:cstheme="majorBidi"/>
          <w:sz w:val="24"/>
          <w:szCs w:val="24"/>
        </w:rPr>
        <w:t>Borrower Creditworthiness Assessment</w:t>
      </w:r>
      <w:r w:rsidR="00C859B5" w:rsidRPr="006D3D71">
        <w:rPr>
          <w:rStyle w:val="Strong"/>
          <w:rFonts w:asciiTheme="majorBidi" w:hAnsiTheme="majorBidi" w:cstheme="majorBidi"/>
          <w:b w:val="0"/>
          <w:bCs w:val="0"/>
          <w:sz w:val="24"/>
          <w:szCs w:val="24"/>
        </w:rPr>
        <w:t>, Credit Concentration Risk</w:t>
      </w:r>
      <w:r w:rsidR="00C859B5" w:rsidRPr="006D3D71">
        <w:rPr>
          <w:rFonts w:asciiTheme="majorBidi" w:hAnsiTheme="majorBidi" w:cstheme="majorBidi"/>
          <w:sz w:val="24"/>
          <w:szCs w:val="24"/>
        </w:rPr>
        <w:t>, Debt Restructuring &amp; Recovery Strategies</w:t>
      </w:r>
      <w:r w:rsidR="00C859B5" w:rsidRPr="006D3D71">
        <w:rPr>
          <w:rStyle w:val="Strong"/>
          <w:rFonts w:asciiTheme="majorBidi" w:hAnsiTheme="majorBidi" w:cstheme="majorBidi"/>
          <w:sz w:val="24"/>
          <w:szCs w:val="24"/>
        </w:rPr>
        <w:t xml:space="preserve">, </w:t>
      </w:r>
      <w:r w:rsidR="00C859B5" w:rsidRPr="006D3D71">
        <w:rPr>
          <w:rStyle w:val="Strong"/>
          <w:rFonts w:asciiTheme="majorBidi" w:hAnsiTheme="majorBidi" w:cstheme="majorBidi"/>
          <w:b w:val="0"/>
          <w:bCs w:val="0"/>
          <w:sz w:val="24"/>
          <w:szCs w:val="24"/>
        </w:rPr>
        <w:t>Borrower Creditworthiness Assessment,</w:t>
      </w:r>
      <w:r w:rsidRPr="006D3D71">
        <w:rPr>
          <w:rFonts w:asciiTheme="majorBidi" w:hAnsiTheme="majorBidi" w:cstheme="majorBidi"/>
          <w:sz w:val="24"/>
          <w:szCs w:val="24"/>
        </w:rPr>
        <w:t xml:space="preserve">) and financial performance variables (e.g., Net Interest Margin, Return on Equity, Cash Ratio). The data </w:t>
      </w:r>
      <w:r w:rsidR="00575F6F" w:rsidRPr="006D3D71">
        <w:rPr>
          <w:rFonts w:asciiTheme="majorBidi" w:hAnsiTheme="majorBidi" w:cstheme="majorBidi"/>
          <w:sz w:val="24"/>
          <w:szCs w:val="24"/>
        </w:rPr>
        <w:t>was</w:t>
      </w:r>
      <w:r w:rsidRPr="006D3D71">
        <w:rPr>
          <w:rFonts w:asciiTheme="majorBidi" w:hAnsiTheme="majorBidi" w:cstheme="majorBidi"/>
          <w:sz w:val="24"/>
          <w:szCs w:val="24"/>
        </w:rPr>
        <w:t xml:space="preserve"> organized into a spreadsheet or database, where each year (2019–2023) </w:t>
      </w:r>
      <w:r w:rsidR="00575F6F" w:rsidRPr="006D3D71">
        <w:rPr>
          <w:rFonts w:asciiTheme="majorBidi" w:hAnsiTheme="majorBidi" w:cstheme="majorBidi"/>
          <w:sz w:val="24"/>
          <w:szCs w:val="24"/>
        </w:rPr>
        <w:t>was</w:t>
      </w:r>
      <w:r w:rsidRPr="006D3D71">
        <w:rPr>
          <w:rFonts w:asciiTheme="majorBidi" w:hAnsiTheme="majorBidi" w:cstheme="majorBidi"/>
          <w:sz w:val="24"/>
          <w:szCs w:val="24"/>
        </w:rPr>
        <w:t xml:space="preserve"> a separate column for each variable, allowing for easy comparison and analysis across </w:t>
      </w:r>
      <w:r w:rsidRPr="006D3D71">
        <w:rPr>
          <w:rFonts w:asciiTheme="majorBidi" w:hAnsiTheme="majorBidi" w:cstheme="majorBidi"/>
          <w:sz w:val="24"/>
          <w:szCs w:val="24"/>
        </w:rPr>
        <w:lastRenderedPageBreak/>
        <w:t>the five-year period. This classification will ensure that the data is well-structured for statistical testing, particularly for the multiple linear regression analysis.</w:t>
      </w:r>
    </w:p>
    <w:p w14:paraId="0F886EE9" w14:textId="77777777" w:rsidR="003F0834" w:rsidRPr="006D3D71" w:rsidRDefault="003F0834" w:rsidP="006D3D71">
      <w:pPr>
        <w:tabs>
          <w:tab w:val="left" w:pos="2820"/>
        </w:tabs>
        <w:spacing w:after="0" w:line="360" w:lineRule="auto"/>
        <w:jc w:val="both"/>
        <w:rPr>
          <w:rFonts w:asciiTheme="majorBidi" w:hAnsiTheme="majorBidi" w:cstheme="majorBidi"/>
          <w:b/>
          <w:sz w:val="24"/>
          <w:szCs w:val="24"/>
        </w:rPr>
      </w:pPr>
      <w:r w:rsidRPr="006D3D71">
        <w:rPr>
          <w:rFonts w:asciiTheme="majorBidi" w:hAnsiTheme="majorBidi" w:cstheme="majorBidi"/>
          <w:b/>
          <w:sz w:val="24"/>
          <w:szCs w:val="24"/>
        </w:rPr>
        <w:t>d. Tabulation</w:t>
      </w:r>
      <w:bookmarkEnd w:id="1274"/>
      <w:bookmarkEnd w:id="1275"/>
    </w:p>
    <w:p w14:paraId="00139579" w14:textId="77777777" w:rsidR="003F0834" w:rsidRPr="006D3D71" w:rsidRDefault="003F0834" w:rsidP="006D3D71">
      <w:pPr>
        <w:tabs>
          <w:tab w:val="left" w:pos="2820"/>
        </w:tabs>
        <w:spacing w:after="0" w:line="360" w:lineRule="auto"/>
        <w:jc w:val="both"/>
        <w:rPr>
          <w:rFonts w:asciiTheme="majorBidi" w:hAnsiTheme="majorBidi" w:cstheme="majorBidi"/>
          <w:sz w:val="24"/>
          <w:szCs w:val="24"/>
        </w:rPr>
      </w:pPr>
      <w:r w:rsidRPr="006D3D71">
        <w:rPr>
          <w:rFonts w:asciiTheme="majorBidi" w:hAnsiTheme="majorBidi" w:cstheme="majorBidi"/>
          <w:sz w:val="24"/>
          <w:szCs w:val="24"/>
        </w:rPr>
        <w:t>Tabulation means putting data in some kinds of statistical tables through which the number of occurrences of responses to a particular question is shown. These tables are constructed in such way that frequency of responses to a particular question is presented. It i</w:t>
      </w:r>
      <w:bookmarkStart w:id="1276" w:name="_Toc23871855"/>
      <w:r w:rsidRPr="006D3D71">
        <w:rPr>
          <w:rFonts w:asciiTheme="majorBidi" w:hAnsiTheme="majorBidi" w:cstheme="majorBidi"/>
          <w:sz w:val="24"/>
          <w:szCs w:val="24"/>
        </w:rPr>
        <w:t>s also presented in percentages.</w:t>
      </w:r>
    </w:p>
    <w:p w14:paraId="0A59F89C" w14:textId="77777777" w:rsidR="003F0834" w:rsidRPr="006D3D71" w:rsidRDefault="003F0834" w:rsidP="006D3D71">
      <w:pPr>
        <w:pStyle w:val="Heading2"/>
        <w:spacing w:line="360" w:lineRule="auto"/>
        <w:jc w:val="both"/>
        <w:rPr>
          <w:rFonts w:asciiTheme="majorBidi" w:hAnsiTheme="majorBidi"/>
          <w:b/>
          <w:bCs/>
          <w:i/>
          <w:iCs/>
          <w:color w:val="auto"/>
          <w:sz w:val="24"/>
          <w:szCs w:val="24"/>
        </w:rPr>
      </w:pPr>
      <w:bookmarkStart w:id="1277" w:name="_Toc69715409"/>
      <w:bookmarkStart w:id="1278" w:name="_Toc97632169"/>
      <w:bookmarkStart w:id="1279" w:name="_Toc102214763"/>
      <w:bookmarkStart w:id="1280" w:name="_Toc154058577"/>
      <w:bookmarkStart w:id="1281" w:name="_Toc154058787"/>
      <w:bookmarkStart w:id="1282" w:name="_Toc154058923"/>
      <w:bookmarkStart w:id="1283" w:name="_Toc159928392"/>
      <w:bookmarkStart w:id="1284" w:name="_Toc185937739"/>
      <w:bookmarkStart w:id="1285" w:name="_Toc193282257"/>
      <w:bookmarkStart w:id="1286" w:name="_Toc193282423"/>
      <w:bookmarkStart w:id="1287" w:name="_Toc193846478"/>
      <w:r w:rsidRPr="006D3D71">
        <w:rPr>
          <w:rFonts w:asciiTheme="majorBidi" w:hAnsiTheme="majorBidi"/>
          <w:b/>
          <w:bCs/>
          <w:color w:val="auto"/>
          <w:sz w:val="24"/>
          <w:szCs w:val="24"/>
        </w:rPr>
        <w:t>3.6.2. Data analysis</w:t>
      </w:r>
      <w:bookmarkEnd w:id="1276"/>
      <w:bookmarkEnd w:id="1277"/>
      <w:bookmarkEnd w:id="1278"/>
      <w:bookmarkEnd w:id="1279"/>
      <w:bookmarkEnd w:id="1280"/>
      <w:bookmarkEnd w:id="1281"/>
      <w:bookmarkEnd w:id="1282"/>
      <w:bookmarkEnd w:id="1283"/>
      <w:bookmarkEnd w:id="1284"/>
      <w:bookmarkEnd w:id="1285"/>
      <w:bookmarkEnd w:id="1286"/>
      <w:bookmarkEnd w:id="1287"/>
    </w:p>
    <w:p w14:paraId="38A32E3F" w14:textId="75882D23"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 xml:space="preserve">In this study, Statistical Package for the Social Sciences (SPSS) and Excel </w:t>
      </w:r>
      <w:r w:rsidR="00575F6F" w:rsidRPr="006D3D71">
        <w:rPr>
          <w:rFonts w:asciiTheme="majorBidi" w:hAnsiTheme="majorBidi" w:cstheme="majorBidi"/>
          <w:sz w:val="24"/>
          <w:szCs w:val="24"/>
        </w:rPr>
        <w:t>was</w:t>
      </w:r>
      <w:r w:rsidRPr="006D3D71">
        <w:rPr>
          <w:rFonts w:asciiTheme="majorBidi" w:hAnsiTheme="majorBidi" w:cstheme="majorBidi"/>
          <w:sz w:val="24"/>
          <w:szCs w:val="24"/>
        </w:rPr>
        <w:t xml:space="preserve"> used by the researcher in processing and analysis of data which informed the presentation of findings, analysis, and interpretation. The presentation focused on the research questions. Quantitative data analysis </w:t>
      </w:r>
      <w:r w:rsidR="00575F6F" w:rsidRPr="006D3D71">
        <w:rPr>
          <w:rFonts w:asciiTheme="majorBidi" w:hAnsiTheme="majorBidi" w:cstheme="majorBidi"/>
          <w:sz w:val="24"/>
          <w:szCs w:val="24"/>
        </w:rPr>
        <w:t>was</w:t>
      </w:r>
      <w:r w:rsidRPr="006D3D71">
        <w:rPr>
          <w:rFonts w:asciiTheme="majorBidi" w:hAnsiTheme="majorBidi" w:cstheme="majorBidi"/>
          <w:sz w:val="24"/>
          <w:szCs w:val="24"/>
        </w:rPr>
        <w:t xml:space="preserve"> used to analyze numerical data, this data results </w:t>
      </w:r>
      <w:r w:rsidR="00575F6F" w:rsidRPr="006D3D71">
        <w:rPr>
          <w:rFonts w:asciiTheme="majorBidi" w:hAnsiTheme="majorBidi" w:cstheme="majorBidi"/>
          <w:sz w:val="24"/>
          <w:szCs w:val="24"/>
        </w:rPr>
        <w:t>was</w:t>
      </w:r>
      <w:r w:rsidRPr="006D3D71">
        <w:rPr>
          <w:rFonts w:asciiTheme="majorBidi" w:hAnsiTheme="majorBidi" w:cstheme="majorBidi"/>
          <w:sz w:val="24"/>
          <w:szCs w:val="24"/>
        </w:rPr>
        <w:t xml:space="preserve"> presented in the form of tables and graphs to enhance its proper understanding. Data obtained from close</w:t>
      </w:r>
      <w:r w:rsidR="00C859B5" w:rsidRPr="006D3D71">
        <w:rPr>
          <w:rFonts w:asciiTheme="majorBidi" w:hAnsiTheme="majorBidi" w:cstheme="majorBidi"/>
          <w:sz w:val="24"/>
          <w:szCs w:val="24"/>
        </w:rPr>
        <w:t xml:space="preserve"> </w:t>
      </w:r>
      <w:r w:rsidRPr="006D3D71">
        <w:rPr>
          <w:rFonts w:asciiTheme="majorBidi" w:hAnsiTheme="majorBidi" w:cstheme="majorBidi"/>
          <w:sz w:val="24"/>
          <w:szCs w:val="24"/>
        </w:rPr>
        <w:t xml:space="preserve">ended responses </w:t>
      </w:r>
      <w:r w:rsidR="00575F6F" w:rsidRPr="006D3D71">
        <w:rPr>
          <w:rFonts w:asciiTheme="majorBidi" w:hAnsiTheme="majorBidi" w:cstheme="majorBidi"/>
          <w:sz w:val="24"/>
          <w:szCs w:val="24"/>
        </w:rPr>
        <w:t>was</w:t>
      </w:r>
      <w:r w:rsidRPr="006D3D71">
        <w:rPr>
          <w:rFonts w:asciiTheme="majorBidi" w:hAnsiTheme="majorBidi" w:cstheme="majorBidi"/>
          <w:sz w:val="24"/>
          <w:szCs w:val="24"/>
        </w:rPr>
        <w:t xml:space="preserve"> analyzed using the SPSS (Statistical package social scientist) computer package.  To measure the third research objective about the relationship between capital structure and financial performance manufacturing companies, multiple regression analysis used. In fact, multiple regressions are an extension of simple linear regression. It is used when the researcher wants to predict the value of a variable based on the value of two or more other variables. </w:t>
      </w:r>
    </w:p>
    <w:p w14:paraId="67320982" w14:textId="77777777" w:rsidR="003F0834" w:rsidRPr="006D3D71" w:rsidRDefault="003F0834"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 xml:space="preserve">The variable to predict is called the dependent variable (or sometimes, the outcome, target or criterion variable). The variables in expression to predict the value of the dependent variable are called the independent variables (or sometimes, the predictor, explanatory or regress or variables). Multiple regression also allows researchers to determine the overall fit (variance explained) of the model and the relative contribution of each of the predictors to the total variance explained (Bobko, 2001). </w:t>
      </w:r>
    </w:p>
    <w:p w14:paraId="05A3BA10" w14:textId="77777777" w:rsidR="003F0834" w:rsidRPr="006D3D71" w:rsidRDefault="003F0834" w:rsidP="006D3D71">
      <w:pPr>
        <w:spacing w:line="360" w:lineRule="auto"/>
        <w:contextualSpacing/>
        <w:jc w:val="both"/>
        <w:rPr>
          <w:rFonts w:asciiTheme="majorBidi" w:hAnsiTheme="majorBidi" w:cstheme="majorBidi"/>
          <w:sz w:val="24"/>
          <w:szCs w:val="24"/>
          <w:lang w:val="en-CA"/>
        </w:rPr>
      </w:pPr>
      <w:r w:rsidRPr="006D3D71">
        <w:rPr>
          <w:rFonts w:asciiTheme="majorBidi" w:hAnsiTheme="majorBidi" w:cstheme="majorBidi"/>
          <w:sz w:val="24"/>
          <w:szCs w:val="24"/>
          <w:lang w:val="en-CA"/>
        </w:rPr>
        <w:t xml:space="preserve">The expected results or a priori expectation regarding the econometric models that have been constructed, it is expected that all independent sub variables had significant effect on each dependent variable. This kind of effect is to positively check for each econometric model. Generally, there are significant and positive </w:t>
      </w:r>
      <w:r w:rsidRPr="006D3D71">
        <w:rPr>
          <w:rFonts w:asciiTheme="majorBidi" w:hAnsiTheme="majorBidi" w:cstheme="majorBidi"/>
          <w:bCs/>
          <w:sz w:val="24"/>
          <w:szCs w:val="24"/>
        </w:rPr>
        <w:t>effect of risk management on financial performance of commercial banks in Rwanda</w:t>
      </w:r>
      <w:r w:rsidRPr="006D3D71">
        <w:rPr>
          <w:rFonts w:asciiTheme="majorBidi" w:hAnsiTheme="majorBidi" w:cstheme="majorBidi"/>
          <w:sz w:val="24"/>
          <w:szCs w:val="24"/>
          <w:lang w:val="en-CA"/>
        </w:rPr>
        <w:t>.</w:t>
      </w:r>
    </w:p>
    <w:p w14:paraId="7525B89F" w14:textId="77777777" w:rsidR="003F0834" w:rsidRPr="006D3D71" w:rsidRDefault="003F0834" w:rsidP="006D3D71">
      <w:pPr>
        <w:spacing w:line="360" w:lineRule="auto"/>
        <w:contextualSpacing/>
        <w:jc w:val="both"/>
        <w:rPr>
          <w:rFonts w:asciiTheme="majorBidi" w:hAnsiTheme="majorBidi" w:cstheme="majorBidi"/>
          <w:sz w:val="24"/>
          <w:szCs w:val="24"/>
          <w:lang w:val="en-CA"/>
        </w:rPr>
      </w:pPr>
      <w:r w:rsidRPr="006D3D71">
        <w:rPr>
          <w:rFonts w:asciiTheme="majorBidi" w:hAnsiTheme="majorBidi" w:cstheme="majorBidi"/>
          <w:sz w:val="24"/>
          <w:szCs w:val="24"/>
          <w:lang w:val="en-CA"/>
        </w:rPr>
        <w:t>Therefore, the research used the following model:</w:t>
      </w:r>
    </w:p>
    <w:p w14:paraId="4328B089" w14:textId="44328811" w:rsidR="003F0834" w:rsidRPr="006D3D71" w:rsidRDefault="003F0834" w:rsidP="006D3D71">
      <w:pPr>
        <w:spacing w:line="360" w:lineRule="auto"/>
        <w:rPr>
          <w:rFonts w:asciiTheme="majorBidi" w:hAnsiTheme="majorBidi" w:cstheme="majorBidi"/>
          <w:sz w:val="24"/>
          <w:szCs w:val="24"/>
        </w:rPr>
      </w:pPr>
      <w:r w:rsidRPr="006D3D71">
        <w:rPr>
          <w:rFonts w:asciiTheme="majorBidi" w:hAnsiTheme="majorBidi" w:cstheme="majorBidi"/>
          <w:sz w:val="24"/>
          <w:szCs w:val="24"/>
        </w:rPr>
        <w:t>Y</w:t>
      </w:r>
      <w:r w:rsidRPr="006D3D71">
        <w:rPr>
          <w:rFonts w:asciiTheme="majorBidi" w:hAnsiTheme="majorBidi" w:cstheme="majorBidi"/>
          <w:sz w:val="24"/>
          <w:szCs w:val="24"/>
          <w:lang w:val="fr-FR"/>
        </w:rPr>
        <w:t xml:space="preserve"> =</w:t>
      </w:r>
      <w:r w:rsidRPr="006D3D71">
        <w:rPr>
          <w:rFonts w:asciiTheme="majorBidi" w:hAnsiTheme="majorBidi" w:cstheme="majorBidi"/>
          <w:sz w:val="24"/>
          <w:szCs w:val="24"/>
        </w:rPr>
        <w:t xml:space="preserve"> β</w:t>
      </w:r>
      <w:r w:rsidRPr="006D3D71">
        <w:rPr>
          <w:rFonts w:asciiTheme="majorBidi" w:hAnsiTheme="majorBidi" w:cstheme="majorBidi"/>
          <w:sz w:val="24"/>
          <w:szCs w:val="24"/>
          <w:vertAlign w:val="subscript"/>
        </w:rPr>
        <w:t>0</w:t>
      </w:r>
      <w:r w:rsidRPr="006D3D71">
        <w:rPr>
          <w:rFonts w:asciiTheme="majorBidi" w:hAnsiTheme="majorBidi" w:cstheme="majorBidi"/>
          <w:sz w:val="24"/>
          <w:szCs w:val="24"/>
          <w:lang w:val="fr-FR"/>
        </w:rPr>
        <w:t>+</w:t>
      </w:r>
      <w:r w:rsidRPr="006D3D71">
        <w:rPr>
          <w:rFonts w:asciiTheme="majorBidi" w:hAnsiTheme="majorBidi" w:cstheme="majorBidi"/>
          <w:sz w:val="24"/>
          <w:szCs w:val="24"/>
        </w:rPr>
        <w:t>β</w:t>
      </w:r>
      <w:r w:rsidRPr="006D3D71">
        <w:rPr>
          <w:rFonts w:asciiTheme="majorBidi" w:hAnsiTheme="majorBidi" w:cstheme="majorBidi"/>
          <w:sz w:val="24"/>
          <w:szCs w:val="24"/>
          <w:vertAlign w:val="subscript"/>
        </w:rPr>
        <w:t>1</w:t>
      </w:r>
      <w:r w:rsidRPr="006D3D71">
        <w:rPr>
          <w:rFonts w:asciiTheme="majorBidi" w:hAnsiTheme="majorBidi" w:cstheme="majorBidi"/>
          <w:sz w:val="24"/>
          <w:szCs w:val="24"/>
        </w:rPr>
        <w:t xml:space="preserve"> </w:t>
      </w:r>
      <w:r w:rsidR="00716F72" w:rsidRPr="006D3D71">
        <w:rPr>
          <w:rFonts w:asciiTheme="majorBidi" w:hAnsiTheme="majorBidi" w:cstheme="majorBidi"/>
          <w:sz w:val="24"/>
          <w:szCs w:val="24"/>
        </w:rPr>
        <w:t>BCA</w:t>
      </w:r>
      <w:r w:rsidRPr="006D3D71">
        <w:rPr>
          <w:rFonts w:asciiTheme="majorBidi" w:hAnsiTheme="majorBidi" w:cstheme="majorBidi"/>
          <w:sz w:val="24"/>
          <w:szCs w:val="24"/>
          <w:lang w:val="fr-FR"/>
        </w:rPr>
        <w:t xml:space="preserve"> +</w:t>
      </w:r>
      <w:r w:rsidRPr="006D3D71">
        <w:rPr>
          <w:rFonts w:asciiTheme="majorBidi" w:hAnsiTheme="majorBidi" w:cstheme="majorBidi"/>
          <w:sz w:val="24"/>
          <w:szCs w:val="24"/>
        </w:rPr>
        <w:t>β</w:t>
      </w:r>
      <w:r w:rsidRPr="006D3D71">
        <w:rPr>
          <w:rFonts w:asciiTheme="majorBidi" w:hAnsiTheme="majorBidi" w:cstheme="majorBidi"/>
          <w:sz w:val="24"/>
          <w:szCs w:val="24"/>
          <w:vertAlign w:val="subscript"/>
        </w:rPr>
        <w:t>2</w:t>
      </w:r>
      <w:r w:rsidRPr="006D3D71">
        <w:rPr>
          <w:rFonts w:asciiTheme="majorBidi" w:hAnsiTheme="majorBidi" w:cstheme="majorBidi"/>
          <w:sz w:val="24"/>
          <w:szCs w:val="24"/>
        </w:rPr>
        <w:t xml:space="preserve"> </w:t>
      </w:r>
      <w:r w:rsidR="00716F72" w:rsidRPr="006D3D71">
        <w:rPr>
          <w:rFonts w:asciiTheme="majorBidi" w:hAnsiTheme="majorBidi" w:cstheme="majorBidi"/>
          <w:sz w:val="24"/>
          <w:szCs w:val="24"/>
        </w:rPr>
        <w:t>CCR</w:t>
      </w:r>
      <w:r w:rsidRPr="006D3D71">
        <w:rPr>
          <w:rFonts w:asciiTheme="majorBidi" w:hAnsiTheme="majorBidi" w:cstheme="majorBidi"/>
          <w:sz w:val="24"/>
          <w:szCs w:val="24"/>
          <w:lang w:val="fr-FR"/>
        </w:rPr>
        <w:t xml:space="preserve"> +</w:t>
      </w:r>
      <w:r w:rsidRPr="006D3D71">
        <w:rPr>
          <w:rFonts w:asciiTheme="majorBidi" w:hAnsiTheme="majorBidi" w:cstheme="majorBidi"/>
          <w:sz w:val="24"/>
          <w:szCs w:val="24"/>
        </w:rPr>
        <w:t>β</w:t>
      </w:r>
      <w:r w:rsidRPr="006D3D71">
        <w:rPr>
          <w:rFonts w:asciiTheme="majorBidi" w:hAnsiTheme="majorBidi" w:cstheme="majorBidi"/>
          <w:sz w:val="24"/>
          <w:szCs w:val="24"/>
          <w:vertAlign w:val="subscript"/>
        </w:rPr>
        <w:t>3</w:t>
      </w:r>
      <w:r w:rsidRPr="006D3D71">
        <w:rPr>
          <w:rFonts w:asciiTheme="majorBidi" w:hAnsiTheme="majorBidi" w:cstheme="majorBidi"/>
          <w:sz w:val="24"/>
          <w:szCs w:val="24"/>
        </w:rPr>
        <w:t xml:space="preserve"> </w:t>
      </w:r>
      <w:r w:rsidR="00716F72" w:rsidRPr="006D3D71">
        <w:rPr>
          <w:rFonts w:asciiTheme="majorBidi" w:hAnsiTheme="majorBidi" w:cstheme="majorBidi"/>
          <w:sz w:val="24"/>
          <w:szCs w:val="24"/>
        </w:rPr>
        <w:t>DRRS</w:t>
      </w:r>
      <w:r w:rsidRPr="006D3D71">
        <w:rPr>
          <w:rFonts w:asciiTheme="majorBidi" w:hAnsiTheme="majorBidi" w:cstheme="majorBidi"/>
          <w:sz w:val="24"/>
          <w:szCs w:val="24"/>
          <w:lang w:val="fr-FR"/>
        </w:rPr>
        <w:t>+</w:t>
      </w:r>
      <w:r w:rsidRPr="006D3D71">
        <w:rPr>
          <w:rFonts w:asciiTheme="majorBidi" w:hAnsiTheme="majorBidi" w:cstheme="majorBidi"/>
          <w:sz w:val="24"/>
          <w:szCs w:val="24"/>
        </w:rPr>
        <w:t>β</w:t>
      </w:r>
      <w:r w:rsidRPr="006D3D71">
        <w:rPr>
          <w:rFonts w:asciiTheme="majorBidi" w:hAnsiTheme="majorBidi" w:cstheme="majorBidi"/>
          <w:sz w:val="24"/>
          <w:szCs w:val="24"/>
          <w:vertAlign w:val="subscript"/>
        </w:rPr>
        <w:t>4</w:t>
      </w:r>
      <w:r w:rsidRPr="006D3D71">
        <w:rPr>
          <w:rFonts w:asciiTheme="majorBidi" w:hAnsiTheme="majorBidi" w:cstheme="majorBidi"/>
          <w:sz w:val="24"/>
          <w:szCs w:val="24"/>
        </w:rPr>
        <w:t xml:space="preserve"> </w:t>
      </w:r>
      <w:r w:rsidR="00716F72" w:rsidRPr="006D3D71">
        <w:rPr>
          <w:rFonts w:asciiTheme="majorBidi" w:hAnsiTheme="majorBidi" w:cstheme="majorBidi"/>
          <w:sz w:val="24"/>
          <w:szCs w:val="24"/>
        </w:rPr>
        <w:t>CRS</w:t>
      </w:r>
      <w:r w:rsidRPr="006D3D71">
        <w:rPr>
          <w:rFonts w:asciiTheme="majorBidi" w:hAnsiTheme="majorBidi" w:cstheme="majorBidi"/>
          <w:sz w:val="24"/>
          <w:szCs w:val="24"/>
          <w:lang w:val="fr-FR"/>
        </w:rPr>
        <w:t xml:space="preserve">+ </w:t>
      </w:r>
      <w:r w:rsidRPr="006D3D71">
        <w:rPr>
          <w:rFonts w:asciiTheme="majorBidi" w:hAnsiTheme="majorBidi" w:cstheme="majorBidi"/>
          <w:sz w:val="24"/>
          <w:szCs w:val="24"/>
        </w:rPr>
        <w:t>β</w:t>
      </w:r>
      <w:r w:rsidRPr="006D3D71">
        <w:rPr>
          <w:rFonts w:asciiTheme="majorBidi" w:hAnsiTheme="majorBidi" w:cstheme="majorBidi"/>
          <w:sz w:val="24"/>
          <w:szCs w:val="24"/>
          <w:vertAlign w:val="subscript"/>
        </w:rPr>
        <w:t>5</w:t>
      </w:r>
      <w:r w:rsidRPr="006D3D71">
        <w:rPr>
          <w:rFonts w:asciiTheme="majorBidi" w:hAnsiTheme="majorBidi" w:cstheme="majorBidi"/>
          <w:sz w:val="24"/>
          <w:szCs w:val="24"/>
        </w:rPr>
        <w:t xml:space="preserve"> </w:t>
      </w:r>
      <w:r w:rsidR="00716F72" w:rsidRPr="006D3D71">
        <w:rPr>
          <w:rFonts w:asciiTheme="majorBidi" w:hAnsiTheme="majorBidi" w:cstheme="majorBidi"/>
          <w:sz w:val="24"/>
          <w:szCs w:val="24"/>
        </w:rPr>
        <w:t>CRMF</w:t>
      </w:r>
      <w:r w:rsidRPr="006D3D71">
        <w:rPr>
          <w:rFonts w:asciiTheme="majorBidi" w:hAnsiTheme="majorBidi" w:cstheme="majorBidi"/>
          <w:sz w:val="24"/>
          <w:szCs w:val="24"/>
          <w:lang w:val="fr-FR"/>
        </w:rPr>
        <w:t xml:space="preserve">+ </w:t>
      </w:r>
      <w:r w:rsidRPr="006D3D71">
        <w:rPr>
          <w:rFonts w:asciiTheme="majorBidi" w:hAnsiTheme="majorBidi" w:cstheme="majorBidi"/>
          <w:sz w:val="24"/>
          <w:szCs w:val="24"/>
        </w:rPr>
        <w:t>β</w:t>
      </w:r>
      <w:r w:rsidRPr="006D3D71">
        <w:rPr>
          <w:rFonts w:asciiTheme="majorBidi" w:hAnsiTheme="majorBidi" w:cstheme="majorBidi"/>
          <w:sz w:val="24"/>
          <w:szCs w:val="24"/>
          <w:vertAlign w:val="subscript"/>
        </w:rPr>
        <w:t>6</w:t>
      </w:r>
      <w:r w:rsidRPr="006D3D71">
        <w:rPr>
          <w:rFonts w:asciiTheme="majorBidi" w:hAnsiTheme="majorBidi" w:cstheme="majorBidi"/>
          <w:sz w:val="24"/>
          <w:szCs w:val="24"/>
        </w:rPr>
        <w:t xml:space="preserve"> </w:t>
      </w:r>
      <w:r w:rsidR="00716F72" w:rsidRPr="006D3D71">
        <w:rPr>
          <w:rFonts w:asciiTheme="majorBidi" w:hAnsiTheme="majorBidi" w:cstheme="majorBidi"/>
          <w:sz w:val="24"/>
          <w:szCs w:val="24"/>
        </w:rPr>
        <w:t>CM</w:t>
      </w:r>
      <w:r w:rsidRPr="006D3D71">
        <w:rPr>
          <w:rFonts w:asciiTheme="majorBidi" w:hAnsiTheme="majorBidi" w:cstheme="majorBidi"/>
          <w:sz w:val="24"/>
          <w:szCs w:val="24"/>
          <w:lang w:val="fr-FR"/>
        </w:rPr>
        <w:t xml:space="preserve">+ e     </w:t>
      </w:r>
    </w:p>
    <w:p w14:paraId="0B094C84" w14:textId="77777777" w:rsidR="003F0834" w:rsidRPr="006D3D71" w:rsidRDefault="003F0834" w:rsidP="006D3D71">
      <w:pPr>
        <w:spacing w:line="360" w:lineRule="auto"/>
        <w:rPr>
          <w:rFonts w:asciiTheme="majorBidi" w:hAnsiTheme="majorBidi" w:cstheme="majorBidi"/>
          <w:sz w:val="24"/>
          <w:szCs w:val="24"/>
        </w:rPr>
      </w:pPr>
      <w:r w:rsidRPr="006D3D71">
        <w:rPr>
          <w:rFonts w:asciiTheme="majorBidi" w:hAnsiTheme="majorBidi" w:cstheme="majorBidi"/>
          <w:sz w:val="24"/>
          <w:szCs w:val="24"/>
        </w:rPr>
        <w:lastRenderedPageBreak/>
        <w:t>X = Independent Variable</w:t>
      </w:r>
    </w:p>
    <w:p w14:paraId="7EC92822" w14:textId="77777777" w:rsidR="003F0834" w:rsidRPr="006D3D71" w:rsidRDefault="003F0834" w:rsidP="006D3D71">
      <w:pPr>
        <w:spacing w:line="360" w:lineRule="auto"/>
        <w:rPr>
          <w:rFonts w:asciiTheme="majorBidi" w:hAnsiTheme="majorBidi" w:cstheme="majorBidi"/>
          <w:sz w:val="24"/>
          <w:szCs w:val="24"/>
          <w:lang w:val="fr-FR"/>
        </w:rPr>
      </w:pPr>
      <w:r w:rsidRPr="006D3D71">
        <w:rPr>
          <w:rFonts w:asciiTheme="majorBidi" w:hAnsiTheme="majorBidi" w:cstheme="majorBidi"/>
          <w:sz w:val="24"/>
          <w:szCs w:val="24"/>
          <w:lang w:val="fr-FR"/>
        </w:rPr>
        <w:t xml:space="preserve">Y = </w:t>
      </w:r>
      <w:proofErr w:type="spellStart"/>
      <w:r w:rsidRPr="006D3D71">
        <w:rPr>
          <w:rFonts w:asciiTheme="majorBidi" w:hAnsiTheme="majorBidi" w:cstheme="majorBidi"/>
          <w:sz w:val="24"/>
          <w:szCs w:val="24"/>
          <w:lang w:val="fr-FR"/>
        </w:rPr>
        <w:t>Dependent</w:t>
      </w:r>
      <w:proofErr w:type="spellEnd"/>
      <w:r w:rsidRPr="006D3D71">
        <w:rPr>
          <w:rFonts w:asciiTheme="majorBidi" w:hAnsiTheme="majorBidi" w:cstheme="majorBidi"/>
          <w:sz w:val="24"/>
          <w:szCs w:val="24"/>
          <w:lang w:val="fr-FR"/>
        </w:rPr>
        <w:t xml:space="preserve"> Variable </w:t>
      </w:r>
    </w:p>
    <w:p w14:paraId="0615ABCC" w14:textId="009C9755" w:rsidR="003F0834" w:rsidRPr="006D3D71" w:rsidRDefault="003F0834" w:rsidP="006D3D71">
      <w:pPr>
        <w:spacing w:line="360" w:lineRule="auto"/>
        <w:rPr>
          <w:rFonts w:asciiTheme="majorBidi" w:hAnsiTheme="majorBidi" w:cstheme="majorBidi"/>
          <w:sz w:val="24"/>
          <w:szCs w:val="24"/>
          <w:lang w:val="fr-FR"/>
        </w:rPr>
      </w:pPr>
      <w:r w:rsidRPr="006D3D71">
        <w:rPr>
          <w:rFonts w:asciiTheme="majorBidi" w:hAnsiTheme="majorBidi" w:cstheme="majorBidi"/>
          <w:sz w:val="24"/>
          <w:szCs w:val="24"/>
          <w:lang w:val="fr-FR"/>
        </w:rPr>
        <w:t>Y = f(x)</w:t>
      </w:r>
      <w:r w:rsidR="000713B4" w:rsidRPr="006D3D71">
        <w:rPr>
          <w:rStyle w:val="Strong"/>
          <w:rFonts w:asciiTheme="majorBidi" w:hAnsiTheme="majorBidi" w:cstheme="majorBidi"/>
          <w:sz w:val="24"/>
          <w:szCs w:val="24"/>
        </w:rPr>
        <w:t xml:space="preserve">, </w:t>
      </w:r>
    </w:p>
    <w:p w14:paraId="418F5DD6" w14:textId="102C970A" w:rsidR="003F0834" w:rsidRPr="006D3D71" w:rsidRDefault="003F0834" w:rsidP="006D3D71">
      <w:pPr>
        <w:spacing w:after="0" w:line="360" w:lineRule="auto"/>
        <w:rPr>
          <w:rFonts w:asciiTheme="majorBidi" w:hAnsiTheme="majorBidi" w:cstheme="majorBidi"/>
          <w:sz w:val="24"/>
          <w:szCs w:val="24"/>
        </w:rPr>
      </w:pPr>
      <w:r w:rsidRPr="006D3D71">
        <w:rPr>
          <w:rFonts w:asciiTheme="majorBidi" w:hAnsiTheme="majorBidi" w:cstheme="majorBidi"/>
          <w:sz w:val="24"/>
          <w:szCs w:val="24"/>
        </w:rPr>
        <w:t>Where</w:t>
      </w:r>
      <w:r w:rsidR="006A6599" w:rsidRPr="006D3D71">
        <w:rPr>
          <w:rFonts w:asciiTheme="majorBidi" w:hAnsiTheme="majorBidi" w:cstheme="majorBidi"/>
          <w:sz w:val="24"/>
          <w:szCs w:val="24"/>
        </w:rPr>
        <w:t xml:space="preserve">, </w:t>
      </w:r>
      <w:r w:rsidRPr="006D3D71">
        <w:rPr>
          <w:rFonts w:asciiTheme="majorBidi" w:hAnsiTheme="majorBidi" w:cstheme="majorBidi"/>
          <w:sz w:val="24"/>
          <w:szCs w:val="24"/>
        </w:rPr>
        <w:t>X = (X1</w:t>
      </w:r>
      <w:r w:rsidRPr="006D3D71">
        <w:rPr>
          <w:rFonts w:asciiTheme="majorBidi" w:hAnsiTheme="majorBidi" w:cstheme="majorBidi"/>
          <w:sz w:val="24"/>
          <w:szCs w:val="24"/>
          <w:vertAlign w:val="subscript"/>
        </w:rPr>
        <w:t xml:space="preserve">= </w:t>
      </w:r>
      <w:r w:rsidR="000713B4" w:rsidRPr="006D3D71">
        <w:rPr>
          <w:rFonts w:asciiTheme="majorBidi" w:hAnsiTheme="majorBidi" w:cstheme="majorBidi"/>
          <w:sz w:val="24"/>
          <w:szCs w:val="24"/>
        </w:rPr>
        <w:t xml:space="preserve">Borrower Creditworthiness Assessment </w:t>
      </w:r>
      <w:r w:rsidRPr="006D3D71">
        <w:rPr>
          <w:rFonts w:asciiTheme="majorBidi" w:hAnsiTheme="majorBidi" w:cstheme="majorBidi"/>
          <w:sz w:val="24"/>
          <w:szCs w:val="24"/>
        </w:rPr>
        <w:t>(</w:t>
      </w:r>
      <w:r w:rsidR="000713B4" w:rsidRPr="006D3D71">
        <w:rPr>
          <w:rFonts w:asciiTheme="majorBidi" w:hAnsiTheme="majorBidi" w:cstheme="majorBidi"/>
          <w:sz w:val="24"/>
          <w:szCs w:val="24"/>
        </w:rPr>
        <w:t>BCA</w:t>
      </w:r>
      <w:r w:rsidRPr="006D3D71">
        <w:rPr>
          <w:rFonts w:asciiTheme="majorBidi" w:hAnsiTheme="majorBidi" w:cstheme="majorBidi"/>
          <w:sz w:val="24"/>
          <w:szCs w:val="24"/>
        </w:rPr>
        <w:t>), X</w:t>
      </w:r>
      <w:r w:rsidRPr="006D3D71">
        <w:rPr>
          <w:rFonts w:asciiTheme="majorBidi" w:hAnsiTheme="majorBidi" w:cstheme="majorBidi"/>
          <w:sz w:val="24"/>
          <w:szCs w:val="24"/>
          <w:vertAlign w:val="subscript"/>
        </w:rPr>
        <w:t xml:space="preserve">2= </w:t>
      </w:r>
      <w:r w:rsidR="000713B4" w:rsidRPr="006D3D71">
        <w:rPr>
          <w:rStyle w:val="Strong"/>
          <w:rFonts w:asciiTheme="majorBidi" w:hAnsiTheme="majorBidi" w:cstheme="majorBidi"/>
          <w:b w:val="0"/>
          <w:bCs w:val="0"/>
          <w:sz w:val="24"/>
          <w:szCs w:val="24"/>
        </w:rPr>
        <w:t xml:space="preserve">Credit Concentration Risk </w:t>
      </w:r>
      <w:r w:rsidR="006A6599" w:rsidRPr="006D3D71">
        <w:rPr>
          <w:rStyle w:val="Strong"/>
          <w:rFonts w:asciiTheme="majorBidi" w:hAnsiTheme="majorBidi" w:cstheme="majorBidi"/>
          <w:b w:val="0"/>
          <w:bCs w:val="0"/>
          <w:sz w:val="24"/>
          <w:szCs w:val="24"/>
        </w:rPr>
        <w:t>(</w:t>
      </w:r>
      <w:r w:rsidR="006A6599" w:rsidRPr="006D3D71">
        <w:rPr>
          <w:rFonts w:asciiTheme="majorBidi" w:hAnsiTheme="majorBidi" w:cstheme="majorBidi"/>
          <w:sz w:val="24"/>
          <w:szCs w:val="24"/>
        </w:rPr>
        <w:t>C</w:t>
      </w:r>
      <w:r w:rsidR="000713B4" w:rsidRPr="006D3D71">
        <w:rPr>
          <w:rFonts w:asciiTheme="majorBidi" w:hAnsiTheme="majorBidi" w:cstheme="majorBidi"/>
          <w:sz w:val="24"/>
          <w:szCs w:val="24"/>
        </w:rPr>
        <w:t>CR</w:t>
      </w:r>
      <w:r w:rsidR="006A6599" w:rsidRPr="006D3D71">
        <w:rPr>
          <w:rFonts w:asciiTheme="majorBidi" w:hAnsiTheme="majorBidi" w:cstheme="majorBidi"/>
          <w:sz w:val="24"/>
          <w:szCs w:val="24"/>
        </w:rPr>
        <w:t>),</w:t>
      </w:r>
      <w:r w:rsidRPr="006D3D71">
        <w:rPr>
          <w:rFonts w:asciiTheme="majorBidi" w:hAnsiTheme="majorBidi" w:cstheme="majorBidi"/>
          <w:sz w:val="24"/>
          <w:szCs w:val="24"/>
        </w:rPr>
        <w:t xml:space="preserve"> X</w:t>
      </w:r>
      <w:r w:rsidRPr="006D3D71">
        <w:rPr>
          <w:rFonts w:asciiTheme="majorBidi" w:hAnsiTheme="majorBidi" w:cstheme="majorBidi"/>
          <w:sz w:val="24"/>
          <w:szCs w:val="24"/>
          <w:vertAlign w:val="subscript"/>
        </w:rPr>
        <w:t>3</w:t>
      </w:r>
      <w:r w:rsidR="000713B4" w:rsidRPr="006D3D71">
        <w:rPr>
          <w:rFonts w:asciiTheme="majorBidi" w:hAnsiTheme="majorBidi" w:cstheme="majorBidi"/>
          <w:sz w:val="24"/>
          <w:szCs w:val="24"/>
        </w:rPr>
        <w:t xml:space="preserve"> Debt Restructuring &amp; Recovery Strategies </w:t>
      </w:r>
      <w:r w:rsidR="006A6599" w:rsidRPr="006D3D71">
        <w:rPr>
          <w:rFonts w:asciiTheme="majorBidi" w:hAnsiTheme="majorBidi" w:cstheme="majorBidi"/>
          <w:sz w:val="24"/>
          <w:szCs w:val="24"/>
        </w:rPr>
        <w:t>(DR</w:t>
      </w:r>
      <w:r w:rsidR="000713B4" w:rsidRPr="006D3D71">
        <w:rPr>
          <w:rFonts w:asciiTheme="majorBidi" w:hAnsiTheme="majorBidi" w:cstheme="majorBidi"/>
          <w:sz w:val="24"/>
          <w:szCs w:val="24"/>
        </w:rPr>
        <w:t>RS</w:t>
      </w:r>
      <w:r w:rsidR="006A6599" w:rsidRPr="006D3D71">
        <w:rPr>
          <w:rFonts w:asciiTheme="majorBidi" w:hAnsiTheme="majorBidi" w:cstheme="majorBidi"/>
          <w:sz w:val="24"/>
          <w:szCs w:val="24"/>
        </w:rPr>
        <w:t>)</w:t>
      </w:r>
      <w:r w:rsidR="006A6599" w:rsidRPr="006D3D71">
        <w:rPr>
          <w:rStyle w:val="Strong"/>
          <w:rFonts w:asciiTheme="majorBidi" w:hAnsiTheme="majorBidi" w:cstheme="majorBidi"/>
          <w:sz w:val="24"/>
          <w:szCs w:val="24"/>
        </w:rPr>
        <w:t xml:space="preserve"> </w:t>
      </w:r>
      <w:r w:rsidRPr="006D3D71">
        <w:rPr>
          <w:rFonts w:asciiTheme="majorBidi" w:hAnsiTheme="majorBidi" w:cstheme="majorBidi"/>
          <w:sz w:val="24"/>
          <w:szCs w:val="24"/>
        </w:rPr>
        <w:t>X</w:t>
      </w:r>
      <w:r w:rsidRPr="006D3D71">
        <w:rPr>
          <w:rFonts w:asciiTheme="majorBidi" w:hAnsiTheme="majorBidi" w:cstheme="majorBidi"/>
          <w:sz w:val="24"/>
          <w:szCs w:val="24"/>
          <w:vertAlign w:val="subscript"/>
        </w:rPr>
        <w:t>4</w:t>
      </w:r>
      <w:r w:rsidRPr="006D3D71">
        <w:rPr>
          <w:rFonts w:asciiTheme="majorBidi" w:hAnsiTheme="majorBidi" w:cstheme="majorBidi"/>
          <w:sz w:val="24"/>
          <w:szCs w:val="24"/>
        </w:rPr>
        <w:t xml:space="preserve">: </w:t>
      </w:r>
      <w:r w:rsidR="000713B4" w:rsidRPr="006D3D71">
        <w:rPr>
          <w:rFonts w:asciiTheme="majorBidi" w:hAnsiTheme="majorBidi" w:cstheme="majorBidi"/>
          <w:sz w:val="24"/>
          <w:szCs w:val="24"/>
        </w:rPr>
        <w:t xml:space="preserve">Credit risk rating </w:t>
      </w:r>
      <w:r w:rsidR="00F16DC1" w:rsidRPr="006D3D71">
        <w:rPr>
          <w:rFonts w:asciiTheme="majorBidi" w:hAnsiTheme="majorBidi" w:cstheme="majorBidi"/>
          <w:sz w:val="24"/>
          <w:szCs w:val="24"/>
        </w:rPr>
        <w:t>systems (</w:t>
      </w:r>
      <w:r w:rsidR="000713B4" w:rsidRPr="006D3D71">
        <w:rPr>
          <w:rFonts w:asciiTheme="majorBidi" w:hAnsiTheme="majorBidi" w:cstheme="majorBidi"/>
          <w:sz w:val="24"/>
          <w:szCs w:val="24"/>
        </w:rPr>
        <w:t xml:space="preserve">CRS) </w:t>
      </w:r>
      <w:r w:rsidRPr="006D3D71">
        <w:rPr>
          <w:rFonts w:asciiTheme="majorBidi" w:hAnsiTheme="majorBidi" w:cstheme="majorBidi"/>
          <w:sz w:val="24"/>
          <w:szCs w:val="24"/>
        </w:rPr>
        <w:t>and X</w:t>
      </w:r>
      <w:r w:rsidRPr="006D3D71">
        <w:rPr>
          <w:rFonts w:asciiTheme="majorBidi" w:hAnsiTheme="majorBidi" w:cstheme="majorBidi"/>
          <w:sz w:val="24"/>
          <w:szCs w:val="24"/>
          <w:vertAlign w:val="subscript"/>
        </w:rPr>
        <w:t>5</w:t>
      </w:r>
      <w:r w:rsidRPr="006D3D71">
        <w:rPr>
          <w:rFonts w:asciiTheme="majorBidi" w:hAnsiTheme="majorBidi" w:cstheme="majorBidi"/>
          <w:sz w:val="24"/>
          <w:szCs w:val="24"/>
        </w:rPr>
        <w:t>: Credit risk monitoring frequency (CRMF),</w:t>
      </w:r>
      <w:r w:rsidR="000713B4" w:rsidRPr="006D3D71">
        <w:rPr>
          <w:rFonts w:asciiTheme="majorBidi" w:hAnsiTheme="majorBidi" w:cstheme="majorBidi"/>
          <w:sz w:val="24"/>
          <w:szCs w:val="24"/>
        </w:rPr>
        <w:t xml:space="preserve"> X</w:t>
      </w:r>
      <w:r w:rsidR="000713B4" w:rsidRPr="006D3D71">
        <w:rPr>
          <w:rFonts w:asciiTheme="majorBidi" w:hAnsiTheme="majorBidi" w:cstheme="majorBidi"/>
          <w:sz w:val="24"/>
          <w:szCs w:val="24"/>
          <w:vertAlign w:val="subscript"/>
        </w:rPr>
        <w:t xml:space="preserve">6: </w:t>
      </w:r>
      <w:r w:rsidR="000713B4" w:rsidRPr="006D3D71">
        <w:rPr>
          <w:rFonts w:asciiTheme="majorBidi" w:hAnsiTheme="majorBidi" w:cstheme="majorBidi"/>
          <w:sz w:val="24"/>
          <w:szCs w:val="24"/>
        </w:rPr>
        <w:t>Collateral Management, (CM</w:t>
      </w:r>
      <w:r w:rsidR="00F16DC1" w:rsidRPr="006D3D71">
        <w:rPr>
          <w:rFonts w:asciiTheme="majorBidi" w:hAnsiTheme="majorBidi" w:cstheme="majorBidi"/>
          <w:sz w:val="24"/>
          <w:szCs w:val="24"/>
        </w:rPr>
        <w:t>), while</w:t>
      </w:r>
      <w:r w:rsidRPr="006D3D71">
        <w:rPr>
          <w:rFonts w:asciiTheme="majorBidi" w:hAnsiTheme="majorBidi" w:cstheme="majorBidi"/>
          <w:sz w:val="24"/>
          <w:szCs w:val="24"/>
        </w:rPr>
        <w:t xml:space="preserve"> the Y= Financial Performance (FP).</w:t>
      </w:r>
    </w:p>
    <w:p w14:paraId="340FB6AE" w14:textId="465CC8DD" w:rsidR="003F0834" w:rsidRPr="006D3D71" w:rsidRDefault="003F0834" w:rsidP="006D3D71">
      <w:pPr>
        <w:spacing w:line="360" w:lineRule="auto"/>
        <w:jc w:val="both"/>
        <w:rPr>
          <w:rFonts w:asciiTheme="majorBidi" w:hAnsiTheme="majorBidi" w:cstheme="majorBidi"/>
          <w:sz w:val="24"/>
          <w:szCs w:val="24"/>
          <w:lang w:val="en-CA"/>
        </w:rPr>
      </w:pPr>
      <w:bookmarkStart w:id="1288" w:name="_Toc80345785"/>
      <w:bookmarkStart w:id="1289" w:name="_Toc107927988"/>
      <w:bookmarkStart w:id="1290" w:name="_Toc109397249"/>
      <w:bookmarkStart w:id="1291" w:name="_Toc109399484"/>
      <w:bookmarkStart w:id="1292" w:name="_Toc109567657"/>
      <w:proofErr w:type="spellStart"/>
      <w:r w:rsidRPr="006D3D71">
        <w:rPr>
          <w:rFonts w:asciiTheme="majorBidi" w:hAnsiTheme="majorBidi" w:cstheme="majorBidi"/>
          <w:sz w:val="24"/>
          <w:szCs w:val="24"/>
          <w:lang w:val="fr-FR"/>
        </w:rPr>
        <w:t>Where</w:t>
      </w:r>
      <w:proofErr w:type="spellEnd"/>
      <w:r w:rsidRPr="006D3D71">
        <w:rPr>
          <w:rFonts w:asciiTheme="majorBidi" w:hAnsiTheme="majorBidi" w:cstheme="majorBidi"/>
          <w:sz w:val="24"/>
          <w:szCs w:val="24"/>
          <w:lang w:val="fr-FR"/>
        </w:rPr>
        <w:t xml:space="preserve"> </w:t>
      </w:r>
      <w:r w:rsidRPr="006D3D71">
        <w:rPr>
          <w:rFonts w:asciiTheme="majorBidi" w:hAnsiTheme="majorBidi" w:cstheme="majorBidi"/>
          <w:sz w:val="24"/>
          <w:szCs w:val="24"/>
        </w:rPr>
        <w:t>β0 is the intercept for each model and β1, β2, β3, β4, β5 and β6 are coefficients of explanatory variables, using primary data and e= error term.</w:t>
      </w:r>
      <w:bookmarkEnd w:id="1288"/>
      <w:bookmarkEnd w:id="1289"/>
      <w:bookmarkEnd w:id="1290"/>
      <w:bookmarkEnd w:id="1291"/>
      <w:bookmarkEnd w:id="1292"/>
      <w:r w:rsidRPr="006D3D71">
        <w:rPr>
          <w:rFonts w:asciiTheme="majorBidi" w:hAnsiTheme="majorBidi" w:cstheme="majorBidi"/>
          <w:sz w:val="24"/>
          <w:szCs w:val="24"/>
        </w:rPr>
        <w:t xml:space="preserve"> </w:t>
      </w:r>
      <w:r w:rsidRPr="006D3D71">
        <w:rPr>
          <w:rFonts w:asciiTheme="majorBidi" w:hAnsiTheme="majorBidi" w:cstheme="majorBidi"/>
          <w:sz w:val="24"/>
          <w:szCs w:val="24"/>
          <w:lang w:val="en-CA"/>
        </w:rPr>
        <w:t xml:space="preserve">The pre-estimation tests </w:t>
      </w:r>
      <w:r w:rsidR="00D62D44" w:rsidRPr="006D3D71">
        <w:rPr>
          <w:rFonts w:asciiTheme="majorBidi" w:hAnsiTheme="majorBidi" w:cstheme="majorBidi"/>
          <w:sz w:val="24"/>
          <w:szCs w:val="24"/>
          <w:lang w:val="en-CA"/>
        </w:rPr>
        <w:t>were</w:t>
      </w:r>
      <w:r w:rsidRPr="006D3D71">
        <w:rPr>
          <w:rFonts w:asciiTheme="majorBidi" w:hAnsiTheme="majorBidi" w:cstheme="majorBidi"/>
          <w:sz w:val="24"/>
          <w:szCs w:val="24"/>
          <w:lang w:val="en-CA"/>
        </w:rPr>
        <w:t xml:space="preserve"> carried out in determining the suitability of each of the model. </w:t>
      </w:r>
    </w:p>
    <w:p w14:paraId="59E0062E" w14:textId="32D66885" w:rsidR="003F0834" w:rsidRPr="006D3D71" w:rsidRDefault="003F0834" w:rsidP="006D3D71">
      <w:pPr>
        <w:spacing w:line="360" w:lineRule="auto"/>
        <w:jc w:val="both"/>
        <w:rPr>
          <w:rFonts w:asciiTheme="majorBidi" w:hAnsiTheme="majorBidi" w:cstheme="majorBidi"/>
          <w:sz w:val="24"/>
          <w:szCs w:val="24"/>
          <w:lang w:val="en-CA"/>
        </w:rPr>
      </w:pPr>
      <w:r w:rsidRPr="006D3D71">
        <w:rPr>
          <w:rFonts w:asciiTheme="majorBidi" w:hAnsiTheme="majorBidi" w:cstheme="majorBidi"/>
          <w:sz w:val="24"/>
          <w:szCs w:val="24"/>
          <w:lang w:val="en-CA"/>
        </w:rPr>
        <w:t xml:space="preserve">This </w:t>
      </w:r>
      <w:r w:rsidR="00575F6F" w:rsidRPr="006D3D71">
        <w:rPr>
          <w:rFonts w:asciiTheme="majorBidi" w:hAnsiTheme="majorBidi" w:cstheme="majorBidi"/>
          <w:sz w:val="24"/>
          <w:szCs w:val="24"/>
          <w:lang w:val="en-CA"/>
        </w:rPr>
        <w:t>was</w:t>
      </w:r>
      <w:r w:rsidRPr="006D3D71">
        <w:rPr>
          <w:rFonts w:asciiTheme="majorBidi" w:hAnsiTheme="majorBidi" w:cstheme="majorBidi"/>
          <w:sz w:val="24"/>
          <w:szCs w:val="24"/>
          <w:lang w:val="en-CA"/>
        </w:rPr>
        <w:t xml:space="preserve"> necessary because it enable the researcher to know if there is modification in terms of variables that make the models before any estimation is done. Post-estimation tests </w:t>
      </w:r>
      <w:r w:rsidR="00D62D44" w:rsidRPr="006D3D71">
        <w:rPr>
          <w:rFonts w:asciiTheme="majorBidi" w:hAnsiTheme="majorBidi" w:cstheme="majorBidi"/>
          <w:sz w:val="24"/>
          <w:szCs w:val="24"/>
          <w:lang w:val="en-CA"/>
        </w:rPr>
        <w:t>were</w:t>
      </w:r>
      <w:r w:rsidRPr="006D3D71">
        <w:rPr>
          <w:rFonts w:asciiTheme="majorBidi" w:hAnsiTheme="majorBidi" w:cstheme="majorBidi"/>
          <w:sz w:val="24"/>
          <w:szCs w:val="24"/>
          <w:lang w:val="en-CA"/>
        </w:rPr>
        <w:t xml:space="preserve"> also done in order to evaluate the appropriate estimation technique that is useful for each model. There </w:t>
      </w:r>
      <w:r w:rsidR="00575F6F" w:rsidRPr="006D3D71">
        <w:rPr>
          <w:rFonts w:asciiTheme="majorBidi" w:hAnsiTheme="majorBidi" w:cstheme="majorBidi"/>
          <w:sz w:val="24"/>
          <w:szCs w:val="24"/>
          <w:lang w:val="en-CA"/>
        </w:rPr>
        <w:t>was</w:t>
      </w:r>
      <w:r w:rsidRPr="006D3D71">
        <w:rPr>
          <w:rFonts w:asciiTheme="majorBidi" w:hAnsiTheme="majorBidi" w:cstheme="majorBidi"/>
          <w:sz w:val="24"/>
          <w:szCs w:val="24"/>
          <w:lang w:val="en-CA"/>
        </w:rPr>
        <w:t xml:space="preserve"> multicollinearity test by using Variance Inflation Factor (VIF) and correlation matrix </w:t>
      </w:r>
      <w:r w:rsidR="00575F6F" w:rsidRPr="006D3D71">
        <w:rPr>
          <w:rFonts w:asciiTheme="majorBidi" w:hAnsiTheme="majorBidi" w:cstheme="majorBidi"/>
          <w:sz w:val="24"/>
          <w:szCs w:val="24"/>
          <w:lang w:val="en-CA"/>
        </w:rPr>
        <w:t>was</w:t>
      </w:r>
      <w:r w:rsidRPr="006D3D71">
        <w:rPr>
          <w:rFonts w:asciiTheme="majorBidi" w:hAnsiTheme="majorBidi" w:cstheme="majorBidi"/>
          <w:sz w:val="24"/>
          <w:szCs w:val="24"/>
          <w:lang w:val="en-CA"/>
        </w:rPr>
        <w:t xml:space="preserve"> used in easily measuring associations or relationships between variables of the same category. There </w:t>
      </w:r>
      <w:r w:rsidR="00575F6F" w:rsidRPr="006D3D71">
        <w:rPr>
          <w:rFonts w:asciiTheme="majorBidi" w:hAnsiTheme="majorBidi" w:cstheme="majorBidi"/>
          <w:sz w:val="24"/>
          <w:szCs w:val="24"/>
          <w:lang w:val="en-CA"/>
        </w:rPr>
        <w:t>was</w:t>
      </w:r>
      <w:r w:rsidRPr="006D3D71">
        <w:rPr>
          <w:rFonts w:asciiTheme="majorBidi" w:hAnsiTheme="majorBidi" w:cstheme="majorBidi"/>
          <w:sz w:val="24"/>
          <w:szCs w:val="24"/>
          <w:lang w:val="en-CA"/>
        </w:rPr>
        <w:t xml:space="preserve"> also t-statistics, z-statistics and F-statistics </w:t>
      </w:r>
      <w:r w:rsidR="00575F6F" w:rsidRPr="006D3D71">
        <w:rPr>
          <w:rFonts w:asciiTheme="majorBidi" w:hAnsiTheme="majorBidi" w:cstheme="majorBidi"/>
          <w:sz w:val="24"/>
          <w:szCs w:val="24"/>
          <w:lang w:val="en-CA"/>
        </w:rPr>
        <w:t>was</w:t>
      </w:r>
      <w:r w:rsidRPr="006D3D71">
        <w:rPr>
          <w:rFonts w:asciiTheme="majorBidi" w:hAnsiTheme="majorBidi" w:cstheme="majorBidi"/>
          <w:sz w:val="24"/>
          <w:szCs w:val="24"/>
          <w:lang w:val="en-CA"/>
        </w:rPr>
        <w:t xml:space="preserve"> compared to the tabulated values with the probability values at 5%. </w:t>
      </w:r>
    </w:p>
    <w:p w14:paraId="0259EBCE" w14:textId="77777777" w:rsidR="003F0834" w:rsidRPr="006D3D71" w:rsidRDefault="003F0834" w:rsidP="006D3D71">
      <w:pPr>
        <w:pStyle w:val="graf"/>
        <w:spacing w:before="0" w:beforeAutospacing="0" w:after="0" w:afterAutospacing="0" w:line="360" w:lineRule="auto"/>
        <w:rPr>
          <w:rFonts w:asciiTheme="majorBidi" w:hAnsiTheme="majorBidi" w:cstheme="majorBidi"/>
        </w:rPr>
      </w:pPr>
      <w:r w:rsidRPr="006D3D71">
        <w:rPr>
          <w:rFonts w:asciiTheme="majorBidi" w:hAnsiTheme="majorBidi" w:cstheme="majorBidi"/>
        </w:rPr>
        <w:t>R-squared is a statistical measure that is used to assess the goodness of fit of regression model of this research. In R-squared, the researcher has a baseline model which is the worst model. This baseline model doesn’t make use of any independent variables to predict the value of dependent variable Y. Instead, it uses the mean of the observed responses of dependent variable Y and always predicts this mean as the value of Y.</w:t>
      </w:r>
    </w:p>
    <w:p w14:paraId="01863DAE" w14:textId="38EDDA11" w:rsidR="003F0834" w:rsidRPr="006D3D71" w:rsidRDefault="003F0834" w:rsidP="006D3D71">
      <w:pPr>
        <w:spacing w:line="360" w:lineRule="auto"/>
        <w:rPr>
          <w:rFonts w:asciiTheme="majorBidi" w:hAnsiTheme="majorBidi" w:cstheme="majorBidi"/>
          <w:bCs/>
          <w:sz w:val="24"/>
          <w:szCs w:val="24"/>
        </w:rPr>
      </w:pPr>
      <w:r w:rsidRPr="006D3D71">
        <w:rPr>
          <w:rFonts w:asciiTheme="majorBidi" w:hAnsiTheme="majorBidi" w:cstheme="majorBidi"/>
          <w:sz w:val="24"/>
          <w:szCs w:val="24"/>
        </w:rPr>
        <w:t>The coefficient of determination, R</w:t>
      </w:r>
      <w:r w:rsidRPr="006D3D71">
        <w:rPr>
          <w:rFonts w:asciiTheme="majorBidi" w:hAnsiTheme="majorBidi" w:cstheme="majorBidi"/>
          <w:sz w:val="24"/>
          <w:szCs w:val="24"/>
          <w:vertAlign w:val="superscript"/>
        </w:rPr>
        <w:t>2</w:t>
      </w:r>
      <w:r w:rsidRPr="006D3D71">
        <w:rPr>
          <w:rFonts w:asciiTheme="majorBidi" w:hAnsiTheme="majorBidi" w:cstheme="majorBidi"/>
          <w:sz w:val="24"/>
          <w:szCs w:val="24"/>
        </w:rPr>
        <w:t xml:space="preserve">, is used to analyze how differences in one </w:t>
      </w:r>
      <w:hyperlink r:id="rId15" w:history="1">
        <w:r w:rsidRPr="006D3D71">
          <w:rPr>
            <w:rStyle w:val="Hyperlink"/>
            <w:rFonts w:asciiTheme="majorBidi" w:eastAsia="Calibri" w:hAnsiTheme="majorBidi" w:cstheme="majorBidi"/>
            <w:color w:val="auto"/>
            <w:sz w:val="24"/>
            <w:szCs w:val="24"/>
          </w:rPr>
          <w:t xml:space="preserve">variable </w:t>
        </w:r>
      </w:hyperlink>
      <w:r w:rsidRPr="006D3D71">
        <w:rPr>
          <w:rFonts w:asciiTheme="majorBidi" w:hAnsiTheme="majorBidi" w:cstheme="majorBidi"/>
          <w:sz w:val="24"/>
          <w:szCs w:val="24"/>
        </w:rPr>
        <w:t xml:space="preserve">can be explained by a difference in a second variable. For example, </w:t>
      </w:r>
      <w:r w:rsidRPr="006D3D71">
        <w:rPr>
          <w:rStyle w:val="Emphasis"/>
          <w:rFonts w:asciiTheme="majorBidi" w:hAnsiTheme="majorBidi" w:cstheme="majorBidi"/>
          <w:sz w:val="24"/>
          <w:szCs w:val="24"/>
        </w:rPr>
        <w:t xml:space="preserve">when </w:t>
      </w:r>
      <w:r w:rsidRPr="006D3D71">
        <w:rPr>
          <w:rFonts w:asciiTheme="majorBidi" w:hAnsiTheme="majorBidi" w:cstheme="majorBidi"/>
          <w:sz w:val="24"/>
          <w:szCs w:val="24"/>
        </w:rPr>
        <w:t>a person gets pregnant has a direct relation to when they give birth. More specifically, R-squared gives you the percentage variation in y explained by x-variables. The range is 0 to 1 (i.e. 0% to 100% of the variation in y can be explained by the x-variables. The R</w:t>
      </w:r>
      <w:r w:rsidRPr="006D3D71">
        <w:rPr>
          <w:rFonts w:asciiTheme="majorBidi" w:hAnsiTheme="majorBidi" w:cstheme="majorBidi"/>
          <w:sz w:val="24"/>
          <w:szCs w:val="24"/>
          <w:vertAlign w:val="superscript"/>
        </w:rPr>
        <w:t>2</w:t>
      </w:r>
      <w:r w:rsidRPr="006D3D71">
        <w:rPr>
          <w:rFonts w:asciiTheme="majorBidi" w:hAnsiTheme="majorBidi" w:cstheme="majorBidi"/>
          <w:sz w:val="24"/>
          <w:szCs w:val="24"/>
        </w:rPr>
        <w:t xml:space="preserve"> is similar to the coefficient </w:t>
      </w:r>
      <w:hyperlink r:id="rId16" w:tgtFrame="_blank" w:history="1">
        <w:r w:rsidRPr="006D3D71">
          <w:rPr>
            <w:rStyle w:val="Hyperlink"/>
            <w:rFonts w:asciiTheme="majorBidi" w:eastAsia="Calibri" w:hAnsiTheme="majorBidi" w:cstheme="majorBidi"/>
            <w:bCs/>
            <w:color w:val="auto"/>
            <w:sz w:val="24"/>
            <w:szCs w:val="24"/>
          </w:rPr>
          <w:t>correlation</w:t>
        </w:r>
      </w:hyperlink>
      <w:r w:rsidRPr="006D3D71">
        <w:rPr>
          <w:rFonts w:asciiTheme="majorBidi" w:hAnsiTheme="majorBidi" w:cstheme="majorBidi"/>
          <w:sz w:val="24"/>
          <w:szCs w:val="24"/>
        </w:rPr>
        <w:t xml:space="preserve">, R. will tell you how strong is a </w:t>
      </w:r>
      <w:hyperlink r:id="rId17" w:history="1">
        <w:r w:rsidRPr="006D3D71">
          <w:rPr>
            <w:rStyle w:val="Hyperlink"/>
            <w:rFonts w:asciiTheme="majorBidi" w:eastAsia="Calibri" w:hAnsiTheme="majorBidi" w:cstheme="majorBidi"/>
            <w:color w:val="auto"/>
            <w:sz w:val="24"/>
            <w:szCs w:val="24"/>
          </w:rPr>
          <w:t>linear relationship</w:t>
        </w:r>
      </w:hyperlink>
      <w:r w:rsidRPr="006D3D71">
        <w:rPr>
          <w:rFonts w:asciiTheme="majorBidi" w:hAnsiTheme="majorBidi" w:cstheme="majorBidi"/>
          <w:sz w:val="24"/>
          <w:szCs w:val="24"/>
        </w:rPr>
        <w:t xml:space="preserve"> for two variables. R Squared is the square of the </w:t>
      </w:r>
      <w:hyperlink r:id="rId18" w:history="1">
        <w:r w:rsidRPr="006D3D71">
          <w:rPr>
            <w:rStyle w:val="Hyperlink"/>
            <w:rFonts w:asciiTheme="majorBidi" w:eastAsia="Calibri" w:hAnsiTheme="majorBidi" w:cstheme="majorBidi"/>
            <w:color w:val="auto"/>
            <w:sz w:val="24"/>
            <w:szCs w:val="24"/>
          </w:rPr>
          <w:t>correlation coefficient</w:t>
        </w:r>
      </w:hyperlink>
      <w:r w:rsidRPr="006D3D71">
        <w:rPr>
          <w:rFonts w:asciiTheme="majorBidi" w:hAnsiTheme="majorBidi" w:cstheme="majorBidi"/>
          <w:sz w:val="24"/>
          <w:szCs w:val="24"/>
        </w:rPr>
        <w:t xml:space="preserve">, </w:t>
      </w:r>
      <w:r w:rsidRPr="006D3D71">
        <w:rPr>
          <w:rStyle w:val="Emphasis"/>
          <w:rFonts w:asciiTheme="majorBidi" w:hAnsiTheme="majorBidi" w:cstheme="majorBidi"/>
          <w:sz w:val="24"/>
          <w:szCs w:val="24"/>
        </w:rPr>
        <w:t>r</w:t>
      </w:r>
      <w:r w:rsidRPr="006D3D71">
        <w:rPr>
          <w:rFonts w:asciiTheme="majorBidi" w:hAnsiTheme="majorBidi" w:cstheme="majorBidi"/>
          <w:sz w:val="24"/>
          <w:szCs w:val="24"/>
        </w:rPr>
        <w:t xml:space="preserve"> (hence the term r squared). The </w:t>
      </w:r>
      <w:r w:rsidRPr="006D3D71">
        <w:rPr>
          <w:rFonts w:asciiTheme="majorBidi" w:hAnsiTheme="majorBidi" w:cstheme="majorBidi"/>
          <w:noProof/>
          <w:sz w:val="24"/>
          <w:szCs w:val="24"/>
          <w:lang w:val="en-IN" w:eastAsia="en-IN"/>
        </w:rPr>
        <w:drawing>
          <wp:inline distT="0" distB="0" distL="0" distR="0" wp14:anchorId="4836DCEB" wp14:editId="7BC5F3EA">
            <wp:extent cx="123825" cy="142875"/>
            <wp:effectExtent l="0" t="0" r="0" b="9525"/>
            <wp:docPr id="13" name="Picture 13" descr="Description: http://reliawiki.org/images/math/d/8/8/d88b8f97ff8ee3cf14cd03de68312c3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reliawiki.org/images/math/d/8/8/d88b8f97ff8ee3cf14cd03de68312c3e.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6D3D71">
        <w:rPr>
          <w:rFonts w:asciiTheme="majorBidi" w:hAnsiTheme="majorBidi" w:cstheme="majorBidi"/>
          <w:sz w:val="24"/>
          <w:szCs w:val="24"/>
        </w:rPr>
        <w:t xml:space="preserve">test </w:t>
      </w:r>
      <w:r w:rsidR="00575F6F" w:rsidRPr="006D3D71">
        <w:rPr>
          <w:rFonts w:asciiTheme="majorBidi" w:hAnsiTheme="majorBidi" w:cstheme="majorBidi"/>
          <w:sz w:val="24"/>
          <w:szCs w:val="24"/>
        </w:rPr>
        <w:t>was</w:t>
      </w:r>
      <w:r w:rsidRPr="006D3D71">
        <w:rPr>
          <w:rFonts w:asciiTheme="majorBidi" w:hAnsiTheme="majorBidi" w:cstheme="majorBidi"/>
          <w:sz w:val="24"/>
          <w:szCs w:val="24"/>
        </w:rPr>
        <w:t xml:space="preserve"> employed to conduct hypothesis tests on the coefficients obtained in simple linear regression. A statistic for </w:t>
      </w:r>
      <w:r w:rsidRPr="006D3D71">
        <w:rPr>
          <w:rFonts w:asciiTheme="majorBidi" w:hAnsiTheme="majorBidi" w:cstheme="majorBidi"/>
          <w:noProof/>
          <w:sz w:val="24"/>
          <w:szCs w:val="24"/>
          <w:lang w:val="en-IN" w:eastAsia="en-IN"/>
        </w:rPr>
        <w:drawing>
          <wp:inline distT="0" distB="0" distL="0" distR="0" wp14:anchorId="742B6253" wp14:editId="3F67EFFB">
            <wp:extent cx="123825" cy="142875"/>
            <wp:effectExtent l="0" t="0" r="0" b="9525"/>
            <wp:docPr id="12" name="Picture 12" descr="Description: http://reliawiki.org/images/math/d/8/8/d88b8f97ff8ee3cf14cd03de68312c3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http://reliawiki.org/images/math/d/8/8/d88b8f97ff8ee3cf14cd03de68312c3e.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6D3D71">
        <w:rPr>
          <w:rFonts w:asciiTheme="majorBidi" w:hAnsiTheme="majorBidi" w:cstheme="majorBidi"/>
          <w:sz w:val="24"/>
          <w:szCs w:val="24"/>
        </w:rPr>
        <w:t xml:space="preserve">distribution </w:t>
      </w:r>
      <w:r w:rsidR="00575F6F" w:rsidRPr="006D3D71">
        <w:rPr>
          <w:rFonts w:asciiTheme="majorBidi" w:hAnsiTheme="majorBidi" w:cstheme="majorBidi"/>
          <w:sz w:val="24"/>
          <w:szCs w:val="24"/>
        </w:rPr>
        <w:t>was</w:t>
      </w:r>
      <w:r w:rsidRPr="006D3D71">
        <w:rPr>
          <w:rFonts w:asciiTheme="majorBidi" w:hAnsiTheme="majorBidi" w:cstheme="majorBidi"/>
          <w:sz w:val="24"/>
          <w:szCs w:val="24"/>
        </w:rPr>
        <w:t xml:space="preserve"> employed to examine two-sided hypothesis that the true slope,</w:t>
      </w:r>
      <w:r w:rsidRPr="006D3D71">
        <w:rPr>
          <w:rFonts w:asciiTheme="majorBidi" w:hAnsiTheme="majorBidi" w:cstheme="majorBidi"/>
          <w:noProof/>
          <w:sz w:val="24"/>
          <w:szCs w:val="24"/>
        </w:rPr>
        <w:t xml:space="preserve"> </w:t>
      </w:r>
      <w:r w:rsidRPr="006D3D71">
        <w:rPr>
          <w:rFonts w:asciiTheme="majorBidi" w:hAnsiTheme="majorBidi" w:cstheme="majorBidi"/>
          <w:sz w:val="24"/>
          <w:szCs w:val="24"/>
        </w:rPr>
        <w:t>β</w:t>
      </w:r>
      <w:r w:rsidRPr="006D3D71">
        <w:rPr>
          <w:rFonts w:asciiTheme="majorBidi" w:hAnsiTheme="majorBidi" w:cstheme="majorBidi"/>
          <w:sz w:val="24"/>
          <w:szCs w:val="24"/>
          <w:vertAlign w:val="subscript"/>
        </w:rPr>
        <w:t>1</w:t>
      </w:r>
      <w:r w:rsidRPr="006D3D71">
        <w:rPr>
          <w:rFonts w:asciiTheme="majorBidi" w:hAnsiTheme="majorBidi" w:cstheme="majorBidi"/>
          <w:sz w:val="24"/>
          <w:szCs w:val="24"/>
        </w:rPr>
        <w:t>, equals some constant value, β</w:t>
      </w:r>
      <w:r w:rsidRPr="006D3D71">
        <w:rPr>
          <w:rFonts w:asciiTheme="majorBidi" w:hAnsiTheme="majorBidi" w:cstheme="majorBidi"/>
          <w:sz w:val="24"/>
          <w:szCs w:val="24"/>
          <w:vertAlign w:val="subscript"/>
        </w:rPr>
        <w:t xml:space="preserve">1, </w:t>
      </w:r>
      <w:r w:rsidRPr="006D3D71">
        <w:rPr>
          <w:rFonts w:asciiTheme="majorBidi" w:hAnsiTheme="majorBidi" w:cstheme="majorBidi"/>
          <w:sz w:val="24"/>
          <w:szCs w:val="24"/>
        </w:rPr>
        <w:t xml:space="preserve">0.  As for qualitative data, analysis the researcher </w:t>
      </w:r>
      <w:r w:rsidR="00575F6F" w:rsidRPr="006D3D71">
        <w:rPr>
          <w:rFonts w:asciiTheme="majorBidi" w:hAnsiTheme="majorBidi" w:cstheme="majorBidi"/>
          <w:sz w:val="24"/>
          <w:szCs w:val="24"/>
        </w:rPr>
        <w:lastRenderedPageBreak/>
        <w:t>was</w:t>
      </w:r>
      <w:r w:rsidRPr="006D3D71">
        <w:rPr>
          <w:rFonts w:asciiTheme="majorBidi" w:hAnsiTheme="majorBidi" w:cstheme="majorBidi"/>
          <w:sz w:val="24"/>
          <w:szCs w:val="24"/>
        </w:rPr>
        <w:t xml:space="preserve"> narrative analysis of the data from interview. In addition to this analysis the research will analysis </w:t>
      </w:r>
      <w:r w:rsidR="00813167" w:rsidRPr="006D3D71">
        <w:rPr>
          <w:rFonts w:asciiTheme="majorBidi" w:hAnsiTheme="majorBidi" w:cstheme="majorBidi"/>
          <w:sz w:val="24"/>
          <w:szCs w:val="24"/>
        </w:rPr>
        <w:t>they</w:t>
      </w:r>
      <w:r w:rsidRPr="006D3D71">
        <w:rPr>
          <w:rFonts w:asciiTheme="majorBidi" w:hAnsiTheme="majorBidi" w:cstheme="majorBidi"/>
          <w:sz w:val="24"/>
          <w:szCs w:val="24"/>
        </w:rPr>
        <w:t xml:space="preserve"> will include </w:t>
      </w:r>
      <w:r w:rsidR="004150D2" w:rsidRPr="006D3D71">
        <w:rPr>
          <w:rFonts w:asciiTheme="majorBidi" w:hAnsiTheme="majorBidi" w:cstheme="majorBidi"/>
          <w:sz w:val="24"/>
          <w:szCs w:val="24"/>
        </w:rPr>
        <w:t>variables Borrower Creditworthiness Assessment, Credit Concentration Risk, Debt Restructuring &amp; Recovery Strategies, Credit Risk Monitoring Frequency, Collateral Management, and Credit Risk Rating Systems</w:t>
      </w:r>
      <w:r w:rsidRPr="006D3D71">
        <w:rPr>
          <w:rFonts w:asciiTheme="majorBidi" w:hAnsiTheme="majorBidi" w:cstheme="majorBidi"/>
          <w:sz w:val="24"/>
          <w:szCs w:val="24"/>
        </w:rPr>
        <w:t>. Additionally, the financial performance variables to be analyzed include Net Interest Margin (NIM), Return on Equity (ROE), Return on Assets (ROA), Cash Ratio, Capital Adequacy Ratio, and Loans to Deposit Ratio.</w:t>
      </w:r>
    </w:p>
    <w:p w14:paraId="15F8F755" w14:textId="77777777" w:rsidR="003F0834" w:rsidRPr="006D3D71" w:rsidRDefault="003F0834" w:rsidP="006D3D71">
      <w:pPr>
        <w:pStyle w:val="Heading2"/>
        <w:spacing w:line="360" w:lineRule="auto"/>
        <w:jc w:val="both"/>
        <w:rPr>
          <w:rFonts w:asciiTheme="majorBidi" w:hAnsiTheme="majorBidi"/>
          <w:b/>
          <w:bCs/>
          <w:color w:val="auto"/>
          <w:sz w:val="24"/>
          <w:szCs w:val="24"/>
        </w:rPr>
      </w:pPr>
      <w:bookmarkStart w:id="1293" w:name="_Toc193282258"/>
      <w:bookmarkStart w:id="1294" w:name="_Toc193282424"/>
      <w:bookmarkStart w:id="1295" w:name="_Toc193846479"/>
      <w:r w:rsidRPr="006D3D71">
        <w:rPr>
          <w:rFonts w:asciiTheme="majorBidi" w:eastAsia="Times New Roman" w:hAnsiTheme="majorBidi"/>
          <w:b/>
          <w:bCs/>
          <w:color w:val="auto"/>
          <w:sz w:val="24"/>
          <w:szCs w:val="24"/>
        </w:rPr>
        <w:t>3.7. Ethical Consideration</w:t>
      </w:r>
      <w:bookmarkEnd w:id="1236"/>
      <w:r w:rsidRPr="006D3D71">
        <w:rPr>
          <w:rFonts w:asciiTheme="majorBidi" w:eastAsia="Times New Roman" w:hAnsiTheme="majorBidi"/>
          <w:b/>
          <w:bCs/>
          <w:color w:val="auto"/>
          <w:sz w:val="24"/>
          <w:szCs w:val="24"/>
        </w:rPr>
        <w:t>s</w:t>
      </w:r>
      <w:bookmarkEnd w:id="1237"/>
      <w:bookmarkEnd w:id="1238"/>
      <w:bookmarkEnd w:id="1239"/>
      <w:bookmarkEnd w:id="1240"/>
      <w:bookmarkEnd w:id="1241"/>
      <w:bookmarkEnd w:id="1245"/>
      <w:bookmarkEnd w:id="1246"/>
      <w:bookmarkEnd w:id="1247"/>
      <w:bookmarkEnd w:id="1248"/>
      <w:bookmarkEnd w:id="1249"/>
      <w:bookmarkEnd w:id="1250"/>
      <w:bookmarkEnd w:id="1251"/>
      <w:bookmarkEnd w:id="1252"/>
      <w:bookmarkEnd w:id="1253"/>
      <w:bookmarkEnd w:id="1293"/>
      <w:bookmarkEnd w:id="1294"/>
      <w:bookmarkEnd w:id="1295"/>
    </w:p>
    <w:p w14:paraId="0B35376C" w14:textId="49B5A219" w:rsidR="003F0834" w:rsidRPr="006D3D71" w:rsidRDefault="003F0834" w:rsidP="006D3D71">
      <w:pPr>
        <w:spacing w:line="360" w:lineRule="auto"/>
        <w:jc w:val="both"/>
        <w:rPr>
          <w:rFonts w:asciiTheme="majorBidi" w:eastAsia="Times New Roman" w:hAnsiTheme="majorBidi" w:cstheme="majorBidi"/>
          <w:sz w:val="24"/>
          <w:szCs w:val="24"/>
        </w:rPr>
      </w:pPr>
      <w:bookmarkStart w:id="1296" w:name="_Toc431048812"/>
      <w:r w:rsidRPr="006D3D71">
        <w:rPr>
          <w:rFonts w:asciiTheme="majorBidi" w:eastAsia="Times New Roman" w:hAnsiTheme="majorBidi" w:cstheme="majorBidi"/>
          <w:sz w:val="24"/>
          <w:szCs w:val="24"/>
        </w:rPr>
        <w:t xml:space="preserve">During the research, the researcher keeps his honesty and integrity, in data collection and analysis, to serve effectively the commercial banks and the country. The researcher avoids any kind of bias to provide relevant and reliable information. The information from respondents was confidential. With regard to this study, the aims and objectives was conveyed to all the relevant authorities during the process of acquiring permission to do research, and to the owner of businesses involved during the data collection stage. Respondent’s participation </w:t>
      </w:r>
      <w:r w:rsidR="00575F6F" w:rsidRPr="006D3D71">
        <w:rPr>
          <w:rFonts w:asciiTheme="majorBidi" w:eastAsia="Times New Roman" w:hAnsiTheme="majorBidi" w:cstheme="majorBidi"/>
          <w:sz w:val="24"/>
          <w:szCs w:val="24"/>
        </w:rPr>
        <w:t>was</w:t>
      </w:r>
      <w:r w:rsidRPr="006D3D71">
        <w:rPr>
          <w:rFonts w:asciiTheme="majorBidi" w:eastAsia="Times New Roman" w:hAnsiTheme="majorBidi" w:cstheme="majorBidi"/>
          <w:sz w:val="24"/>
          <w:szCs w:val="24"/>
        </w:rPr>
        <w:t xml:space="preserve">   voluntary and they have the right to withdraw from the study at any time if they are so wish.</w:t>
      </w:r>
    </w:p>
    <w:p w14:paraId="139BEA6A" w14:textId="77777777" w:rsidR="003F0834" w:rsidRPr="006D3D71" w:rsidRDefault="003F0834" w:rsidP="006D3D71">
      <w:pPr>
        <w:pStyle w:val="Heading2"/>
        <w:spacing w:line="360" w:lineRule="auto"/>
        <w:jc w:val="both"/>
        <w:rPr>
          <w:rFonts w:asciiTheme="majorBidi" w:eastAsia="Times New Roman" w:hAnsiTheme="majorBidi"/>
          <w:b/>
          <w:bCs/>
          <w:color w:val="auto"/>
          <w:sz w:val="24"/>
          <w:szCs w:val="24"/>
        </w:rPr>
      </w:pPr>
      <w:bookmarkStart w:id="1297" w:name="_Toc165640118"/>
      <w:bookmarkStart w:id="1298" w:name="_Toc165639909"/>
      <w:bookmarkStart w:id="1299" w:name="_Toc163808561"/>
      <w:bookmarkStart w:id="1300" w:name="_Toc163808438"/>
      <w:bookmarkStart w:id="1301" w:name="_Toc163052555"/>
      <w:bookmarkStart w:id="1302" w:name="_Toc160712507"/>
      <w:bookmarkStart w:id="1303" w:name="_Toc160712416"/>
      <w:bookmarkStart w:id="1304" w:name="_Toc464182782"/>
      <w:bookmarkStart w:id="1305" w:name="_Toc497135605"/>
      <w:bookmarkStart w:id="1306" w:name="_Toc525711356"/>
      <w:bookmarkStart w:id="1307" w:name="_Toc85339002"/>
      <w:bookmarkStart w:id="1308" w:name="_Toc183425268"/>
      <w:bookmarkStart w:id="1309" w:name="_Toc183426956"/>
      <w:bookmarkStart w:id="1310" w:name="_Toc193282259"/>
      <w:bookmarkStart w:id="1311" w:name="_Toc193282425"/>
      <w:bookmarkStart w:id="1312" w:name="_Toc193846480"/>
      <w:r w:rsidRPr="006D3D71">
        <w:rPr>
          <w:rFonts w:asciiTheme="majorBidi" w:eastAsia="Times New Roman" w:hAnsiTheme="majorBidi"/>
          <w:b/>
          <w:bCs/>
          <w:color w:val="auto"/>
          <w:sz w:val="24"/>
          <w:szCs w:val="24"/>
        </w:rPr>
        <w:t>3.8. Limitations</w:t>
      </w:r>
      <w:bookmarkEnd w:id="1182"/>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p>
    <w:p w14:paraId="5F7C9ADE" w14:textId="77777777" w:rsidR="003F0834" w:rsidRPr="006D3D71" w:rsidRDefault="003F0834"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6D3D71">
        <w:rPr>
          <w:rFonts w:asciiTheme="majorBidi" w:hAnsiTheme="majorBidi" w:cstheme="majorBidi"/>
          <w:sz w:val="24"/>
          <w:szCs w:val="24"/>
        </w:rPr>
        <w:t>To successfully undertake this study, some financial information can be too confidential to be</w:t>
      </w:r>
      <w:r w:rsidRPr="006D3D71">
        <w:rPr>
          <w:rFonts w:asciiTheme="majorBidi" w:hAnsiTheme="majorBidi" w:cstheme="majorBidi"/>
          <w:bCs/>
          <w:sz w:val="24"/>
          <w:szCs w:val="24"/>
        </w:rPr>
        <w:t xml:space="preserve"> disclosed. This </w:t>
      </w:r>
      <w:r w:rsidRPr="006D3D71">
        <w:rPr>
          <w:rFonts w:asciiTheme="majorBidi" w:hAnsiTheme="majorBidi" w:cstheme="majorBidi"/>
          <w:sz w:val="24"/>
          <w:szCs w:val="24"/>
        </w:rPr>
        <w:t xml:space="preserve">study </w:t>
      </w:r>
      <w:r w:rsidRPr="006D3D71">
        <w:rPr>
          <w:rFonts w:asciiTheme="majorBidi" w:hAnsiTheme="majorBidi" w:cstheme="majorBidi"/>
          <w:bCs/>
          <w:sz w:val="24"/>
          <w:szCs w:val="24"/>
        </w:rPr>
        <w:t>is not only</w:t>
      </w:r>
      <w:r w:rsidRPr="006D3D71">
        <w:rPr>
          <w:rFonts w:asciiTheme="majorBidi" w:hAnsiTheme="majorBidi" w:cstheme="majorBidi"/>
          <w:sz w:val="24"/>
          <w:szCs w:val="24"/>
        </w:rPr>
        <w:t xml:space="preserve"> financially limited and time constrained due to the travel of research’s field and money for printing. There is too much pressure as the researcher is pursuing the internship somewhere else. However, despite the above constraint of this research, the researcher was facing and, by determining and gathering enough efforts to conduct quality study.</w:t>
      </w:r>
      <w:r w:rsidRPr="006D3D71">
        <w:rPr>
          <w:rFonts w:asciiTheme="majorBidi" w:eastAsia="Times New Roman" w:hAnsiTheme="majorBidi" w:cstheme="majorBidi"/>
          <w:sz w:val="24"/>
          <w:szCs w:val="24"/>
        </w:rPr>
        <w:t xml:space="preserve"> In order to overcome this financial constraint, the researcher seeks for assistance from family and friends where she expects to be able to get enough money to complete the research. To overcome this constraint, the researcher tries for convincing and encouraging respondents by making sure that personal questions is avoided and their names is kept confidential.</w:t>
      </w:r>
    </w:p>
    <w:p w14:paraId="158C8890" w14:textId="77777777" w:rsidR="005238EF" w:rsidRPr="006D3D71" w:rsidRDefault="005238EF" w:rsidP="006D3D71">
      <w:pPr>
        <w:shd w:val="clear" w:color="auto" w:fill="FFFFFF" w:themeFill="background1"/>
        <w:spacing w:after="240" w:line="360" w:lineRule="auto"/>
        <w:jc w:val="both"/>
        <w:rPr>
          <w:rFonts w:asciiTheme="majorBidi" w:eastAsia="Times New Roman" w:hAnsiTheme="majorBidi" w:cstheme="majorBidi"/>
          <w:sz w:val="24"/>
          <w:szCs w:val="24"/>
        </w:rPr>
      </w:pPr>
    </w:p>
    <w:p w14:paraId="311B67BA" w14:textId="77777777" w:rsidR="005238EF" w:rsidRPr="006D3D71" w:rsidRDefault="005238EF" w:rsidP="006D3D71">
      <w:pPr>
        <w:shd w:val="clear" w:color="auto" w:fill="FFFFFF" w:themeFill="background1"/>
        <w:spacing w:after="240" w:line="360" w:lineRule="auto"/>
        <w:jc w:val="both"/>
        <w:rPr>
          <w:rFonts w:asciiTheme="majorBidi" w:eastAsia="Times New Roman" w:hAnsiTheme="majorBidi" w:cstheme="majorBidi"/>
          <w:sz w:val="24"/>
          <w:szCs w:val="24"/>
        </w:rPr>
      </w:pPr>
    </w:p>
    <w:p w14:paraId="3A66D5C1" w14:textId="77777777" w:rsidR="005238EF" w:rsidRDefault="005238EF" w:rsidP="006D3D71">
      <w:pPr>
        <w:shd w:val="clear" w:color="auto" w:fill="FFFFFF" w:themeFill="background1"/>
        <w:spacing w:after="240" w:line="360" w:lineRule="auto"/>
        <w:jc w:val="both"/>
        <w:rPr>
          <w:rFonts w:asciiTheme="majorBidi" w:eastAsia="Times New Roman" w:hAnsiTheme="majorBidi" w:cstheme="majorBidi"/>
          <w:sz w:val="24"/>
          <w:szCs w:val="24"/>
        </w:rPr>
      </w:pPr>
    </w:p>
    <w:p w14:paraId="555416CC" w14:textId="77777777" w:rsidR="00F16DC1" w:rsidRDefault="00F16DC1" w:rsidP="006D3D71">
      <w:pPr>
        <w:shd w:val="clear" w:color="auto" w:fill="FFFFFF" w:themeFill="background1"/>
        <w:spacing w:after="240" w:line="360" w:lineRule="auto"/>
        <w:jc w:val="both"/>
        <w:rPr>
          <w:rFonts w:asciiTheme="majorBidi" w:eastAsia="Times New Roman" w:hAnsiTheme="majorBidi" w:cstheme="majorBidi"/>
          <w:sz w:val="24"/>
          <w:szCs w:val="24"/>
        </w:rPr>
      </w:pPr>
    </w:p>
    <w:p w14:paraId="68674918" w14:textId="77777777" w:rsidR="00F16DC1" w:rsidRDefault="00F16DC1" w:rsidP="006D3D71">
      <w:pPr>
        <w:shd w:val="clear" w:color="auto" w:fill="FFFFFF" w:themeFill="background1"/>
        <w:spacing w:after="240" w:line="360" w:lineRule="auto"/>
        <w:jc w:val="both"/>
        <w:rPr>
          <w:rFonts w:asciiTheme="majorBidi" w:eastAsia="Times New Roman" w:hAnsiTheme="majorBidi" w:cstheme="majorBidi"/>
          <w:sz w:val="24"/>
          <w:szCs w:val="24"/>
        </w:rPr>
      </w:pPr>
    </w:p>
    <w:p w14:paraId="165D6893" w14:textId="77777777" w:rsidR="00F16DC1" w:rsidRDefault="00F16DC1" w:rsidP="006D3D71">
      <w:pPr>
        <w:shd w:val="clear" w:color="auto" w:fill="FFFFFF" w:themeFill="background1"/>
        <w:spacing w:after="240" w:line="360" w:lineRule="auto"/>
        <w:jc w:val="both"/>
        <w:rPr>
          <w:rFonts w:asciiTheme="majorBidi" w:eastAsia="Times New Roman" w:hAnsiTheme="majorBidi" w:cstheme="majorBidi"/>
          <w:sz w:val="24"/>
          <w:szCs w:val="24"/>
        </w:rPr>
      </w:pPr>
    </w:p>
    <w:p w14:paraId="3DEB07DD" w14:textId="77777777" w:rsidR="00F16DC1" w:rsidRDefault="00F16DC1" w:rsidP="006D3D71">
      <w:pPr>
        <w:shd w:val="clear" w:color="auto" w:fill="FFFFFF" w:themeFill="background1"/>
        <w:spacing w:after="240" w:line="360" w:lineRule="auto"/>
        <w:jc w:val="both"/>
        <w:rPr>
          <w:rFonts w:asciiTheme="majorBidi" w:eastAsia="Times New Roman" w:hAnsiTheme="majorBidi" w:cstheme="majorBidi"/>
          <w:sz w:val="24"/>
          <w:szCs w:val="24"/>
        </w:rPr>
      </w:pPr>
    </w:p>
    <w:p w14:paraId="28E64D30" w14:textId="77777777" w:rsidR="00F16DC1" w:rsidRDefault="00F16DC1" w:rsidP="006D3D71">
      <w:pPr>
        <w:shd w:val="clear" w:color="auto" w:fill="FFFFFF" w:themeFill="background1"/>
        <w:spacing w:after="240" w:line="360" w:lineRule="auto"/>
        <w:jc w:val="both"/>
        <w:rPr>
          <w:rFonts w:asciiTheme="majorBidi" w:eastAsia="Times New Roman" w:hAnsiTheme="majorBidi" w:cstheme="majorBidi"/>
          <w:sz w:val="24"/>
          <w:szCs w:val="24"/>
        </w:rPr>
      </w:pPr>
    </w:p>
    <w:p w14:paraId="4166D142" w14:textId="6F3E3968" w:rsidR="005238EF" w:rsidRPr="006D3D71" w:rsidRDefault="005238EF" w:rsidP="006D3D71">
      <w:pPr>
        <w:shd w:val="clear" w:color="auto" w:fill="FFFFFF" w:themeFill="background1"/>
        <w:spacing w:after="240" w:line="360" w:lineRule="auto"/>
        <w:jc w:val="both"/>
        <w:rPr>
          <w:rFonts w:asciiTheme="majorBidi" w:eastAsia="Times New Roman" w:hAnsiTheme="majorBidi" w:cstheme="majorBidi"/>
          <w:sz w:val="24"/>
          <w:szCs w:val="24"/>
        </w:rPr>
      </w:pPr>
    </w:p>
    <w:p w14:paraId="6870A704" w14:textId="77777777" w:rsidR="00E34B42" w:rsidRDefault="005238EF" w:rsidP="00F16DC1">
      <w:pPr>
        <w:pStyle w:val="Heading2"/>
        <w:jc w:val="center"/>
        <w:rPr>
          <w:rFonts w:asciiTheme="majorBidi" w:eastAsia="Times New Roman" w:hAnsiTheme="majorBidi"/>
          <w:b/>
          <w:bCs/>
          <w:color w:val="auto"/>
          <w:sz w:val="24"/>
          <w:szCs w:val="24"/>
        </w:rPr>
      </w:pPr>
      <w:bookmarkStart w:id="1313" w:name="_Toc193282260"/>
      <w:bookmarkStart w:id="1314" w:name="_Toc193282426"/>
      <w:bookmarkStart w:id="1315" w:name="_Toc193846481"/>
      <w:r w:rsidRPr="00F16DC1">
        <w:rPr>
          <w:rFonts w:asciiTheme="majorBidi" w:eastAsia="Times New Roman" w:hAnsiTheme="majorBidi"/>
          <w:b/>
          <w:bCs/>
          <w:color w:val="auto"/>
          <w:sz w:val="24"/>
          <w:szCs w:val="24"/>
        </w:rPr>
        <w:t>CHAPTER FOUR</w:t>
      </w:r>
      <w:bookmarkEnd w:id="1313"/>
      <w:bookmarkEnd w:id="1314"/>
      <w:bookmarkEnd w:id="1315"/>
      <w:r w:rsidR="00E34B42" w:rsidRPr="00E34B42">
        <w:rPr>
          <w:rFonts w:asciiTheme="majorBidi" w:eastAsia="Times New Roman" w:hAnsiTheme="majorBidi"/>
          <w:b/>
          <w:bCs/>
          <w:color w:val="auto"/>
          <w:sz w:val="24"/>
          <w:szCs w:val="24"/>
        </w:rPr>
        <w:t xml:space="preserve"> </w:t>
      </w:r>
    </w:p>
    <w:p w14:paraId="403FAEA8" w14:textId="4E21240B" w:rsidR="005238EF" w:rsidRPr="00F16DC1" w:rsidRDefault="00E34B42" w:rsidP="00F16DC1">
      <w:pPr>
        <w:pStyle w:val="Heading2"/>
        <w:jc w:val="center"/>
        <w:rPr>
          <w:rFonts w:asciiTheme="majorBidi" w:eastAsia="Times New Roman" w:hAnsiTheme="majorBidi"/>
          <w:b/>
          <w:bCs/>
          <w:color w:val="auto"/>
          <w:sz w:val="24"/>
          <w:szCs w:val="24"/>
        </w:rPr>
      </w:pPr>
      <w:bookmarkStart w:id="1316" w:name="_Toc193846482"/>
      <w:r w:rsidRPr="00F16DC1">
        <w:rPr>
          <w:rFonts w:asciiTheme="majorBidi" w:eastAsia="Times New Roman" w:hAnsiTheme="majorBidi"/>
          <w:b/>
          <w:bCs/>
          <w:color w:val="auto"/>
          <w:sz w:val="24"/>
          <w:szCs w:val="24"/>
        </w:rPr>
        <w:t>DATA PRESENTATION, INTERPRETATION AND DISCUSSION</w:t>
      </w:r>
      <w:bookmarkEnd w:id="1316"/>
    </w:p>
    <w:p w14:paraId="66D0E1E9" w14:textId="6A61C854" w:rsidR="005238EF" w:rsidRPr="00F16DC1" w:rsidRDefault="00F16DC1" w:rsidP="00E34B42">
      <w:pPr>
        <w:pStyle w:val="Heading2"/>
        <w:rPr>
          <w:rFonts w:asciiTheme="majorBidi" w:eastAsia="Times New Roman" w:hAnsiTheme="majorBidi"/>
          <w:b/>
          <w:bCs/>
          <w:color w:val="auto"/>
          <w:sz w:val="24"/>
          <w:szCs w:val="24"/>
        </w:rPr>
      </w:pPr>
      <w:bookmarkStart w:id="1317" w:name="_Toc23223480"/>
      <w:bookmarkStart w:id="1318" w:name="_Toc23180813"/>
      <w:bookmarkStart w:id="1319" w:name="_Toc528208875"/>
      <w:bookmarkStart w:id="1320" w:name="_Toc377297843"/>
      <w:bookmarkStart w:id="1321" w:name="_Toc522275423"/>
      <w:bookmarkStart w:id="1322" w:name="_Toc516025422"/>
      <w:bookmarkStart w:id="1323" w:name="_Toc514416963"/>
      <w:bookmarkStart w:id="1324" w:name="_Toc83649270"/>
      <w:bookmarkStart w:id="1325" w:name="_Toc84243938"/>
      <w:bookmarkStart w:id="1326" w:name="_Toc164165528"/>
      <w:bookmarkStart w:id="1327" w:name="_Toc164165672"/>
      <w:bookmarkStart w:id="1328" w:name="_Toc164165965"/>
      <w:bookmarkStart w:id="1329" w:name="_Toc192354187"/>
      <w:bookmarkStart w:id="1330" w:name="_Toc192354752"/>
      <w:bookmarkStart w:id="1331" w:name="_Toc192354920"/>
      <w:bookmarkStart w:id="1332" w:name="_Toc192355035"/>
      <w:bookmarkStart w:id="1333" w:name="_Toc193282261"/>
      <w:bookmarkStart w:id="1334" w:name="_Toc193282427"/>
      <w:bookmarkStart w:id="1335" w:name="_Toc193846483"/>
      <w:r>
        <w:rPr>
          <w:rFonts w:asciiTheme="majorBidi" w:eastAsia="Times New Roman" w:hAnsiTheme="majorBidi"/>
          <w:b/>
          <w:bCs/>
          <w:color w:val="auto"/>
          <w:sz w:val="24"/>
          <w:szCs w:val="24"/>
        </w:rPr>
        <w:t xml:space="preserve">4.0 </w:t>
      </w:r>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r w:rsidR="00E34B42">
        <w:rPr>
          <w:rFonts w:asciiTheme="majorBidi" w:eastAsia="Times New Roman" w:hAnsiTheme="majorBidi"/>
          <w:b/>
          <w:bCs/>
          <w:color w:val="auto"/>
          <w:sz w:val="24"/>
          <w:szCs w:val="24"/>
        </w:rPr>
        <w:t>Introduction</w:t>
      </w:r>
      <w:bookmarkEnd w:id="1335"/>
      <w:r w:rsidR="00E34B42">
        <w:rPr>
          <w:rFonts w:asciiTheme="majorBidi" w:eastAsia="Times New Roman" w:hAnsiTheme="majorBidi"/>
          <w:b/>
          <w:bCs/>
          <w:color w:val="auto"/>
          <w:sz w:val="24"/>
          <w:szCs w:val="24"/>
        </w:rPr>
        <w:t xml:space="preserve">  </w:t>
      </w:r>
    </w:p>
    <w:p w14:paraId="28CD4984" w14:textId="5C048B83" w:rsidR="0047302E" w:rsidRDefault="005238EF" w:rsidP="00F16DC1">
      <w:pPr>
        <w:shd w:val="clear" w:color="auto" w:fill="FFFFFF" w:themeFill="background1"/>
        <w:spacing w:after="240" w:line="360" w:lineRule="auto"/>
        <w:jc w:val="both"/>
        <w:rPr>
          <w:rFonts w:asciiTheme="majorBidi" w:eastAsia="Times New Roman" w:hAnsiTheme="majorBidi" w:cstheme="majorBidi"/>
          <w:sz w:val="24"/>
          <w:szCs w:val="24"/>
        </w:rPr>
      </w:pPr>
      <w:r w:rsidRPr="005238EF">
        <w:rPr>
          <w:rFonts w:asciiTheme="majorBidi" w:eastAsia="Times New Roman" w:hAnsiTheme="majorBidi" w:cstheme="majorBidi"/>
          <w:sz w:val="24"/>
          <w:szCs w:val="24"/>
        </w:rPr>
        <w:t>This chapter presents the analysis, interpretation, and discussion of the study findings</w:t>
      </w:r>
      <w:r w:rsidR="00E34B42">
        <w:rPr>
          <w:rFonts w:asciiTheme="majorBidi" w:eastAsia="Times New Roman" w:hAnsiTheme="majorBidi" w:cstheme="majorBidi"/>
          <w:sz w:val="24"/>
          <w:szCs w:val="24"/>
        </w:rPr>
        <w:t xml:space="preserve"> from prim</w:t>
      </w:r>
      <w:r w:rsidR="00E34B42" w:rsidRPr="005238EF">
        <w:rPr>
          <w:rFonts w:asciiTheme="majorBidi" w:eastAsia="Times New Roman" w:hAnsiTheme="majorBidi" w:cstheme="majorBidi"/>
          <w:sz w:val="24"/>
          <w:szCs w:val="24"/>
        </w:rPr>
        <w:t>a</w:t>
      </w:r>
      <w:r w:rsidR="00E34B42">
        <w:rPr>
          <w:rFonts w:asciiTheme="majorBidi" w:eastAsia="Times New Roman" w:hAnsiTheme="majorBidi" w:cstheme="majorBidi"/>
          <w:sz w:val="24"/>
          <w:szCs w:val="24"/>
        </w:rPr>
        <w:t>ry d</w:t>
      </w:r>
      <w:r w:rsidR="00E34B42" w:rsidRPr="005238EF">
        <w:rPr>
          <w:rFonts w:asciiTheme="majorBidi" w:eastAsia="Times New Roman" w:hAnsiTheme="majorBidi" w:cstheme="majorBidi"/>
          <w:sz w:val="24"/>
          <w:szCs w:val="24"/>
        </w:rPr>
        <w:t>a</w:t>
      </w:r>
      <w:r w:rsidR="00E34B42">
        <w:rPr>
          <w:rFonts w:asciiTheme="majorBidi" w:eastAsia="Times New Roman" w:hAnsiTheme="majorBidi" w:cstheme="majorBidi"/>
          <w:sz w:val="24"/>
          <w:szCs w:val="24"/>
        </w:rPr>
        <w:t>t</w:t>
      </w:r>
      <w:r w:rsidR="00E34B42" w:rsidRPr="005238EF">
        <w:rPr>
          <w:rFonts w:asciiTheme="majorBidi" w:eastAsia="Times New Roman" w:hAnsiTheme="majorBidi" w:cstheme="majorBidi"/>
          <w:sz w:val="24"/>
          <w:szCs w:val="24"/>
        </w:rPr>
        <w:t>a</w:t>
      </w:r>
      <w:r w:rsidR="00E34B42">
        <w:rPr>
          <w:rFonts w:asciiTheme="majorBidi" w:eastAsia="Times New Roman" w:hAnsiTheme="majorBidi" w:cstheme="majorBidi"/>
          <w:sz w:val="24"/>
          <w:szCs w:val="24"/>
        </w:rPr>
        <w:t xml:space="preserve"> </w:t>
      </w:r>
      <w:r w:rsidR="00E34B42" w:rsidRPr="005238EF">
        <w:rPr>
          <w:rFonts w:asciiTheme="majorBidi" w:eastAsia="Times New Roman" w:hAnsiTheme="majorBidi" w:cstheme="majorBidi"/>
          <w:sz w:val="24"/>
          <w:szCs w:val="24"/>
        </w:rPr>
        <w:t>a</w:t>
      </w:r>
      <w:r w:rsidR="00E34B42">
        <w:rPr>
          <w:rFonts w:asciiTheme="majorBidi" w:eastAsia="Times New Roman" w:hAnsiTheme="majorBidi" w:cstheme="majorBidi"/>
          <w:sz w:val="24"/>
          <w:szCs w:val="24"/>
        </w:rPr>
        <w:t>nd second</w:t>
      </w:r>
      <w:r w:rsidR="00E34B42" w:rsidRPr="005238EF">
        <w:rPr>
          <w:rFonts w:asciiTheme="majorBidi" w:eastAsia="Times New Roman" w:hAnsiTheme="majorBidi" w:cstheme="majorBidi"/>
          <w:sz w:val="24"/>
          <w:szCs w:val="24"/>
        </w:rPr>
        <w:t>a</w:t>
      </w:r>
      <w:r w:rsidR="00E34B42">
        <w:rPr>
          <w:rFonts w:asciiTheme="majorBidi" w:eastAsia="Times New Roman" w:hAnsiTheme="majorBidi" w:cstheme="majorBidi"/>
          <w:sz w:val="24"/>
          <w:szCs w:val="24"/>
        </w:rPr>
        <w:t>ry d</w:t>
      </w:r>
      <w:r w:rsidR="00E34B42" w:rsidRPr="005238EF">
        <w:rPr>
          <w:rFonts w:asciiTheme="majorBidi" w:eastAsia="Times New Roman" w:hAnsiTheme="majorBidi" w:cstheme="majorBidi"/>
          <w:sz w:val="24"/>
          <w:szCs w:val="24"/>
        </w:rPr>
        <w:t>a</w:t>
      </w:r>
      <w:r w:rsidR="00E34B42">
        <w:rPr>
          <w:rFonts w:asciiTheme="majorBidi" w:eastAsia="Times New Roman" w:hAnsiTheme="majorBidi" w:cstheme="majorBidi"/>
          <w:sz w:val="24"/>
          <w:szCs w:val="24"/>
        </w:rPr>
        <w:t>t</w:t>
      </w:r>
      <w:r w:rsidR="00E34B42" w:rsidRPr="005238EF">
        <w:rPr>
          <w:rFonts w:asciiTheme="majorBidi" w:eastAsia="Times New Roman" w:hAnsiTheme="majorBidi" w:cstheme="majorBidi"/>
          <w:sz w:val="24"/>
          <w:szCs w:val="24"/>
        </w:rPr>
        <w:t>a</w:t>
      </w:r>
      <w:r w:rsidRPr="005238EF">
        <w:rPr>
          <w:rFonts w:asciiTheme="majorBidi" w:eastAsia="Times New Roman" w:hAnsiTheme="majorBidi" w:cstheme="majorBidi"/>
          <w:sz w:val="24"/>
          <w:szCs w:val="24"/>
        </w:rPr>
        <w:t xml:space="preserve"> based on the research objectives. It begins with descriptive statistics, providing an overview of key credit risk management practices at GT Bank Plc. The chapter then evaluates financial performance indicators, including liquidity, profitability, and efficiency ratios, to assess trends from 2019 to 2023. Additionally, the study examines how various credit risk management strategies, such as borrower creditworthiness assessment, credit concentration risk, and debt restructuring, influence financial performance. A regression analysis is conducted to establish the relationship between risk management and financial performance, testing the study’s hypotheses. The findings are then compared with existing literature to align with previous studies, offering a deeper understanding of how effective risk management contributes to the financial stability and growth of GT Bank Plc.</w:t>
      </w:r>
    </w:p>
    <w:p w14:paraId="6F2A3F89" w14:textId="77777777" w:rsidR="00FA5CB3" w:rsidRPr="00FA5CB3" w:rsidRDefault="00FA5CB3" w:rsidP="00FA5CB3">
      <w:pPr>
        <w:shd w:val="clear" w:color="auto" w:fill="FFFFFF" w:themeFill="background1"/>
        <w:spacing w:after="240" w:line="360" w:lineRule="auto"/>
        <w:jc w:val="both"/>
        <w:rPr>
          <w:rFonts w:asciiTheme="majorBidi" w:eastAsia="Times New Roman" w:hAnsiTheme="majorBidi" w:cstheme="majorBidi"/>
          <w:b/>
          <w:bCs/>
          <w:sz w:val="24"/>
          <w:szCs w:val="24"/>
          <w:lang w:val="en-GB"/>
        </w:rPr>
      </w:pPr>
      <w:bookmarkStart w:id="1336" w:name="_Toc175219645"/>
      <w:r w:rsidRPr="00FA5CB3">
        <w:rPr>
          <w:rFonts w:asciiTheme="majorBidi" w:eastAsia="Times New Roman" w:hAnsiTheme="majorBidi" w:cstheme="majorBidi"/>
          <w:b/>
          <w:sz w:val="24"/>
          <w:szCs w:val="24"/>
          <w:lang w:val="en-GB"/>
        </w:rPr>
        <w:t>4.1 Demographic Characteristic of the Respondent</w:t>
      </w:r>
      <w:bookmarkEnd w:id="1336"/>
      <w:r w:rsidRPr="00FA5CB3">
        <w:rPr>
          <w:rFonts w:asciiTheme="majorBidi" w:eastAsia="Times New Roman" w:hAnsiTheme="majorBidi" w:cstheme="majorBidi"/>
          <w:b/>
          <w:bCs/>
          <w:sz w:val="24"/>
          <w:szCs w:val="24"/>
          <w:lang w:val="en-GB"/>
        </w:rPr>
        <w:t xml:space="preserve">s </w:t>
      </w:r>
    </w:p>
    <w:p w14:paraId="697EE34A" w14:textId="28FFD84A" w:rsidR="00FA5CB3" w:rsidRPr="00FA5CB3" w:rsidRDefault="00FA5CB3" w:rsidP="00FA5CB3">
      <w:pPr>
        <w:shd w:val="clear" w:color="auto" w:fill="FFFFFF" w:themeFill="background1"/>
        <w:spacing w:after="240" w:line="360" w:lineRule="auto"/>
        <w:jc w:val="both"/>
        <w:rPr>
          <w:rFonts w:asciiTheme="majorBidi" w:eastAsia="Times New Roman" w:hAnsiTheme="majorBidi" w:cstheme="majorBidi"/>
          <w:sz w:val="24"/>
          <w:szCs w:val="24"/>
        </w:rPr>
      </w:pPr>
      <w:r w:rsidRPr="00FA5CB3">
        <w:rPr>
          <w:rFonts w:asciiTheme="majorBidi" w:eastAsia="Times New Roman" w:hAnsiTheme="majorBidi" w:cstheme="majorBidi"/>
          <w:sz w:val="24"/>
          <w:szCs w:val="24"/>
        </w:rPr>
        <w:t>The study took into account demographic factors such as age, year of study, and school status, recognizing their potential impact on the research outcomes. An analysis of respondents' demographic distribution encompassed all necessary elements for gatheri</w:t>
      </w:r>
      <w:r>
        <w:rPr>
          <w:rFonts w:asciiTheme="majorBidi" w:eastAsia="Times New Roman" w:hAnsiTheme="majorBidi" w:cstheme="majorBidi"/>
          <w:sz w:val="24"/>
          <w:szCs w:val="24"/>
        </w:rPr>
        <w:t>ng valuable insights. Out of 59 questionnaires distributed, 56</w:t>
      </w:r>
      <w:r w:rsidRPr="00FA5CB3">
        <w:rPr>
          <w:rFonts w:asciiTheme="majorBidi" w:eastAsia="Times New Roman" w:hAnsiTheme="majorBidi" w:cstheme="majorBidi"/>
          <w:sz w:val="24"/>
          <w:szCs w:val="24"/>
        </w:rPr>
        <w:t xml:space="preserve"> were returned properly filled</w:t>
      </w:r>
      <w:r>
        <w:rPr>
          <w:rFonts w:asciiTheme="majorBidi" w:eastAsia="Times New Roman" w:hAnsiTheme="majorBidi" w:cstheme="majorBidi"/>
          <w:sz w:val="24"/>
          <w:szCs w:val="24"/>
        </w:rPr>
        <w:t>, yielding a response rate of 94.91</w:t>
      </w:r>
      <w:r w:rsidRPr="00FA5CB3">
        <w:rPr>
          <w:rFonts w:asciiTheme="majorBidi" w:eastAsia="Times New Roman" w:hAnsiTheme="majorBidi" w:cstheme="majorBidi"/>
          <w:sz w:val="24"/>
          <w:szCs w:val="24"/>
        </w:rPr>
        <w:t>%. This response rate is significant, as previous research has established that rates exceeding 90.0% are adequate for generalizing findings (Sm</w:t>
      </w:r>
      <w:r w:rsidR="00BC6C2F">
        <w:rPr>
          <w:rFonts w:asciiTheme="majorBidi" w:eastAsia="Times New Roman" w:hAnsiTheme="majorBidi" w:cstheme="majorBidi"/>
          <w:sz w:val="24"/>
          <w:szCs w:val="24"/>
        </w:rPr>
        <w:t>ith &amp; Johnson, 2020).</w:t>
      </w:r>
    </w:p>
    <w:p w14:paraId="43E28877" w14:textId="77777777" w:rsidR="00FA5CB3" w:rsidRPr="00FA5CB3" w:rsidRDefault="00FA5CB3" w:rsidP="00FA5CB3">
      <w:pPr>
        <w:shd w:val="clear" w:color="auto" w:fill="FFFFFF" w:themeFill="background1"/>
        <w:spacing w:after="240" w:line="360" w:lineRule="auto"/>
        <w:jc w:val="both"/>
        <w:rPr>
          <w:rFonts w:asciiTheme="majorBidi" w:eastAsia="Times New Roman" w:hAnsiTheme="majorBidi" w:cstheme="majorBidi"/>
          <w:b/>
          <w:bCs/>
          <w:sz w:val="24"/>
          <w:szCs w:val="24"/>
          <w:lang w:val="en-GB"/>
        </w:rPr>
      </w:pPr>
      <w:bookmarkStart w:id="1337" w:name="_Toc175219646"/>
      <w:r w:rsidRPr="00FA5CB3">
        <w:rPr>
          <w:rFonts w:asciiTheme="majorBidi" w:eastAsia="Times New Roman" w:hAnsiTheme="majorBidi" w:cstheme="majorBidi"/>
          <w:b/>
          <w:sz w:val="24"/>
          <w:szCs w:val="24"/>
          <w:lang w:val="en-GB"/>
        </w:rPr>
        <w:lastRenderedPageBreak/>
        <w:t>4.1.1 Age Group of Respondent</w:t>
      </w:r>
      <w:bookmarkEnd w:id="1337"/>
      <w:r w:rsidRPr="00FA5CB3">
        <w:rPr>
          <w:rFonts w:asciiTheme="majorBidi" w:eastAsia="Times New Roman" w:hAnsiTheme="majorBidi" w:cstheme="majorBidi"/>
          <w:b/>
          <w:bCs/>
          <w:sz w:val="24"/>
          <w:szCs w:val="24"/>
          <w:lang w:val="en-GB"/>
        </w:rPr>
        <w:t>s</w:t>
      </w:r>
    </w:p>
    <w:p w14:paraId="649A1D5D" w14:textId="3F814D8F" w:rsidR="00FA5CB3" w:rsidRPr="00FA5CB3" w:rsidRDefault="00FA5CB3" w:rsidP="00FA5CB3">
      <w:pPr>
        <w:shd w:val="clear" w:color="auto" w:fill="FFFFFF" w:themeFill="background1"/>
        <w:spacing w:after="240" w:line="360" w:lineRule="auto"/>
        <w:jc w:val="both"/>
        <w:rPr>
          <w:rFonts w:asciiTheme="majorBidi" w:eastAsia="Times New Roman" w:hAnsiTheme="majorBidi" w:cstheme="majorBidi"/>
          <w:sz w:val="24"/>
          <w:szCs w:val="24"/>
        </w:rPr>
      </w:pPr>
      <w:r w:rsidRPr="00FA5CB3">
        <w:rPr>
          <w:rFonts w:asciiTheme="majorBidi" w:eastAsia="Times New Roman" w:hAnsiTheme="majorBidi" w:cstheme="majorBidi"/>
          <w:sz w:val="24"/>
          <w:szCs w:val="24"/>
        </w:rPr>
        <w:t>The level of maturity among the participants played a significant role in ensuring the credibility of the data collected for this study. By having mature respondents, the researcher could rely on the quality of the responses. Additionally, consi</w:t>
      </w:r>
      <w:r w:rsidR="00022C9B">
        <w:rPr>
          <w:rFonts w:asciiTheme="majorBidi" w:eastAsia="Times New Roman" w:hAnsiTheme="majorBidi" w:cstheme="majorBidi"/>
          <w:sz w:val="24"/>
          <w:szCs w:val="24"/>
        </w:rPr>
        <w:t xml:space="preserve">dering the age group of GT </w:t>
      </w:r>
      <w:r w:rsidR="002A7D3D">
        <w:rPr>
          <w:rFonts w:asciiTheme="majorBidi" w:eastAsia="Times New Roman" w:hAnsiTheme="majorBidi" w:cstheme="majorBidi"/>
          <w:sz w:val="24"/>
          <w:szCs w:val="24"/>
        </w:rPr>
        <w:t>b</w:t>
      </w:r>
      <w:r w:rsidR="00022C9B">
        <w:rPr>
          <w:rFonts w:asciiTheme="majorBidi" w:eastAsia="Times New Roman" w:hAnsiTheme="majorBidi" w:cstheme="majorBidi"/>
          <w:sz w:val="24"/>
          <w:szCs w:val="24"/>
        </w:rPr>
        <w:t>ank employees from GT bank headquarter</w:t>
      </w:r>
      <w:r w:rsidRPr="00FA5CB3">
        <w:rPr>
          <w:rFonts w:asciiTheme="majorBidi" w:eastAsia="Times New Roman" w:hAnsiTheme="majorBidi" w:cstheme="majorBidi"/>
          <w:sz w:val="24"/>
          <w:szCs w:val="24"/>
        </w:rPr>
        <w:t xml:space="preserve"> was essential for assessing their capabilities in the context of the study.</w:t>
      </w:r>
    </w:p>
    <w:p w14:paraId="0765545A" w14:textId="77777777" w:rsidR="00FA5CB3" w:rsidRPr="00FA5CB3" w:rsidRDefault="00FA5CB3" w:rsidP="00FA5CB3">
      <w:pPr>
        <w:shd w:val="clear" w:color="auto" w:fill="FFFFFF" w:themeFill="background1"/>
        <w:spacing w:after="240" w:line="360" w:lineRule="auto"/>
        <w:jc w:val="both"/>
        <w:rPr>
          <w:rFonts w:asciiTheme="majorBidi" w:eastAsia="Times New Roman" w:hAnsiTheme="majorBidi" w:cstheme="majorBidi"/>
          <w:b/>
          <w:bCs/>
          <w:sz w:val="24"/>
          <w:szCs w:val="24"/>
          <w:lang w:val="fr-FR"/>
        </w:rPr>
      </w:pPr>
      <w:bookmarkStart w:id="1338" w:name="_Toc164337102"/>
      <w:bookmarkStart w:id="1339" w:name="_Toc175219978"/>
      <w:r w:rsidRPr="00FA5CB3">
        <w:rPr>
          <w:rFonts w:asciiTheme="majorBidi" w:eastAsia="Times New Roman" w:hAnsiTheme="majorBidi" w:cstheme="majorBidi"/>
          <w:b/>
          <w:bCs/>
          <w:sz w:val="24"/>
          <w:szCs w:val="24"/>
          <w:lang w:val="fr-FR"/>
        </w:rPr>
        <w:t xml:space="preserve">Table 4. </w:t>
      </w:r>
      <w:r w:rsidRPr="00FA5CB3">
        <w:rPr>
          <w:rFonts w:asciiTheme="majorBidi" w:eastAsia="Times New Roman" w:hAnsiTheme="majorBidi" w:cstheme="majorBidi"/>
          <w:b/>
          <w:bCs/>
          <w:sz w:val="24"/>
          <w:szCs w:val="24"/>
          <w:lang w:val="fr-FR"/>
        </w:rPr>
        <w:fldChar w:fldCharType="begin"/>
      </w:r>
      <w:r w:rsidRPr="00FA5CB3">
        <w:rPr>
          <w:rFonts w:asciiTheme="majorBidi" w:eastAsia="Times New Roman" w:hAnsiTheme="majorBidi" w:cstheme="majorBidi"/>
          <w:b/>
          <w:bCs/>
          <w:sz w:val="24"/>
          <w:szCs w:val="24"/>
          <w:lang w:val="fr-FR"/>
        </w:rPr>
        <w:instrText xml:space="preserve"> SEQ Table_4. \* ARABIC </w:instrText>
      </w:r>
      <w:r w:rsidRPr="00FA5CB3">
        <w:rPr>
          <w:rFonts w:asciiTheme="majorBidi" w:eastAsia="Times New Roman" w:hAnsiTheme="majorBidi" w:cstheme="majorBidi"/>
          <w:b/>
          <w:bCs/>
          <w:sz w:val="24"/>
          <w:szCs w:val="24"/>
          <w:lang w:val="fr-FR"/>
        </w:rPr>
        <w:fldChar w:fldCharType="separate"/>
      </w:r>
      <w:r w:rsidRPr="00FA5CB3">
        <w:rPr>
          <w:rFonts w:asciiTheme="majorBidi" w:eastAsia="Times New Roman" w:hAnsiTheme="majorBidi" w:cstheme="majorBidi"/>
          <w:b/>
          <w:bCs/>
          <w:sz w:val="24"/>
          <w:szCs w:val="24"/>
          <w:lang w:val="fr-FR"/>
        </w:rPr>
        <w:t>1</w:t>
      </w:r>
      <w:r w:rsidRPr="00FA5CB3">
        <w:rPr>
          <w:rFonts w:asciiTheme="majorBidi" w:eastAsia="Times New Roman" w:hAnsiTheme="majorBidi" w:cstheme="majorBidi"/>
          <w:sz w:val="24"/>
          <w:szCs w:val="24"/>
        </w:rPr>
        <w:fldChar w:fldCharType="end"/>
      </w:r>
      <w:r w:rsidRPr="00FA5CB3">
        <w:rPr>
          <w:rFonts w:asciiTheme="majorBidi" w:eastAsia="Times New Roman" w:hAnsiTheme="majorBidi" w:cstheme="majorBidi"/>
          <w:b/>
          <w:bCs/>
          <w:sz w:val="24"/>
          <w:szCs w:val="24"/>
          <w:lang w:val="fr-FR"/>
        </w:rPr>
        <w:t xml:space="preserve">:Age Group of </w:t>
      </w:r>
      <w:proofErr w:type="spellStart"/>
      <w:r w:rsidRPr="00FA5CB3">
        <w:rPr>
          <w:rFonts w:asciiTheme="majorBidi" w:eastAsia="Times New Roman" w:hAnsiTheme="majorBidi" w:cstheme="majorBidi"/>
          <w:b/>
          <w:bCs/>
          <w:sz w:val="24"/>
          <w:szCs w:val="24"/>
          <w:lang w:val="fr-FR"/>
        </w:rPr>
        <w:t>Respondents</w:t>
      </w:r>
      <w:bookmarkEnd w:id="1338"/>
      <w:bookmarkEnd w:id="1339"/>
      <w:proofErr w:type="spellEnd"/>
    </w:p>
    <w:tbl>
      <w:tblPr>
        <w:tblpPr w:leftFromText="180" w:rightFromText="180" w:vertAnchor="text" w:horzAnchor="page" w:tblpX="1841" w:tblpY="88"/>
        <w:tblW w:w="5000" w:type="pct"/>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3529"/>
        <w:gridCol w:w="2966"/>
        <w:gridCol w:w="2591"/>
      </w:tblGrid>
      <w:tr w:rsidR="00FA5CB3" w:rsidRPr="00FA5CB3" w14:paraId="2ABE7CD0" w14:textId="77777777" w:rsidTr="003E0AB5">
        <w:trPr>
          <w:cantSplit/>
          <w:tblHeader/>
        </w:trPr>
        <w:tc>
          <w:tcPr>
            <w:tcW w:w="1942" w:type="pct"/>
            <w:tcBorders>
              <w:top w:val="single" w:sz="18" w:space="0" w:color="auto"/>
            </w:tcBorders>
            <w:shd w:val="clear" w:color="auto" w:fill="FFFFFF"/>
            <w:tcMar>
              <w:top w:w="30" w:type="dxa"/>
              <w:left w:w="30" w:type="dxa"/>
              <w:bottom w:w="30" w:type="dxa"/>
              <w:right w:w="30" w:type="dxa"/>
            </w:tcMar>
          </w:tcPr>
          <w:p w14:paraId="5561B2D2" w14:textId="77777777" w:rsidR="00FA5CB3" w:rsidRPr="00FA5CB3" w:rsidRDefault="00FA5CB3" w:rsidP="00A10C7F">
            <w:pPr>
              <w:shd w:val="clear" w:color="auto" w:fill="FFFFFF" w:themeFill="background1"/>
              <w:spacing w:after="240" w:line="240" w:lineRule="auto"/>
              <w:jc w:val="both"/>
              <w:rPr>
                <w:rFonts w:asciiTheme="majorBidi" w:eastAsia="Times New Roman" w:hAnsiTheme="majorBidi" w:cstheme="majorBidi"/>
                <w:b/>
                <w:bCs/>
                <w:sz w:val="24"/>
                <w:szCs w:val="24"/>
                <w:lang w:val="fr-FR"/>
              </w:rPr>
            </w:pPr>
            <w:r w:rsidRPr="00FA5CB3">
              <w:rPr>
                <w:rFonts w:asciiTheme="majorBidi" w:eastAsia="Times New Roman" w:hAnsiTheme="majorBidi" w:cstheme="majorBidi"/>
                <w:b/>
                <w:bCs/>
                <w:sz w:val="24"/>
                <w:szCs w:val="24"/>
                <w:lang w:val="fr-FR"/>
              </w:rPr>
              <w:t>Age group</w:t>
            </w:r>
          </w:p>
        </w:tc>
        <w:tc>
          <w:tcPr>
            <w:tcW w:w="1632" w:type="pct"/>
            <w:tcBorders>
              <w:top w:val="single" w:sz="18" w:space="0" w:color="auto"/>
            </w:tcBorders>
            <w:shd w:val="clear" w:color="auto" w:fill="FFFFFF"/>
            <w:tcMar>
              <w:top w:w="30" w:type="dxa"/>
              <w:left w:w="30" w:type="dxa"/>
              <w:bottom w:w="30" w:type="dxa"/>
              <w:right w:w="30" w:type="dxa"/>
            </w:tcMar>
            <w:vAlign w:val="bottom"/>
          </w:tcPr>
          <w:p w14:paraId="20160FFD" w14:textId="77777777" w:rsidR="00FA5CB3" w:rsidRPr="00FA5CB3" w:rsidRDefault="00FA5CB3" w:rsidP="00A10C7F">
            <w:pPr>
              <w:shd w:val="clear" w:color="auto" w:fill="FFFFFF" w:themeFill="background1"/>
              <w:spacing w:after="240" w:line="240" w:lineRule="auto"/>
              <w:jc w:val="both"/>
              <w:rPr>
                <w:rFonts w:asciiTheme="majorBidi" w:eastAsia="Times New Roman" w:hAnsiTheme="majorBidi" w:cstheme="majorBidi"/>
                <w:b/>
                <w:bCs/>
                <w:sz w:val="24"/>
                <w:szCs w:val="24"/>
                <w:lang w:val="fr-FR"/>
              </w:rPr>
            </w:pPr>
            <w:r w:rsidRPr="00FA5CB3">
              <w:rPr>
                <w:rFonts w:asciiTheme="majorBidi" w:eastAsia="Times New Roman" w:hAnsiTheme="majorBidi" w:cstheme="majorBidi"/>
                <w:b/>
                <w:bCs/>
                <w:sz w:val="24"/>
                <w:szCs w:val="24"/>
                <w:lang w:val="fr-FR"/>
              </w:rPr>
              <w:t>Frequency</w:t>
            </w:r>
          </w:p>
        </w:tc>
        <w:tc>
          <w:tcPr>
            <w:tcW w:w="1426" w:type="pct"/>
            <w:tcBorders>
              <w:top w:val="single" w:sz="18" w:space="0" w:color="auto"/>
            </w:tcBorders>
            <w:shd w:val="clear" w:color="auto" w:fill="FFFFFF"/>
            <w:tcMar>
              <w:top w:w="30" w:type="dxa"/>
              <w:left w:w="30" w:type="dxa"/>
              <w:bottom w:w="30" w:type="dxa"/>
              <w:right w:w="30" w:type="dxa"/>
            </w:tcMar>
            <w:vAlign w:val="bottom"/>
          </w:tcPr>
          <w:p w14:paraId="09700D64" w14:textId="77777777" w:rsidR="00FA5CB3" w:rsidRPr="00FA5CB3" w:rsidRDefault="00FA5CB3" w:rsidP="00A10C7F">
            <w:pPr>
              <w:shd w:val="clear" w:color="auto" w:fill="FFFFFF" w:themeFill="background1"/>
              <w:spacing w:after="240" w:line="240" w:lineRule="auto"/>
              <w:jc w:val="both"/>
              <w:rPr>
                <w:rFonts w:asciiTheme="majorBidi" w:eastAsia="Times New Roman" w:hAnsiTheme="majorBidi" w:cstheme="majorBidi"/>
                <w:b/>
                <w:bCs/>
                <w:sz w:val="24"/>
                <w:szCs w:val="24"/>
                <w:lang w:val="fr-FR"/>
              </w:rPr>
            </w:pPr>
            <w:r w:rsidRPr="00FA5CB3">
              <w:rPr>
                <w:rFonts w:asciiTheme="majorBidi" w:eastAsia="Times New Roman" w:hAnsiTheme="majorBidi" w:cstheme="majorBidi"/>
                <w:b/>
                <w:bCs/>
                <w:sz w:val="24"/>
                <w:szCs w:val="24"/>
                <w:lang w:val="fr-FR"/>
              </w:rPr>
              <w:t>Percentage</w:t>
            </w:r>
          </w:p>
        </w:tc>
      </w:tr>
      <w:tr w:rsidR="00FA5CB3" w:rsidRPr="00FA5CB3" w14:paraId="5C736066" w14:textId="77777777" w:rsidTr="003E0AB5">
        <w:trPr>
          <w:cantSplit/>
          <w:tblHeader/>
        </w:trPr>
        <w:tc>
          <w:tcPr>
            <w:tcW w:w="1942" w:type="pct"/>
            <w:shd w:val="clear" w:color="auto" w:fill="FFFFFF"/>
            <w:tcMar>
              <w:top w:w="30" w:type="dxa"/>
              <w:left w:w="30" w:type="dxa"/>
              <w:bottom w:w="30" w:type="dxa"/>
              <w:right w:w="30" w:type="dxa"/>
            </w:tcMar>
          </w:tcPr>
          <w:p w14:paraId="68C6F5FA" w14:textId="77777777" w:rsidR="00FA5CB3" w:rsidRPr="00FA5CB3" w:rsidRDefault="00FA5CB3" w:rsidP="00A10C7F">
            <w:pPr>
              <w:shd w:val="clear" w:color="auto" w:fill="FFFFFF" w:themeFill="background1"/>
              <w:spacing w:after="240" w:line="240" w:lineRule="auto"/>
              <w:jc w:val="both"/>
              <w:rPr>
                <w:rFonts w:asciiTheme="majorBidi" w:eastAsia="Times New Roman" w:hAnsiTheme="majorBidi" w:cstheme="majorBidi"/>
                <w:sz w:val="24"/>
                <w:szCs w:val="24"/>
                <w:lang w:val="fr-FR"/>
              </w:rPr>
            </w:pPr>
            <w:proofErr w:type="spellStart"/>
            <w:r w:rsidRPr="00FA5CB3">
              <w:rPr>
                <w:rFonts w:asciiTheme="majorBidi" w:eastAsia="Times New Roman" w:hAnsiTheme="majorBidi" w:cstheme="majorBidi"/>
                <w:sz w:val="24"/>
                <w:szCs w:val="24"/>
                <w:lang w:val="fr-FR"/>
              </w:rPr>
              <w:t>Below</w:t>
            </w:r>
            <w:proofErr w:type="spellEnd"/>
            <w:r w:rsidRPr="00FA5CB3">
              <w:rPr>
                <w:rFonts w:asciiTheme="majorBidi" w:eastAsia="Times New Roman" w:hAnsiTheme="majorBidi" w:cstheme="majorBidi"/>
                <w:sz w:val="24"/>
                <w:szCs w:val="24"/>
                <w:lang w:val="fr-FR"/>
              </w:rPr>
              <w:t xml:space="preserve"> 20 </w:t>
            </w:r>
            <w:proofErr w:type="spellStart"/>
            <w:r w:rsidRPr="00FA5CB3">
              <w:rPr>
                <w:rFonts w:asciiTheme="majorBidi" w:eastAsia="Times New Roman" w:hAnsiTheme="majorBidi" w:cstheme="majorBidi"/>
                <w:sz w:val="24"/>
                <w:szCs w:val="24"/>
                <w:lang w:val="fr-FR"/>
              </w:rPr>
              <w:t>years</w:t>
            </w:r>
            <w:proofErr w:type="spellEnd"/>
            <w:r w:rsidRPr="00FA5CB3">
              <w:rPr>
                <w:rFonts w:asciiTheme="majorBidi" w:eastAsia="Times New Roman" w:hAnsiTheme="majorBidi" w:cstheme="majorBidi"/>
                <w:sz w:val="24"/>
                <w:szCs w:val="24"/>
                <w:lang w:val="fr-FR"/>
              </w:rPr>
              <w:t xml:space="preserve"> </w:t>
            </w:r>
            <w:proofErr w:type="spellStart"/>
            <w:r w:rsidRPr="00FA5CB3">
              <w:rPr>
                <w:rFonts w:asciiTheme="majorBidi" w:eastAsia="Times New Roman" w:hAnsiTheme="majorBidi" w:cstheme="majorBidi"/>
                <w:sz w:val="24"/>
                <w:szCs w:val="24"/>
                <w:lang w:val="fr-FR"/>
              </w:rPr>
              <w:t>old</w:t>
            </w:r>
            <w:proofErr w:type="spellEnd"/>
          </w:p>
        </w:tc>
        <w:tc>
          <w:tcPr>
            <w:tcW w:w="1632" w:type="pct"/>
            <w:shd w:val="clear" w:color="auto" w:fill="FFFFFF"/>
            <w:tcMar>
              <w:top w:w="30" w:type="dxa"/>
              <w:left w:w="30" w:type="dxa"/>
              <w:bottom w:w="30" w:type="dxa"/>
              <w:right w:w="30" w:type="dxa"/>
            </w:tcMar>
            <w:vAlign w:val="center"/>
          </w:tcPr>
          <w:p w14:paraId="33D75D6D" w14:textId="3AA8F3B2" w:rsidR="00FA5CB3" w:rsidRPr="00FA5CB3" w:rsidRDefault="009339AD" w:rsidP="00A10C7F">
            <w:pPr>
              <w:shd w:val="clear" w:color="auto" w:fill="FFFFFF" w:themeFill="background1"/>
              <w:spacing w:after="240" w:line="240" w:lineRule="auto"/>
              <w:jc w:val="both"/>
              <w:rPr>
                <w:rFonts w:asciiTheme="majorBidi" w:eastAsia="Times New Roman" w:hAnsiTheme="majorBidi" w:cstheme="majorBidi"/>
                <w:sz w:val="24"/>
                <w:szCs w:val="24"/>
                <w:lang w:val="fr-FR"/>
              </w:rPr>
            </w:pPr>
            <w:r>
              <w:rPr>
                <w:rFonts w:asciiTheme="majorBidi" w:eastAsia="Times New Roman" w:hAnsiTheme="majorBidi" w:cstheme="majorBidi"/>
                <w:sz w:val="24"/>
                <w:szCs w:val="24"/>
                <w:lang w:val="fr-FR"/>
              </w:rPr>
              <w:t>0</w:t>
            </w:r>
          </w:p>
        </w:tc>
        <w:tc>
          <w:tcPr>
            <w:tcW w:w="1426" w:type="pct"/>
            <w:shd w:val="clear" w:color="auto" w:fill="FFFFFF"/>
            <w:tcMar>
              <w:top w:w="30" w:type="dxa"/>
              <w:left w:w="30" w:type="dxa"/>
              <w:bottom w:w="30" w:type="dxa"/>
              <w:right w:w="30" w:type="dxa"/>
            </w:tcMar>
            <w:vAlign w:val="center"/>
          </w:tcPr>
          <w:p w14:paraId="6827DDC3" w14:textId="0F605394" w:rsidR="00FA5CB3" w:rsidRPr="00FA5CB3" w:rsidRDefault="009339AD" w:rsidP="00A10C7F">
            <w:pPr>
              <w:shd w:val="clear" w:color="auto" w:fill="FFFFFF" w:themeFill="background1"/>
              <w:spacing w:after="240" w:line="240" w:lineRule="auto"/>
              <w:jc w:val="both"/>
              <w:rPr>
                <w:rFonts w:asciiTheme="majorBidi" w:eastAsia="Times New Roman" w:hAnsiTheme="majorBidi" w:cstheme="majorBidi"/>
                <w:sz w:val="24"/>
                <w:szCs w:val="24"/>
                <w:lang w:val="fr-FR"/>
              </w:rPr>
            </w:pPr>
            <w:r>
              <w:rPr>
                <w:rFonts w:asciiTheme="majorBidi" w:eastAsia="Times New Roman" w:hAnsiTheme="majorBidi" w:cstheme="majorBidi"/>
                <w:sz w:val="24"/>
                <w:szCs w:val="24"/>
                <w:lang w:val="fr-FR"/>
              </w:rPr>
              <w:t>0</w:t>
            </w:r>
          </w:p>
        </w:tc>
      </w:tr>
      <w:tr w:rsidR="00FA5CB3" w:rsidRPr="00FA5CB3" w14:paraId="42BA2A00" w14:textId="77777777" w:rsidTr="003E0AB5">
        <w:trPr>
          <w:cantSplit/>
          <w:tblHeader/>
        </w:trPr>
        <w:tc>
          <w:tcPr>
            <w:tcW w:w="1942" w:type="pct"/>
            <w:shd w:val="clear" w:color="auto" w:fill="FFFFFF"/>
            <w:tcMar>
              <w:top w:w="30" w:type="dxa"/>
              <w:left w:w="30" w:type="dxa"/>
              <w:bottom w:w="30" w:type="dxa"/>
              <w:right w:w="30" w:type="dxa"/>
            </w:tcMar>
          </w:tcPr>
          <w:p w14:paraId="51460BBC" w14:textId="77777777" w:rsidR="00FA5CB3" w:rsidRPr="00FA5CB3" w:rsidRDefault="00FA5CB3" w:rsidP="00A10C7F">
            <w:pPr>
              <w:shd w:val="clear" w:color="auto" w:fill="FFFFFF" w:themeFill="background1"/>
              <w:spacing w:after="240" w:line="240" w:lineRule="auto"/>
              <w:jc w:val="both"/>
              <w:rPr>
                <w:rFonts w:asciiTheme="majorBidi" w:eastAsia="Times New Roman" w:hAnsiTheme="majorBidi" w:cstheme="majorBidi"/>
                <w:sz w:val="24"/>
                <w:szCs w:val="24"/>
                <w:lang w:val="fr-FR"/>
              </w:rPr>
            </w:pPr>
            <w:proofErr w:type="spellStart"/>
            <w:r w:rsidRPr="00FA5CB3">
              <w:rPr>
                <w:rFonts w:asciiTheme="majorBidi" w:eastAsia="Times New Roman" w:hAnsiTheme="majorBidi" w:cstheme="majorBidi"/>
                <w:sz w:val="24"/>
                <w:szCs w:val="24"/>
                <w:lang w:val="fr-FR"/>
              </w:rPr>
              <w:t>Between</w:t>
            </w:r>
            <w:proofErr w:type="spellEnd"/>
            <w:r w:rsidRPr="00FA5CB3">
              <w:rPr>
                <w:rFonts w:asciiTheme="majorBidi" w:eastAsia="Times New Roman" w:hAnsiTheme="majorBidi" w:cstheme="majorBidi"/>
                <w:sz w:val="24"/>
                <w:szCs w:val="24"/>
                <w:lang w:val="fr-FR"/>
              </w:rPr>
              <w:t xml:space="preserve"> 21-30 </w:t>
            </w:r>
            <w:proofErr w:type="spellStart"/>
            <w:r w:rsidRPr="00FA5CB3">
              <w:rPr>
                <w:rFonts w:asciiTheme="majorBidi" w:eastAsia="Times New Roman" w:hAnsiTheme="majorBidi" w:cstheme="majorBidi"/>
                <w:sz w:val="24"/>
                <w:szCs w:val="24"/>
                <w:lang w:val="fr-FR"/>
              </w:rPr>
              <w:t>years</w:t>
            </w:r>
            <w:proofErr w:type="spellEnd"/>
          </w:p>
        </w:tc>
        <w:tc>
          <w:tcPr>
            <w:tcW w:w="1632" w:type="pct"/>
            <w:shd w:val="clear" w:color="auto" w:fill="FFFFFF"/>
            <w:tcMar>
              <w:top w:w="30" w:type="dxa"/>
              <w:left w:w="30" w:type="dxa"/>
              <w:bottom w:w="30" w:type="dxa"/>
              <w:right w:w="30" w:type="dxa"/>
            </w:tcMar>
            <w:vAlign w:val="center"/>
          </w:tcPr>
          <w:p w14:paraId="073D0D9B" w14:textId="13EFA801" w:rsidR="00FA5CB3" w:rsidRPr="00FA5CB3" w:rsidRDefault="009339AD" w:rsidP="00A10C7F">
            <w:pPr>
              <w:shd w:val="clear" w:color="auto" w:fill="FFFFFF" w:themeFill="background1"/>
              <w:spacing w:after="240" w:line="240" w:lineRule="auto"/>
              <w:jc w:val="both"/>
              <w:rPr>
                <w:rFonts w:asciiTheme="majorBidi" w:eastAsia="Times New Roman" w:hAnsiTheme="majorBidi" w:cstheme="majorBidi"/>
                <w:sz w:val="24"/>
                <w:szCs w:val="24"/>
                <w:lang w:val="fr-FR"/>
              </w:rPr>
            </w:pPr>
            <w:r>
              <w:rPr>
                <w:rFonts w:asciiTheme="majorBidi" w:eastAsia="Times New Roman" w:hAnsiTheme="majorBidi" w:cstheme="majorBidi"/>
                <w:sz w:val="24"/>
                <w:szCs w:val="24"/>
                <w:lang w:val="fr-FR"/>
              </w:rPr>
              <w:t xml:space="preserve">  30</w:t>
            </w:r>
          </w:p>
        </w:tc>
        <w:tc>
          <w:tcPr>
            <w:tcW w:w="1426" w:type="pct"/>
            <w:shd w:val="clear" w:color="auto" w:fill="FFFFFF"/>
            <w:tcMar>
              <w:top w:w="30" w:type="dxa"/>
              <w:left w:w="30" w:type="dxa"/>
              <w:bottom w:w="30" w:type="dxa"/>
              <w:right w:w="30" w:type="dxa"/>
            </w:tcMar>
            <w:vAlign w:val="center"/>
          </w:tcPr>
          <w:p w14:paraId="4C3FB2C6" w14:textId="1C2D1498" w:rsidR="00FA5CB3" w:rsidRPr="00FA5CB3" w:rsidRDefault="009339AD" w:rsidP="00A10C7F">
            <w:pPr>
              <w:shd w:val="clear" w:color="auto" w:fill="FFFFFF" w:themeFill="background1"/>
              <w:spacing w:after="240" w:line="240" w:lineRule="auto"/>
              <w:jc w:val="both"/>
              <w:rPr>
                <w:rFonts w:asciiTheme="majorBidi" w:eastAsia="Times New Roman" w:hAnsiTheme="majorBidi" w:cstheme="majorBidi"/>
                <w:sz w:val="24"/>
                <w:szCs w:val="24"/>
                <w:lang w:val="fr-FR"/>
              </w:rPr>
            </w:pPr>
            <w:r>
              <w:rPr>
                <w:rFonts w:asciiTheme="majorBidi" w:eastAsia="Times New Roman" w:hAnsiTheme="majorBidi" w:cstheme="majorBidi"/>
                <w:sz w:val="24"/>
                <w:szCs w:val="24"/>
                <w:lang w:val="fr-FR"/>
              </w:rPr>
              <w:t>53.57</w:t>
            </w:r>
          </w:p>
        </w:tc>
      </w:tr>
      <w:tr w:rsidR="00FA5CB3" w:rsidRPr="00FA5CB3" w14:paraId="584CCA1E" w14:textId="77777777" w:rsidTr="003E0AB5">
        <w:trPr>
          <w:cantSplit/>
          <w:tblHeader/>
        </w:trPr>
        <w:tc>
          <w:tcPr>
            <w:tcW w:w="1942" w:type="pct"/>
            <w:shd w:val="clear" w:color="auto" w:fill="FFFFFF"/>
            <w:tcMar>
              <w:top w:w="30" w:type="dxa"/>
              <w:left w:w="30" w:type="dxa"/>
              <w:bottom w:w="30" w:type="dxa"/>
              <w:right w:w="30" w:type="dxa"/>
            </w:tcMar>
          </w:tcPr>
          <w:p w14:paraId="7AEA1431" w14:textId="200C2731" w:rsidR="00FA5CB3" w:rsidRPr="00FA5CB3" w:rsidRDefault="00FA5CB3" w:rsidP="00A10C7F">
            <w:pPr>
              <w:shd w:val="clear" w:color="auto" w:fill="FFFFFF" w:themeFill="background1"/>
              <w:spacing w:after="240" w:line="240" w:lineRule="auto"/>
              <w:jc w:val="both"/>
              <w:rPr>
                <w:rFonts w:asciiTheme="majorBidi" w:eastAsia="Times New Roman" w:hAnsiTheme="majorBidi" w:cstheme="majorBidi"/>
                <w:sz w:val="24"/>
                <w:szCs w:val="24"/>
                <w:lang w:val="fr-FR"/>
              </w:rPr>
            </w:pPr>
            <w:proofErr w:type="spellStart"/>
            <w:r w:rsidRPr="00FA5CB3">
              <w:rPr>
                <w:rFonts w:asciiTheme="majorBidi" w:eastAsia="Times New Roman" w:hAnsiTheme="majorBidi" w:cstheme="majorBidi"/>
                <w:sz w:val="24"/>
                <w:szCs w:val="24"/>
                <w:lang w:val="fr-FR"/>
              </w:rPr>
              <w:t>Between</w:t>
            </w:r>
            <w:proofErr w:type="spellEnd"/>
            <w:r w:rsidRPr="00FA5CB3">
              <w:rPr>
                <w:rFonts w:asciiTheme="majorBidi" w:eastAsia="Times New Roman" w:hAnsiTheme="majorBidi" w:cstheme="majorBidi"/>
                <w:sz w:val="24"/>
                <w:szCs w:val="24"/>
                <w:lang w:val="fr-FR"/>
              </w:rPr>
              <w:t xml:space="preserve"> 31-</w:t>
            </w:r>
            <w:r w:rsidR="009339AD">
              <w:rPr>
                <w:rFonts w:asciiTheme="majorBidi" w:eastAsia="Times New Roman" w:hAnsiTheme="majorBidi" w:cstheme="majorBidi"/>
                <w:sz w:val="24"/>
                <w:szCs w:val="24"/>
                <w:lang w:val="fr-FR"/>
              </w:rPr>
              <w:t>40</w:t>
            </w:r>
            <w:r w:rsidRPr="00FA5CB3">
              <w:rPr>
                <w:rFonts w:asciiTheme="majorBidi" w:eastAsia="Times New Roman" w:hAnsiTheme="majorBidi" w:cstheme="majorBidi"/>
                <w:sz w:val="24"/>
                <w:szCs w:val="24"/>
                <w:lang w:val="fr-FR"/>
              </w:rPr>
              <w:t xml:space="preserve"> </w:t>
            </w:r>
            <w:proofErr w:type="spellStart"/>
            <w:r w:rsidRPr="00FA5CB3">
              <w:rPr>
                <w:rFonts w:asciiTheme="majorBidi" w:eastAsia="Times New Roman" w:hAnsiTheme="majorBidi" w:cstheme="majorBidi"/>
                <w:sz w:val="24"/>
                <w:szCs w:val="24"/>
                <w:lang w:val="fr-FR"/>
              </w:rPr>
              <w:t>years</w:t>
            </w:r>
            <w:proofErr w:type="spellEnd"/>
          </w:p>
        </w:tc>
        <w:tc>
          <w:tcPr>
            <w:tcW w:w="1632" w:type="pct"/>
            <w:shd w:val="clear" w:color="auto" w:fill="FFFFFF"/>
            <w:tcMar>
              <w:top w:w="30" w:type="dxa"/>
              <w:left w:w="30" w:type="dxa"/>
              <w:bottom w:w="30" w:type="dxa"/>
              <w:right w:w="30" w:type="dxa"/>
            </w:tcMar>
            <w:vAlign w:val="center"/>
          </w:tcPr>
          <w:p w14:paraId="0115A5F9" w14:textId="265185C1" w:rsidR="00FA5CB3" w:rsidRPr="00FA5CB3" w:rsidRDefault="009339AD" w:rsidP="00A10C7F">
            <w:pPr>
              <w:shd w:val="clear" w:color="auto" w:fill="FFFFFF" w:themeFill="background1"/>
              <w:spacing w:after="240" w:line="240" w:lineRule="auto"/>
              <w:jc w:val="both"/>
              <w:rPr>
                <w:rFonts w:asciiTheme="majorBidi" w:eastAsia="Times New Roman" w:hAnsiTheme="majorBidi" w:cstheme="majorBidi"/>
                <w:sz w:val="24"/>
                <w:szCs w:val="24"/>
                <w:lang w:val="fr-FR"/>
              </w:rPr>
            </w:pPr>
            <w:r>
              <w:rPr>
                <w:rFonts w:asciiTheme="majorBidi" w:eastAsia="Times New Roman" w:hAnsiTheme="majorBidi" w:cstheme="majorBidi"/>
                <w:sz w:val="24"/>
                <w:szCs w:val="24"/>
                <w:lang w:val="fr-FR"/>
              </w:rPr>
              <w:t xml:space="preserve">  15</w:t>
            </w:r>
          </w:p>
        </w:tc>
        <w:tc>
          <w:tcPr>
            <w:tcW w:w="1426" w:type="pct"/>
            <w:shd w:val="clear" w:color="auto" w:fill="FFFFFF"/>
            <w:tcMar>
              <w:top w:w="30" w:type="dxa"/>
              <w:left w:w="30" w:type="dxa"/>
              <w:bottom w:w="30" w:type="dxa"/>
              <w:right w:w="30" w:type="dxa"/>
            </w:tcMar>
            <w:vAlign w:val="center"/>
          </w:tcPr>
          <w:p w14:paraId="368CF2D6" w14:textId="37815105" w:rsidR="00FA5CB3" w:rsidRPr="00FA5CB3" w:rsidRDefault="00FA5CB3" w:rsidP="00A10C7F">
            <w:pPr>
              <w:shd w:val="clear" w:color="auto" w:fill="FFFFFF" w:themeFill="background1"/>
              <w:spacing w:after="240" w:line="240" w:lineRule="auto"/>
              <w:jc w:val="both"/>
              <w:rPr>
                <w:rFonts w:asciiTheme="majorBidi" w:eastAsia="Times New Roman" w:hAnsiTheme="majorBidi" w:cstheme="majorBidi"/>
                <w:sz w:val="24"/>
                <w:szCs w:val="24"/>
                <w:lang w:val="fr-FR"/>
              </w:rPr>
            </w:pPr>
            <w:r w:rsidRPr="00FA5CB3">
              <w:rPr>
                <w:rFonts w:asciiTheme="majorBidi" w:eastAsia="Times New Roman" w:hAnsiTheme="majorBidi" w:cstheme="majorBidi"/>
                <w:sz w:val="24"/>
                <w:szCs w:val="24"/>
                <w:lang w:val="fr-FR"/>
              </w:rPr>
              <w:t xml:space="preserve"> </w:t>
            </w:r>
            <w:r w:rsidR="009339AD">
              <w:rPr>
                <w:rFonts w:asciiTheme="majorBidi" w:eastAsia="Times New Roman" w:hAnsiTheme="majorBidi" w:cstheme="majorBidi"/>
                <w:sz w:val="24"/>
                <w:szCs w:val="24"/>
                <w:lang w:val="fr-FR"/>
              </w:rPr>
              <w:t>26.78</w:t>
            </w:r>
          </w:p>
        </w:tc>
      </w:tr>
      <w:tr w:rsidR="00FA5CB3" w:rsidRPr="00FA5CB3" w14:paraId="1898D7E9" w14:textId="77777777" w:rsidTr="003E0AB5">
        <w:trPr>
          <w:cantSplit/>
          <w:tblHeader/>
        </w:trPr>
        <w:tc>
          <w:tcPr>
            <w:tcW w:w="1942" w:type="pct"/>
            <w:shd w:val="clear" w:color="auto" w:fill="FFFFFF"/>
            <w:tcMar>
              <w:top w:w="30" w:type="dxa"/>
              <w:left w:w="30" w:type="dxa"/>
              <w:bottom w:w="30" w:type="dxa"/>
              <w:right w:w="30" w:type="dxa"/>
            </w:tcMar>
          </w:tcPr>
          <w:p w14:paraId="14F2C60E" w14:textId="0C128D2A" w:rsidR="00FA5CB3" w:rsidRPr="00FA5CB3" w:rsidRDefault="00FA5CB3" w:rsidP="00A10C7F">
            <w:pPr>
              <w:shd w:val="clear" w:color="auto" w:fill="FFFFFF" w:themeFill="background1"/>
              <w:spacing w:after="240" w:line="240" w:lineRule="auto"/>
              <w:jc w:val="both"/>
              <w:rPr>
                <w:rFonts w:asciiTheme="majorBidi" w:eastAsia="Times New Roman" w:hAnsiTheme="majorBidi" w:cstheme="majorBidi"/>
                <w:sz w:val="24"/>
                <w:szCs w:val="24"/>
                <w:lang w:val="fr-FR"/>
              </w:rPr>
            </w:pPr>
            <w:r w:rsidRPr="00FA5CB3">
              <w:rPr>
                <w:rFonts w:asciiTheme="majorBidi" w:eastAsia="Times New Roman" w:hAnsiTheme="majorBidi" w:cstheme="majorBidi"/>
                <w:sz w:val="24"/>
                <w:szCs w:val="24"/>
                <w:lang w:val="fr-FR"/>
              </w:rPr>
              <w:t xml:space="preserve"> </w:t>
            </w:r>
            <w:r w:rsidR="009339AD">
              <w:rPr>
                <w:rFonts w:asciiTheme="majorBidi" w:eastAsia="Times New Roman" w:hAnsiTheme="majorBidi" w:cstheme="majorBidi"/>
                <w:sz w:val="24"/>
                <w:szCs w:val="24"/>
                <w:lang w:val="fr-FR"/>
              </w:rPr>
              <w:t xml:space="preserve">41 </w:t>
            </w:r>
            <w:r w:rsidRPr="00FA5CB3">
              <w:rPr>
                <w:rFonts w:asciiTheme="majorBidi" w:eastAsia="Times New Roman" w:hAnsiTheme="majorBidi" w:cstheme="majorBidi"/>
                <w:sz w:val="24"/>
                <w:szCs w:val="24"/>
                <w:lang w:val="fr-FR"/>
              </w:rPr>
              <w:t xml:space="preserve">and </w:t>
            </w:r>
            <w:proofErr w:type="spellStart"/>
            <w:r w:rsidRPr="00FA5CB3">
              <w:rPr>
                <w:rFonts w:asciiTheme="majorBidi" w:eastAsia="Times New Roman" w:hAnsiTheme="majorBidi" w:cstheme="majorBidi"/>
                <w:sz w:val="24"/>
                <w:szCs w:val="24"/>
                <w:lang w:val="fr-FR"/>
              </w:rPr>
              <w:t>above</w:t>
            </w:r>
            <w:proofErr w:type="spellEnd"/>
          </w:p>
        </w:tc>
        <w:tc>
          <w:tcPr>
            <w:tcW w:w="1632" w:type="pct"/>
            <w:shd w:val="clear" w:color="auto" w:fill="FFFFFF"/>
            <w:tcMar>
              <w:top w:w="30" w:type="dxa"/>
              <w:left w:w="30" w:type="dxa"/>
              <w:bottom w:w="30" w:type="dxa"/>
              <w:right w:w="30" w:type="dxa"/>
            </w:tcMar>
            <w:vAlign w:val="center"/>
          </w:tcPr>
          <w:p w14:paraId="40A4C2CE" w14:textId="527E65E7" w:rsidR="00FA5CB3" w:rsidRPr="00FA5CB3" w:rsidRDefault="009339AD" w:rsidP="00A10C7F">
            <w:pPr>
              <w:shd w:val="clear" w:color="auto" w:fill="FFFFFF" w:themeFill="background1"/>
              <w:spacing w:after="240" w:line="240" w:lineRule="auto"/>
              <w:jc w:val="both"/>
              <w:rPr>
                <w:rFonts w:asciiTheme="majorBidi" w:eastAsia="Times New Roman" w:hAnsiTheme="majorBidi" w:cstheme="majorBidi"/>
                <w:sz w:val="24"/>
                <w:szCs w:val="24"/>
                <w:lang w:val="fr-FR"/>
              </w:rPr>
            </w:pPr>
            <w:r>
              <w:rPr>
                <w:rFonts w:asciiTheme="majorBidi" w:eastAsia="Times New Roman" w:hAnsiTheme="majorBidi" w:cstheme="majorBidi"/>
                <w:sz w:val="24"/>
                <w:szCs w:val="24"/>
                <w:lang w:val="fr-FR"/>
              </w:rPr>
              <w:t xml:space="preserve">   11</w:t>
            </w:r>
          </w:p>
        </w:tc>
        <w:tc>
          <w:tcPr>
            <w:tcW w:w="1426" w:type="pct"/>
            <w:shd w:val="clear" w:color="auto" w:fill="FFFFFF"/>
            <w:tcMar>
              <w:top w:w="30" w:type="dxa"/>
              <w:left w:w="30" w:type="dxa"/>
              <w:bottom w:w="30" w:type="dxa"/>
              <w:right w:w="30" w:type="dxa"/>
            </w:tcMar>
            <w:vAlign w:val="center"/>
          </w:tcPr>
          <w:p w14:paraId="0BD229C3" w14:textId="487845F5" w:rsidR="00FA5CB3" w:rsidRPr="00FA5CB3" w:rsidRDefault="009339AD" w:rsidP="00A10C7F">
            <w:pPr>
              <w:shd w:val="clear" w:color="auto" w:fill="FFFFFF" w:themeFill="background1"/>
              <w:spacing w:after="240" w:line="240" w:lineRule="auto"/>
              <w:jc w:val="both"/>
              <w:rPr>
                <w:rFonts w:asciiTheme="majorBidi" w:eastAsia="Times New Roman" w:hAnsiTheme="majorBidi" w:cstheme="majorBidi"/>
                <w:sz w:val="24"/>
                <w:szCs w:val="24"/>
                <w:lang w:val="fr-FR"/>
              </w:rPr>
            </w:pPr>
            <w:r>
              <w:rPr>
                <w:rFonts w:asciiTheme="majorBidi" w:eastAsia="Times New Roman" w:hAnsiTheme="majorBidi" w:cstheme="majorBidi"/>
                <w:sz w:val="24"/>
                <w:szCs w:val="24"/>
                <w:lang w:val="fr-FR"/>
              </w:rPr>
              <w:t>19.64</w:t>
            </w:r>
          </w:p>
        </w:tc>
      </w:tr>
      <w:tr w:rsidR="00FA5CB3" w:rsidRPr="00FA5CB3" w14:paraId="6338D14C" w14:textId="77777777" w:rsidTr="003E0AB5">
        <w:trPr>
          <w:cantSplit/>
        </w:trPr>
        <w:tc>
          <w:tcPr>
            <w:tcW w:w="1942" w:type="pct"/>
            <w:tcBorders>
              <w:bottom w:val="single" w:sz="18" w:space="0" w:color="auto"/>
            </w:tcBorders>
            <w:shd w:val="clear" w:color="auto" w:fill="FFFFFF"/>
            <w:tcMar>
              <w:top w:w="30" w:type="dxa"/>
              <w:left w:w="30" w:type="dxa"/>
              <w:bottom w:w="30" w:type="dxa"/>
              <w:right w:w="30" w:type="dxa"/>
            </w:tcMar>
          </w:tcPr>
          <w:p w14:paraId="3A9FD6B8" w14:textId="77777777" w:rsidR="00FA5CB3" w:rsidRPr="00FA5CB3" w:rsidRDefault="00FA5CB3" w:rsidP="00A10C7F">
            <w:pPr>
              <w:shd w:val="clear" w:color="auto" w:fill="FFFFFF" w:themeFill="background1"/>
              <w:spacing w:after="240" w:line="240" w:lineRule="auto"/>
              <w:jc w:val="both"/>
              <w:rPr>
                <w:rFonts w:asciiTheme="majorBidi" w:eastAsia="Times New Roman" w:hAnsiTheme="majorBidi" w:cstheme="majorBidi"/>
                <w:sz w:val="24"/>
                <w:szCs w:val="24"/>
                <w:lang w:val="fr-FR"/>
              </w:rPr>
            </w:pPr>
            <w:r w:rsidRPr="00FA5CB3">
              <w:rPr>
                <w:rFonts w:asciiTheme="majorBidi" w:eastAsia="Times New Roman" w:hAnsiTheme="majorBidi" w:cstheme="majorBidi"/>
                <w:sz w:val="24"/>
                <w:szCs w:val="24"/>
                <w:lang w:val="fr-FR"/>
              </w:rPr>
              <w:t>Total</w:t>
            </w:r>
          </w:p>
        </w:tc>
        <w:tc>
          <w:tcPr>
            <w:tcW w:w="1632" w:type="pct"/>
            <w:tcBorders>
              <w:bottom w:val="single" w:sz="18" w:space="0" w:color="auto"/>
            </w:tcBorders>
            <w:shd w:val="clear" w:color="auto" w:fill="FFFFFF"/>
            <w:tcMar>
              <w:top w:w="30" w:type="dxa"/>
              <w:left w:w="30" w:type="dxa"/>
              <w:bottom w:w="30" w:type="dxa"/>
              <w:right w:w="30" w:type="dxa"/>
            </w:tcMar>
            <w:vAlign w:val="center"/>
          </w:tcPr>
          <w:p w14:paraId="20FD18DA" w14:textId="5C74D826" w:rsidR="00FA5CB3" w:rsidRPr="00FA5CB3" w:rsidRDefault="00076AB8" w:rsidP="00A10C7F">
            <w:pPr>
              <w:shd w:val="clear" w:color="auto" w:fill="FFFFFF" w:themeFill="background1"/>
              <w:spacing w:after="240" w:line="240" w:lineRule="auto"/>
              <w:jc w:val="both"/>
              <w:rPr>
                <w:rFonts w:asciiTheme="majorBidi" w:eastAsia="Times New Roman" w:hAnsiTheme="majorBidi" w:cstheme="majorBidi"/>
                <w:sz w:val="24"/>
                <w:szCs w:val="24"/>
                <w:lang w:val="fr-FR"/>
              </w:rPr>
            </w:pPr>
            <w:r>
              <w:rPr>
                <w:rFonts w:asciiTheme="majorBidi" w:eastAsia="Times New Roman" w:hAnsiTheme="majorBidi" w:cstheme="majorBidi"/>
                <w:sz w:val="24"/>
                <w:szCs w:val="24"/>
                <w:lang w:val="fr-FR"/>
              </w:rPr>
              <w:t>56</w:t>
            </w:r>
          </w:p>
        </w:tc>
        <w:tc>
          <w:tcPr>
            <w:tcW w:w="1426" w:type="pct"/>
            <w:tcBorders>
              <w:bottom w:val="single" w:sz="18" w:space="0" w:color="auto"/>
            </w:tcBorders>
            <w:shd w:val="clear" w:color="auto" w:fill="FFFFFF"/>
            <w:tcMar>
              <w:top w:w="30" w:type="dxa"/>
              <w:left w:w="30" w:type="dxa"/>
              <w:bottom w:w="30" w:type="dxa"/>
              <w:right w:w="30" w:type="dxa"/>
            </w:tcMar>
            <w:vAlign w:val="center"/>
          </w:tcPr>
          <w:p w14:paraId="28AF2C07" w14:textId="77777777" w:rsidR="00FA5CB3" w:rsidRPr="00FA5CB3" w:rsidRDefault="00FA5CB3" w:rsidP="00A10C7F">
            <w:pPr>
              <w:shd w:val="clear" w:color="auto" w:fill="FFFFFF" w:themeFill="background1"/>
              <w:spacing w:after="240" w:line="240" w:lineRule="auto"/>
              <w:jc w:val="both"/>
              <w:rPr>
                <w:rFonts w:asciiTheme="majorBidi" w:eastAsia="Times New Roman" w:hAnsiTheme="majorBidi" w:cstheme="majorBidi"/>
                <w:sz w:val="24"/>
                <w:szCs w:val="24"/>
                <w:lang w:val="fr-FR"/>
              </w:rPr>
            </w:pPr>
            <w:r w:rsidRPr="00FA5CB3">
              <w:rPr>
                <w:rFonts w:asciiTheme="majorBidi" w:eastAsia="Times New Roman" w:hAnsiTheme="majorBidi" w:cstheme="majorBidi"/>
                <w:sz w:val="24"/>
                <w:szCs w:val="24"/>
                <w:lang w:val="fr-FR"/>
              </w:rPr>
              <w:t>100</w:t>
            </w:r>
          </w:p>
        </w:tc>
      </w:tr>
    </w:tbl>
    <w:p w14:paraId="2FCD1F8D" w14:textId="78EC913C" w:rsidR="009339AD" w:rsidRPr="00FA5CB3" w:rsidRDefault="003E0AB5" w:rsidP="00FA5CB3">
      <w:pPr>
        <w:shd w:val="clear" w:color="auto" w:fill="FFFFFF" w:themeFill="background1"/>
        <w:spacing w:after="240" w:line="360" w:lineRule="auto"/>
        <w:jc w:val="both"/>
        <w:rPr>
          <w:rFonts w:asciiTheme="majorBidi" w:eastAsia="Times New Roman" w:hAnsiTheme="majorBidi" w:cstheme="majorBidi"/>
          <w:b/>
          <w:sz w:val="24"/>
          <w:szCs w:val="24"/>
          <w:lang w:val="fr-FR"/>
        </w:rPr>
      </w:pPr>
      <w:r>
        <w:rPr>
          <w:rFonts w:asciiTheme="majorBidi" w:eastAsia="Times New Roman" w:hAnsiTheme="majorBidi" w:cstheme="majorBidi"/>
          <w:b/>
          <w:sz w:val="24"/>
          <w:szCs w:val="24"/>
          <w:lang w:val="fr-FR"/>
        </w:rPr>
        <w:t xml:space="preserve">Source : </w:t>
      </w:r>
      <w:proofErr w:type="spellStart"/>
      <w:r>
        <w:rPr>
          <w:rFonts w:asciiTheme="majorBidi" w:eastAsia="Times New Roman" w:hAnsiTheme="majorBidi" w:cstheme="majorBidi"/>
          <w:b/>
          <w:sz w:val="24"/>
          <w:szCs w:val="24"/>
          <w:lang w:val="fr-FR"/>
        </w:rPr>
        <w:t>Primary</w:t>
      </w:r>
      <w:proofErr w:type="spellEnd"/>
      <w:r>
        <w:rPr>
          <w:rFonts w:asciiTheme="majorBidi" w:eastAsia="Times New Roman" w:hAnsiTheme="majorBidi" w:cstheme="majorBidi"/>
          <w:b/>
          <w:sz w:val="24"/>
          <w:szCs w:val="24"/>
          <w:lang w:val="fr-FR"/>
        </w:rPr>
        <w:t xml:space="preserve"> Data (2025)</w:t>
      </w:r>
    </w:p>
    <w:p w14:paraId="75F4C948" w14:textId="4E0B99EA" w:rsidR="00FA5CB3" w:rsidRPr="00FA5CB3" w:rsidRDefault="003E0AB5" w:rsidP="00FA5CB3">
      <w:pPr>
        <w:shd w:val="clear" w:color="auto" w:fill="FFFFFF" w:themeFill="background1"/>
        <w:spacing w:after="240" w:line="360" w:lineRule="auto"/>
        <w:jc w:val="both"/>
        <w:rPr>
          <w:rFonts w:asciiTheme="majorBidi" w:eastAsia="Times New Roman" w:hAnsiTheme="majorBidi" w:cstheme="majorBidi"/>
          <w:sz w:val="24"/>
          <w:szCs w:val="24"/>
        </w:rPr>
      </w:pPr>
      <w:r w:rsidRPr="003E0AB5">
        <w:rPr>
          <w:rFonts w:asciiTheme="majorBidi" w:eastAsia="Times New Roman" w:hAnsiTheme="majorBidi" w:cstheme="majorBidi"/>
          <w:sz w:val="24"/>
          <w:szCs w:val="24"/>
        </w:rPr>
        <w:t>Table 4.1 presents the age distribution of respondents at GT Bank Plc Headquarters, revealing that a majority (53.57%) are between 21 and 30 years old, followed by 26.78% aged between 31 and 40, and 19.64% aged 41 and above. This distribution indicates a predominantly young workforce, which is consistent with trends observed in Rwanda's banking sector, where the service sector employs a significant portion of the population. Such a demographic composition may influence the implementation and effectiveness of risk management strategies, as younger employees might bring different perspectives and approaches compared to their older counterparts. This finding aligns with studies like those of Mbabazi (2017), who investigated competitive strategies adopted by commercial banks in Rwanda, highlighting the impact of employee demographics on organizational performance.</w:t>
      </w:r>
    </w:p>
    <w:p w14:paraId="4ADABE93" w14:textId="77777777" w:rsidR="00FA5CB3" w:rsidRPr="00FA5CB3" w:rsidRDefault="00FA5CB3" w:rsidP="00FA5CB3">
      <w:pPr>
        <w:shd w:val="clear" w:color="auto" w:fill="FFFFFF" w:themeFill="background1"/>
        <w:spacing w:after="240" w:line="360" w:lineRule="auto"/>
        <w:jc w:val="both"/>
        <w:rPr>
          <w:rFonts w:asciiTheme="majorBidi" w:eastAsia="Times New Roman" w:hAnsiTheme="majorBidi" w:cstheme="majorBidi"/>
          <w:sz w:val="24"/>
          <w:szCs w:val="24"/>
        </w:rPr>
      </w:pPr>
    </w:p>
    <w:p w14:paraId="44CDEB23" w14:textId="77777777" w:rsidR="00FA5CB3" w:rsidRPr="00FA5CB3" w:rsidRDefault="00FA5CB3" w:rsidP="00FA5CB3">
      <w:pPr>
        <w:shd w:val="clear" w:color="auto" w:fill="FFFFFF" w:themeFill="background1"/>
        <w:spacing w:after="240" w:line="360" w:lineRule="auto"/>
        <w:jc w:val="both"/>
        <w:rPr>
          <w:rFonts w:asciiTheme="majorBidi" w:eastAsia="Times New Roman" w:hAnsiTheme="majorBidi" w:cstheme="majorBidi"/>
          <w:b/>
          <w:bCs/>
          <w:sz w:val="24"/>
          <w:szCs w:val="24"/>
          <w:lang w:val="en-GB"/>
        </w:rPr>
      </w:pPr>
      <w:bookmarkStart w:id="1340" w:name="_Toc175219647"/>
      <w:r w:rsidRPr="00FA5CB3">
        <w:rPr>
          <w:rFonts w:asciiTheme="majorBidi" w:eastAsia="Times New Roman" w:hAnsiTheme="majorBidi" w:cstheme="majorBidi"/>
          <w:b/>
          <w:bCs/>
          <w:sz w:val="24"/>
          <w:szCs w:val="24"/>
          <w:lang w:val="en-GB"/>
        </w:rPr>
        <w:t>4.1.2 Year of Study</w:t>
      </w:r>
      <w:bookmarkEnd w:id="1340"/>
    </w:p>
    <w:p w14:paraId="2AC28079" w14:textId="77777777" w:rsidR="00FA5CB3" w:rsidRPr="00FA5CB3" w:rsidRDefault="00FA5CB3" w:rsidP="00FA5CB3">
      <w:pPr>
        <w:shd w:val="clear" w:color="auto" w:fill="FFFFFF" w:themeFill="background1"/>
        <w:spacing w:after="240" w:line="360" w:lineRule="auto"/>
        <w:jc w:val="both"/>
        <w:rPr>
          <w:rFonts w:asciiTheme="majorBidi" w:eastAsia="Times New Roman" w:hAnsiTheme="majorBidi" w:cstheme="majorBidi"/>
          <w:sz w:val="24"/>
          <w:szCs w:val="24"/>
        </w:rPr>
      </w:pPr>
      <w:r w:rsidRPr="00FA5CB3">
        <w:rPr>
          <w:rFonts w:asciiTheme="majorBidi" w:eastAsia="Times New Roman" w:hAnsiTheme="majorBidi" w:cstheme="majorBidi"/>
          <w:sz w:val="24"/>
          <w:szCs w:val="24"/>
        </w:rPr>
        <w:lastRenderedPageBreak/>
        <w:t>The researcher used surveys to ask participants to specify their class, aiming to examine if their level has any impact on the answers they give.</w:t>
      </w:r>
    </w:p>
    <w:p w14:paraId="02C764DF" w14:textId="77777777" w:rsidR="00FA5CB3" w:rsidRPr="00FA5CB3" w:rsidRDefault="00FA5CB3" w:rsidP="00FA5CB3">
      <w:pPr>
        <w:shd w:val="clear" w:color="auto" w:fill="FFFFFF" w:themeFill="background1"/>
        <w:spacing w:after="240" w:line="360" w:lineRule="auto"/>
        <w:jc w:val="both"/>
        <w:rPr>
          <w:rFonts w:asciiTheme="majorBidi" w:eastAsia="Times New Roman" w:hAnsiTheme="majorBidi" w:cstheme="majorBidi"/>
          <w:b/>
          <w:bCs/>
          <w:sz w:val="24"/>
          <w:szCs w:val="24"/>
          <w:lang w:val="fr-FR"/>
        </w:rPr>
      </w:pPr>
      <w:bookmarkStart w:id="1341" w:name="_Toc164337103"/>
      <w:bookmarkStart w:id="1342" w:name="_Toc175219979"/>
      <w:r w:rsidRPr="00FA5CB3">
        <w:rPr>
          <w:rFonts w:asciiTheme="majorBidi" w:eastAsia="Times New Roman" w:hAnsiTheme="majorBidi" w:cstheme="majorBidi"/>
          <w:b/>
          <w:bCs/>
          <w:sz w:val="24"/>
          <w:szCs w:val="24"/>
          <w:lang w:val="fr-FR"/>
        </w:rPr>
        <w:t xml:space="preserve">Table 4. </w:t>
      </w:r>
      <w:r w:rsidRPr="00FA5CB3">
        <w:rPr>
          <w:rFonts w:asciiTheme="majorBidi" w:eastAsia="Times New Roman" w:hAnsiTheme="majorBidi" w:cstheme="majorBidi"/>
          <w:b/>
          <w:bCs/>
          <w:sz w:val="24"/>
          <w:szCs w:val="24"/>
          <w:lang w:val="fr-FR"/>
        </w:rPr>
        <w:fldChar w:fldCharType="begin"/>
      </w:r>
      <w:r w:rsidRPr="00FA5CB3">
        <w:rPr>
          <w:rFonts w:asciiTheme="majorBidi" w:eastAsia="Times New Roman" w:hAnsiTheme="majorBidi" w:cstheme="majorBidi"/>
          <w:b/>
          <w:bCs/>
          <w:sz w:val="24"/>
          <w:szCs w:val="24"/>
          <w:lang w:val="fr-FR"/>
        </w:rPr>
        <w:instrText xml:space="preserve"> SEQ Table_4. \* ARABIC </w:instrText>
      </w:r>
      <w:r w:rsidRPr="00FA5CB3">
        <w:rPr>
          <w:rFonts w:asciiTheme="majorBidi" w:eastAsia="Times New Roman" w:hAnsiTheme="majorBidi" w:cstheme="majorBidi"/>
          <w:b/>
          <w:bCs/>
          <w:sz w:val="24"/>
          <w:szCs w:val="24"/>
          <w:lang w:val="fr-FR"/>
        </w:rPr>
        <w:fldChar w:fldCharType="separate"/>
      </w:r>
      <w:r w:rsidRPr="00FA5CB3">
        <w:rPr>
          <w:rFonts w:asciiTheme="majorBidi" w:eastAsia="Times New Roman" w:hAnsiTheme="majorBidi" w:cstheme="majorBidi"/>
          <w:b/>
          <w:bCs/>
          <w:sz w:val="24"/>
          <w:szCs w:val="24"/>
          <w:lang w:val="fr-FR"/>
        </w:rPr>
        <w:t>2</w:t>
      </w:r>
      <w:r w:rsidRPr="00FA5CB3">
        <w:rPr>
          <w:rFonts w:asciiTheme="majorBidi" w:eastAsia="Times New Roman" w:hAnsiTheme="majorBidi" w:cstheme="majorBidi"/>
          <w:sz w:val="24"/>
          <w:szCs w:val="24"/>
        </w:rPr>
        <w:fldChar w:fldCharType="end"/>
      </w:r>
      <w:r w:rsidRPr="00FA5CB3">
        <w:rPr>
          <w:rFonts w:asciiTheme="majorBidi" w:eastAsia="Times New Roman" w:hAnsiTheme="majorBidi" w:cstheme="majorBidi"/>
          <w:b/>
          <w:bCs/>
          <w:sz w:val="24"/>
          <w:szCs w:val="24"/>
          <w:lang w:val="fr-FR"/>
        </w:rPr>
        <w:t xml:space="preserve"> : Education </w:t>
      </w:r>
      <w:proofErr w:type="spellStart"/>
      <w:r w:rsidRPr="00FA5CB3">
        <w:rPr>
          <w:rFonts w:asciiTheme="majorBidi" w:eastAsia="Times New Roman" w:hAnsiTheme="majorBidi" w:cstheme="majorBidi"/>
          <w:b/>
          <w:bCs/>
          <w:sz w:val="24"/>
          <w:szCs w:val="24"/>
          <w:lang w:val="fr-FR"/>
        </w:rPr>
        <w:t>Attainment</w:t>
      </w:r>
      <w:bookmarkEnd w:id="1341"/>
      <w:bookmarkEnd w:id="1342"/>
      <w:proofErr w:type="spellEnd"/>
    </w:p>
    <w:tbl>
      <w:tblPr>
        <w:tblW w:w="5075" w:type="pct"/>
        <w:tblCellMar>
          <w:top w:w="24" w:type="dxa"/>
          <w:left w:w="0" w:type="dxa"/>
          <w:right w:w="115" w:type="dxa"/>
        </w:tblCellMar>
        <w:tblLook w:val="04A0" w:firstRow="1" w:lastRow="0" w:firstColumn="1" w:lastColumn="0" w:noHBand="0" w:noVBand="1"/>
      </w:tblPr>
      <w:tblGrid>
        <w:gridCol w:w="2336"/>
        <w:gridCol w:w="1093"/>
        <w:gridCol w:w="1093"/>
        <w:gridCol w:w="1095"/>
        <w:gridCol w:w="1264"/>
        <w:gridCol w:w="1384"/>
        <w:gridCol w:w="1013"/>
      </w:tblGrid>
      <w:tr w:rsidR="00FA5CB3" w:rsidRPr="00FA5CB3" w14:paraId="6FA6DCF3" w14:textId="77777777" w:rsidTr="003E0AB5">
        <w:trPr>
          <w:trHeight w:val="20"/>
        </w:trPr>
        <w:tc>
          <w:tcPr>
            <w:tcW w:w="1259" w:type="pct"/>
            <w:tcBorders>
              <w:top w:val="single" w:sz="18" w:space="0" w:color="000000"/>
              <w:left w:val="nil"/>
              <w:bottom w:val="nil"/>
              <w:right w:val="nil"/>
            </w:tcBorders>
            <w:hideMark/>
          </w:tcPr>
          <w:p w14:paraId="36757A5B" w14:textId="77777777" w:rsidR="00FA5CB3" w:rsidRPr="00FA5CB3" w:rsidRDefault="00FA5CB3" w:rsidP="00A10C7F">
            <w:pPr>
              <w:shd w:val="clear" w:color="auto" w:fill="FFFFFF" w:themeFill="background1"/>
              <w:spacing w:after="240" w:line="240" w:lineRule="auto"/>
              <w:jc w:val="both"/>
              <w:rPr>
                <w:rFonts w:asciiTheme="majorBidi" w:eastAsia="Times New Roman" w:hAnsiTheme="majorBidi" w:cstheme="majorBidi"/>
                <w:sz w:val="24"/>
                <w:szCs w:val="24"/>
              </w:rPr>
            </w:pPr>
            <w:r w:rsidRPr="00FA5CB3">
              <w:rPr>
                <w:rFonts w:asciiTheme="majorBidi" w:eastAsia="Times New Roman" w:hAnsiTheme="majorBidi" w:cstheme="majorBidi"/>
                <w:sz w:val="24"/>
                <w:szCs w:val="24"/>
              </w:rPr>
              <w:t xml:space="preserve"> </w:t>
            </w:r>
          </w:p>
        </w:tc>
        <w:tc>
          <w:tcPr>
            <w:tcW w:w="589" w:type="pct"/>
            <w:tcBorders>
              <w:top w:val="single" w:sz="18" w:space="0" w:color="000000"/>
              <w:left w:val="nil"/>
              <w:bottom w:val="nil"/>
              <w:right w:val="nil"/>
            </w:tcBorders>
          </w:tcPr>
          <w:p w14:paraId="53E3C981" w14:textId="018F420C" w:rsidR="00FA5CB3" w:rsidRPr="00FA5CB3" w:rsidRDefault="00F36F67" w:rsidP="00A10C7F">
            <w:pPr>
              <w:shd w:val="clear" w:color="auto" w:fill="FFFFFF" w:themeFill="background1"/>
              <w:spacing w:after="240" w:line="240" w:lineRule="auto"/>
              <w:jc w:val="both"/>
              <w:rPr>
                <w:rFonts w:asciiTheme="majorBidi" w:eastAsia="Times New Roman" w:hAnsiTheme="majorBidi" w:cstheme="majorBidi"/>
                <w:b/>
                <w:sz w:val="24"/>
                <w:szCs w:val="24"/>
              </w:rPr>
            </w:pPr>
            <w:r>
              <w:rPr>
                <w:rFonts w:asciiTheme="majorBidi" w:eastAsia="Times New Roman" w:hAnsiTheme="majorBidi" w:cstheme="majorBidi"/>
                <w:b/>
                <w:sz w:val="24"/>
                <w:szCs w:val="24"/>
              </w:rPr>
              <w:t xml:space="preserve">CRM&amp; LD </w:t>
            </w:r>
          </w:p>
        </w:tc>
        <w:tc>
          <w:tcPr>
            <w:tcW w:w="589" w:type="pct"/>
            <w:tcBorders>
              <w:top w:val="single" w:sz="18" w:space="0" w:color="000000"/>
              <w:left w:val="nil"/>
              <w:bottom w:val="nil"/>
              <w:right w:val="nil"/>
            </w:tcBorders>
          </w:tcPr>
          <w:p w14:paraId="64B63F8A" w14:textId="77777777" w:rsidR="00FA5CB3" w:rsidRPr="00FA5CB3" w:rsidRDefault="00FA5CB3" w:rsidP="00A10C7F">
            <w:pPr>
              <w:shd w:val="clear" w:color="auto" w:fill="FFFFFF" w:themeFill="background1"/>
              <w:spacing w:after="240" w:line="240" w:lineRule="auto"/>
              <w:jc w:val="both"/>
              <w:rPr>
                <w:rFonts w:asciiTheme="majorBidi" w:eastAsia="Times New Roman" w:hAnsiTheme="majorBidi" w:cstheme="majorBidi"/>
                <w:b/>
                <w:sz w:val="24"/>
                <w:szCs w:val="24"/>
              </w:rPr>
            </w:pPr>
          </w:p>
        </w:tc>
        <w:tc>
          <w:tcPr>
            <w:tcW w:w="590" w:type="pct"/>
            <w:tcBorders>
              <w:top w:val="single" w:sz="18" w:space="0" w:color="000000"/>
              <w:left w:val="nil"/>
              <w:bottom w:val="nil"/>
              <w:right w:val="nil"/>
            </w:tcBorders>
            <w:hideMark/>
          </w:tcPr>
          <w:p w14:paraId="3EB07DA1" w14:textId="2C283CAD" w:rsidR="00F36F67" w:rsidRPr="00FA5CB3" w:rsidRDefault="00F36F67" w:rsidP="00A10C7F">
            <w:pPr>
              <w:shd w:val="clear" w:color="auto" w:fill="FFFFFF" w:themeFill="background1"/>
              <w:spacing w:after="240" w:line="240" w:lineRule="auto"/>
              <w:jc w:val="both"/>
              <w:rPr>
                <w:rFonts w:asciiTheme="majorBidi" w:eastAsia="Times New Roman" w:hAnsiTheme="majorBidi" w:cstheme="majorBidi"/>
                <w:b/>
                <w:sz w:val="24"/>
                <w:szCs w:val="24"/>
              </w:rPr>
            </w:pPr>
            <w:r>
              <w:rPr>
                <w:rFonts w:asciiTheme="majorBidi" w:eastAsia="Times New Roman" w:hAnsiTheme="majorBidi" w:cstheme="majorBidi"/>
                <w:b/>
                <w:sz w:val="24"/>
                <w:szCs w:val="24"/>
              </w:rPr>
              <w:t>AD&amp;RD</w:t>
            </w:r>
          </w:p>
        </w:tc>
        <w:tc>
          <w:tcPr>
            <w:tcW w:w="681" w:type="pct"/>
            <w:tcBorders>
              <w:top w:val="single" w:sz="18" w:space="0" w:color="000000"/>
              <w:left w:val="nil"/>
              <w:bottom w:val="nil"/>
              <w:right w:val="nil"/>
            </w:tcBorders>
            <w:hideMark/>
          </w:tcPr>
          <w:p w14:paraId="13D063EE" w14:textId="77777777" w:rsidR="00FA5CB3" w:rsidRPr="00FA5CB3" w:rsidRDefault="00FA5CB3" w:rsidP="00A10C7F">
            <w:pPr>
              <w:shd w:val="clear" w:color="auto" w:fill="FFFFFF" w:themeFill="background1"/>
              <w:spacing w:after="240" w:line="240" w:lineRule="auto"/>
              <w:jc w:val="both"/>
              <w:rPr>
                <w:rFonts w:asciiTheme="majorBidi" w:eastAsia="Times New Roman" w:hAnsiTheme="majorBidi" w:cstheme="majorBidi"/>
                <w:b/>
                <w:sz w:val="24"/>
                <w:szCs w:val="24"/>
              </w:rPr>
            </w:pPr>
          </w:p>
        </w:tc>
        <w:tc>
          <w:tcPr>
            <w:tcW w:w="1292" w:type="pct"/>
            <w:gridSpan w:val="2"/>
            <w:tcBorders>
              <w:top w:val="single" w:sz="18" w:space="0" w:color="000000"/>
              <w:left w:val="nil"/>
              <w:bottom w:val="nil"/>
              <w:right w:val="nil"/>
            </w:tcBorders>
            <w:hideMark/>
          </w:tcPr>
          <w:p w14:paraId="3C965E27" w14:textId="0C1FE5B6" w:rsidR="00FA5CB3" w:rsidRPr="00FA5CB3" w:rsidRDefault="00F36F67" w:rsidP="00A10C7F">
            <w:pPr>
              <w:shd w:val="clear" w:color="auto" w:fill="FFFFFF" w:themeFill="background1"/>
              <w:spacing w:after="240" w:line="240" w:lineRule="auto"/>
              <w:jc w:val="both"/>
              <w:rPr>
                <w:rFonts w:asciiTheme="majorBidi" w:eastAsia="Times New Roman" w:hAnsiTheme="majorBidi" w:cstheme="majorBidi"/>
                <w:b/>
                <w:sz w:val="24"/>
                <w:szCs w:val="24"/>
              </w:rPr>
            </w:pPr>
            <w:r>
              <w:rPr>
                <w:rFonts w:asciiTheme="majorBidi" w:eastAsia="Times New Roman" w:hAnsiTheme="majorBidi" w:cstheme="majorBidi"/>
                <w:b/>
                <w:sz w:val="24"/>
                <w:szCs w:val="24"/>
              </w:rPr>
              <w:t>FD&amp;SPD</w:t>
            </w:r>
          </w:p>
        </w:tc>
      </w:tr>
      <w:tr w:rsidR="00FA5CB3" w:rsidRPr="00FA5CB3" w14:paraId="5345CF3F" w14:textId="77777777" w:rsidTr="003E0AB5">
        <w:trPr>
          <w:trHeight w:val="20"/>
        </w:trPr>
        <w:tc>
          <w:tcPr>
            <w:tcW w:w="1259" w:type="pct"/>
            <w:tcBorders>
              <w:top w:val="nil"/>
              <w:left w:val="nil"/>
              <w:bottom w:val="single" w:sz="18" w:space="0" w:color="000000"/>
              <w:right w:val="nil"/>
            </w:tcBorders>
            <w:hideMark/>
          </w:tcPr>
          <w:p w14:paraId="6F774DDC" w14:textId="77777777" w:rsidR="00FA5CB3" w:rsidRPr="00FA5CB3" w:rsidRDefault="00FA5CB3" w:rsidP="00A10C7F">
            <w:pPr>
              <w:shd w:val="clear" w:color="auto" w:fill="FFFFFF" w:themeFill="background1"/>
              <w:spacing w:after="240" w:line="240" w:lineRule="auto"/>
              <w:jc w:val="both"/>
              <w:rPr>
                <w:rFonts w:asciiTheme="majorBidi" w:eastAsia="Times New Roman" w:hAnsiTheme="majorBidi" w:cstheme="majorBidi"/>
                <w:sz w:val="24"/>
                <w:szCs w:val="24"/>
              </w:rPr>
            </w:pPr>
            <w:r w:rsidRPr="00FA5CB3">
              <w:rPr>
                <w:rFonts w:asciiTheme="majorBidi" w:eastAsia="Times New Roman" w:hAnsiTheme="majorBidi" w:cstheme="majorBidi"/>
                <w:sz w:val="24"/>
                <w:szCs w:val="24"/>
              </w:rPr>
              <w:t xml:space="preserve"> </w:t>
            </w:r>
          </w:p>
        </w:tc>
        <w:tc>
          <w:tcPr>
            <w:tcW w:w="589" w:type="pct"/>
            <w:tcBorders>
              <w:top w:val="nil"/>
              <w:left w:val="nil"/>
              <w:bottom w:val="single" w:sz="18" w:space="0" w:color="000000"/>
              <w:right w:val="nil"/>
            </w:tcBorders>
          </w:tcPr>
          <w:p w14:paraId="4EF2ED3A" w14:textId="77777777" w:rsidR="00FA5CB3" w:rsidRPr="00FA5CB3" w:rsidRDefault="00FA5CB3" w:rsidP="00A10C7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589" w:type="pct"/>
            <w:tcBorders>
              <w:top w:val="nil"/>
              <w:left w:val="nil"/>
              <w:bottom w:val="single" w:sz="18" w:space="0" w:color="000000"/>
              <w:right w:val="nil"/>
            </w:tcBorders>
          </w:tcPr>
          <w:p w14:paraId="5883B118" w14:textId="77777777" w:rsidR="00FA5CB3" w:rsidRPr="00FA5CB3" w:rsidRDefault="00FA5CB3" w:rsidP="00A10C7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590" w:type="pct"/>
            <w:tcBorders>
              <w:top w:val="nil"/>
              <w:left w:val="nil"/>
              <w:bottom w:val="single" w:sz="18" w:space="0" w:color="000000"/>
              <w:right w:val="nil"/>
            </w:tcBorders>
            <w:hideMark/>
          </w:tcPr>
          <w:p w14:paraId="4F2DDC8E" w14:textId="77777777" w:rsidR="00FA5CB3" w:rsidRPr="00FA5CB3" w:rsidRDefault="00FA5CB3" w:rsidP="00A10C7F">
            <w:pPr>
              <w:shd w:val="clear" w:color="auto" w:fill="FFFFFF" w:themeFill="background1"/>
              <w:spacing w:after="240" w:line="240" w:lineRule="auto"/>
              <w:jc w:val="both"/>
              <w:rPr>
                <w:rFonts w:asciiTheme="majorBidi" w:eastAsia="Times New Roman" w:hAnsiTheme="majorBidi" w:cstheme="majorBidi"/>
                <w:sz w:val="24"/>
                <w:szCs w:val="24"/>
              </w:rPr>
            </w:pPr>
            <w:r w:rsidRPr="00FA5CB3">
              <w:rPr>
                <w:rFonts w:asciiTheme="majorBidi" w:eastAsia="Times New Roman" w:hAnsiTheme="majorBidi" w:cstheme="majorBidi"/>
                <w:b/>
                <w:sz w:val="24"/>
                <w:szCs w:val="24"/>
              </w:rPr>
              <w:t>N</w:t>
            </w:r>
          </w:p>
        </w:tc>
        <w:tc>
          <w:tcPr>
            <w:tcW w:w="681" w:type="pct"/>
            <w:tcBorders>
              <w:top w:val="nil"/>
              <w:left w:val="nil"/>
              <w:bottom w:val="single" w:sz="18" w:space="0" w:color="000000"/>
              <w:right w:val="nil"/>
            </w:tcBorders>
            <w:hideMark/>
          </w:tcPr>
          <w:p w14:paraId="2D731093" w14:textId="77777777" w:rsidR="00FA5CB3" w:rsidRPr="00FA5CB3" w:rsidRDefault="00FA5CB3" w:rsidP="00A10C7F">
            <w:pPr>
              <w:shd w:val="clear" w:color="auto" w:fill="FFFFFF" w:themeFill="background1"/>
              <w:spacing w:after="240" w:line="240" w:lineRule="auto"/>
              <w:jc w:val="both"/>
              <w:rPr>
                <w:rFonts w:asciiTheme="majorBidi" w:eastAsia="Times New Roman" w:hAnsiTheme="majorBidi" w:cstheme="majorBidi"/>
                <w:sz w:val="24"/>
                <w:szCs w:val="24"/>
              </w:rPr>
            </w:pPr>
            <w:r w:rsidRPr="00FA5CB3">
              <w:rPr>
                <w:rFonts w:asciiTheme="majorBidi" w:eastAsia="Times New Roman" w:hAnsiTheme="majorBidi" w:cstheme="majorBidi"/>
                <w:b/>
                <w:sz w:val="24"/>
                <w:szCs w:val="24"/>
              </w:rPr>
              <w:t>%</w:t>
            </w:r>
          </w:p>
        </w:tc>
        <w:tc>
          <w:tcPr>
            <w:tcW w:w="746" w:type="pct"/>
            <w:tcBorders>
              <w:top w:val="nil"/>
              <w:left w:val="nil"/>
              <w:bottom w:val="single" w:sz="18" w:space="0" w:color="000000"/>
              <w:right w:val="nil"/>
            </w:tcBorders>
            <w:hideMark/>
          </w:tcPr>
          <w:p w14:paraId="324F9AD7" w14:textId="77777777" w:rsidR="00FA5CB3" w:rsidRPr="00FA5CB3" w:rsidRDefault="00FA5CB3" w:rsidP="00A10C7F">
            <w:pPr>
              <w:shd w:val="clear" w:color="auto" w:fill="FFFFFF" w:themeFill="background1"/>
              <w:spacing w:after="240" w:line="240" w:lineRule="auto"/>
              <w:jc w:val="both"/>
              <w:rPr>
                <w:rFonts w:asciiTheme="majorBidi" w:eastAsia="Times New Roman" w:hAnsiTheme="majorBidi" w:cstheme="majorBidi"/>
                <w:sz w:val="24"/>
                <w:szCs w:val="24"/>
              </w:rPr>
            </w:pPr>
            <w:r w:rsidRPr="00FA5CB3">
              <w:rPr>
                <w:rFonts w:asciiTheme="majorBidi" w:eastAsia="Times New Roman" w:hAnsiTheme="majorBidi" w:cstheme="majorBidi"/>
                <w:b/>
                <w:sz w:val="24"/>
                <w:szCs w:val="24"/>
              </w:rPr>
              <w:t>N</w:t>
            </w:r>
          </w:p>
        </w:tc>
        <w:tc>
          <w:tcPr>
            <w:tcW w:w="546" w:type="pct"/>
            <w:tcBorders>
              <w:top w:val="nil"/>
              <w:left w:val="nil"/>
              <w:bottom w:val="single" w:sz="18" w:space="0" w:color="000000"/>
              <w:right w:val="nil"/>
            </w:tcBorders>
            <w:hideMark/>
          </w:tcPr>
          <w:p w14:paraId="32F3EFDD" w14:textId="77777777" w:rsidR="00FA5CB3" w:rsidRPr="00FA5CB3" w:rsidRDefault="00FA5CB3" w:rsidP="00A10C7F">
            <w:pPr>
              <w:shd w:val="clear" w:color="auto" w:fill="FFFFFF" w:themeFill="background1"/>
              <w:spacing w:after="240" w:line="240" w:lineRule="auto"/>
              <w:jc w:val="both"/>
              <w:rPr>
                <w:rFonts w:asciiTheme="majorBidi" w:eastAsia="Times New Roman" w:hAnsiTheme="majorBidi" w:cstheme="majorBidi"/>
                <w:sz w:val="24"/>
                <w:szCs w:val="24"/>
              </w:rPr>
            </w:pPr>
            <w:r w:rsidRPr="00FA5CB3">
              <w:rPr>
                <w:rFonts w:asciiTheme="majorBidi" w:eastAsia="Times New Roman" w:hAnsiTheme="majorBidi" w:cstheme="majorBidi"/>
                <w:b/>
                <w:sz w:val="24"/>
                <w:szCs w:val="24"/>
              </w:rPr>
              <w:t>%</w:t>
            </w:r>
          </w:p>
        </w:tc>
      </w:tr>
      <w:tr w:rsidR="00FA5CB3" w:rsidRPr="00FA5CB3" w14:paraId="0C0D5E55" w14:textId="77777777" w:rsidTr="003E0AB5">
        <w:trPr>
          <w:trHeight w:val="20"/>
        </w:trPr>
        <w:tc>
          <w:tcPr>
            <w:tcW w:w="1259" w:type="pct"/>
            <w:vAlign w:val="center"/>
          </w:tcPr>
          <w:p w14:paraId="2E695152" w14:textId="77777777" w:rsidR="00FA5CB3" w:rsidRPr="00FA5CB3" w:rsidRDefault="00FA5CB3" w:rsidP="00A10C7F">
            <w:pPr>
              <w:shd w:val="clear" w:color="auto" w:fill="FFFFFF" w:themeFill="background1"/>
              <w:spacing w:after="240" w:line="240" w:lineRule="auto"/>
              <w:jc w:val="both"/>
              <w:rPr>
                <w:rFonts w:asciiTheme="majorBidi" w:eastAsia="Times New Roman" w:hAnsiTheme="majorBidi" w:cstheme="majorBidi"/>
                <w:sz w:val="24"/>
                <w:szCs w:val="24"/>
              </w:rPr>
            </w:pPr>
            <w:r w:rsidRPr="00FA5CB3">
              <w:rPr>
                <w:rFonts w:asciiTheme="majorBidi" w:eastAsia="Times New Roman" w:hAnsiTheme="majorBidi" w:cstheme="majorBidi"/>
                <w:sz w:val="24"/>
                <w:szCs w:val="24"/>
              </w:rPr>
              <w:t xml:space="preserve">Bachelors </w:t>
            </w:r>
          </w:p>
        </w:tc>
        <w:tc>
          <w:tcPr>
            <w:tcW w:w="589" w:type="pct"/>
            <w:vAlign w:val="center"/>
          </w:tcPr>
          <w:p w14:paraId="19618431" w14:textId="6AB6C4CE" w:rsidR="00FA5CB3" w:rsidRPr="00FA5CB3" w:rsidRDefault="000B6828" w:rsidP="00A10C7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21</w:t>
            </w:r>
          </w:p>
        </w:tc>
        <w:tc>
          <w:tcPr>
            <w:tcW w:w="589" w:type="pct"/>
            <w:vAlign w:val="center"/>
          </w:tcPr>
          <w:p w14:paraId="4D1917A1" w14:textId="58FFE2C3" w:rsidR="00FA5CB3" w:rsidRPr="00FA5CB3" w:rsidRDefault="000B6828" w:rsidP="00A10C7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91.30</w:t>
            </w:r>
          </w:p>
        </w:tc>
        <w:tc>
          <w:tcPr>
            <w:tcW w:w="590" w:type="pct"/>
            <w:vAlign w:val="center"/>
          </w:tcPr>
          <w:p w14:paraId="56AC4E6F" w14:textId="35A263A2" w:rsidR="00FA5CB3" w:rsidRPr="00FA5CB3" w:rsidRDefault="000B6828" w:rsidP="00A10C7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19</w:t>
            </w:r>
          </w:p>
        </w:tc>
        <w:tc>
          <w:tcPr>
            <w:tcW w:w="681" w:type="pct"/>
            <w:vAlign w:val="center"/>
          </w:tcPr>
          <w:p w14:paraId="2B49D516" w14:textId="64038660" w:rsidR="00FA5CB3" w:rsidRPr="00FA5CB3" w:rsidRDefault="000B6828" w:rsidP="00A10C7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95</w:t>
            </w:r>
          </w:p>
        </w:tc>
        <w:tc>
          <w:tcPr>
            <w:tcW w:w="746" w:type="pct"/>
            <w:vAlign w:val="center"/>
          </w:tcPr>
          <w:p w14:paraId="4A8081E3" w14:textId="28DFFBFA" w:rsidR="00FA5CB3" w:rsidRPr="00FA5CB3" w:rsidRDefault="000B6828" w:rsidP="00A10C7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10</w:t>
            </w:r>
          </w:p>
        </w:tc>
        <w:tc>
          <w:tcPr>
            <w:tcW w:w="546" w:type="pct"/>
            <w:vAlign w:val="center"/>
          </w:tcPr>
          <w:p w14:paraId="3F03B396" w14:textId="1CA0393D" w:rsidR="00FA5CB3" w:rsidRPr="00FA5CB3" w:rsidRDefault="000B6828" w:rsidP="00A10C7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76.92</w:t>
            </w:r>
          </w:p>
        </w:tc>
      </w:tr>
      <w:tr w:rsidR="00FA5CB3" w:rsidRPr="00FA5CB3" w14:paraId="583E8197" w14:textId="77777777" w:rsidTr="003E0AB5">
        <w:trPr>
          <w:trHeight w:val="20"/>
        </w:trPr>
        <w:tc>
          <w:tcPr>
            <w:tcW w:w="1259" w:type="pct"/>
            <w:vAlign w:val="center"/>
            <w:hideMark/>
          </w:tcPr>
          <w:p w14:paraId="77E89860" w14:textId="77777777" w:rsidR="00FA5CB3" w:rsidRPr="00FA5CB3" w:rsidRDefault="00FA5CB3" w:rsidP="00A10C7F">
            <w:pPr>
              <w:shd w:val="clear" w:color="auto" w:fill="FFFFFF" w:themeFill="background1"/>
              <w:spacing w:after="240" w:line="240" w:lineRule="auto"/>
              <w:jc w:val="both"/>
              <w:rPr>
                <w:rFonts w:asciiTheme="majorBidi" w:eastAsia="Times New Roman" w:hAnsiTheme="majorBidi" w:cstheme="majorBidi"/>
                <w:sz w:val="24"/>
                <w:szCs w:val="24"/>
              </w:rPr>
            </w:pPr>
            <w:r w:rsidRPr="00FA5CB3">
              <w:rPr>
                <w:rFonts w:asciiTheme="majorBidi" w:eastAsia="Times New Roman" w:hAnsiTheme="majorBidi" w:cstheme="majorBidi"/>
                <w:sz w:val="24"/>
                <w:szCs w:val="24"/>
              </w:rPr>
              <w:t xml:space="preserve">Masters </w:t>
            </w:r>
          </w:p>
        </w:tc>
        <w:tc>
          <w:tcPr>
            <w:tcW w:w="589" w:type="pct"/>
            <w:vAlign w:val="center"/>
          </w:tcPr>
          <w:p w14:paraId="312A8F3D" w14:textId="1AE70214" w:rsidR="00FA5CB3" w:rsidRPr="00FA5CB3" w:rsidRDefault="000B6828" w:rsidP="00A10C7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589" w:type="pct"/>
            <w:vAlign w:val="center"/>
          </w:tcPr>
          <w:p w14:paraId="48C5F472" w14:textId="5F1A1B8C" w:rsidR="00FA5CB3" w:rsidRPr="00FA5CB3" w:rsidRDefault="000B6828" w:rsidP="00A10C7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8.7</w:t>
            </w:r>
          </w:p>
        </w:tc>
        <w:tc>
          <w:tcPr>
            <w:tcW w:w="590" w:type="pct"/>
            <w:vAlign w:val="center"/>
            <w:hideMark/>
          </w:tcPr>
          <w:p w14:paraId="6D3F98B8" w14:textId="6C729C4B" w:rsidR="00FA5CB3" w:rsidRPr="00FA5CB3" w:rsidRDefault="000B6828" w:rsidP="00A10C7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681" w:type="pct"/>
            <w:vAlign w:val="center"/>
            <w:hideMark/>
          </w:tcPr>
          <w:p w14:paraId="3BD2CCD8" w14:textId="509B500A" w:rsidR="00FA5CB3" w:rsidRPr="00FA5CB3" w:rsidRDefault="000B6828" w:rsidP="00A10C7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746" w:type="pct"/>
            <w:vAlign w:val="center"/>
            <w:hideMark/>
          </w:tcPr>
          <w:p w14:paraId="21095A01" w14:textId="3861CF85" w:rsidR="00FA5CB3" w:rsidRPr="00FA5CB3" w:rsidRDefault="000B6828" w:rsidP="00A10C7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546" w:type="pct"/>
            <w:vAlign w:val="center"/>
            <w:hideMark/>
          </w:tcPr>
          <w:p w14:paraId="7ECEA28A" w14:textId="621B9CC1" w:rsidR="00FA5CB3" w:rsidRPr="00FA5CB3" w:rsidRDefault="000B6828" w:rsidP="00A10C7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23.08</w:t>
            </w:r>
          </w:p>
        </w:tc>
      </w:tr>
      <w:tr w:rsidR="00FA5CB3" w:rsidRPr="00FA5CB3" w14:paraId="12B0E69F" w14:textId="77777777" w:rsidTr="003E0AB5">
        <w:trPr>
          <w:trHeight w:val="20"/>
        </w:trPr>
        <w:tc>
          <w:tcPr>
            <w:tcW w:w="1259" w:type="pct"/>
            <w:tcBorders>
              <w:top w:val="single" w:sz="4" w:space="0" w:color="auto"/>
              <w:left w:val="nil"/>
              <w:bottom w:val="single" w:sz="18" w:space="0" w:color="000000"/>
              <w:right w:val="nil"/>
            </w:tcBorders>
            <w:hideMark/>
          </w:tcPr>
          <w:p w14:paraId="6D493CA8" w14:textId="77777777" w:rsidR="00FA5CB3" w:rsidRPr="00FA5CB3" w:rsidRDefault="00FA5CB3" w:rsidP="00A10C7F">
            <w:pPr>
              <w:shd w:val="clear" w:color="auto" w:fill="FFFFFF" w:themeFill="background1"/>
              <w:spacing w:after="240" w:line="240" w:lineRule="auto"/>
              <w:jc w:val="both"/>
              <w:rPr>
                <w:rFonts w:asciiTheme="majorBidi" w:eastAsia="Times New Roman" w:hAnsiTheme="majorBidi" w:cstheme="majorBidi"/>
                <w:sz w:val="24"/>
                <w:szCs w:val="24"/>
              </w:rPr>
            </w:pPr>
            <w:r w:rsidRPr="00FA5CB3">
              <w:rPr>
                <w:rFonts w:asciiTheme="majorBidi" w:eastAsia="Times New Roman" w:hAnsiTheme="majorBidi" w:cstheme="majorBidi"/>
                <w:b/>
                <w:sz w:val="24"/>
                <w:szCs w:val="24"/>
              </w:rPr>
              <w:t xml:space="preserve">Total  </w:t>
            </w:r>
          </w:p>
        </w:tc>
        <w:tc>
          <w:tcPr>
            <w:tcW w:w="589" w:type="pct"/>
            <w:tcBorders>
              <w:top w:val="single" w:sz="4" w:space="0" w:color="auto"/>
              <w:left w:val="nil"/>
              <w:bottom w:val="single" w:sz="18" w:space="0" w:color="000000"/>
              <w:right w:val="nil"/>
            </w:tcBorders>
          </w:tcPr>
          <w:p w14:paraId="2DA8FA0F" w14:textId="7AA60A36" w:rsidR="00FA5CB3" w:rsidRPr="00FA5CB3" w:rsidRDefault="000B6828" w:rsidP="00A10C7F">
            <w:pPr>
              <w:shd w:val="clear" w:color="auto" w:fill="FFFFFF" w:themeFill="background1"/>
              <w:spacing w:after="240" w:line="240" w:lineRule="auto"/>
              <w:jc w:val="both"/>
              <w:rPr>
                <w:rFonts w:asciiTheme="majorBidi" w:eastAsia="Times New Roman" w:hAnsiTheme="majorBidi" w:cstheme="majorBidi"/>
                <w:b/>
                <w:sz w:val="24"/>
                <w:szCs w:val="24"/>
              </w:rPr>
            </w:pPr>
            <w:r>
              <w:rPr>
                <w:rFonts w:asciiTheme="majorBidi" w:eastAsia="Times New Roman" w:hAnsiTheme="majorBidi" w:cstheme="majorBidi"/>
                <w:b/>
                <w:sz w:val="24"/>
                <w:szCs w:val="24"/>
              </w:rPr>
              <w:t>23</w:t>
            </w:r>
          </w:p>
        </w:tc>
        <w:tc>
          <w:tcPr>
            <w:tcW w:w="589" w:type="pct"/>
            <w:tcBorders>
              <w:top w:val="single" w:sz="4" w:space="0" w:color="auto"/>
              <w:left w:val="nil"/>
              <w:bottom w:val="single" w:sz="18" w:space="0" w:color="000000"/>
              <w:right w:val="nil"/>
            </w:tcBorders>
          </w:tcPr>
          <w:p w14:paraId="468DE332" w14:textId="77777777" w:rsidR="00FA5CB3" w:rsidRPr="00FA5CB3" w:rsidRDefault="00FA5CB3" w:rsidP="00A10C7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100</w:t>
            </w:r>
          </w:p>
        </w:tc>
        <w:tc>
          <w:tcPr>
            <w:tcW w:w="590" w:type="pct"/>
            <w:tcBorders>
              <w:top w:val="single" w:sz="4" w:space="0" w:color="auto"/>
              <w:left w:val="nil"/>
              <w:bottom w:val="single" w:sz="18" w:space="0" w:color="000000"/>
              <w:right w:val="nil"/>
            </w:tcBorders>
            <w:hideMark/>
          </w:tcPr>
          <w:p w14:paraId="4C51D585" w14:textId="3C086290" w:rsidR="00FA5CB3" w:rsidRPr="00FA5CB3" w:rsidRDefault="000B6828" w:rsidP="00A10C7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b/>
                <w:sz w:val="24"/>
                <w:szCs w:val="24"/>
              </w:rPr>
              <w:t>20</w:t>
            </w:r>
          </w:p>
        </w:tc>
        <w:tc>
          <w:tcPr>
            <w:tcW w:w="681" w:type="pct"/>
            <w:tcBorders>
              <w:top w:val="single" w:sz="4" w:space="0" w:color="auto"/>
              <w:left w:val="nil"/>
              <w:bottom w:val="single" w:sz="18" w:space="0" w:color="000000"/>
              <w:right w:val="nil"/>
            </w:tcBorders>
            <w:hideMark/>
          </w:tcPr>
          <w:p w14:paraId="7A793FC8" w14:textId="77777777" w:rsidR="00FA5CB3" w:rsidRPr="00FA5CB3" w:rsidRDefault="00FA5CB3" w:rsidP="00A10C7F">
            <w:pPr>
              <w:shd w:val="clear" w:color="auto" w:fill="FFFFFF" w:themeFill="background1"/>
              <w:spacing w:after="240" w:line="240" w:lineRule="auto"/>
              <w:jc w:val="both"/>
              <w:rPr>
                <w:rFonts w:asciiTheme="majorBidi" w:eastAsia="Times New Roman" w:hAnsiTheme="majorBidi" w:cstheme="majorBidi"/>
                <w:sz w:val="24"/>
                <w:szCs w:val="24"/>
              </w:rPr>
            </w:pPr>
            <w:r w:rsidRPr="00FA5CB3">
              <w:rPr>
                <w:rFonts w:asciiTheme="majorBidi" w:eastAsia="Times New Roman" w:hAnsiTheme="majorBidi" w:cstheme="majorBidi"/>
                <w:b/>
                <w:sz w:val="24"/>
                <w:szCs w:val="24"/>
              </w:rPr>
              <w:t>100</w:t>
            </w:r>
          </w:p>
        </w:tc>
        <w:tc>
          <w:tcPr>
            <w:tcW w:w="746" w:type="pct"/>
            <w:tcBorders>
              <w:top w:val="single" w:sz="4" w:space="0" w:color="auto"/>
              <w:left w:val="nil"/>
              <w:bottom w:val="single" w:sz="18" w:space="0" w:color="000000"/>
              <w:right w:val="nil"/>
            </w:tcBorders>
            <w:hideMark/>
          </w:tcPr>
          <w:p w14:paraId="1890CE26" w14:textId="27880308" w:rsidR="00FA5CB3" w:rsidRPr="00FA5CB3" w:rsidRDefault="000B6828" w:rsidP="00A10C7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b/>
                <w:sz w:val="24"/>
                <w:szCs w:val="24"/>
              </w:rPr>
              <w:t>13</w:t>
            </w:r>
          </w:p>
        </w:tc>
        <w:tc>
          <w:tcPr>
            <w:tcW w:w="546" w:type="pct"/>
            <w:tcBorders>
              <w:top w:val="single" w:sz="4" w:space="0" w:color="auto"/>
              <w:left w:val="nil"/>
              <w:bottom w:val="single" w:sz="18" w:space="0" w:color="000000"/>
              <w:right w:val="nil"/>
            </w:tcBorders>
            <w:hideMark/>
          </w:tcPr>
          <w:p w14:paraId="06415044" w14:textId="77777777" w:rsidR="00FA5CB3" w:rsidRPr="00FA5CB3" w:rsidRDefault="00FA5CB3" w:rsidP="00A10C7F">
            <w:pPr>
              <w:shd w:val="clear" w:color="auto" w:fill="FFFFFF" w:themeFill="background1"/>
              <w:spacing w:after="240" w:line="240" w:lineRule="auto"/>
              <w:jc w:val="both"/>
              <w:rPr>
                <w:rFonts w:asciiTheme="majorBidi" w:eastAsia="Times New Roman" w:hAnsiTheme="majorBidi" w:cstheme="majorBidi"/>
                <w:sz w:val="24"/>
                <w:szCs w:val="24"/>
              </w:rPr>
            </w:pPr>
            <w:r w:rsidRPr="00FA5CB3">
              <w:rPr>
                <w:rFonts w:asciiTheme="majorBidi" w:eastAsia="Times New Roman" w:hAnsiTheme="majorBidi" w:cstheme="majorBidi"/>
                <w:b/>
                <w:sz w:val="24"/>
                <w:szCs w:val="24"/>
              </w:rPr>
              <w:t>100.0</w:t>
            </w:r>
          </w:p>
        </w:tc>
      </w:tr>
    </w:tbl>
    <w:p w14:paraId="278C11CB" w14:textId="79C9CB5C" w:rsidR="00FA5CB3" w:rsidRDefault="00114D51" w:rsidP="00FA5CB3">
      <w:pPr>
        <w:shd w:val="clear" w:color="auto" w:fill="FFFFFF" w:themeFill="background1"/>
        <w:spacing w:after="240" w:line="360" w:lineRule="auto"/>
        <w:jc w:val="both"/>
        <w:rPr>
          <w:rFonts w:asciiTheme="majorBidi" w:eastAsia="Times New Roman" w:hAnsiTheme="majorBidi" w:cstheme="majorBidi"/>
          <w:b/>
          <w:sz w:val="24"/>
          <w:szCs w:val="24"/>
        </w:rPr>
      </w:pPr>
      <w:r>
        <w:rPr>
          <w:rFonts w:asciiTheme="majorBidi" w:eastAsia="Times New Roman" w:hAnsiTheme="majorBidi" w:cstheme="majorBidi"/>
          <w:b/>
          <w:sz w:val="24"/>
          <w:szCs w:val="24"/>
        </w:rPr>
        <w:t>Source: Primary Data (2025</w:t>
      </w:r>
      <w:r w:rsidR="00FA5CB3" w:rsidRPr="00FA5CB3">
        <w:rPr>
          <w:rFonts w:asciiTheme="majorBidi" w:eastAsia="Times New Roman" w:hAnsiTheme="majorBidi" w:cstheme="majorBidi"/>
          <w:b/>
          <w:sz w:val="24"/>
          <w:szCs w:val="24"/>
        </w:rPr>
        <w:t xml:space="preserve">)  </w:t>
      </w:r>
    </w:p>
    <w:p w14:paraId="58BCBD59" w14:textId="6D2237F8" w:rsidR="006B34CB" w:rsidRPr="006B34CB" w:rsidRDefault="006B34CB" w:rsidP="006B34CB">
      <w:pPr>
        <w:shd w:val="clear" w:color="auto" w:fill="FFFFFF" w:themeFill="background1"/>
        <w:spacing w:after="240" w:line="360" w:lineRule="auto"/>
        <w:jc w:val="both"/>
        <w:rPr>
          <w:rFonts w:asciiTheme="majorBidi" w:eastAsia="Times New Roman" w:hAnsiTheme="majorBidi" w:cstheme="majorBidi"/>
          <w:sz w:val="24"/>
          <w:szCs w:val="24"/>
          <w:lang w:val="en-GB"/>
        </w:rPr>
      </w:pPr>
      <w:r w:rsidRPr="006B34CB">
        <w:rPr>
          <w:rFonts w:asciiTheme="majorBidi" w:eastAsia="Times New Roman" w:hAnsiTheme="majorBidi" w:cstheme="majorBidi"/>
          <w:sz w:val="24"/>
          <w:szCs w:val="24"/>
          <w:lang w:val="en-GB"/>
        </w:rPr>
        <w:t xml:space="preserve">Table 4.2 presents the educational attainment levels across various departments at GT Bank Plc Headquarters, revealing notable variations that may influence the bank's performance.​ </w:t>
      </w:r>
      <w:r w:rsidRPr="006B34CB">
        <w:rPr>
          <w:rFonts w:asciiTheme="majorBidi" w:eastAsia="Times New Roman" w:hAnsiTheme="majorBidi" w:cstheme="majorBidi"/>
          <w:bCs/>
          <w:sz w:val="24"/>
          <w:szCs w:val="24"/>
          <w:lang w:val="en-GB"/>
        </w:rPr>
        <w:t>Credit and Risk Management (CRM) &amp; Loan Department (LD):</w:t>
      </w:r>
      <w:r w:rsidRPr="006B34CB">
        <w:rPr>
          <w:rFonts w:asciiTheme="majorBidi" w:eastAsia="Times New Roman" w:hAnsiTheme="majorBidi" w:cstheme="majorBidi"/>
          <w:sz w:val="24"/>
          <w:szCs w:val="24"/>
          <w:lang w:val="en-GB"/>
        </w:rPr>
        <w:t xml:space="preserve"> Out of 23 employees, 21 (91.30%) hold bachelor's degrees, and 2 (8.70%) have master's degrees. </w:t>
      </w:r>
      <w:r w:rsidRPr="006B34CB">
        <w:rPr>
          <w:rFonts w:asciiTheme="majorBidi" w:eastAsia="Times New Roman" w:hAnsiTheme="majorBidi" w:cstheme="majorBidi"/>
          <w:bCs/>
          <w:sz w:val="24"/>
          <w:szCs w:val="24"/>
          <w:lang w:val="en-GB"/>
        </w:rPr>
        <w:t>Accounting Department (AD) &amp; Recovery Department (RD):</w:t>
      </w:r>
      <w:r w:rsidRPr="006B34CB">
        <w:rPr>
          <w:rFonts w:asciiTheme="majorBidi" w:eastAsia="Times New Roman" w:hAnsiTheme="majorBidi" w:cstheme="majorBidi"/>
          <w:sz w:val="24"/>
          <w:szCs w:val="24"/>
          <w:lang w:val="en-GB"/>
        </w:rPr>
        <w:t xml:space="preserve"> Among 20 employees, 19 (95%) possess bachelor's degrees, while 1 (5%) has a master's degree., and </w:t>
      </w:r>
      <w:r w:rsidRPr="006B34CB">
        <w:rPr>
          <w:rFonts w:asciiTheme="majorBidi" w:eastAsia="Times New Roman" w:hAnsiTheme="majorBidi" w:cstheme="majorBidi"/>
          <w:bCs/>
          <w:sz w:val="24"/>
          <w:szCs w:val="24"/>
          <w:lang w:val="en-GB"/>
        </w:rPr>
        <w:t>Finance Department (FD) &amp; Strategic and Planning Department (SPD):</w:t>
      </w:r>
      <w:r w:rsidRPr="006B34CB">
        <w:rPr>
          <w:rFonts w:asciiTheme="majorBidi" w:eastAsia="Times New Roman" w:hAnsiTheme="majorBidi" w:cstheme="majorBidi"/>
          <w:sz w:val="24"/>
          <w:szCs w:val="24"/>
          <w:lang w:val="en-GB"/>
        </w:rPr>
        <w:t xml:space="preserve"> Of 13 employees, 10 (76.92%) have bachelor's degrees, and 3 (23.08%) hold master's degrees.​ This distribution indicates that the CRM &amp; LD and AD &amp; RD departments have a higher proportion of bachelor's degree holders compared to the FD &amp; SPD department, which has a greater representation of master's degree holders. Such variations suggest that departments with more employees holding bachelor's degrees may place a stronger emphasis on practical skills, potentially enhancing operational efficiency. In contrast, departments with a higher proportion of master's degree holders might focus more on strategic planning and complex financial analyses, which could influence the bank'</w:t>
      </w:r>
      <w:r w:rsidR="00A10C7F">
        <w:rPr>
          <w:rFonts w:asciiTheme="majorBidi" w:eastAsia="Times New Roman" w:hAnsiTheme="majorBidi" w:cstheme="majorBidi"/>
          <w:sz w:val="24"/>
          <w:szCs w:val="24"/>
          <w:lang w:val="en-GB"/>
        </w:rPr>
        <w:t>s overall financial performance</w:t>
      </w:r>
      <w:r w:rsidRPr="006B34CB">
        <w:rPr>
          <w:rFonts w:asciiTheme="majorBidi" w:eastAsia="Times New Roman" w:hAnsiTheme="majorBidi" w:cstheme="majorBidi"/>
          <w:sz w:val="24"/>
          <w:szCs w:val="24"/>
          <w:lang w:val="en-GB"/>
        </w:rPr>
        <w:t>​ These findings align with research by Mominur Rahman and Bilkis Akhter (2021), who examined the impact of human capital investments, including employee education, on bank performance. Their study found that aspects like employee training and education positively influence bank performance, highlighting the importance of aligning educational qualifications with departmental functions to enhance organizational outcomes.</w:t>
      </w:r>
    </w:p>
    <w:p w14:paraId="5211E477" w14:textId="2AF0DCB3" w:rsidR="00FA5CB3" w:rsidRPr="00F12EE6" w:rsidRDefault="00FA5CB3" w:rsidP="00F12EE6">
      <w:pPr>
        <w:pStyle w:val="Heading2"/>
        <w:spacing w:line="360" w:lineRule="auto"/>
        <w:rPr>
          <w:rFonts w:ascii="Times New Roman" w:eastAsia="Times New Roman" w:hAnsi="Times New Roman" w:cs="Times New Roman"/>
          <w:b/>
          <w:color w:val="auto"/>
          <w:sz w:val="24"/>
          <w:szCs w:val="24"/>
        </w:rPr>
      </w:pPr>
      <w:bookmarkStart w:id="1343" w:name="_Toc31616779"/>
      <w:bookmarkStart w:id="1344" w:name="_Toc46906519"/>
      <w:bookmarkStart w:id="1345" w:name="_Toc59265466"/>
      <w:bookmarkStart w:id="1346" w:name="_Toc119963755"/>
      <w:bookmarkStart w:id="1347" w:name="_Toc140947588"/>
      <w:bookmarkStart w:id="1348" w:name="_Toc164348782"/>
      <w:r w:rsidRPr="00F12EE6">
        <w:rPr>
          <w:rFonts w:ascii="Times New Roman" w:eastAsia="Times New Roman" w:hAnsi="Times New Roman" w:cs="Times New Roman"/>
          <w:b/>
          <w:vanish/>
          <w:color w:val="auto"/>
          <w:sz w:val="24"/>
          <w:szCs w:val="24"/>
        </w:rPr>
        <w:lastRenderedPageBreak/>
        <w:t>Top of FormBottom of Form</w:t>
      </w:r>
      <w:bookmarkStart w:id="1349" w:name="_Toc193846484"/>
      <w:bookmarkEnd w:id="1343"/>
      <w:r w:rsidR="00F12EE6" w:rsidRPr="00F12EE6">
        <w:rPr>
          <w:rFonts w:ascii="Times New Roman" w:eastAsia="Times New Roman" w:hAnsi="Times New Roman" w:cs="Times New Roman"/>
          <w:b/>
          <w:color w:val="auto"/>
          <w:sz w:val="24"/>
          <w:szCs w:val="24"/>
          <w:lang w:val="en-GB"/>
        </w:rPr>
        <w:t xml:space="preserve">4.2 </w:t>
      </w:r>
      <w:r w:rsidRPr="00F12EE6">
        <w:rPr>
          <w:rFonts w:ascii="Times New Roman" w:eastAsia="Times New Roman" w:hAnsi="Times New Roman" w:cs="Times New Roman"/>
          <w:b/>
          <w:color w:val="auto"/>
          <w:sz w:val="24"/>
          <w:szCs w:val="24"/>
          <w:lang w:val="en-GB"/>
        </w:rPr>
        <w:t xml:space="preserve">Presentation </w:t>
      </w:r>
      <w:r w:rsidR="00F12EE6">
        <w:rPr>
          <w:rFonts w:ascii="Times New Roman" w:eastAsia="Times New Roman" w:hAnsi="Times New Roman" w:cs="Times New Roman"/>
          <w:b/>
          <w:color w:val="auto"/>
          <w:sz w:val="24"/>
          <w:szCs w:val="24"/>
          <w:lang w:val="en-GB"/>
        </w:rPr>
        <w:t>o</w:t>
      </w:r>
      <w:r w:rsidR="00F12EE6" w:rsidRPr="00F12EE6">
        <w:rPr>
          <w:rFonts w:ascii="Times New Roman" w:eastAsia="Times New Roman" w:hAnsi="Times New Roman" w:cs="Times New Roman"/>
          <w:b/>
          <w:color w:val="auto"/>
          <w:sz w:val="24"/>
          <w:szCs w:val="24"/>
          <w:lang w:val="en-GB"/>
        </w:rPr>
        <w:t xml:space="preserve">f </w:t>
      </w:r>
      <w:r w:rsidRPr="00F12EE6">
        <w:rPr>
          <w:rFonts w:ascii="Times New Roman" w:eastAsia="Times New Roman" w:hAnsi="Times New Roman" w:cs="Times New Roman"/>
          <w:b/>
          <w:color w:val="auto"/>
          <w:sz w:val="24"/>
          <w:szCs w:val="24"/>
          <w:lang w:val="en-GB"/>
        </w:rPr>
        <w:t>Findings</w:t>
      </w:r>
      <w:bookmarkEnd w:id="1344"/>
      <w:bookmarkEnd w:id="1345"/>
      <w:bookmarkEnd w:id="1346"/>
      <w:bookmarkEnd w:id="1347"/>
      <w:bookmarkEnd w:id="1348"/>
      <w:r w:rsidRPr="00F12EE6">
        <w:rPr>
          <w:rFonts w:ascii="Times New Roman" w:eastAsia="Times New Roman" w:hAnsi="Times New Roman" w:cs="Times New Roman"/>
          <w:b/>
          <w:color w:val="auto"/>
          <w:sz w:val="24"/>
          <w:szCs w:val="24"/>
          <w:lang w:val="en-GB"/>
        </w:rPr>
        <w:t xml:space="preserve"> </w:t>
      </w:r>
      <w:r w:rsidR="00935D53">
        <w:rPr>
          <w:rFonts w:ascii="Times New Roman" w:eastAsia="Times New Roman" w:hAnsi="Times New Roman" w:cs="Times New Roman"/>
          <w:b/>
          <w:color w:val="auto"/>
          <w:sz w:val="24"/>
          <w:szCs w:val="24"/>
          <w:lang w:val="en-GB"/>
        </w:rPr>
        <w:t>f</w:t>
      </w:r>
      <w:r w:rsidR="00F12EE6" w:rsidRPr="00F12EE6">
        <w:rPr>
          <w:rFonts w:ascii="Times New Roman" w:eastAsia="Times New Roman" w:hAnsi="Times New Roman" w:cs="Times New Roman"/>
          <w:b/>
          <w:color w:val="auto"/>
          <w:sz w:val="24"/>
          <w:szCs w:val="24"/>
          <w:lang w:val="en-GB"/>
        </w:rPr>
        <w:t xml:space="preserve">rom </w:t>
      </w:r>
      <w:r w:rsidR="00A10C7F" w:rsidRPr="00F12EE6">
        <w:rPr>
          <w:rFonts w:ascii="Times New Roman" w:eastAsia="Times New Roman" w:hAnsi="Times New Roman" w:cs="Times New Roman"/>
          <w:b/>
          <w:color w:val="auto"/>
          <w:sz w:val="24"/>
          <w:szCs w:val="24"/>
          <w:lang w:val="en-GB"/>
        </w:rPr>
        <w:t>P</w:t>
      </w:r>
      <w:r w:rsidR="00015944" w:rsidRPr="00F12EE6">
        <w:rPr>
          <w:rFonts w:ascii="Times New Roman" w:eastAsia="Times New Roman" w:hAnsi="Times New Roman" w:cs="Times New Roman"/>
          <w:b/>
          <w:color w:val="auto"/>
          <w:sz w:val="24"/>
          <w:szCs w:val="24"/>
          <w:lang w:val="en-GB"/>
        </w:rPr>
        <w:t xml:space="preserve">rimary </w:t>
      </w:r>
      <w:r w:rsidR="00F12EE6" w:rsidRPr="00F12EE6">
        <w:rPr>
          <w:rFonts w:ascii="Times New Roman" w:eastAsia="Times New Roman" w:hAnsi="Times New Roman" w:cs="Times New Roman"/>
          <w:b/>
          <w:color w:val="auto"/>
          <w:sz w:val="24"/>
          <w:szCs w:val="24"/>
          <w:lang w:val="en-GB"/>
        </w:rPr>
        <w:t>Data</w:t>
      </w:r>
      <w:bookmarkEnd w:id="1349"/>
    </w:p>
    <w:p w14:paraId="2050C263" w14:textId="79938A7B" w:rsidR="002143D9" w:rsidRPr="00FA5CB3" w:rsidRDefault="00FA5CB3" w:rsidP="00B63C11">
      <w:pPr>
        <w:spacing w:after="0" w:line="360" w:lineRule="auto"/>
        <w:jc w:val="both"/>
        <w:rPr>
          <w:rFonts w:asciiTheme="majorBidi" w:eastAsia="Times New Roman" w:hAnsiTheme="majorBidi" w:cstheme="majorBidi"/>
          <w:sz w:val="24"/>
          <w:szCs w:val="24"/>
        </w:rPr>
      </w:pPr>
      <w:r w:rsidRPr="00177ECF">
        <w:rPr>
          <w:rFonts w:asciiTheme="majorBidi" w:eastAsia="Times New Roman" w:hAnsiTheme="majorBidi" w:cstheme="majorBidi"/>
          <w:sz w:val="24"/>
          <w:szCs w:val="24"/>
        </w:rPr>
        <w:t xml:space="preserve">This section is all about presentation of findings. Based on the precise aims of the research, the findings are categorized into three subsections as follows: </w:t>
      </w:r>
      <w:r w:rsidR="00B63C11">
        <w:rPr>
          <w:rFonts w:asciiTheme="majorBidi" w:eastAsia="Times New Roman" w:hAnsiTheme="majorBidi" w:cstheme="majorBidi"/>
          <w:sz w:val="24"/>
          <w:szCs w:val="24"/>
        </w:rPr>
        <w:t>t</w:t>
      </w:r>
      <w:r w:rsidR="00015944" w:rsidRPr="00177ECF">
        <w:rPr>
          <w:rFonts w:asciiTheme="majorBidi" w:eastAsia="Times New Roman" w:hAnsiTheme="majorBidi" w:cstheme="majorBidi"/>
          <w:sz w:val="24"/>
          <w:szCs w:val="24"/>
        </w:rPr>
        <w:t xml:space="preserve">o assess the effectiveness of risk management in </w:t>
      </w:r>
      <w:r w:rsidR="00015944" w:rsidRPr="00177ECF">
        <w:rPr>
          <w:rFonts w:asciiTheme="majorBidi" w:hAnsiTheme="majorBidi" w:cstheme="majorBidi"/>
          <w:sz w:val="24"/>
          <w:szCs w:val="24"/>
        </w:rPr>
        <w:t xml:space="preserve">of </w:t>
      </w:r>
      <w:r w:rsidR="00015944" w:rsidRPr="00177ECF">
        <w:rPr>
          <w:rFonts w:asciiTheme="majorBidi" w:eastAsia="Times New Roman" w:hAnsiTheme="majorBidi" w:cstheme="majorBidi"/>
          <w:spacing w:val="-1"/>
          <w:sz w:val="24"/>
          <w:szCs w:val="24"/>
        </w:rPr>
        <w:t>GT Bank Plc</w:t>
      </w:r>
      <w:r w:rsidR="00015944" w:rsidRPr="00177ECF">
        <w:rPr>
          <w:rFonts w:asciiTheme="majorBidi" w:hAnsiTheme="majorBidi" w:cstheme="majorBidi"/>
          <w:sz w:val="24"/>
          <w:szCs w:val="24"/>
        </w:rPr>
        <w:t>,</w:t>
      </w:r>
      <w:r w:rsidR="00015944" w:rsidRPr="00177ECF">
        <w:rPr>
          <w:rFonts w:asciiTheme="majorBidi" w:eastAsia="Times New Roman" w:hAnsiTheme="majorBidi" w:cstheme="majorBidi"/>
          <w:sz w:val="24"/>
          <w:szCs w:val="24"/>
        </w:rPr>
        <w:t xml:space="preserve"> to analyze the financial performance   of </w:t>
      </w:r>
      <w:r w:rsidR="00015944" w:rsidRPr="00177ECF">
        <w:rPr>
          <w:rFonts w:asciiTheme="majorBidi" w:hAnsiTheme="majorBidi" w:cstheme="majorBidi"/>
          <w:sz w:val="24"/>
          <w:szCs w:val="24"/>
        </w:rPr>
        <w:t>GT Bank Plc from 2019-2023,</w:t>
      </w:r>
      <w:r w:rsidR="00015944" w:rsidRPr="00177ECF">
        <w:rPr>
          <w:rFonts w:asciiTheme="majorBidi" w:eastAsia="Times New Roman" w:hAnsiTheme="majorBidi" w:cstheme="majorBidi"/>
          <w:sz w:val="24"/>
          <w:szCs w:val="24"/>
        </w:rPr>
        <w:t xml:space="preserve"> and to establish the relationship between of risk management and financial performance   in </w:t>
      </w:r>
      <w:r w:rsidR="00015944" w:rsidRPr="00177ECF">
        <w:rPr>
          <w:rFonts w:asciiTheme="majorBidi" w:hAnsiTheme="majorBidi" w:cstheme="majorBidi"/>
          <w:sz w:val="24"/>
          <w:szCs w:val="24"/>
        </w:rPr>
        <w:t>of GT Bank Plc</w:t>
      </w:r>
      <w:r w:rsidRPr="00177ECF">
        <w:rPr>
          <w:rFonts w:asciiTheme="majorBidi" w:eastAsia="Times New Roman" w:hAnsiTheme="majorBidi" w:cstheme="majorBidi"/>
          <w:sz w:val="24"/>
          <w:szCs w:val="24"/>
        </w:rPr>
        <w:t xml:space="preserve"> Rwanda. The study employed a mixed research approach, gathering qualitative and quantitative information </w:t>
      </w:r>
      <w:r w:rsidR="002143D9" w:rsidRPr="00177ECF">
        <w:rPr>
          <w:rFonts w:asciiTheme="majorBidi" w:eastAsia="Times New Roman" w:hAnsiTheme="majorBidi" w:cstheme="majorBidi"/>
          <w:sz w:val="24"/>
          <w:szCs w:val="24"/>
        </w:rPr>
        <w:t>from 56 GT bank employees</w:t>
      </w:r>
      <w:r w:rsidRPr="00177ECF">
        <w:rPr>
          <w:rFonts w:asciiTheme="majorBidi" w:eastAsia="Times New Roman" w:hAnsiTheme="majorBidi" w:cstheme="majorBidi"/>
          <w:sz w:val="24"/>
          <w:szCs w:val="24"/>
        </w:rPr>
        <w:t xml:space="preserve">. The </w:t>
      </w:r>
      <w:r w:rsidR="00177ECF" w:rsidRPr="00177ECF">
        <w:rPr>
          <w:rFonts w:asciiTheme="majorBidi" w:eastAsia="Times New Roman" w:hAnsiTheme="majorBidi" w:cstheme="majorBidi"/>
          <w:sz w:val="24"/>
          <w:szCs w:val="24"/>
        </w:rPr>
        <w:t>findings revealed that the effect</w:t>
      </w:r>
      <w:r w:rsidRPr="00177ECF">
        <w:rPr>
          <w:rFonts w:asciiTheme="majorBidi" w:eastAsia="Times New Roman" w:hAnsiTheme="majorBidi" w:cstheme="majorBidi"/>
          <w:sz w:val="24"/>
          <w:szCs w:val="24"/>
        </w:rPr>
        <w:t xml:space="preserve"> of </w:t>
      </w:r>
      <w:r w:rsidR="00177ECF" w:rsidRPr="00177ECF">
        <w:rPr>
          <w:rFonts w:asciiTheme="majorBidi" w:eastAsia="Times New Roman" w:hAnsiTheme="majorBidi" w:cstheme="majorBidi"/>
          <w:bCs/>
          <w:sz w:val="24"/>
          <w:szCs w:val="24"/>
        </w:rPr>
        <w:t>Credit</w:t>
      </w:r>
      <w:r w:rsidR="00177ECF" w:rsidRPr="00177ECF">
        <w:rPr>
          <w:rFonts w:asciiTheme="majorBidi" w:eastAsia="Times New Roman" w:hAnsiTheme="majorBidi" w:cstheme="majorBidi"/>
          <w:b/>
          <w:bCs/>
          <w:sz w:val="24"/>
          <w:szCs w:val="24"/>
        </w:rPr>
        <w:t xml:space="preserve"> </w:t>
      </w:r>
      <w:r w:rsidR="00177ECF" w:rsidRPr="00177ECF">
        <w:rPr>
          <w:rFonts w:asciiTheme="majorBidi" w:eastAsia="Times New Roman" w:hAnsiTheme="majorBidi" w:cstheme="majorBidi"/>
          <w:bCs/>
          <w:sz w:val="24"/>
          <w:szCs w:val="24"/>
        </w:rPr>
        <w:t>risk</w:t>
      </w:r>
      <w:r w:rsidR="00177ECF" w:rsidRPr="00177ECF">
        <w:rPr>
          <w:rFonts w:asciiTheme="majorBidi" w:eastAsia="Times New Roman" w:hAnsiTheme="majorBidi" w:cstheme="majorBidi"/>
          <w:b/>
          <w:bCs/>
          <w:sz w:val="24"/>
          <w:szCs w:val="24"/>
        </w:rPr>
        <w:t xml:space="preserve"> </w:t>
      </w:r>
      <w:r w:rsidR="00177ECF" w:rsidRPr="00177ECF">
        <w:rPr>
          <w:rFonts w:asciiTheme="majorBidi" w:eastAsia="Times New Roman" w:hAnsiTheme="majorBidi" w:cstheme="majorBidi"/>
          <w:bCs/>
          <w:sz w:val="24"/>
          <w:szCs w:val="24"/>
        </w:rPr>
        <w:t>Management</w:t>
      </w:r>
      <w:r w:rsidR="00177ECF" w:rsidRPr="00177ECF">
        <w:rPr>
          <w:rFonts w:asciiTheme="majorBidi" w:eastAsia="Times New Roman" w:hAnsiTheme="majorBidi" w:cstheme="majorBidi"/>
          <w:b/>
          <w:bCs/>
          <w:sz w:val="24"/>
          <w:szCs w:val="24"/>
        </w:rPr>
        <w:t xml:space="preserve"> </w:t>
      </w:r>
      <w:r w:rsidRPr="00177ECF">
        <w:rPr>
          <w:rFonts w:asciiTheme="majorBidi" w:eastAsia="Times New Roman" w:hAnsiTheme="majorBidi" w:cstheme="majorBidi"/>
          <w:sz w:val="24"/>
          <w:szCs w:val="24"/>
        </w:rPr>
        <w:t xml:space="preserve">, </w:t>
      </w:r>
      <w:r w:rsidR="00177ECF" w:rsidRPr="00177ECF">
        <w:rPr>
          <w:rFonts w:asciiTheme="majorBidi" w:eastAsia="Times New Roman" w:hAnsiTheme="majorBidi" w:cstheme="majorBidi"/>
          <w:sz w:val="24"/>
          <w:szCs w:val="24"/>
        </w:rPr>
        <w:t xml:space="preserve">Borrower Creditworthiness Assessment Credit Concentration Risk, Debt Restructuring &amp; Recovery Strategies, Credit Risk Rating Systems, Collateral Management, and Credit Risk Monitoring Frequency </w:t>
      </w:r>
      <w:r w:rsidRPr="00177ECF">
        <w:rPr>
          <w:rFonts w:asciiTheme="majorBidi" w:eastAsia="Times New Roman" w:hAnsiTheme="majorBidi" w:cstheme="majorBidi"/>
          <w:sz w:val="24"/>
          <w:szCs w:val="24"/>
        </w:rPr>
        <w:t xml:space="preserve">had a substantial influence on </w:t>
      </w:r>
      <w:r w:rsidR="00177ECF" w:rsidRPr="00177ECF">
        <w:rPr>
          <w:rFonts w:asciiTheme="majorBidi" w:eastAsia="Times New Roman" w:hAnsiTheme="majorBidi" w:cstheme="majorBidi"/>
          <w:bCs/>
          <w:sz w:val="24"/>
          <w:szCs w:val="24"/>
        </w:rPr>
        <w:t xml:space="preserve">Financial performance </w:t>
      </w:r>
      <w:r w:rsidRPr="00177ECF">
        <w:rPr>
          <w:rFonts w:asciiTheme="majorBidi" w:eastAsia="Times New Roman" w:hAnsiTheme="majorBidi" w:cstheme="majorBidi"/>
          <w:sz w:val="24"/>
          <w:szCs w:val="24"/>
        </w:rPr>
        <w:t xml:space="preserve">such as </w:t>
      </w:r>
      <w:hyperlink r:id="rId20" w:history="1">
        <w:r w:rsidR="00177ECF" w:rsidRPr="00177ECF">
          <w:rPr>
            <w:rStyle w:val="Hyperlink"/>
            <w:rFonts w:asciiTheme="majorBidi" w:eastAsia="Times New Roman" w:hAnsiTheme="majorBidi" w:cstheme="majorBidi"/>
            <w:color w:val="auto"/>
            <w:sz w:val="24"/>
            <w:szCs w:val="24"/>
            <w:u w:val="none"/>
          </w:rPr>
          <w:t xml:space="preserve">Net </w:t>
        </w:r>
      </w:hyperlink>
      <w:r w:rsidR="00177ECF" w:rsidRPr="00177ECF">
        <w:rPr>
          <w:rFonts w:asciiTheme="majorBidi" w:eastAsia="Times New Roman" w:hAnsiTheme="majorBidi" w:cstheme="majorBidi"/>
          <w:sz w:val="24"/>
          <w:szCs w:val="24"/>
        </w:rPr>
        <w:t xml:space="preserve"> interest   Margin, </w:t>
      </w:r>
      <w:hyperlink r:id="rId21" w:history="1">
        <w:r w:rsidR="00177ECF" w:rsidRPr="00177ECF">
          <w:rPr>
            <w:rStyle w:val="Hyperlink"/>
            <w:rFonts w:asciiTheme="majorBidi" w:eastAsia="Times New Roman" w:hAnsiTheme="majorBidi" w:cstheme="majorBidi"/>
            <w:color w:val="auto"/>
            <w:sz w:val="24"/>
            <w:szCs w:val="24"/>
            <w:u w:val="none"/>
          </w:rPr>
          <w:t>Return on Equity</w:t>
        </w:r>
      </w:hyperlink>
      <w:r w:rsidR="00177ECF">
        <w:rPr>
          <w:rFonts w:asciiTheme="majorBidi" w:eastAsia="Times New Roman" w:hAnsiTheme="majorBidi" w:cstheme="majorBidi"/>
          <w:sz w:val="24"/>
          <w:szCs w:val="24"/>
        </w:rPr>
        <w:t xml:space="preserve">, Return on Assets, </w:t>
      </w:r>
      <w:r w:rsidR="00177ECF" w:rsidRPr="00177ECF">
        <w:rPr>
          <w:rFonts w:asciiTheme="majorBidi" w:eastAsia="Times New Roman" w:hAnsiTheme="majorBidi" w:cstheme="majorBidi"/>
          <w:sz w:val="24"/>
          <w:szCs w:val="24"/>
        </w:rPr>
        <w:t>Cash Ratio</w:t>
      </w:r>
      <w:r w:rsidR="00177ECF">
        <w:rPr>
          <w:rFonts w:asciiTheme="majorBidi" w:eastAsia="Times New Roman" w:hAnsiTheme="majorBidi" w:cstheme="majorBidi"/>
          <w:sz w:val="24"/>
          <w:szCs w:val="24"/>
        </w:rPr>
        <w:t xml:space="preserve">, </w:t>
      </w:r>
      <w:r w:rsidR="00177ECF" w:rsidRPr="00177ECF">
        <w:rPr>
          <w:rFonts w:asciiTheme="majorBidi" w:eastAsia="Times New Roman" w:hAnsiTheme="majorBidi" w:cstheme="majorBidi"/>
          <w:sz w:val="24"/>
          <w:szCs w:val="24"/>
        </w:rPr>
        <w:t>Liquidity to assets ratio</w:t>
      </w:r>
      <w:r w:rsidR="00177ECF">
        <w:rPr>
          <w:rFonts w:asciiTheme="majorBidi" w:eastAsia="Times New Roman" w:hAnsiTheme="majorBidi" w:cstheme="majorBidi"/>
          <w:sz w:val="24"/>
          <w:szCs w:val="24"/>
        </w:rPr>
        <w:t xml:space="preserve"> and </w:t>
      </w:r>
      <w:r w:rsidR="00177ECF" w:rsidRPr="00177ECF">
        <w:rPr>
          <w:rFonts w:asciiTheme="majorBidi" w:eastAsia="Times New Roman" w:hAnsiTheme="majorBidi" w:cstheme="majorBidi"/>
          <w:sz w:val="24"/>
          <w:szCs w:val="24"/>
        </w:rPr>
        <w:t>Loans to Deposit Ratio</w:t>
      </w:r>
    </w:p>
    <w:p w14:paraId="60B92419" w14:textId="1919C98F" w:rsidR="00FA5CB3" w:rsidRPr="00967D6F" w:rsidRDefault="00935D53" w:rsidP="00967D6F">
      <w:pPr>
        <w:pStyle w:val="Heading3"/>
        <w:spacing w:line="360" w:lineRule="auto"/>
        <w:rPr>
          <w:rFonts w:ascii="Times New Roman" w:eastAsia="Times New Roman" w:hAnsi="Times New Roman" w:cs="Times New Roman"/>
          <w:b/>
          <w:color w:val="auto"/>
          <w:sz w:val="24"/>
          <w:szCs w:val="24"/>
          <w:lang w:val="en-GB"/>
        </w:rPr>
      </w:pPr>
      <w:bookmarkStart w:id="1350" w:name="_Toc193846485"/>
      <w:r w:rsidRPr="00967D6F">
        <w:rPr>
          <w:rFonts w:ascii="Times New Roman" w:eastAsia="Times New Roman" w:hAnsi="Times New Roman" w:cs="Times New Roman"/>
          <w:b/>
          <w:color w:val="auto"/>
          <w:sz w:val="24"/>
          <w:szCs w:val="24"/>
          <w:lang w:val="en-GB"/>
        </w:rPr>
        <w:t>4.2.1</w:t>
      </w:r>
      <w:r w:rsidRPr="00967D6F">
        <w:rPr>
          <w:rFonts w:ascii="Times New Roman" w:eastAsia="Times New Roman" w:hAnsi="Times New Roman" w:cs="Times New Roman"/>
          <w:b/>
          <w:color w:val="auto"/>
          <w:sz w:val="24"/>
          <w:szCs w:val="24"/>
        </w:rPr>
        <w:t xml:space="preserve"> Effectiveness of Risk M</w:t>
      </w:r>
      <w:r w:rsidR="00015944" w:rsidRPr="00967D6F">
        <w:rPr>
          <w:rFonts w:ascii="Times New Roman" w:eastAsia="Times New Roman" w:hAnsi="Times New Roman" w:cs="Times New Roman"/>
          <w:b/>
          <w:color w:val="auto"/>
          <w:sz w:val="24"/>
          <w:szCs w:val="24"/>
        </w:rPr>
        <w:t>anagement in of GT Bank Plc</w:t>
      </w:r>
      <w:r w:rsidR="00B63C11" w:rsidRPr="00967D6F">
        <w:rPr>
          <w:rFonts w:ascii="Times New Roman" w:eastAsia="Times New Roman" w:hAnsi="Times New Roman" w:cs="Times New Roman"/>
          <w:b/>
          <w:color w:val="auto"/>
          <w:sz w:val="24"/>
          <w:szCs w:val="24"/>
        </w:rPr>
        <w:t xml:space="preserve"> </w:t>
      </w:r>
      <w:r w:rsidR="00066D43" w:rsidRPr="00967D6F">
        <w:rPr>
          <w:rFonts w:ascii="Times New Roman" w:eastAsia="Times New Roman" w:hAnsi="Times New Roman" w:cs="Times New Roman"/>
          <w:b/>
          <w:color w:val="auto"/>
          <w:sz w:val="24"/>
          <w:szCs w:val="24"/>
        </w:rPr>
        <w:t>2019-2023</w:t>
      </w:r>
      <w:bookmarkEnd w:id="1350"/>
    </w:p>
    <w:p w14:paraId="39AAABF3" w14:textId="5F257F9F" w:rsidR="00FA5CB3" w:rsidRPr="00FA5CB3" w:rsidRDefault="00FA5CB3" w:rsidP="00FA5CB3">
      <w:pPr>
        <w:shd w:val="clear" w:color="auto" w:fill="FFFFFF" w:themeFill="background1"/>
        <w:spacing w:after="240" w:line="360" w:lineRule="auto"/>
        <w:jc w:val="both"/>
        <w:rPr>
          <w:rFonts w:asciiTheme="majorBidi" w:eastAsia="Times New Roman" w:hAnsiTheme="majorBidi" w:cstheme="majorBidi"/>
          <w:sz w:val="24"/>
          <w:szCs w:val="24"/>
        </w:rPr>
      </w:pPr>
      <w:r w:rsidRPr="00FA5CB3">
        <w:rPr>
          <w:rFonts w:asciiTheme="majorBidi" w:eastAsia="Times New Roman" w:hAnsiTheme="majorBidi" w:cstheme="majorBidi"/>
          <w:sz w:val="24"/>
          <w:szCs w:val="24"/>
        </w:rPr>
        <w:t xml:space="preserve">The first objective of this research was </w:t>
      </w:r>
      <w:r w:rsidR="00FC53E6" w:rsidRPr="00FC53E6">
        <w:rPr>
          <w:rFonts w:asciiTheme="majorBidi" w:eastAsia="Times New Roman" w:hAnsiTheme="majorBidi" w:cstheme="majorBidi"/>
          <w:sz w:val="24"/>
          <w:szCs w:val="24"/>
        </w:rPr>
        <w:t>t</w:t>
      </w:r>
      <w:r w:rsidR="00015944" w:rsidRPr="00FC53E6">
        <w:rPr>
          <w:rFonts w:asciiTheme="majorBidi" w:eastAsia="Times New Roman" w:hAnsiTheme="majorBidi" w:cstheme="majorBidi"/>
          <w:sz w:val="24"/>
          <w:szCs w:val="24"/>
        </w:rPr>
        <w:t>o assess the effectiveness of risk management in of GT Bank Plc</w:t>
      </w:r>
      <w:r w:rsidRPr="00FA5CB3">
        <w:rPr>
          <w:rFonts w:asciiTheme="majorBidi" w:eastAsia="Times New Roman" w:hAnsiTheme="majorBidi" w:cstheme="majorBidi"/>
          <w:sz w:val="24"/>
          <w:szCs w:val="24"/>
        </w:rPr>
        <w:t>. The researcher needed the respondents to provide their opinions by completing the questionnaire in order to accomplish this goal. The respondents' opinions were scored using the following categor</w:t>
      </w:r>
      <w:r w:rsidR="00FC53E6">
        <w:rPr>
          <w:rFonts w:asciiTheme="majorBidi" w:eastAsia="Times New Roman" w:hAnsiTheme="majorBidi" w:cstheme="majorBidi"/>
          <w:sz w:val="24"/>
          <w:szCs w:val="24"/>
        </w:rPr>
        <w:t xml:space="preserve">ies: SA (strongly agree), A (agree), Not sure, D (disagree) and </w:t>
      </w:r>
      <w:r w:rsidRPr="00FA5CB3">
        <w:rPr>
          <w:rFonts w:asciiTheme="majorBidi" w:eastAsia="Times New Roman" w:hAnsiTheme="majorBidi" w:cstheme="majorBidi"/>
          <w:sz w:val="24"/>
          <w:szCs w:val="24"/>
        </w:rPr>
        <w:t xml:space="preserve">SD (strongly disagree). The scores </w:t>
      </w:r>
      <w:r w:rsidR="00FC53E6">
        <w:rPr>
          <w:rFonts w:asciiTheme="majorBidi" w:eastAsia="Times New Roman" w:hAnsiTheme="majorBidi" w:cstheme="majorBidi"/>
          <w:sz w:val="24"/>
          <w:szCs w:val="24"/>
        </w:rPr>
        <w:t>assigned to these ratings were 5, 4, 3, 2, and 1</w:t>
      </w:r>
      <w:r w:rsidRPr="00FA5CB3">
        <w:rPr>
          <w:rFonts w:asciiTheme="majorBidi" w:eastAsia="Times New Roman" w:hAnsiTheme="majorBidi" w:cstheme="majorBidi"/>
          <w:sz w:val="24"/>
          <w:szCs w:val="24"/>
        </w:rPr>
        <w:t>, in that order.</w:t>
      </w:r>
    </w:p>
    <w:p w14:paraId="63934D16" w14:textId="5468CF1E" w:rsidR="00FA5CB3" w:rsidRPr="006161EE" w:rsidRDefault="00FA5CB3" w:rsidP="00FA5CB3">
      <w:pPr>
        <w:shd w:val="clear" w:color="auto" w:fill="FFFFFF" w:themeFill="background1"/>
        <w:spacing w:after="240" w:line="360" w:lineRule="auto"/>
        <w:jc w:val="both"/>
        <w:rPr>
          <w:rFonts w:asciiTheme="majorBidi" w:eastAsia="Times New Roman" w:hAnsiTheme="majorBidi" w:cstheme="majorBidi"/>
          <w:b/>
          <w:sz w:val="24"/>
          <w:szCs w:val="24"/>
        </w:rPr>
      </w:pPr>
      <w:bookmarkStart w:id="1351" w:name="_Toc164337104"/>
      <w:bookmarkStart w:id="1352" w:name="_Toc175219980"/>
      <w:r w:rsidRPr="006161EE">
        <w:rPr>
          <w:rFonts w:asciiTheme="majorBidi" w:eastAsia="Times New Roman" w:hAnsiTheme="majorBidi" w:cstheme="majorBidi"/>
          <w:b/>
          <w:bCs/>
          <w:sz w:val="24"/>
          <w:szCs w:val="24"/>
          <w:lang w:val="fr-FR"/>
        </w:rPr>
        <w:t>Table 4.</w:t>
      </w:r>
      <w:r w:rsidRPr="006161EE">
        <w:rPr>
          <w:rFonts w:asciiTheme="majorBidi" w:eastAsia="Times New Roman" w:hAnsiTheme="majorBidi" w:cstheme="majorBidi"/>
          <w:b/>
          <w:bCs/>
          <w:sz w:val="24"/>
          <w:szCs w:val="24"/>
          <w:lang w:val="fr-FR"/>
        </w:rPr>
        <w:fldChar w:fldCharType="begin"/>
      </w:r>
      <w:r w:rsidRPr="006161EE">
        <w:rPr>
          <w:rFonts w:asciiTheme="majorBidi" w:eastAsia="Times New Roman" w:hAnsiTheme="majorBidi" w:cstheme="majorBidi"/>
          <w:b/>
          <w:bCs/>
          <w:sz w:val="24"/>
          <w:szCs w:val="24"/>
          <w:lang w:val="fr-FR"/>
        </w:rPr>
        <w:instrText xml:space="preserve"> SEQ Table_4. \* ARABIC </w:instrText>
      </w:r>
      <w:r w:rsidRPr="006161EE">
        <w:rPr>
          <w:rFonts w:asciiTheme="majorBidi" w:eastAsia="Times New Roman" w:hAnsiTheme="majorBidi" w:cstheme="majorBidi"/>
          <w:b/>
          <w:bCs/>
          <w:sz w:val="24"/>
          <w:szCs w:val="24"/>
          <w:lang w:val="fr-FR"/>
        </w:rPr>
        <w:fldChar w:fldCharType="separate"/>
      </w:r>
      <w:r w:rsidRPr="006161EE">
        <w:rPr>
          <w:rFonts w:asciiTheme="majorBidi" w:eastAsia="Times New Roman" w:hAnsiTheme="majorBidi" w:cstheme="majorBidi"/>
          <w:b/>
          <w:bCs/>
          <w:sz w:val="24"/>
          <w:szCs w:val="24"/>
          <w:lang w:val="fr-FR"/>
        </w:rPr>
        <w:t>3</w:t>
      </w:r>
      <w:r w:rsidRPr="006161EE">
        <w:rPr>
          <w:rFonts w:asciiTheme="majorBidi" w:eastAsia="Times New Roman" w:hAnsiTheme="majorBidi" w:cstheme="majorBidi"/>
          <w:b/>
          <w:sz w:val="24"/>
          <w:szCs w:val="24"/>
        </w:rPr>
        <w:fldChar w:fldCharType="end"/>
      </w:r>
      <w:r w:rsidRPr="006161EE">
        <w:rPr>
          <w:rFonts w:asciiTheme="majorBidi" w:eastAsia="Times New Roman" w:hAnsiTheme="majorBidi" w:cstheme="majorBidi"/>
          <w:b/>
          <w:bCs/>
          <w:sz w:val="24"/>
          <w:szCs w:val="24"/>
          <w:lang w:val="fr-FR"/>
        </w:rPr>
        <w:t>:</w:t>
      </w:r>
      <w:bookmarkEnd w:id="1351"/>
      <w:r w:rsidR="00FC53E6" w:rsidRPr="006161EE">
        <w:rPr>
          <w:rFonts w:asciiTheme="majorBidi" w:eastAsia="Times New Roman" w:hAnsiTheme="majorBidi" w:cstheme="majorBidi"/>
          <w:b/>
          <w:bCs/>
          <w:sz w:val="24"/>
          <w:szCs w:val="24"/>
          <w:lang w:val="fr-FR"/>
        </w:rPr>
        <w:t xml:space="preserve"> GT Bank employées </w:t>
      </w:r>
      <w:proofErr w:type="spellStart"/>
      <w:r w:rsidR="00FC53E6" w:rsidRPr="006161EE">
        <w:rPr>
          <w:rFonts w:asciiTheme="majorBidi" w:eastAsia="Times New Roman" w:hAnsiTheme="majorBidi" w:cstheme="majorBidi"/>
          <w:b/>
          <w:bCs/>
          <w:sz w:val="24"/>
          <w:szCs w:val="24"/>
          <w:lang w:val="fr-FR"/>
        </w:rPr>
        <w:t>from</w:t>
      </w:r>
      <w:proofErr w:type="spellEnd"/>
      <w:r w:rsidR="00FC53E6" w:rsidRPr="006161EE">
        <w:rPr>
          <w:rFonts w:asciiTheme="majorBidi" w:eastAsia="Times New Roman" w:hAnsiTheme="majorBidi" w:cstheme="majorBidi"/>
          <w:b/>
          <w:bCs/>
          <w:sz w:val="24"/>
          <w:szCs w:val="24"/>
          <w:lang w:val="fr-FR"/>
        </w:rPr>
        <w:t xml:space="preserve"> 6 </w:t>
      </w:r>
      <w:proofErr w:type="spellStart"/>
      <w:r w:rsidR="00FC53E6" w:rsidRPr="006161EE">
        <w:rPr>
          <w:rFonts w:asciiTheme="majorBidi" w:eastAsia="Times New Roman" w:hAnsiTheme="majorBidi" w:cstheme="majorBidi"/>
          <w:b/>
          <w:bCs/>
          <w:sz w:val="24"/>
          <w:szCs w:val="24"/>
          <w:lang w:val="fr-FR"/>
        </w:rPr>
        <w:t>departments</w:t>
      </w:r>
      <w:proofErr w:type="spellEnd"/>
      <w:r w:rsidR="00FC53E6" w:rsidRPr="006161EE">
        <w:rPr>
          <w:rFonts w:asciiTheme="majorBidi" w:eastAsia="Times New Roman" w:hAnsiTheme="majorBidi" w:cstheme="majorBidi"/>
          <w:b/>
          <w:bCs/>
          <w:sz w:val="24"/>
          <w:szCs w:val="24"/>
          <w:lang w:val="fr-FR"/>
        </w:rPr>
        <w:t xml:space="preserve"> </w:t>
      </w:r>
      <w:r w:rsidRPr="006161EE">
        <w:rPr>
          <w:rFonts w:asciiTheme="majorBidi" w:eastAsia="Times New Roman" w:hAnsiTheme="majorBidi" w:cstheme="majorBidi"/>
          <w:b/>
          <w:bCs/>
          <w:sz w:val="24"/>
          <w:szCs w:val="24"/>
        </w:rPr>
        <w:t>on</w:t>
      </w:r>
      <w:bookmarkEnd w:id="1352"/>
      <w:r w:rsidR="00015944" w:rsidRPr="006161EE">
        <w:rPr>
          <w:rFonts w:asciiTheme="majorBidi" w:eastAsia="Times New Roman" w:hAnsiTheme="majorBidi" w:cstheme="majorBidi"/>
          <w:b/>
          <w:bCs/>
          <w:sz w:val="24"/>
          <w:szCs w:val="24"/>
        </w:rPr>
        <w:t xml:space="preserve"> the effectiveness of risk man</w:t>
      </w:r>
      <w:r w:rsidR="00FC53E6" w:rsidRPr="006161EE">
        <w:rPr>
          <w:rFonts w:asciiTheme="majorBidi" w:eastAsia="Times New Roman" w:hAnsiTheme="majorBidi" w:cstheme="majorBidi"/>
          <w:b/>
          <w:bCs/>
          <w:sz w:val="24"/>
          <w:szCs w:val="24"/>
        </w:rPr>
        <w:t>agement</w:t>
      </w:r>
      <w:r w:rsidR="00015944" w:rsidRPr="006161EE">
        <w:rPr>
          <w:rFonts w:asciiTheme="majorBidi" w:eastAsia="Times New Roman" w:hAnsiTheme="majorBidi" w:cstheme="majorBidi"/>
          <w:b/>
          <w:bCs/>
          <w:sz w:val="24"/>
          <w:szCs w:val="24"/>
        </w:rPr>
        <w:t xml:space="preserve"> of GT Bank Plc</w:t>
      </w:r>
      <w:r w:rsidR="006161EE" w:rsidRPr="006161EE">
        <w:rPr>
          <w:rFonts w:asciiTheme="majorBidi" w:eastAsia="Times New Roman" w:hAnsiTheme="majorBidi" w:cstheme="majorBidi"/>
          <w:b/>
          <w:bCs/>
          <w:sz w:val="24"/>
          <w:szCs w:val="24"/>
        </w:rPr>
        <w:t xml:space="preserve"> for </w:t>
      </w:r>
      <w:r w:rsidR="006161EE" w:rsidRPr="006161EE">
        <w:rPr>
          <w:rFonts w:ascii="Times New Roman" w:hAnsi="Times New Roman" w:cs="Times New Roman"/>
          <w:b/>
        </w:rPr>
        <w:t>Borrower Creditworthiness Assessment</w:t>
      </w:r>
    </w:p>
    <w:tbl>
      <w:tblPr>
        <w:tblpPr w:leftFromText="187" w:rightFromText="187" w:vertAnchor="text" w:horzAnchor="margin" w:tblpY="1"/>
        <w:tblOverlap w:val="never"/>
        <w:tblW w:w="5000" w:type="pct"/>
        <w:tblBorders>
          <w:top w:val="single" w:sz="4" w:space="0" w:color="auto"/>
          <w:bottom w:val="single" w:sz="4" w:space="0" w:color="auto"/>
        </w:tblBorders>
        <w:tblCellMar>
          <w:top w:w="12" w:type="dxa"/>
          <w:left w:w="0" w:type="dxa"/>
          <w:right w:w="160" w:type="dxa"/>
        </w:tblCellMar>
        <w:tblLook w:val="04A0" w:firstRow="1" w:lastRow="0" w:firstColumn="1" w:lastColumn="0" w:noHBand="0" w:noVBand="1"/>
      </w:tblPr>
      <w:tblGrid>
        <w:gridCol w:w="1958"/>
        <w:gridCol w:w="460"/>
        <w:gridCol w:w="700"/>
        <w:gridCol w:w="400"/>
        <w:gridCol w:w="700"/>
        <w:gridCol w:w="414"/>
        <w:gridCol w:w="580"/>
        <w:gridCol w:w="431"/>
        <w:gridCol w:w="622"/>
        <w:gridCol w:w="431"/>
        <w:gridCol w:w="622"/>
        <w:gridCol w:w="747"/>
        <w:gridCol w:w="1121"/>
      </w:tblGrid>
      <w:tr w:rsidR="00FA5CB3" w:rsidRPr="00FA5CB3" w14:paraId="62043455" w14:textId="77777777" w:rsidTr="00567127">
        <w:trPr>
          <w:trHeight w:val="645"/>
        </w:trPr>
        <w:tc>
          <w:tcPr>
            <w:tcW w:w="1090" w:type="pct"/>
            <w:vMerge w:val="restart"/>
            <w:shd w:val="clear" w:color="auto" w:fill="auto"/>
            <w:vAlign w:val="center"/>
          </w:tcPr>
          <w:p w14:paraId="25012D98" w14:textId="77777777" w:rsidR="00FA5CB3" w:rsidRPr="00FA5CB3" w:rsidRDefault="00FA5CB3" w:rsidP="00985B8E">
            <w:pPr>
              <w:shd w:val="clear" w:color="auto" w:fill="FFFFFF" w:themeFill="background1"/>
              <w:spacing w:after="240" w:line="240" w:lineRule="auto"/>
              <w:jc w:val="both"/>
              <w:rPr>
                <w:rFonts w:asciiTheme="majorBidi" w:eastAsia="Times New Roman" w:hAnsiTheme="majorBidi" w:cstheme="majorBidi"/>
                <w:b/>
                <w:bCs/>
                <w:sz w:val="24"/>
                <w:szCs w:val="24"/>
                <w:lang w:val="en-GB"/>
              </w:rPr>
            </w:pPr>
            <w:r w:rsidRPr="00FA5CB3">
              <w:rPr>
                <w:rFonts w:asciiTheme="majorBidi" w:eastAsia="Times New Roman" w:hAnsiTheme="majorBidi" w:cstheme="majorBidi"/>
                <w:b/>
                <w:bCs/>
                <w:sz w:val="24"/>
                <w:szCs w:val="24"/>
                <w:lang w:val="en-GB"/>
              </w:rPr>
              <w:t>Statements</w:t>
            </w:r>
          </w:p>
        </w:tc>
        <w:tc>
          <w:tcPr>
            <w:tcW w:w="595" w:type="pct"/>
            <w:gridSpan w:val="2"/>
            <w:tcBorders>
              <w:bottom w:val="single" w:sz="4" w:space="0" w:color="auto"/>
            </w:tcBorders>
            <w:shd w:val="clear" w:color="auto" w:fill="auto"/>
            <w:vAlign w:val="center"/>
          </w:tcPr>
          <w:p w14:paraId="393EE993" w14:textId="77777777" w:rsidR="00FA5CB3" w:rsidRPr="00FA5CB3" w:rsidRDefault="00FA5CB3" w:rsidP="00985B8E">
            <w:pPr>
              <w:shd w:val="clear" w:color="auto" w:fill="FFFFFF" w:themeFill="background1"/>
              <w:spacing w:after="240" w:line="240" w:lineRule="auto"/>
              <w:jc w:val="both"/>
              <w:rPr>
                <w:rFonts w:asciiTheme="majorBidi" w:eastAsia="Times New Roman" w:hAnsiTheme="majorBidi" w:cstheme="majorBidi"/>
                <w:b/>
                <w:bCs/>
                <w:sz w:val="24"/>
                <w:szCs w:val="24"/>
                <w:lang w:val="en-GB"/>
              </w:rPr>
            </w:pPr>
            <w:r w:rsidRPr="00FA5CB3">
              <w:rPr>
                <w:rFonts w:asciiTheme="majorBidi" w:eastAsia="Times New Roman" w:hAnsiTheme="majorBidi" w:cstheme="majorBidi"/>
                <w:b/>
                <w:bCs/>
                <w:sz w:val="24"/>
                <w:szCs w:val="24"/>
                <w:lang w:val="en-GB"/>
              </w:rPr>
              <w:t>Strongly Agree</w:t>
            </w:r>
          </w:p>
        </w:tc>
        <w:tc>
          <w:tcPr>
            <w:tcW w:w="543" w:type="pct"/>
            <w:gridSpan w:val="2"/>
            <w:tcBorders>
              <w:bottom w:val="single" w:sz="4" w:space="0" w:color="auto"/>
            </w:tcBorders>
            <w:shd w:val="clear" w:color="auto" w:fill="auto"/>
            <w:vAlign w:val="center"/>
          </w:tcPr>
          <w:p w14:paraId="3D937F93" w14:textId="77777777" w:rsidR="00FA5CB3" w:rsidRPr="00FA5CB3" w:rsidRDefault="00FA5CB3" w:rsidP="00985B8E">
            <w:pPr>
              <w:shd w:val="clear" w:color="auto" w:fill="FFFFFF" w:themeFill="background1"/>
              <w:spacing w:after="240" w:line="240" w:lineRule="auto"/>
              <w:jc w:val="both"/>
              <w:rPr>
                <w:rFonts w:asciiTheme="majorBidi" w:eastAsia="Times New Roman" w:hAnsiTheme="majorBidi" w:cstheme="majorBidi"/>
                <w:b/>
                <w:bCs/>
                <w:sz w:val="24"/>
                <w:szCs w:val="24"/>
                <w:lang w:val="en-GB"/>
              </w:rPr>
            </w:pPr>
            <w:r w:rsidRPr="00FA5CB3">
              <w:rPr>
                <w:rFonts w:asciiTheme="majorBidi" w:eastAsia="Times New Roman" w:hAnsiTheme="majorBidi" w:cstheme="majorBidi"/>
                <w:b/>
                <w:bCs/>
                <w:sz w:val="24"/>
                <w:szCs w:val="24"/>
                <w:lang w:val="en-GB"/>
              </w:rPr>
              <w:t>Agree</w:t>
            </w:r>
          </w:p>
        </w:tc>
        <w:tc>
          <w:tcPr>
            <w:tcW w:w="570" w:type="pct"/>
            <w:gridSpan w:val="2"/>
            <w:tcBorders>
              <w:bottom w:val="single" w:sz="4" w:space="0" w:color="auto"/>
            </w:tcBorders>
            <w:shd w:val="clear" w:color="auto" w:fill="auto"/>
            <w:vAlign w:val="center"/>
          </w:tcPr>
          <w:p w14:paraId="5E91F5B4" w14:textId="77777777" w:rsidR="00FA5CB3" w:rsidRPr="00FA5CB3" w:rsidRDefault="00FA5CB3" w:rsidP="00985B8E">
            <w:pPr>
              <w:shd w:val="clear" w:color="auto" w:fill="FFFFFF" w:themeFill="background1"/>
              <w:spacing w:after="240" w:line="240" w:lineRule="auto"/>
              <w:jc w:val="both"/>
              <w:rPr>
                <w:rFonts w:asciiTheme="majorBidi" w:eastAsia="Times New Roman" w:hAnsiTheme="majorBidi" w:cstheme="majorBidi"/>
                <w:b/>
                <w:bCs/>
                <w:sz w:val="24"/>
                <w:szCs w:val="24"/>
                <w:lang w:val="en-GB"/>
              </w:rPr>
            </w:pPr>
            <w:r w:rsidRPr="00FA5CB3">
              <w:rPr>
                <w:rFonts w:asciiTheme="majorBidi" w:eastAsia="Times New Roman" w:hAnsiTheme="majorBidi" w:cstheme="majorBidi"/>
                <w:b/>
                <w:bCs/>
                <w:sz w:val="24"/>
                <w:szCs w:val="24"/>
                <w:lang w:val="en-GB"/>
              </w:rPr>
              <w:t>Neutral</w:t>
            </w:r>
          </w:p>
        </w:tc>
        <w:tc>
          <w:tcPr>
            <w:tcW w:w="584" w:type="pct"/>
            <w:gridSpan w:val="2"/>
            <w:tcBorders>
              <w:bottom w:val="single" w:sz="4" w:space="0" w:color="auto"/>
            </w:tcBorders>
            <w:shd w:val="clear" w:color="auto" w:fill="auto"/>
            <w:vAlign w:val="center"/>
          </w:tcPr>
          <w:p w14:paraId="208BE949" w14:textId="77777777" w:rsidR="00FA5CB3" w:rsidRPr="00FA5CB3" w:rsidRDefault="00FA5CB3" w:rsidP="00985B8E">
            <w:pPr>
              <w:shd w:val="clear" w:color="auto" w:fill="FFFFFF" w:themeFill="background1"/>
              <w:spacing w:after="240" w:line="240" w:lineRule="auto"/>
              <w:jc w:val="both"/>
              <w:rPr>
                <w:rFonts w:asciiTheme="majorBidi" w:eastAsia="Times New Roman" w:hAnsiTheme="majorBidi" w:cstheme="majorBidi"/>
                <w:b/>
                <w:bCs/>
                <w:sz w:val="24"/>
                <w:szCs w:val="24"/>
                <w:lang w:val="en-GB"/>
              </w:rPr>
            </w:pPr>
            <w:r w:rsidRPr="00FA5CB3">
              <w:rPr>
                <w:rFonts w:asciiTheme="majorBidi" w:eastAsia="Times New Roman" w:hAnsiTheme="majorBidi" w:cstheme="majorBidi"/>
                <w:b/>
                <w:bCs/>
                <w:sz w:val="24"/>
                <w:szCs w:val="24"/>
                <w:lang w:val="en-GB"/>
              </w:rPr>
              <w:t>Disagree</w:t>
            </w:r>
          </w:p>
        </w:tc>
        <w:tc>
          <w:tcPr>
            <w:tcW w:w="584" w:type="pct"/>
            <w:gridSpan w:val="2"/>
            <w:tcBorders>
              <w:bottom w:val="single" w:sz="4" w:space="0" w:color="auto"/>
            </w:tcBorders>
            <w:shd w:val="clear" w:color="auto" w:fill="auto"/>
            <w:vAlign w:val="center"/>
          </w:tcPr>
          <w:p w14:paraId="328168C4" w14:textId="77777777" w:rsidR="00FA5CB3" w:rsidRPr="00FA5CB3" w:rsidRDefault="00FA5CB3" w:rsidP="00985B8E">
            <w:pPr>
              <w:shd w:val="clear" w:color="auto" w:fill="FFFFFF" w:themeFill="background1"/>
              <w:spacing w:after="240" w:line="240" w:lineRule="auto"/>
              <w:jc w:val="both"/>
              <w:rPr>
                <w:rFonts w:asciiTheme="majorBidi" w:eastAsia="Times New Roman" w:hAnsiTheme="majorBidi" w:cstheme="majorBidi"/>
                <w:b/>
                <w:bCs/>
                <w:sz w:val="24"/>
                <w:szCs w:val="24"/>
                <w:lang w:val="en-GB"/>
              </w:rPr>
            </w:pPr>
            <w:r w:rsidRPr="00FA5CB3">
              <w:rPr>
                <w:rFonts w:asciiTheme="majorBidi" w:eastAsia="Times New Roman" w:hAnsiTheme="majorBidi" w:cstheme="majorBidi"/>
                <w:b/>
                <w:bCs/>
                <w:sz w:val="24"/>
                <w:szCs w:val="24"/>
                <w:lang w:val="en-GB"/>
              </w:rPr>
              <w:t>Strongly Disagree</w:t>
            </w:r>
          </w:p>
        </w:tc>
        <w:tc>
          <w:tcPr>
            <w:tcW w:w="414" w:type="pct"/>
            <w:vMerge w:val="restart"/>
            <w:shd w:val="clear" w:color="auto" w:fill="auto"/>
            <w:vAlign w:val="center"/>
          </w:tcPr>
          <w:p w14:paraId="299CF97A" w14:textId="77777777" w:rsidR="00FA5CB3" w:rsidRPr="00FA5CB3" w:rsidRDefault="00FA5CB3" w:rsidP="00985B8E">
            <w:pPr>
              <w:shd w:val="clear" w:color="auto" w:fill="FFFFFF" w:themeFill="background1"/>
              <w:spacing w:after="240" w:line="240" w:lineRule="auto"/>
              <w:jc w:val="both"/>
              <w:rPr>
                <w:rFonts w:asciiTheme="majorBidi" w:eastAsia="Times New Roman" w:hAnsiTheme="majorBidi" w:cstheme="majorBidi"/>
                <w:b/>
                <w:bCs/>
                <w:sz w:val="24"/>
                <w:szCs w:val="24"/>
                <w:lang w:val="en-GB"/>
              </w:rPr>
            </w:pPr>
            <w:r w:rsidRPr="00FA5CB3">
              <w:rPr>
                <w:rFonts w:asciiTheme="majorBidi" w:eastAsia="Times New Roman" w:hAnsiTheme="majorBidi" w:cstheme="majorBidi"/>
                <w:b/>
                <w:bCs/>
                <w:sz w:val="24"/>
                <w:szCs w:val="24"/>
                <w:lang w:val="en-GB"/>
              </w:rPr>
              <w:t>Mean</w:t>
            </w:r>
          </w:p>
        </w:tc>
        <w:tc>
          <w:tcPr>
            <w:tcW w:w="621" w:type="pct"/>
            <w:vMerge w:val="restart"/>
            <w:shd w:val="clear" w:color="auto" w:fill="auto"/>
            <w:vAlign w:val="center"/>
          </w:tcPr>
          <w:p w14:paraId="061B81BC" w14:textId="77777777" w:rsidR="00FA5CB3" w:rsidRPr="00FA5CB3" w:rsidRDefault="00FA5CB3" w:rsidP="00985B8E">
            <w:pPr>
              <w:shd w:val="clear" w:color="auto" w:fill="FFFFFF" w:themeFill="background1"/>
              <w:spacing w:after="240" w:line="240" w:lineRule="auto"/>
              <w:jc w:val="both"/>
              <w:rPr>
                <w:rFonts w:asciiTheme="majorBidi" w:eastAsia="Times New Roman" w:hAnsiTheme="majorBidi" w:cstheme="majorBidi"/>
                <w:b/>
                <w:bCs/>
                <w:sz w:val="24"/>
                <w:szCs w:val="24"/>
                <w:lang w:val="en-GB"/>
              </w:rPr>
            </w:pPr>
            <w:r w:rsidRPr="00FA5CB3">
              <w:rPr>
                <w:rFonts w:asciiTheme="majorBidi" w:eastAsia="Times New Roman" w:hAnsiTheme="majorBidi" w:cstheme="majorBidi"/>
                <w:b/>
                <w:bCs/>
                <w:sz w:val="24"/>
                <w:szCs w:val="24"/>
                <w:lang w:val="en-GB"/>
              </w:rPr>
              <w:t>Standard</w:t>
            </w:r>
          </w:p>
          <w:p w14:paraId="684CB68D" w14:textId="77777777" w:rsidR="00FA5CB3" w:rsidRPr="00FA5CB3" w:rsidRDefault="00FA5CB3" w:rsidP="00985B8E">
            <w:pPr>
              <w:shd w:val="clear" w:color="auto" w:fill="FFFFFF" w:themeFill="background1"/>
              <w:spacing w:after="240" w:line="240" w:lineRule="auto"/>
              <w:jc w:val="both"/>
              <w:rPr>
                <w:rFonts w:asciiTheme="majorBidi" w:eastAsia="Times New Roman" w:hAnsiTheme="majorBidi" w:cstheme="majorBidi"/>
                <w:b/>
                <w:bCs/>
                <w:sz w:val="24"/>
                <w:szCs w:val="24"/>
                <w:lang w:val="en-GB"/>
              </w:rPr>
            </w:pPr>
            <w:r w:rsidRPr="00FA5CB3">
              <w:rPr>
                <w:rFonts w:asciiTheme="majorBidi" w:eastAsia="Times New Roman" w:hAnsiTheme="majorBidi" w:cstheme="majorBidi"/>
                <w:b/>
                <w:bCs/>
                <w:sz w:val="24"/>
                <w:szCs w:val="24"/>
                <w:lang w:val="en-GB"/>
              </w:rPr>
              <w:t>deviation</w:t>
            </w:r>
          </w:p>
        </w:tc>
      </w:tr>
      <w:tr w:rsidR="00FA5CB3" w:rsidRPr="00FA5CB3" w14:paraId="3F141160" w14:textId="77777777" w:rsidTr="003E0AB5">
        <w:trPr>
          <w:trHeight w:val="270"/>
        </w:trPr>
        <w:tc>
          <w:tcPr>
            <w:tcW w:w="1090" w:type="pct"/>
            <w:vMerge/>
            <w:tcBorders>
              <w:bottom w:val="single" w:sz="4" w:space="0" w:color="auto"/>
            </w:tcBorders>
            <w:shd w:val="clear" w:color="auto" w:fill="auto"/>
            <w:vAlign w:val="center"/>
          </w:tcPr>
          <w:p w14:paraId="56589D69" w14:textId="77777777" w:rsidR="00FA5CB3" w:rsidRPr="00FA5CB3" w:rsidRDefault="00FA5CB3"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p>
        </w:tc>
        <w:tc>
          <w:tcPr>
            <w:tcW w:w="274" w:type="pct"/>
            <w:tcBorders>
              <w:top w:val="single" w:sz="4" w:space="0" w:color="auto"/>
              <w:bottom w:val="single" w:sz="4" w:space="0" w:color="auto"/>
            </w:tcBorders>
            <w:shd w:val="clear" w:color="auto" w:fill="auto"/>
            <w:vAlign w:val="center"/>
          </w:tcPr>
          <w:p w14:paraId="209B9AA4" w14:textId="77777777" w:rsidR="00FA5CB3" w:rsidRPr="00FA5CB3" w:rsidRDefault="00FA5CB3"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sidRPr="00FA5CB3">
              <w:rPr>
                <w:rFonts w:asciiTheme="majorBidi" w:eastAsia="Times New Roman" w:hAnsiTheme="majorBidi" w:cstheme="majorBidi"/>
                <w:sz w:val="24"/>
                <w:szCs w:val="24"/>
                <w:lang w:val="en-GB"/>
              </w:rPr>
              <w:t>N</w:t>
            </w:r>
          </w:p>
        </w:tc>
        <w:tc>
          <w:tcPr>
            <w:tcW w:w="321" w:type="pct"/>
            <w:tcBorders>
              <w:top w:val="single" w:sz="4" w:space="0" w:color="auto"/>
              <w:bottom w:val="single" w:sz="4" w:space="0" w:color="auto"/>
            </w:tcBorders>
            <w:shd w:val="clear" w:color="auto" w:fill="auto"/>
            <w:vAlign w:val="center"/>
          </w:tcPr>
          <w:p w14:paraId="0C8842B9" w14:textId="77777777" w:rsidR="00FA5CB3" w:rsidRPr="00FA5CB3" w:rsidRDefault="00FA5CB3"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sidRPr="00FA5CB3">
              <w:rPr>
                <w:rFonts w:asciiTheme="majorBidi" w:eastAsia="Times New Roman" w:hAnsiTheme="majorBidi" w:cstheme="majorBidi"/>
                <w:sz w:val="24"/>
                <w:szCs w:val="24"/>
                <w:lang w:val="en-GB"/>
              </w:rPr>
              <w:t>%</w:t>
            </w:r>
          </w:p>
        </w:tc>
        <w:tc>
          <w:tcPr>
            <w:tcW w:w="222" w:type="pct"/>
            <w:tcBorders>
              <w:top w:val="single" w:sz="4" w:space="0" w:color="auto"/>
              <w:bottom w:val="single" w:sz="4" w:space="0" w:color="auto"/>
            </w:tcBorders>
            <w:shd w:val="clear" w:color="auto" w:fill="auto"/>
            <w:vAlign w:val="center"/>
          </w:tcPr>
          <w:p w14:paraId="62746F13" w14:textId="77777777" w:rsidR="00FA5CB3" w:rsidRPr="00FA5CB3" w:rsidRDefault="00FA5CB3"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sidRPr="00FA5CB3">
              <w:rPr>
                <w:rFonts w:asciiTheme="majorBidi" w:eastAsia="Times New Roman" w:hAnsiTheme="majorBidi" w:cstheme="majorBidi"/>
                <w:sz w:val="24"/>
                <w:szCs w:val="24"/>
                <w:lang w:val="en-GB"/>
              </w:rPr>
              <w:t>N</w:t>
            </w:r>
          </w:p>
        </w:tc>
        <w:tc>
          <w:tcPr>
            <w:tcW w:w="321" w:type="pct"/>
            <w:tcBorders>
              <w:top w:val="single" w:sz="4" w:space="0" w:color="auto"/>
              <w:bottom w:val="single" w:sz="4" w:space="0" w:color="auto"/>
            </w:tcBorders>
            <w:shd w:val="clear" w:color="auto" w:fill="auto"/>
            <w:vAlign w:val="center"/>
          </w:tcPr>
          <w:p w14:paraId="27D60AC3" w14:textId="77777777" w:rsidR="00FA5CB3" w:rsidRPr="00FA5CB3" w:rsidRDefault="00FA5CB3"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sidRPr="00FA5CB3">
              <w:rPr>
                <w:rFonts w:asciiTheme="majorBidi" w:eastAsia="Times New Roman" w:hAnsiTheme="majorBidi" w:cstheme="majorBidi"/>
                <w:sz w:val="24"/>
                <w:szCs w:val="24"/>
                <w:lang w:val="en-GB"/>
              </w:rPr>
              <w:t>%</w:t>
            </w:r>
          </w:p>
        </w:tc>
        <w:tc>
          <w:tcPr>
            <w:tcW w:w="249" w:type="pct"/>
            <w:tcBorders>
              <w:top w:val="single" w:sz="4" w:space="0" w:color="auto"/>
              <w:bottom w:val="single" w:sz="4" w:space="0" w:color="auto"/>
            </w:tcBorders>
            <w:shd w:val="clear" w:color="auto" w:fill="auto"/>
            <w:vAlign w:val="center"/>
          </w:tcPr>
          <w:p w14:paraId="5967B307" w14:textId="77777777" w:rsidR="00FA5CB3" w:rsidRPr="00FA5CB3" w:rsidRDefault="00FA5CB3"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sidRPr="00FA5CB3">
              <w:rPr>
                <w:rFonts w:asciiTheme="majorBidi" w:eastAsia="Times New Roman" w:hAnsiTheme="majorBidi" w:cstheme="majorBidi"/>
                <w:sz w:val="24"/>
                <w:szCs w:val="24"/>
                <w:lang w:val="en-GB"/>
              </w:rPr>
              <w:t>N</w:t>
            </w:r>
          </w:p>
        </w:tc>
        <w:tc>
          <w:tcPr>
            <w:tcW w:w="321" w:type="pct"/>
            <w:tcBorders>
              <w:top w:val="single" w:sz="4" w:space="0" w:color="auto"/>
              <w:bottom w:val="single" w:sz="4" w:space="0" w:color="auto"/>
            </w:tcBorders>
            <w:shd w:val="clear" w:color="auto" w:fill="auto"/>
            <w:vAlign w:val="center"/>
          </w:tcPr>
          <w:p w14:paraId="7A4C0BBA" w14:textId="77777777" w:rsidR="00FA5CB3" w:rsidRPr="00FA5CB3" w:rsidRDefault="00FA5CB3"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sidRPr="00FA5CB3">
              <w:rPr>
                <w:rFonts w:asciiTheme="majorBidi" w:eastAsia="Times New Roman" w:hAnsiTheme="majorBidi" w:cstheme="majorBidi"/>
                <w:sz w:val="24"/>
                <w:szCs w:val="24"/>
                <w:lang w:val="en-GB"/>
              </w:rPr>
              <w:t>%</w:t>
            </w:r>
          </w:p>
        </w:tc>
        <w:tc>
          <w:tcPr>
            <w:tcW w:w="239" w:type="pct"/>
            <w:tcBorders>
              <w:top w:val="single" w:sz="4" w:space="0" w:color="auto"/>
              <w:bottom w:val="single" w:sz="4" w:space="0" w:color="auto"/>
            </w:tcBorders>
            <w:shd w:val="clear" w:color="auto" w:fill="auto"/>
            <w:vAlign w:val="center"/>
          </w:tcPr>
          <w:p w14:paraId="526AC5E5" w14:textId="77777777" w:rsidR="00FA5CB3" w:rsidRPr="00FA5CB3" w:rsidRDefault="00FA5CB3"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sidRPr="00FA5CB3">
              <w:rPr>
                <w:rFonts w:asciiTheme="majorBidi" w:eastAsia="Times New Roman" w:hAnsiTheme="majorBidi" w:cstheme="majorBidi"/>
                <w:sz w:val="24"/>
                <w:szCs w:val="24"/>
                <w:lang w:val="en-GB"/>
              </w:rPr>
              <w:t>N</w:t>
            </w:r>
          </w:p>
        </w:tc>
        <w:tc>
          <w:tcPr>
            <w:tcW w:w="345" w:type="pct"/>
            <w:tcBorders>
              <w:top w:val="single" w:sz="4" w:space="0" w:color="auto"/>
              <w:bottom w:val="single" w:sz="4" w:space="0" w:color="auto"/>
            </w:tcBorders>
            <w:shd w:val="clear" w:color="auto" w:fill="auto"/>
            <w:vAlign w:val="center"/>
          </w:tcPr>
          <w:p w14:paraId="6536CE9C" w14:textId="77777777" w:rsidR="00FA5CB3" w:rsidRPr="00FA5CB3" w:rsidRDefault="00FA5CB3"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sidRPr="00FA5CB3">
              <w:rPr>
                <w:rFonts w:asciiTheme="majorBidi" w:eastAsia="Times New Roman" w:hAnsiTheme="majorBidi" w:cstheme="majorBidi"/>
                <w:sz w:val="24"/>
                <w:szCs w:val="24"/>
                <w:lang w:val="en-GB"/>
              </w:rPr>
              <w:t>%</w:t>
            </w:r>
          </w:p>
        </w:tc>
        <w:tc>
          <w:tcPr>
            <w:tcW w:w="239" w:type="pct"/>
            <w:tcBorders>
              <w:top w:val="single" w:sz="4" w:space="0" w:color="auto"/>
              <w:bottom w:val="single" w:sz="4" w:space="0" w:color="auto"/>
            </w:tcBorders>
            <w:shd w:val="clear" w:color="auto" w:fill="auto"/>
            <w:vAlign w:val="center"/>
          </w:tcPr>
          <w:p w14:paraId="02A13082" w14:textId="77777777" w:rsidR="00FA5CB3" w:rsidRPr="00FA5CB3" w:rsidRDefault="00FA5CB3"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sidRPr="00FA5CB3">
              <w:rPr>
                <w:rFonts w:asciiTheme="majorBidi" w:eastAsia="Times New Roman" w:hAnsiTheme="majorBidi" w:cstheme="majorBidi"/>
                <w:sz w:val="24"/>
                <w:szCs w:val="24"/>
                <w:lang w:val="en-GB"/>
              </w:rPr>
              <w:t>N</w:t>
            </w:r>
          </w:p>
        </w:tc>
        <w:tc>
          <w:tcPr>
            <w:tcW w:w="345" w:type="pct"/>
            <w:tcBorders>
              <w:top w:val="single" w:sz="4" w:space="0" w:color="auto"/>
              <w:bottom w:val="single" w:sz="4" w:space="0" w:color="auto"/>
            </w:tcBorders>
            <w:shd w:val="clear" w:color="auto" w:fill="auto"/>
            <w:vAlign w:val="center"/>
          </w:tcPr>
          <w:p w14:paraId="7CCEAC09" w14:textId="77777777" w:rsidR="00FA5CB3" w:rsidRPr="00FA5CB3" w:rsidRDefault="00FA5CB3"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sidRPr="00FA5CB3">
              <w:rPr>
                <w:rFonts w:asciiTheme="majorBidi" w:eastAsia="Times New Roman" w:hAnsiTheme="majorBidi" w:cstheme="majorBidi"/>
                <w:sz w:val="24"/>
                <w:szCs w:val="24"/>
                <w:lang w:val="en-GB"/>
              </w:rPr>
              <w:t>%</w:t>
            </w:r>
          </w:p>
        </w:tc>
        <w:tc>
          <w:tcPr>
            <w:tcW w:w="414" w:type="pct"/>
            <w:vMerge/>
            <w:tcBorders>
              <w:bottom w:val="single" w:sz="4" w:space="0" w:color="auto"/>
            </w:tcBorders>
            <w:shd w:val="clear" w:color="auto" w:fill="auto"/>
            <w:vAlign w:val="center"/>
          </w:tcPr>
          <w:p w14:paraId="1FAADA0C" w14:textId="77777777" w:rsidR="00FA5CB3" w:rsidRPr="00FA5CB3" w:rsidRDefault="00FA5CB3"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p>
        </w:tc>
        <w:tc>
          <w:tcPr>
            <w:tcW w:w="621" w:type="pct"/>
            <w:vMerge/>
            <w:tcBorders>
              <w:bottom w:val="single" w:sz="4" w:space="0" w:color="auto"/>
            </w:tcBorders>
            <w:shd w:val="clear" w:color="auto" w:fill="auto"/>
            <w:vAlign w:val="center"/>
          </w:tcPr>
          <w:p w14:paraId="787BC3D1" w14:textId="77777777" w:rsidR="00FA5CB3" w:rsidRPr="00FA5CB3" w:rsidRDefault="00FA5CB3"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p>
        </w:tc>
      </w:tr>
      <w:tr w:rsidR="00FA5CB3" w:rsidRPr="00FA5CB3" w14:paraId="576833A0" w14:textId="77777777" w:rsidTr="003E0AB5">
        <w:trPr>
          <w:trHeight w:val="626"/>
        </w:trPr>
        <w:tc>
          <w:tcPr>
            <w:tcW w:w="1090" w:type="pct"/>
            <w:tcBorders>
              <w:top w:val="nil"/>
            </w:tcBorders>
            <w:shd w:val="clear" w:color="auto" w:fill="auto"/>
            <w:vAlign w:val="center"/>
          </w:tcPr>
          <w:p w14:paraId="7FEB71CD" w14:textId="408DD357" w:rsidR="00FA5CB3" w:rsidRPr="00FA5CB3" w:rsidRDefault="00567127"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sidRPr="00567127">
              <w:rPr>
                <w:rFonts w:asciiTheme="majorBidi" w:eastAsia="Times New Roman" w:hAnsiTheme="majorBidi" w:cstheme="majorBidi"/>
                <w:sz w:val="24"/>
                <w:szCs w:val="24"/>
              </w:rPr>
              <w:t>The credit department regularly assesses the borrower's creditworthiness before loan approval.</w:t>
            </w:r>
          </w:p>
        </w:tc>
        <w:tc>
          <w:tcPr>
            <w:tcW w:w="274" w:type="pct"/>
            <w:tcBorders>
              <w:top w:val="nil"/>
            </w:tcBorders>
            <w:shd w:val="clear" w:color="auto" w:fill="auto"/>
            <w:vAlign w:val="center"/>
          </w:tcPr>
          <w:p w14:paraId="0679D530" w14:textId="575462E8" w:rsidR="00FA5CB3" w:rsidRPr="00FA5CB3" w:rsidRDefault="00763AF5"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48</w:t>
            </w:r>
          </w:p>
        </w:tc>
        <w:tc>
          <w:tcPr>
            <w:tcW w:w="321" w:type="pct"/>
            <w:tcBorders>
              <w:top w:val="nil"/>
            </w:tcBorders>
            <w:shd w:val="clear" w:color="auto" w:fill="auto"/>
            <w:vAlign w:val="center"/>
          </w:tcPr>
          <w:p w14:paraId="0AF454E7" w14:textId="13AA6DAA" w:rsidR="00FA5CB3" w:rsidRPr="00FA5CB3" w:rsidRDefault="00763AF5"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85.06</w:t>
            </w:r>
          </w:p>
        </w:tc>
        <w:tc>
          <w:tcPr>
            <w:tcW w:w="222" w:type="pct"/>
            <w:tcBorders>
              <w:top w:val="nil"/>
            </w:tcBorders>
            <w:shd w:val="clear" w:color="auto" w:fill="auto"/>
            <w:vAlign w:val="center"/>
          </w:tcPr>
          <w:p w14:paraId="5A69D9D0" w14:textId="08DE6E22" w:rsidR="00FA5CB3" w:rsidRPr="00FA5CB3" w:rsidRDefault="00763AF5"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5</w:t>
            </w:r>
          </w:p>
        </w:tc>
        <w:tc>
          <w:tcPr>
            <w:tcW w:w="321" w:type="pct"/>
            <w:tcBorders>
              <w:top w:val="nil"/>
            </w:tcBorders>
            <w:shd w:val="clear" w:color="auto" w:fill="auto"/>
            <w:vAlign w:val="center"/>
          </w:tcPr>
          <w:p w14:paraId="29D5EDBC" w14:textId="73E0AAD0" w:rsidR="00FA5CB3" w:rsidRPr="00FA5CB3" w:rsidRDefault="00763AF5"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13.20</w:t>
            </w:r>
          </w:p>
        </w:tc>
        <w:tc>
          <w:tcPr>
            <w:tcW w:w="249" w:type="pct"/>
            <w:tcBorders>
              <w:top w:val="nil"/>
            </w:tcBorders>
            <w:shd w:val="clear" w:color="auto" w:fill="auto"/>
            <w:vAlign w:val="center"/>
          </w:tcPr>
          <w:p w14:paraId="0F0E11BA" w14:textId="2DC3954F" w:rsidR="00FA5CB3" w:rsidRPr="00FA5CB3" w:rsidRDefault="00763AF5"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1</w:t>
            </w:r>
          </w:p>
        </w:tc>
        <w:tc>
          <w:tcPr>
            <w:tcW w:w="321" w:type="pct"/>
            <w:tcBorders>
              <w:top w:val="nil"/>
            </w:tcBorders>
            <w:shd w:val="clear" w:color="auto" w:fill="auto"/>
            <w:vAlign w:val="center"/>
          </w:tcPr>
          <w:p w14:paraId="29CACA8A" w14:textId="17F89183" w:rsidR="00FA5CB3" w:rsidRPr="00FA5CB3" w:rsidRDefault="00763AF5"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1.78</w:t>
            </w:r>
          </w:p>
        </w:tc>
        <w:tc>
          <w:tcPr>
            <w:tcW w:w="239" w:type="pct"/>
            <w:tcBorders>
              <w:top w:val="nil"/>
            </w:tcBorders>
            <w:shd w:val="clear" w:color="auto" w:fill="auto"/>
            <w:vAlign w:val="center"/>
          </w:tcPr>
          <w:p w14:paraId="63C8CBEC" w14:textId="09E192D1" w:rsidR="00FA5CB3" w:rsidRPr="00FA5CB3" w:rsidRDefault="00763AF5"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0</w:t>
            </w:r>
          </w:p>
        </w:tc>
        <w:tc>
          <w:tcPr>
            <w:tcW w:w="345" w:type="pct"/>
            <w:tcBorders>
              <w:top w:val="nil"/>
            </w:tcBorders>
            <w:shd w:val="clear" w:color="auto" w:fill="auto"/>
            <w:vAlign w:val="center"/>
          </w:tcPr>
          <w:p w14:paraId="29441AFE" w14:textId="2173AD1E" w:rsidR="00FA5CB3" w:rsidRPr="00FA5CB3" w:rsidRDefault="00763AF5"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0.0</w:t>
            </w:r>
          </w:p>
        </w:tc>
        <w:tc>
          <w:tcPr>
            <w:tcW w:w="239" w:type="pct"/>
            <w:tcBorders>
              <w:top w:val="nil"/>
            </w:tcBorders>
            <w:shd w:val="clear" w:color="auto" w:fill="auto"/>
            <w:vAlign w:val="center"/>
          </w:tcPr>
          <w:p w14:paraId="34CC3839" w14:textId="77777777" w:rsidR="00FA5CB3" w:rsidRPr="00FA5CB3" w:rsidRDefault="00FA5CB3"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sidRPr="00FA5CB3">
              <w:rPr>
                <w:rFonts w:asciiTheme="majorBidi" w:eastAsia="Times New Roman" w:hAnsiTheme="majorBidi" w:cstheme="majorBidi"/>
                <w:sz w:val="24"/>
                <w:szCs w:val="24"/>
                <w:lang w:val="en-GB"/>
              </w:rPr>
              <w:t>0</w:t>
            </w:r>
          </w:p>
        </w:tc>
        <w:tc>
          <w:tcPr>
            <w:tcW w:w="345" w:type="pct"/>
            <w:tcBorders>
              <w:top w:val="nil"/>
            </w:tcBorders>
            <w:shd w:val="clear" w:color="auto" w:fill="auto"/>
            <w:vAlign w:val="center"/>
          </w:tcPr>
          <w:p w14:paraId="1995B428" w14:textId="77777777" w:rsidR="00FA5CB3" w:rsidRPr="00FA5CB3" w:rsidRDefault="00FA5CB3"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sidRPr="00FA5CB3">
              <w:rPr>
                <w:rFonts w:asciiTheme="majorBidi" w:eastAsia="Times New Roman" w:hAnsiTheme="majorBidi" w:cstheme="majorBidi"/>
                <w:sz w:val="24"/>
                <w:szCs w:val="24"/>
                <w:lang w:val="en-GB"/>
              </w:rPr>
              <w:t>0</w:t>
            </w:r>
          </w:p>
        </w:tc>
        <w:tc>
          <w:tcPr>
            <w:tcW w:w="414" w:type="pct"/>
            <w:tcBorders>
              <w:top w:val="nil"/>
            </w:tcBorders>
            <w:shd w:val="clear" w:color="auto" w:fill="auto"/>
            <w:vAlign w:val="center"/>
          </w:tcPr>
          <w:p w14:paraId="1F2D2705" w14:textId="2547F626" w:rsidR="00FA5CB3" w:rsidRPr="00FA5CB3" w:rsidRDefault="0072104B"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rPr>
              <w:t>4.84</w:t>
            </w:r>
          </w:p>
        </w:tc>
        <w:tc>
          <w:tcPr>
            <w:tcW w:w="621" w:type="pct"/>
            <w:tcBorders>
              <w:top w:val="nil"/>
            </w:tcBorders>
            <w:shd w:val="clear" w:color="auto" w:fill="auto"/>
            <w:vAlign w:val="center"/>
          </w:tcPr>
          <w:p w14:paraId="223E9F0B" w14:textId="4852479E" w:rsidR="00FA5CB3" w:rsidRPr="00FA5CB3" w:rsidRDefault="0072104B"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rPr>
              <w:t>.41</w:t>
            </w:r>
          </w:p>
        </w:tc>
      </w:tr>
      <w:tr w:rsidR="00FA5CB3" w:rsidRPr="00FA5CB3" w14:paraId="74AE0070" w14:textId="77777777" w:rsidTr="003E0AB5">
        <w:trPr>
          <w:trHeight w:val="500"/>
        </w:trPr>
        <w:tc>
          <w:tcPr>
            <w:tcW w:w="1090" w:type="pct"/>
            <w:shd w:val="clear" w:color="auto" w:fill="auto"/>
            <w:vAlign w:val="center"/>
          </w:tcPr>
          <w:p w14:paraId="539157AB" w14:textId="070F6B81" w:rsidR="00FA5CB3" w:rsidRPr="00FA5CB3" w:rsidRDefault="00567127"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sidRPr="00567127">
              <w:rPr>
                <w:rFonts w:asciiTheme="majorBidi" w:eastAsia="Times New Roman" w:hAnsiTheme="majorBidi" w:cstheme="majorBidi"/>
                <w:sz w:val="24"/>
                <w:szCs w:val="24"/>
              </w:rPr>
              <w:t xml:space="preserve">Borrower financial statements and repayment history </w:t>
            </w:r>
            <w:r w:rsidRPr="00567127">
              <w:rPr>
                <w:rFonts w:asciiTheme="majorBidi" w:eastAsia="Times New Roman" w:hAnsiTheme="majorBidi" w:cstheme="majorBidi"/>
                <w:sz w:val="24"/>
                <w:szCs w:val="24"/>
              </w:rPr>
              <w:lastRenderedPageBreak/>
              <w:t>are reviewed in detail.</w:t>
            </w:r>
          </w:p>
        </w:tc>
        <w:tc>
          <w:tcPr>
            <w:tcW w:w="274" w:type="pct"/>
            <w:shd w:val="clear" w:color="auto" w:fill="auto"/>
            <w:vAlign w:val="center"/>
          </w:tcPr>
          <w:p w14:paraId="09DD0D19" w14:textId="03FF1516" w:rsidR="00FA5CB3" w:rsidRPr="00FA5CB3" w:rsidRDefault="003D2E79"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lastRenderedPageBreak/>
              <w:t>41</w:t>
            </w:r>
          </w:p>
        </w:tc>
        <w:tc>
          <w:tcPr>
            <w:tcW w:w="321" w:type="pct"/>
            <w:shd w:val="clear" w:color="auto" w:fill="auto"/>
            <w:vAlign w:val="center"/>
          </w:tcPr>
          <w:p w14:paraId="004C209F" w14:textId="387D5B2C" w:rsidR="00FA5CB3" w:rsidRPr="00FA5CB3" w:rsidRDefault="003D2E79"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73.21</w:t>
            </w:r>
          </w:p>
        </w:tc>
        <w:tc>
          <w:tcPr>
            <w:tcW w:w="222" w:type="pct"/>
            <w:shd w:val="clear" w:color="auto" w:fill="auto"/>
            <w:vAlign w:val="center"/>
          </w:tcPr>
          <w:p w14:paraId="038C3182" w14:textId="6E43CF9B" w:rsidR="00FA5CB3" w:rsidRPr="00FA5CB3" w:rsidRDefault="003D2E79"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12</w:t>
            </w:r>
          </w:p>
        </w:tc>
        <w:tc>
          <w:tcPr>
            <w:tcW w:w="321" w:type="pct"/>
            <w:shd w:val="clear" w:color="auto" w:fill="auto"/>
            <w:vAlign w:val="center"/>
          </w:tcPr>
          <w:p w14:paraId="3453EF1E" w14:textId="52CDE99B" w:rsidR="00FA5CB3" w:rsidRPr="00FA5CB3" w:rsidRDefault="003D2E79"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21.42</w:t>
            </w:r>
          </w:p>
        </w:tc>
        <w:tc>
          <w:tcPr>
            <w:tcW w:w="249" w:type="pct"/>
            <w:shd w:val="clear" w:color="auto" w:fill="auto"/>
            <w:vAlign w:val="center"/>
          </w:tcPr>
          <w:p w14:paraId="13091E2A" w14:textId="77777777" w:rsidR="00FA5CB3" w:rsidRPr="00FA5CB3" w:rsidRDefault="00FA5CB3"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sidRPr="00FA5CB3">
              <w:rPr>
                <w:rFonts w:asciiTheme="majorBidi" w:eastAsia="Times New Roman" w:hAnsiTheme="majorBidi" w:cstheme="majorBidi"/>
                <w:sz w:val="24"/>
                <w:szCs w:val="24"/>
                <w:lang w:val="en-GB"/>
              </w:rPr>
              <w:t>3</w:t>
            </w:r>
          </w:p>
        </w:tc>
        <w:tc>
          <w:tcPr>
            <w:tcW w:w="321" w:type="pct"/>
            <w:shd w:val="clear" w:color="auto" w:fill="auto"/>
            <w:vAlign w:val="center"/>
          </w:tcPr>
          <w:p w14:paraId="5FD6F0C2" w14:textId="635BCBC2" w:rsidR="00FA5CB3" w:rsidRPr="00FA5CB3" w:rsidRDefault="003D2E79"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5.3</w:t>
            </w:r>
          </w:p>
        </w:tc>
        <w:tc>
          <w:tcPr>
            <w:tcW w:w="239" w:type="pct"/>
            <w:shd w:val="clear" w:color="auto" w:fill="auto"/>
            <w:vAlign w:val="center"/>
          </w:tcPr>
          <w:p w14:paraId="53DF2D36" w14:textId="1AD31C6F" w:rsidR="00FA5CB3" w:rsidRPr="00FA5CB3" w:rsidRDefault="003D2E79"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0</w:t>
            </w:r>
          </w:p>
        </w:tc>
        <w:tc>
          <w:tcPr>
            <w:tcW w:w="345" w:type="pct"/>
            <w:shd w:val="clear" w:color="auto" w:fill="auto"/>
            <w:vAlign w:val="center"/>
          </w:tcPr>
          <w:p w14:paraId="33D653F9" w14:textId="2B33AB0B" w:rsidR="00FA5CB3" w:rsidRPr="00FA5CB3" w:rsidRDefault="003D2E79"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0.0</w:t>
            </w:r>
          </w:p>
        </w:tc>
        <w:tc>
          <w:tcPr>
            <w:tcW w:w="239" w:type="pct"/>
            <w:shd w:val="clear" w:color="auto" w:fill="auto"/>
            <w:vAlign w:val="center"/>
          </w:tcPr>
          <w:p w14:paraId="40604BC0" w14:textId="3C7FDEE3" w:rsidR="00FA5CB3" w:rsidRPr="00FA5CB3" w:rsidRDefault="003D2E79"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0</w:t>
            </w:r>
          </w:p>
        </w:tc>
        <w:tc>
          <w:tcPr>
            <w:tcW w:w="345" w:type="pct"/>
            <w:shd w:val="clear" w:color="auto" w:fill="auto"/>
            <w:vAlign w:val="center"/>
          </w:tcPr>
          <w:p w14:paraId="4946EBDA" w14:textId="0116DB15" w:rsidR="00FA5CB3" w:rsidRPr="00FA5CB3" w:rsidRDefault="003D2E79"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0</w:t>
            </w:r>
          </w:p>
        </w:tc>
        <w:tc>
          <w:tcPr>
            <w:tcW w:w="414" w:type="pct"/>
            <w:shd w:val="clear" w:color="auto" w:fill="auto"/>
            <w:vAlign w:val="center"/>
          </w:tcPr>
          <w:p w14:paraId="40D2E1A3" w14:textId="1467D8DE" w:rsidR="00FA5CB3" w:rsidRPr="00FA5CB3" w:rsidRDefault="00C0683D"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4.68</w:t>
            </w:r>
          </w:p>
        </w:tc>
        <w:tc>
          <w:tcPr>
            <w:tcW w:w="621" w:type="pct"/>
            <w:shd w:val="clear" w:color="auto" w:fill="auto"/>
            <w:vAlign w:val="center"/>
          </w:tcPr>
          <w:p w14:paraId="75270314" w14:textId="1A9ACC58" w:rsidR="00FA5CB3" w:rsidRPr="00FA5CB3" w:rsidRDefault="00C0683D"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.57</w:t>
            </w:r>
          </w:p>
        </w:tc>
      </w:tr>
      <w:tr w:rsidR="00FA5CB3" w:rsidRPr="00FA5CB3" w14:paraId="352450DD" w14:textId="77777777" w:rsidTr="003E0AB5">
        <w:trPr>
          <w:trHeight w:val="1310"/>
        </w:trPr>
        <w:tc>
          <w:tcPr>
            <w:tcW w:w="1090" w:type="pct"/>
            <w:shd w:val="clear" w:color="auto" w:fill="auto"/>
            <w:vAlign w:val="center"/>
          </w:tcPr>
          <w:p w14:paraId="5253B15D" w14:textId="53F275E9" w:rsidR="00FA5CB3" w:rsidRPr="00FA5CB3" w:rsidRDefault="00567127"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sidRPr="00567127">
              <w:rPr>
                <w:rFonts w:asciiTheme="majorBidi" w:eastAsia="Times New Roman" w:hAnsiTheme="majorBidi" w:cstheme="majorBidi"/>
                <w:sz w:val="24"/>
                <w:szCs w:val="24"/>
              </w:rPr>
              <w:lastRenderedPageBreak/>
              <w:t>Borrower creditworthiness assessment considers market conditions and economic factors.</w:t>
            </w:r>
          </w:p>
        </w:tc>
        <w:tc>
          <w:tcPr>
            <w:tcW w:w="274" w:type="pct"/>
            <w:shd w:val="clear" w:color="auto" w:fill="auto"/>
            <w:vAlign w:val="center"/>
          </w:tcPr>
          <w:p w14:paraId="6FC80D2E" w14:textId="59FBB612" w:rsidR="00FA5CB3" w:rsidRPr="00FA5CB3" w:rsidRDefault="00C101C6"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46</w:t>
            </w:r>
          </w:p>
        </w:tc>
        <w:tc>
          <w:tcPr>
            <w:tcW w:w="321" w:type="pct"/>
            <w:shd w:val="clear" w:color="auto" w:fill="auto"/>
            <w:vAlign w:val="center"/>
          </w:tcPr>
          <w:p w14:paraId="68AE9A17" w14:textId="63D2F471" w:rsidR="00FA5CB3" w:rsidRPr="00FA5CB3" w:rsidRDefault="00C101C6"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82.14</w:t>
            </w:r>
          </w:p>
        </w:tc>
        <w:tc>
          <w:tcPr>
            <w:tcW w:w="222" w:type="pct"/>
            <w:shd w:val="clear" w:color="auto" w:fill="auto"/>
            <w:vAlign w:val="center"/>
          </w:tcPr>
          <w:p w14:paraId="0D5A5247" w14:textId="14334769" w:rsidR="00FA5CB3" w:rsidRPr="00FA5CB3" w:rsidRDefault="00C101C6"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8</w:t>
            </w:r>
          </w:p>
        </w:tc>
        <w:tc>
          <w:tcPr>
            <w:tcW w:w="321" w:type="pct"/>
            <w:shd w:val="clear" w:color="auto" w:fill="auto"/>
            <w:vAlign w:val="center"/>
          </w:tcPr>
          <w:p w14:paraId="5D13332D" w14:textId="28814189" w:rsidR="00FA5CB3" w:rsidRPr="00FA5CB3" w:rsidRDefault="00C101C6"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14.28</w:t>
            </w:r>
          </w:p>
        </w:tc>
        <w:tc>
          <w:tcPr>
            <w:tcW w:w="249" w:type="pct"/>
            <w:shd w:val="clear" w:color="auto" w:fill="auto"/>
            <w:vAlign w:val="center"/>
          </w:tcPr>
          <w:p w14:paraId="449F26D4" w14:textId="77777777" w:rsidR="00FA5CB3" w:rsidRPr="00FA5CB3" w:rsidRDefault="00FA5CB3"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sidRPr="00FA5CB3">
              <w:rPr>
                <w:rFonts w:asciiTheme="majorBidi" w:eastAsia="Times New Roman" w:hAnsiTheme="majorBidi" w:cstheme="majorBidi"/>
                <w:sz w:val="24"/>
                <w:szCs w:val="24"/>
                <w:lang w:val="en-GB"/>
              </w:rPr>
              <w:t>1</w:t>
            </w:r>
          </w:p>
        </w:tc>
        <w:tc>
          <w:tcPr>
            <w:tcW w:w="321" w:type="pct"/>
            <w:shd w:val="clear" w:color="auto" w:fill="auto"/>
            <w:vAlign w:val="center"/>
          </w:tcPr>
          <w:p w14:paraId="28A178EB" w14:textId="005231EB" w:rsidR="00FA5CB3" w:rsidRPr="00FA5CB3" w:rsidRDefault="00C101C6"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1.78</w:t>
            </w:r>
          </w:p>
        </w:tc>
        <w:tc>
          <w:tcPr>
            <w:tcW w:w="239" w:type="pct"/>
            <w:shd w:val="clear" w:color="auto" w:fill="auto"/>
            <w:vAlign w:val="center"/>
          </w:tcPr>
          <w:p w14:paraId="55A8AA68" w14:textId="1A08911B" w:rsidR="00FA5CB3" w:rsidRPr="00FA5CB3" w:rsidRDefault="00C101C6"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0</w:t>
            </w:r>
          </w:p>
        </w:tc>
        <w:tc>
          <w:tcPr>
            <w:tcW w:w="345" w:type="pct"/>
            <w:shd w:val="clear" w:color="auto" w:fill="auto"/>
            <w:vAlign w:val="center"/>
          </w:tcPr>
          <w:p w14:paraId="429E4C38" w14:textId="7B7207A5" w:rsidR="00FA5CB3" w:rsidRPr="00FA5CB3" w:rsidRDefault="00C101C6"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0.0</w:t>
            </w:r>
          </w:p>
        </w:tc>
        <w:tc>
          <w:tcPr>
            <w:tcW w:w="239" w:type="pct"/>
            <w:shd w:val="clear" w:color="auto" w:fill="auto"/>
            <w:vAlign w:val="center"/>
          </w:tcPr>
          <w:p w14:paraId="4DDEE486" w14:textId="7A1AD177" w:rsidR="00FA5CB3" w:rsidRPr="00FA5CB3" w:rsidRDefault="00C101C6"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0</w:t>
            </w:r>
          </w:p>
        </w:tc>
        <w:tc>
          <w:tcPr>
            <w:tcW w:w="345" w:type="pct"/>
            <w:shd w:val="clear" w:color="auto" w:fill="auto"/>
            <w:vAlign w:val="center"/>
          </w:tcPr>
          <w:p w14:paraId="7AF1BCE5" w14:textId="6D2798E4" w:rsidR="00FA5CB3" w:rsidRPr="00FA5CB3" w:rsidRDefault="00C101C6"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0</w:t>
            </w:r>
          </w:p>
        </w:tc>
        <w:tc>
          <w:tcPr>
            <w:tcW w:w="414" w:type="pct"/>
            <w:shd w:val="clear" w:color="auto" w:fill="auto"/>
            <w:vAlign w:val="center"/>
          </w:tcPr>
          <w:p w14:paraId="26E8A3B1" w14:textId="5D8185C7" w:rsidR="00FA5CB3" w:rsidRPr="00FA5CB3" w:rsidRDefault="00C101C6"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rPr>
              <w:t>4.82</w:t>
            </w:r>
          </w:p>
        </w:tc>
        <w:tc>
          <w:tcPr>
            <w:tcW w:w="621" w:type="pct"/>
            <w:shd w:val="clear" w:color="auto" w:fill="auto"/>
            <w:vAlign w:val="center"/>
          </w:tcPr>
          <w:p w14:paraId="45DC7293" w14:textId="2718C6F1" w:rsidR="00FA5CB3" w:rsidRPr="00FA5CB3" w:rsidRDefault="00C101C6" w:rsidP="00985B8E">
            <w:pPr>
              <w:shd w:val="clear" w:color="auto" w:fill="FFFFFF" w:themeFill="background1"/>
              <w:spacing w:after="240" w:line="240" w:lineRule="auto"/>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rPr>
              <w:t>.43</w:t>
            </w:r>
          </w:p>
        </w:tc>
      </w:tr>
    </w:tbl>
    <w:p w14:paraId="76C80C7B" w14:textId="6E61FB17" w:rsidR="00FA5CB3" w:rsidRDefault="00FA5CB3" w:rsidP="00985B8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Source: Prima</w:t>
      </w:r>
      <w:r w:rsidR="006161EE">
        <w:rPr>
          <w:rFonts w:asciiTheme="majorBidi" w:eastAsia="Times New Roman" w:hAnsiTheme="majorBidi" w:cstheme="majorBidi"/>
          <w:b/>
          <w:sz w:val="24"/>
          <w:szCs w:val="24"/>
        </w:rPr>
        <w:t>ry Data (2025</w:t>
      </w:r>
      <w:r w:rsidRPr="00FA5CB3">
        <w:rPr>
          <w:rFonts w:asciiTheme="majorBidi" w:eastAsia="Times New Roman" w:hAnsiTheme="majorBidi" w:cstheme="majorBidi"/>
          <w:b/>
          <w:sz w:val="24"/>
          <w:szCs w:val="24"/>
        </w:rPr>
        <w:t>)</w:t>
      </w:r>
    </w:p>
    <w:p w14:paraId="78A4491B" w14:textId="77777777" w:rsidR="00AD4808" w:rsidRPr="00AD4808" w:rsidRDefault="00AD4808" w:rsidP="00AD4808">
      <w:pPr>
        <w:shd w:val="clear" w:color="auto" w:fill="FFFFFF" w:themeFill="background1"/>
        <w:spacing w:after="240" w:line="360" w:lineRule="auto"/>
        <w:jc w:val="both"/>
        <w:rPr>
          <w:rFonts w:asciiTheme="majorBidi" w:eastAsia="Times New Roman" w:hAnsiTheme="majorBidi" w:cstheme="majorBidi"/>
          <w:sz w:val="24"/>
          <w:szCs w:val="24"/>
          <w:lang w:val="en-GB"/>
        </w:rPr>
      </w:pPr>
      <w:r w:rsidRPr="00AD4808">
        <w:rPr>
          <w:rFonts w:asciiTheme="majorBidi" w:eastAsia="Times New Roman" w:hAnsiTheme="majorBidi" w:cstheme="majorBidi"/>
          <w:sz w:val="24"/>
          <w:szCs w:val="24"/>
          <w:lang w:val="en-GB"/>
        </w:rPr>
        <w:t>The findings in Table 4.3 reveal that GT Bank Plc employees perceive the bank’s risk management practices in borrower creditworthiness assessment to be highly effective. The first statement, “The credit department regularly assesses the borrower's creditworthiness before loan approval,” received a strong majority of 85.06% of respondents who strongly agreed, and 13.2% who agreed. The mean score of 4.84 reflects a very positive perception, indicating that the creditworthiness assessment is both routine and thorough. The low standard deviation of 0.41 suggests that there is a strong consensus among employees on this aspect of the bank’s risk management practices, indicating a high level of consistency in the department's approach. Similarly, the second statement, “Borrower financial statements and repayment history are reviewed in detail,” garnered 73.21% strongly agreeing and 21.42% agreeing, with a mean score of 4.68. The standard deviation of 0.57 is slightly higher, indicating some variability in how employees view the thoroughness of this review process, though it remains largely positive. These results suggest that the bank’s financial statement and repayment history assessments are viewed as detailed, yet there may be slight differences in how employees experience or perceive the depth of this review.</w:t>
      </w:r>
    </w:p>
    <w:p w14:paraId="3FEA9711" w14:textId="79389352" w:rsidR="00AD4808" w:rsidRPr="001B0056" w:rsidRDefault="00AD4808" w:rsidP="001B0056">
      <w:pPr>
        <w:shd w:val="clear" w:color="auto" w:fill="FFFFFF" w:themeFill="background1"/>
        <w:spacing w:after="240" w:line="360" w:lineRule="auto"/>
        <w:jc w:val="both"/>
        <w:rPr>
          <w:rFonts w:asciiTheme="majorBidi" w:eastAsia="Times New Roman" w:hAnsiTheme="majorBidi" w:cstheme="majorBidi"/>
          <w:sz w:val="24"/>
          <w:szCs w:val="24"/>
          <w:lang w:val="en-GB"/>
        </w:rPr>
      </w:pPr>
      <w:r w:rsidRPr="00AD4808">
        <w:rPr>
          <w:rFonts w:asciiTheme="majorBidi" w:eastAsia="Times New Roman" w:hAnsiTheme="majorBidi" w:cstheme="majorBidi"/>
          <w:sz w:val="24"/>
          <w:szCs w:val="24"/>
          <w:lang w:val="en-GB"/>
        </w:rPr>
        <w:t xml:space="preserve">The third statement, “Borrower creditworthiness assessment considers market conditions and economic factors,” received 82.14% strongly agreeing and 14.28% agreeing, with a mean score of 4.82. The low standard deviation of 0.43 indicates a strong level of agreement among employees that external economic factors are considered in creditworthiness assessments, a practice crucial for mitigating broader financial risks. These findings align with previous research by </w:t>
      </w:r>
      <w:proofErr w:type="spellStart"/>
      <w:r w:rsidRPr="00AD4808">
        <w:rPr>
          <w:rFonts w:asciiTheme="majorBidi" w:eastAsia="Times New Roman" w:hAnsiTheme="majorBidi" w:cstheme="majorBidi"/>
          <w:sz w:val="24"/>
          <w:szCs w:val="24"/>
          <w:lang w:val="en-GB"/>
        </w:rPr>
        <w:t>Akinbami</w:t>
      </w:r>
      <w:proofErr w:type="spellEnd"/>
      <w:r w:rsidRPr="00AD4808">
        <w:rPr>
          <w:rFonts w:asciiTheme="majorBidi" w:eastAsia="Times New Roman" w:hAnsiTheme="majorBidi" w:cstheme="majorBidi"/>
          <w:sz w:val="24"/>
          <w:szCs w:val="24"/>
          <w:lang w:val="en-GB"/>
        </w:rPr>
        <w:t xml:space="preserve"> and </w:t>
      </w:r>
      <w:proofErr w:type="spellStart"/>
      <w:r w:rsidRPr="00AD4808">
        <w:rPr>
          <w:rFonts w:asciiTheme="majorBidi" w:eastAsia="Times New Roman" w:hAnsiTheme="majorBidi" w:cstheme="majorBidi"/>
          <w:sz w:val="24"/>
          <w:szCs w:val="24"/>
          <w:lang w:val="en-GB"/>
        </w:rPr>
        <w:t>Akinola</w:t>
      </w:r>
      <w:proofErr w:type="spellEnd"/>
      <w:r w:rsidRPr="00AD4808">
        <w:rPr>
          <w:rFonts w:asciiTheme="majorBidi" w:eastAsia="Times New Roman" w:hAnsiTheme="majorBidi" w:cstheme="majorBidi"/>
          <w:sz w:val="24"/>
          <w:szCs w:val="24"/>
          <w:lang w:val="en-GB"/>
        </w:rPr>
        <w:t xml:space="preserve"> (2020), who found that Nigerian banks with effective risk management systems prioritize both internal borrower data and external economic conditions in their credit assessments. Their study emphasized that this approach is essential for reducing default rates and ensuring financial stability. Similarly, the responses from GT Bank Plc employees suggest that the integration of economic factors into borrower assessments is </w:t>
      </w:r>
      <w:r w:rsidRPr="00AD4808">
        <w:rPr>
          <w:rFonts w:asciiTheme="majorBidi" w:eastAsia="Times New Roman" w:hAnsiTheme="majorBidi" w:cstheme="majorBidi"/>
          <w:sz w:val="24"/>
          <w:szCs w:val="24"/>
          <w:lang w:val="en-GB"/>
        </w:rPr>
        <w:lastRenderedPageBreak/>
        <w:t>seen as an important and effective part of their risk management practices. This practice contributes to a more robust risk mitigation strategy, aligning with industry best practices in credit risk management.</w:t>
      </w:r>
      <w:r w:rsidR="001B0056">
        <w:rPr>
          <w:rFonts w:asciiTheme="majorBidi" w:eastAsia="Times New Roman" w:hAnsiTheme="majorBidi" w:cstheme="majorBidi"/>
          <w:sz w:val="24"/>
          <w:szCs w:val="24"/>
          <w:lang w:val="en-GB"/>
        </w:rPr>
        <w:t xml:space="preserve"> </w:t>
      </w:r>
    </w:p>
    <w:p w14:paraId="7393AF89" w14:textId="7F84EEA6" w:rsidR="00FA5CB3" w:rsidRPr="00FA5CB3" w:rsidRDefault="00FA5CB3" w:rsidP="00FA5CB3">
      <w:pPr>
        <w:shd w:val="clear" w:color="auto" w:fill="FFFFFF" w:themeFill="background1"/>
        <w:spacing w:after="240" w:line="360" w:lineRule="auto"/>
        <w:jc w:val="both"/>
        <w:rPr>
          <w:rFonts w:asciiTheme="majorBidi" w:eastAsia="Times New Roman" w:hAnsiTheme="majorBidi" w:cstheme="majorBidi"/>
          <w:b/>
          <w:sz w:val="24"/>
          <w:szCs w:val="24"/>
        </w:rPr>
      </w:pPr>
      <w:bookmarkStart w:id="1353" w:name="_Toc164337105"/>
      <w:bookmarkStart w:id="1354" w:name="_Toc175219981"/>
      <w:r w:rsidRPr="00FA5CB3">
        <w:rPr>
          <w:rFonts w:asciiTheme="majorBidi" w:eastAsia="Times New Roman" w:hAnsiTheme="majorBidi" w:cstheme="majorBidi"/>
          <w:b/>
          <w:bCs/>
          <w:iCs/>
          <w:sz w:val="24"/>
          <w:szCs w:val="24"/>
        </w:rPr>
        <w:t>Table 4.</w:t>
      </w:r>
      <w:r w:rsidRPr="00FA5CB3">
        <w:rPr>
          <w:rFonts w:asciiTheme="majorBidi" w:eastAsia="Times New Roman" w:hAnsiTheme="majorBidi" w:cstheme="majorBidi"/>
          <w:b/>
          <w:bCs/>
          <w:iCs/>
          <w:sz w:val="24"/>
          <w:szCs w:val="24"/>
        </w:rPr>
        <w:fldChar w:fldCharType="begin"/>
      </w:r>
      <w:r w:rsidRPr="00FA5CB3">
        <w:rPr>
          <w:rFonts w:asciiTheme="majorBidi" w:eastAsia="Times New Roman" w:hAnsiTheme="majorBidi" w:cstheme="majorBidi"/>
          <w:b/>
          <w:bCs/>
          <w:iCs/>
          <w:sz w:val="24"/>
          <w:szCs w:val="24"/>
        </w:rPr>
        <w:instrText xml:space="preserve"> SEQ Table_4. \* ARABIC </w:instrText>
      </w:r>
      <w:r w:rsidRPr="00FA5CB3">
        <w:rPr>
          <w:rFonts w:asciiTheme="majorBidi" w:eastAsia="Times New Roman" w:hAnsiTheme="majorBidi" w:cstheme="majorBidi"/>
          <w:b/>
          <w:bCs/>
          <w:iCs/>
          <w:sz w:val="24"/>
          <w:szCs w:val="24"/>
        </w:rPr>
        <w:fldChar w:fldCharType="separate"/>
      </w:r>
      <w:r w:rsidRPr="00FA5CB3">
        <w:rPr>
          <w:rFonts w:asciiTheme="majorBidi" w:eastAsia="Times New Roman" w:hAnsiTheme="majorBidi" w:cstheme="majorBidi"/>
          <w:b/>
          <w:bCs/>
          <w:iCs/>
          <w:sz w:val="24"/>
          <w:szCs w:val="24"/>
        </w:rPr>
        <w:t>4</w:t>
      </w:r>
      <w:r w:rsidRPr="00FA5CB3">
        <w:rPr>
          <w:rFonts w:asciiTheme="majorBidi" w:eastAsia="Times New Roman" w:hAnsiTheme="majorBidi" w:cstheme="majorBidi"/>
          <w:sz w:val="24"/>
          <w:szCs w:val="24"/>
        </w:rPr>
        <w:fldChar w:fldCharType="end"/>
      </w:r>
      <w:r w:rsidRPr="00FA5CB3">
        <w:rPr>
          <w:rFonts w:asciiTheme="majorBidi" w:eastAsia="Times New Roman" w:hAnsiTheme="majorBidi" w:cstheme="majorBidi"/>
          <w:b/>
          <w:bCs/>
          <w:iCs/>
          <w:sz w:val="24"/>
          <w:szCs w:val="24"/>
        </w:rPr>
        <w:t xml:space="preserve">: </w:t>
      </w:r>
      <w:bookmarkEnd w:id="1353"/>
      <w:bookmarkEnd w:id="1354"/>
      <w:r w:rsidR="006161EE" w:rsidRPr="006161EE">
        <w:rPr>
          <w:rFonts w:asciiTheme="majorBidi" w:eastAsia="Times New Roman" w:hAnsiTheme="majorBidi" w:cstheme="majorBidi"/>
          <w:b/>
          <w:bCs/>
          <w:sz w:val="24"/>
          <w:szCs w:val="24"/>
          <w:lang w:val="fr-FR"/>
        </w:rPr>
        <w:t xml:space="preserve">GT Bank employées </w:t>
      </w:r>
      <w:proofErr w:type="spellStart"/>
      <w:r w:rsidR="006161EE" w:rsidRPr="006161EE">
        <w:rPr>
          <w:rFonts w:asciiTheme="majorBidi" w:eastAsia="Times New Roman" w:hAnsiTheme="majorBidi" w:cstheme="majorBidi"/>
          <w:b/>
          <w:bCs/>
          <w:sz w:val="24"/>
          <w:szCs w:val="24"/>
          <w:lang w:val="fr-FR"/>
        </w:rPr>
        <w:t>from</w:t>
      </w:r>
      <w:proofErr w:type="spellEnd"/>
      <w:r w:rsidR="006161EE" w:rsidRPr="006161EE">
        <w:rPr>
          <w:rFonts w:asciiTheme="majorBidi" w:eastAsia="Times New Roman" w:hAnsiTheme="majorBidi" w:cstheme="majorBidi"/>
          <w:b/>
          <w:bCs/>
          <w:sz w:val="24"/>
          <w:szCs w:val="24"/>
          <w:lang w:val="fr-FR"/>
        </w:rPr>
        <w:t xml:space="preserve"> 6 </w:t>
      </w:r>
      <w:proofErr w:type="spellStart"/>
      <w:r w:rsidR="006161EE" w:rsidRPr="006161EE">
        <w:rPr>
          <w:rFonts w:asciiTheme="majorBidi" w:eastAsia="Times New Roman" w:hAnsiTheme="majorBidi" w:cstheme="majorBidi"/>
          <w:b/>
          <w:bCs/>
          <w:sz w:val="24"/>
          <w:szCs w:val="24"/>
          <w:lang w:val="fr-FR"/>
        </w:rPr>
        <w:t>departments</w:t>
      </w:r>
      <w:proofErr w:type="spellEnd"/>
      <w:r w:rsidR="006161EE" w:rsidRPr="006161EE">
        <w:rPr>
          <w:rFonts w:asciiTheme="majorBidi" w:eastAsia="Times New Roman" w:hAnsiTheme="majorBidi" w:cstheme="majorBidi"/>
          <w:b/>
          <w:bCs/>
          <w:sz w:val="24"/>
          <w:szCs w:val="24"/>
          <w:lang w:val="fr-FR"/>
        </w:rPr>
        <w:t xml:space="preserve"> </w:t>
      </w:r>
      <w:r w:rsidR="006161EE">
        <w:rPr>
          <w:rFonts w:asciiTheme="majorBidi" w:eastAsia="Times New Roman" w:hAnsiTheme="majorBidi" w:cstheme="majorBidi"/>
          <w:b/>
          <w:bCs/>
          <w:sz w:val="24"/>
          <w:szCs w:val="24"/>
          <w:lang w:val="fr-FR"/>
        </w:rPr>
        <w:t xml:space="preserve">perception </w:t>
      </w:r>
      <w:r w:rsidR="006161EE" w:rsidRPr="006161EE">
        <w:rPr>
          <w:rFonts w:asciiTheme="majorBidi" w:eastAsia="Times New Roman" w:hAnsiTheme="majorBidi" w:cstheme="majorBidi"/>
          <w:b/>
          <w:bCs/>
          <w:sz w:val="24"/>
          <w:szCs w:val="24"/>
        </w:rPr>
        <w:t xml:space="preserve">on the effectiveness of risk management of GT Bank Plc for </w:t>
      </w:r>
      <w:r w:rsidR="006161EE" w:rsidRPr="006161EE">
        <w:rPr>
          <w:rFonts w:ascii="Times New Roman" w:hAnsi="Times New Roman" w:cs="Times New Roman"/>
          <w:b/>
        </w:rPr>
        <w:t>Credit Concentration Risk</w:t>
      </w:r>
    </w:p>
    <w:tbl>
      <w:tblPr>
        <w:tblpPr w:leftFromText="187" w:rightFromText="187" w:vertAnchor="text" w:horzAnchor="margin" w:tblpY="1"/>
        <w:tblOverlap w:val="never"/>
        <w:tblW w:w="5000" w:type="pct"/>
        <w:tblBorders>
          <w:top w:val="single" w:sz="4" w:space="0" w:color="auto"/>
          <w:bottom w:val="single" w:sz="4" w:space="0" w:color="auto"/>
        </w:tblBorders>
        <w:tblCellMar>
          <w:top w:w="12" w:type="dxa"/>
          <w:left w:w="0" w:type="dxa"/>
          <w:right w:w="160" w:type="dxa"/>
        </w:tblCellMar>
        <w:tblLook w:val="04A0" w:firstRow="1" w:lastRow="0" w:firstColumn="1" w:lastColumn="0" w:noHBand="0" w:noVBand="1"/>
      </w:tblPr>
      <w:tblGrid>
        <w:gridCol w:w="1730"/>
        <w:gridCol w:w="528"/>
        <w:gridCol w:w="713"/>
        <w:gridCol w:w="408"/>
        <w:gridCol w:w="713"/>
        <w:gridCol w:w="408"/>
        <w:gridCol w:w="590"/>
        <w:gridCol w:w="408"/>
        <w:gridCol w:w="713"/>
        <w:gridCol w:w="439"/>
        <w:gridCol w:w="634"/>
        <w:gridCol w:w="761"/>
        <w:gridCol w:w="1141"/>
      </w:tblGrid>
      <w:tr w:rsidR="00FA5CB3" w:rsidRPr="00FA5CB3" w14:paraId="220D461A" w14:textId="77777777" w:rsidTr="006F2EC1">
        <w:trPr>
          <w:trHeight w:val="645"/>
        </w:trPr>
        <w:tc>
          <w:tcPr>
            <w:tcW w:w="942" w:type="pct"/>
            <w:vMerge w:val="restart"/>
            <w:shd w:val="clear" w:color="auto" w:fill="auto"/>
            <w:vAlign w:val="center"/>
          </w:tcPr>
          <w:p w14:paraId="03C2077F" w14:textId="77777777" w:rsidR="00FA5CB3" w:rsidRPr="00FA5CB3" w:rsidRDefault="00FA5CB3"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Statements</w:t>
            </w:r>
          </w:p>
        </w:tc>
        <w:tc>
          <w:tcPr>
            <w:tcW w:w="676" w:type="pct"/>
            <w:gridSpan w:val="2"/>
            <w:tcBorders>
              <w:bottom w:val="single" w:sz="4" w:space="0" w:color="auto"/>
            </w:tcBorders>
            <w:shd w:val="clear" w:color="auto" w:fill="auto"/>
            <w:vAlign w:val="center"/>
          </w:tcPr>
          <w:p w14:paraId="45A635D4" w14:textId="77777777" w:rsidR="00FA5CB3" w:rsidRPr="00FA5CB3" w:rsidRDefault="00FA5CB3"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Strongly Agree</w:t>
            </w:r>
          </w:p>
        </w:tc>
        <w:tc>
          <w:tcPr>
            <w:tcW w:w="610" w:type="pct"/>
            <w:gridSpan w:val="2"/>
            <w:tcBorders>
              <w:bottom w:val="single" w:sz="4" w:space="0" w:color="auto"/>
            </w:tcBorders>
            <w:shd w:val="clear" w:color="auto" w:fill="auto"/>
            <w:vAlign w:val="center"/>
          </w:tcPr>
          <w:p w14:paraId="146BE3AE" w14:textId="77777777" w:rsidR="00FA5CB3" w:rsidRPr="00FA5CB3" w:rsidRDefault="00FA5CB3"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Agree</w:t>
            </w:r>
          </w:p>
        </w:tc>
        <w:tc>
          <w:tcPr>
            <w:tcW w:w="543" w:type="pct"/>
            <w:gridSpan w:val="2"/>
            <w:tcBorders>
              <w:bottom w:val="single" w:sz="4" w:space="0" w:color="auto"/>
            </w:tcBorders>
            <w:shd w:val="clear" w:color="auto" w:fill="auto"/>
            <w:vAlign w:val="center"/>
          </w:tcPr>
          <w:p w14:paraId="0A0A3FA3" w14:textId="77777777" w:rsidR="00FA5CB3" w:rsidRPr="00FA5CB3" w:rsidRDefault="00FA5CB3"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Neutral</w:t>
            </w:r>
          </w:p>
        </w:tc>
        <w:tc>
          <w:tcPr>
            <w:tcW w:w="610" w:type="pct"/>
            <w:gridSpan w:val="2"/>
            <w:tcBorders>
              <w:bottom w:val="single" w:sz="4" w:space="0" w:color="auto"/>
            </w:tcBorders>
            <w:shd w:val="clear" w:color="auto" w:fill="auto"/>
            <w:vAlign w:val="center"/>
          </w:tcPr>
          <w:p w14:paraId="4638173F" w14:textId="77777777" w:rsidR="00FA5CB3" w:rsidRPr="00FA5CB3" w:rsidRDefault="00FA5CB3"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Disagree</w:t>
            </w:r>
          </w:p>
        </w:tc>
        <w:tc>
          <w:tcPr>
            <w:tcW w:w="584" w:type="pct"/>
            <w:gridSpan w:val="2"/>
            <w:tcBorders>
              <w:bottom w:val="single" w:sz="4" w:space="0" w:color="auto"/>
            </w:tcBorders>
            <w:shd w:val="clear" w:color="auto" w:fill="auto"/>
            <w:vAlign w:val="center"/>
          </w:tcPr>
          <w:p w14:paraId="70E0AD37" w14:textId="77777777" w:rsidR="00FA5CB3" w:rsidRPr="00FA5CB3" w:rsidRDefault="00FA5CB3"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Strongly Disagree</w:t>
            </w:r>
          </w:p>
        </w:tc>
        <w:tc>
          <w:tcPr>
            <w:tcW w:w="414" w:type="pct"/>
            <w:vMerge w:val="restart"/>
            <w:shd w:val="clear" w:color="auto" w:fill="auto"/>
            <w:vAlign w:val="center"/>
          </w:tcPr>
          <w:p w14:paraId="7662154E" w14:textId="77777777" w:rsidR="00FA5CB3" w:rsidRPr="00FA5CB3" w:rsidRDefault="00FA5CB3"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Mean</w:t>
            </w:r>
          </w:p>
        </w:tc>
        <w:tc>
          <w:tcPr>
            <w:tcW w:w="621" w:type="pct"/>
            <w:vMerge w:val="restart"/>
            <w:shd w:val="clear" w:color="auto" w:fill="auto"/>
            <w:vAlign w:val="center"/>
          </w:tcPr>
          <w:p w14:paraId="2BD85B21" w14:textId="77777777" w:rsidR="00FA5CB3" w:rsidRPr="00FA5CB3" w:rsidRDefault="00FA5CB3"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Standard</w:t>
            </w:r>
          </w:p>
          <w:p w14:paraId="262CDC54" w14:textId="77777777" w:rsidR="00FA5CB3" w:rsidRPr="00FA5CB3" w:rsidRDefault="00FA5CB3"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deviation</w:t>
            </w:r>
          </w:p>
        </w:tc>
      </w:tr>
      <w:tr w:rsidR="00FA5CB3" w:rsidRPr="00FA5CB3" w14:paraId="4097D216" w14:textId="77777777" w:rsidTr="006F2EC1">
        <w:trPr>
          <w:trHeight w:val="270"/>
        </w:trPr>
        <w:tc>
          <w:tcPr>
            <w:tcW w:w="942" w:type="pct"/>
            <w:vMerge/>
            <w:tcBorders>
              <w:bottom w:val="single" w:sz="4" w:space="0" w:color="auto"/>
            </w:tcBorders>
            <w:shd w:val="clear" w:color="auto" w:fill="auto"/>
            <w:vAlign w:val="center"/>
          </w:tcPr>
          <w:p w14:paraId="72472723" w14:textId="77777777" w:rsidR="00FA5CB3" w:rsidRPr="00FA5CB3" w:rsidRDefault="00FA5CB3" w:rsidP="00967D6F">
            <w:pPr>
              <w:shd w:val="clear" w:color="auto" w:fill="FFFFFF" w:themeFill="background1"/>
              <w:spacing w:after="240" w:line="240" w:lineRule="auto"/>
              <w:jc w:val="both"/>
              <w:rPr>
                <w:rFonts w:asciiTheme="majorBidi" w:eastAsia="Times New Roman" w:hAnsiTheme="majorBidi" w:cstheme="majorBidi"/>
                <w:sz w:val="24"/>
                <w:szCs w:val="24"/>
              </w:rPr>
            </w:pPr>
          </w:p>
        </w:tc>
        <w:tc>
          <w:tcPr>
            <w:tcW w:w="288" w:type="pct"/>
            <w:tcBorders>
              <w:top w:val="single" w:sz="4" w:space="0" w:color="auto"/>
              <w:bottom w:val="single" w:sz="4" w:space="0" w:color="auto"/>
            </w:tcBorders>
            <w:shd w:val="clear" w:color="auto" w:fill="auto"/>
            <w:vAlign w:val="center"/>
          </w:tcPr>
          <w:p w14:paraId="2EB565CC" w14:textId="77777777" w:rsidR="00FA5CB3" w:rsidRPr="00FA5CB3" w:rsidRDefault="00FA5CB3"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88" w:type="pct"/>
            <w:tcBorders>
              <w:top w:val="single" w:sz="4" w:space="0" w:color="auto"/>
              <w:bottom w:val="single" w:sz="4" w:space="0" w:color="auto"/>
            </w:tcBorders>
            <w:shd w:val="clear" w:color="auto" w:fill="auto"/>
            <w:vAlign w:val="center"/>
          </w:tcPr>
          <w:p w14:paraId="000F1529" w14:textId="77777777" w:rsidR="00FA5CB3" w:rsidRPr="00FA5CB3" w:rsidRDefault="00FA5CB3"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22" w:type="pct"/>
            <w:tcBorders>
              <w:top w:val="single" w:sz="4" w:space="0" w:color="auto"/>
              <w:bottom w:val="single" w:sz="4" w:space="0" w:color="auto"/>
            </w:tcBorders>
            <w:shd w:val="clear" w:color="auto" w:fill="auto"/>
            <w:vAlign w:val="center"/>
          </w:tcPr>
          <w:p w14:paraId="5DAB7566" w14:textId="77777777" w:rsidR="00FA5CB3" w:rsidRPr="00FA5CB3" w:rsidRDefault="00FA5CB3"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88" w:type="pct"/>
            <w:tcBorders>
              <w:top w:val="single" w:sz="4" w:space="0" w:color="auto"/>
              <w:bottom w:val="single" w:sz="4" w:space="0" w:color="auto"/>
            </w:tcBorders>
            <w:shd w:val="clear" w:color="auto" w:fill="auto"/>
            <w:vAlign w:val="center"/>
          </w:tcPr>
          <w:p w14:paraId="15C3AA0B" w14:textId="77777777" w:rsidR="00FA5CB3" w:rsidRPr="00FA5CB3" w:rsidRDefault="00FA5CB3"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22" w:type="pct"/>
            <w:tcBorders>
              <w:top w:val="single" w:sz="4" w:space="0" w:color="auto"/>
              <w:bottom w:val="single" w:sz="4" w:space="0" w:color="auto"/>
            </w:tcBorders>
            <w:shd w:val="clear" w:color="auto" w:fill="auto"/>
            <w:vAlign w:val="center"/>
          </w:tcPr>
          <w:p w14:paraId="0E5F1CE6" w14:textId="77777777" w:rsidR="00FA5CB3" w:rsidRPr="00FA5CB3" w:rsidRDefault="00FA5CB3"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21" w:type="pct"/>
            <w:tcBorders>
              <w:top w:val="single" w:sz="4" w:space="0" w:color="auto"/>
              <w:bottom w:val="single" w:sz="4" w:space="0" w:color="auto"/>
            </w:tcBorders>
            <w:shd w:val="clear" w:color="auto" w:fill="auto"/>
            <w:vAlign w:val="center"/>
          </w:tcPr>
          <w:p w14:paraId="71E4602B" w14:textId="77777777" w:rsidR="00FA5CB3" w:rsidRPr="00FA5CB3" w:rsidRDefault="00FA5CB3"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22" w:type="pct"/>
            <w:tcBorders>
              <w:top w:val="single" w:sz="4" w:space="0" w:color="auto"/>
              <w:bottom w:val="single" w:sz="4" w:space="0" w:color="auto"/>
            </w:tcBorders>
            <w:shd w:val="clear" w:color="auto" w:fill="auto"/>
            <w:vAlign w:val="center"/>
          </w:tcPr>
          <w:p w14:paraId="614A4FCC" w14:textId="77777777" w:rsidR="00FA5CB3" w:rsidRPr="00FA5CB3" w:rsidRDefault="00FA5CB3"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88" w:type="pct"/>
            <w:tcBorders>
              <w:top w:val="single" w:sz="4" w:space="0" w:color="auto"/>
              <w:bottom w:val="single" w:sz="4" w:space="0" w:color="auto"/>
            </w:tcBorders>
            <w:shd w:val="clear" w:color="auto" w:fill="auto"/>
            <w:vAlign w:val="center"/>
          </w:tcPr>
          <w:p w14:paraId="7AE440D0" w14:textId="77777777" w:rsidR="00FA5CB3" w:rsidRPr="00FA5CB3" w:rsidRDefault="00FA5CB3"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39" w:type="pct"/>
            <w:tcBorders>
              <w:top w:val="single" w:sz="4" w:space="0" w:color="auto"/>
              <w:bottom w:val="single" w:sz="4" w:space="0" w:color="auto"/>
            </w:tcBorders>
            <w:shd w:val="clear" w:color="auto" w:fill="auto"/>
            <w:vAlign w:val="center"/>
          </w:tcPr>
          <w:p w14:paraId="2197677F" w14:textId="77777777" w:rsidR="00FA5CB3" w:rsidRPr="00FA5CB3" w:rsidRDefault="00FA5CB3"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45" w:type="pct"/>
            <w:tcBorders>
              <w:top w:val="single" w:sz="4" w:space="0" w:color="auto"/>
              <w:bottom w:val="single" w:sz="4" w:space="0" w:color="auto"/>
            </w:tcBorders>
            <w:shd w:val="clear" w:color="auto" w:fill="auto"/>
            <w:vAlign w:val="center"/>
          </w:tcPr>
          <w:p w14:paraId="486A3765" w14:textId="77777777" w:rsidR="00FA5CB3" w:rsidRPr="00FA5CB3" w:rsidRDefault="00FA5CB3"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414" w:type="pct"/>
            <w:vMerge/>
            <w:tcBorders>
              <w:bottom w:val="single" w:sz="4" w:space="0" w:color="auto"/>
            </w:tcBorders>
            <w:shd w:val="clear" w:color="auto" w:fill="auto"/>
            <w:vAlign w:val="center"/>
          </w:tcPr>
          <w:p w14:paraId="2DDC09BD" w14:textId="77777777" w:rsidR="00FA5CB3" w:rsidRPr="00FA5CB3" w:rsidRDefault="00FA5CB3" w:rsidP="00967D6F">
            <w:pPr>
              <w:shd w:val="clear" w:color="auto" w:fill="FFFFFF" w:themeFill="background1"/>
              <w:spacing w:after="240" w:line="240" w:lineRule="auto"/>
              <w:jc w:val="both"/>
              <w:rPr>
                <w:rFonts w:asciiTheme="majorBidi" w:eastAsia="Times New Roman" w:hAnsiTheme="majorBidi" w:cstheme="majorBidi"/>
                <w:sz w:val="24"/>
                <w:szCs w:val="24"/>
              </w:rPr>
            </w:pPr>
          </w:p>
        </w:tc>
        <w:tc>
          <w:tcPr>
            <w:tcW w:w="621" w:type="pct"/>
            <w:vMerge/>
            <w:tcBorders>
              <w:bottom w:val="single" w:sz="4" w:space="0" w:color="auto"/>
            </w:tcBorders>
            <w:shd w:val="clear" w:color="auto" w:fill="auto"/>
            <w:vAlign w:val="center"/>
          </w:tcPr>
          <w:p w14:paraId="6D6E6EA6" w14:textId="77777777" w:rsidR="00FA5CB3" w:rsidRPr="00FA5CB3" w:rsidRDefault="00FA5CB3" w:rsidP="00967D6F">
            <w:pPr>
              <w:shd w:val="clear" w:color="auto" w:fill="FFFFFF" w:themeFill="background1"/>
              <w:spacing w:after="240" w:line="240" w:lineRule="auto"/>
              <w:jc w:val="both"/>
              <w:rPr>
                <w:rFonts w:asciiTheme="majorBidi" w:eastAsia="Times New Roman" w:hAnsiTheme="majorBidi" w:cstheme="majorBidi"/>
                <w:sz w:val="24"/>
                <w:szCs w:val="24"/>
              </w:rPr>
            </w:pPr>
          </w:p>
        </w:tc>
      </w:tr>
      <w:tr w:rsidR="00340DED" w:rsidRPr="00FA5CB3" w14:paraId="1FC577AE" w14:textId="77777777" w:rsidTr="006F2EC1">
        <w:trPr>
          <w:trHeight w:val="626"/>
        </w:trPr>
        <w:tc>
          <w:tcPr>
            <w:tcW w:w="942" w:type="pct"/>
            <w:tcBorders>
              <w:top w:val="nil"/>
            </w:tcBorders>
            <w:shd w:val="clear" w:color="auto" w:fill="auto"/>
          </w:tcPr>
          <w:p w14:paraId="1B637288" w14:textId="0321A69B" w:rsidR="00340DED" w:rsidRPr="00FA5CB3" w:rsidRDefault="00340DED" w:rsidP="00967D6F">
            <w:pPr>
              <w:shd w:val="clear" w:color="auto" w:fill="FFFFFF" w:themeFill="background1"/>
              <w:spacing w:after="240" w:line="240" w:lineRule="auto"/>
              <w:jc w:val="both"/>
              <w:rPr>
                <w:rFonts w:asciiTheme="majorBidi" w:eastAsia="Times New Roman" w:hAnsiTheme="majorBidi" w:cstheme="majorBidi"/>
                <w:sz w:val="24"/>
                <w:szCs w:val="24"/>
              </w:rPr>
            </w:pPr>
            <w:r w:rsidRPr="00C929CA">
              <w:t>The institution monitors credit exposure to ensure diversification.</w:t>
            </w:r>
          </w:p>
        </w:tc>
        <w:tc>
          <w:tcPr>
            <w:tcW w:w="288" w:type="pct"/>
            <w:tcBorders>
              <w:top w:val="nil"/>
            </w:tcBorders>
            <w:shd w:val="clear" w:color="auto" w:fill="auto"/>
            <w:vAlign w:val="center"/>
          </w:tcPr>
          <w:p w14:paraId="512D8B65" w14:textId="7DE6D73F" w:rsidR="00340DED" w:rsidRPr="00FA5CB3" w:rsidRDefault="00340DED"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50</w:t>
            </w:r>
          </w:p>
        </w:tc>
        <w:tc>
          <w:tcPr>
            <w:tcW w:w="388" w:type="pct"/>
            <w:tcBorders>
              <w:top w:val="nil"/>
            </w:tcBorders>
            <w:shd w:val="clear" w:color="auto" w:fill="auto"/>
            <w:vAlign w:val="center"/>
          </w:tcPr>
          <w:p w14:paraId="5B49802D" w14:textId="09AADB8F" w:rsidR="00340DED" w:rsidRPr="00FA5CB3" w:rsidRDefault="00340DED"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89.28</w:t>
            </w:r>
          </w:p>
        </w:tc>
        <w:tc>
          <w:tcPr>
            <w:tcW w:w="222" w:type="pct"/>
            <w:tcBorders>
              <w:top w:val="nil"/>
            </w:tcBorders>
            <w:shd w:val="clear" w:color="auto" w:fill="auto"/>
            <w:vAlign w:val="center"/>
          </w:tcPr>
          <w:p w14:paraId="2DC71A10" w14:textId="605E2259" w:rsidR="00340DED" w:rsidRPr="00FA5CB3" w:rsidRDefault="00340DED"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388" w:type="pct"/>
            <w:tcBorders>
              <w:top w:val="nil"/>
            </w:tcBorders>
            <w:shd w:val="clear" w:color="auto" w:fill="auto"/>
            <w:vAlign w:val="center"/>
          </w:tcPr>
          <w:p w14:paraId="4A3F97E0" w14:textId="1C10F39E" w:rsidR="00340DED" w:rsidRPr="00FA5CB3" w:rsidRDefault="00340DED"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7.14</w:t>
            </w:r>
          </w:p>
        </w:tc>
        <w:tc>
          <w:tcPr>
            <w:tcW w:w="222" w:type="pct"/>
            <w:tcBorders>
              <w:top w:val="nil"/>
            </w:tcBorders>
            <w:shd w:val="clear" w:color="auto" w:fill="auto"/>
            <w:vAlign w:val="center"/>
          </w:tcPr>
          <w:p w14:paraId="04B251D5" w14:textId="14704481" w:rsidR="00340DED" w:rsidRPr="00FA5CB3" w:rsidRDefault="00340DED"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321" w:type="pct"/>
            <w:tcBorders>
              <w:top w:val="nil"/>
            </w:tcBorders>
            <w:shd w:val="clear" w:color="auto" w:fill="auto"/>
            <w:vAlign w:val="center"/>
          </w:tcPr>
          <w:p w14:paraId="47FA099B" w14:textId="375680F3" w:rsidR="00340DED" w:rsidRPr="00FA5CB3" w:rsidRDefault="00340DED"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3.57</w:t>
            </w:r>
          </w:p>
        </w:tc>
        <w:tc>
          <w:tcPr>
            <w:tcW w:w="222" w:type="pct"/>
            <w:tcBorders>
              <w:top w:val="nil"/>
            </w:tcBorders>
            <w:shd w:val="clear" w:color="auto" w:fill="auto"/>
            <w:vAlign w:val="center"/>
          </w:tcPr>
          <w:p w14:paraId="5E4F661C" w14:textId="76C63A5F" w:rsidR="00340DED" w:rsidRPr="00FA5CB3" w:rsidRDefault="00E723F3"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88" w:type="pct"/>
            <w:tcBorders>
              <w:top w:val="nil"/>
            </w:tcBorders>
            <w:shd w:val="clear" w:color="auto" w:fill="auto"/>
            <w:vAlign w:val="center"/>
          </w:tcPr>
          <w:p w14:paraId="270D221B" w14:textId="64D1EFB1" w:rsidR="00340DED" w:rsidRPr="00FA5CB3" w:rsidRDefault="00E723F3"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0.0</w:t>
            </w:r>
          </w:p>
        </w:tc>
        <w:tc>
          <w:tcPr>
            <w:tcW w:w="239" w:type="pct"/>
            <w:tcBorders>
              <w:top w:val="nil"/>
            </w:tcBorders>
            <w:shd w:val="clear" w:color="auto" w:fill="auto"/>
            <w:vAlign w:val="center"/>
          </w:tcPr>
          <w:p w14:paraId="3DE228CC" w14:textId="5C66C968" w:rsidR="00340DED" w:rsidRPr="00FA5CB3" w:rsidRDefault="00E723F3"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45" w:type="pct"/>
            <w:tcBorders>
              <w:top w:val="nil"/>
            </w:tcBorders>
            <w:shd w:val="clear" w:color="auto" w:fill="auto"/>
            <w:vAlign w:val="center"/>
          </w:tcPr>
          <w:p w14:paraId="2843DC6C" w14:textId="5D1A985E" w:rsidR="00340DED" w:rsidRPr="00FA5CB3" w:rsidRDefault="00E723F3"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414" w:type="pct"/>
            <w:tcBorders>
              <w:top w:val="nil"/>
            </w:tcBorders>
            <w:shd w:val="clear" w:color="auto" w:fill="auto"/>
            <w:vAlign w:val="center"/>
          </w:tcPr>
          <w:p w14:paraId="4E6BEB8F" w14:textId="583CB3CC" w:rsidR="00340DED" w:rsidRPr="00FA5CB3" w:rsidRDefault="00E723F3"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4.86</w:t>
            </w:r>
          </w:p>
        </w:tc>
        <w:tc>
          <w:tcPr>
            <w:tcW w:w="621" w:type="pct"/>
            <w:tcBorders>
              <w:top w:val="nil"/>
            </w:tcBorders>
            <w:shd w:val="clear" w:color="auto" w:fill="auto"/>
            <w:vAlign w:val="center"/>
          </w:tcPr>
          <w:p w14:paraId="1D389C00" w14:textId="7507D2CE" w:rsidR="00340DED" w:rsidRPr="00FA5CB3" w:rsidRDefault="00E723F3"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.44</w:t>
            </w:r>
          </w:p>
        </w:tc>
      </w:tr>
      <w:tr w:rsidR="00340DED" w:rsidRPr="00FA5CB3" w14:paraId="15568CBA" w14:textId="77777777" w:rsidTr="006F2EC1">
        <w:trPr>
          <w:trHeight w:val="500"/>
        </w:trPr>
        <w:tc>
          <w:tcPr>
            <w:tcW w:w="942" w:type="pct"/>
            <w:shd w:val="clear" w:color="auto" w:fill="auto"/>
          </w:tcPr>
          <w:p w14:paraId="758D1338" w14:textId="754DC972" w:rsidR="00340DED" w:rsidRPr="00FA5CB3" w:rsidRDefault="00340DED" w:rsidP="00967D6F">
            <w:pPr>
              <w:shd w:val="clear" w:color="auto" w:fill="FFFFFF" w:themeFill="background1"/>
              <w:spacing w:after="240" w:line="240" w:lineRule="auto"/>
              <w:jc w:val="both"/>
              <w:rPr>
                <w:rFonts w:asciiTheme="majorBidi" w:eastAsia="Times New Roman" w:hAnsiTheme="majorBidi" w:cstheme="majorBidi"/>
                <w:sz w:val="24"/>
                <w:szCs w:val="24"/>
              </w:rPr>
            </w:pPr>
            <w:r w:rsidRPr="00C929CA">
              <w:t>Policies are in place to prevent excessive credit exposure to a single borrower or sector.</w:t>
            </w:r>
          </w:p>
        </w:tc>
        <w:tc>
          <w:tcPr>
            <w:tcW w:w="288" w:type="pct"/>
            <w:shd w:val="clear" w:color="auto" w:fill="auto"/>
            <w:vAlign w:val="center"/>
          </w:tcPr>
          <w:p w14:paraId="40273059" w14:textId="76C92D67" w:rsidR="00340DED" w:rsidRPr="00FA5CB3" w:rsidRDefault="00717914"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30</w:t>
            </w:r>
          </w:p>
        </w:tc>
        <w:tc>
          <w:tcPr>
            <w:tcW w:w="388" w:type="pct"/>
            <w:shd w:val="clear" w:color="auto" w:fill="auto"/>
            <w:vAlign w:val="center"/>
          </w:tcPr>
          <w:p w14:paraId="3A769A7A" w14:textId="067FB23A" w:rsidR="00340DED" w:rsidRPr="00FA5CB3" w:rsidRDefault="00717914"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53.57</w:t>
            </w:r>
          </w:p>
        </w:tc>
        <w:tc>
          <w:tcPr>
            <w:tcW w:w="222" w:type="pct"/>
            <w:shd w:val="clear" w:color="auto" w:fill="auto"/>
            <w:vAlign w:val="center"/>
          </w:tcPr>
          <w:p w14:paraId="7311137B" w14:textId="71731F18" w:rsidR="00340DED" w:rsidRPr="00FA5CB3" w:rsidRDefault="00717914"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10</w:t>
            </w:r>
          </w:p>
        </w:tc>
        <w:tc>
          <w:tcPr>
            <w:tcW w:w="388" w:type="pct"/>
            <w:shd w:val="clear" w:color="auto" w:fill="auto"/>
            <w:vAlign w:val="center"/>
          </w:tcPr>
          <w:p w14:paraId="71255BBA" w14:textId="3436BE43" w:rsidR="00340DED" w:rsidRPr="00FA5CB3" w:rsidRDefault="00717914"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17.85</w:t>
            </w:r>
          </w:p>
        </w:tc>
        <w:tc>
          <w:tcPr>
            <w:tcW w:w="222" w:type="pct"/>
            <w:shd w:val="clear" w:color="auto" w:fill="auto"/>
            <w:vAlign w:val="center"/>
          </w:tcPr>
          <w:p w14:paraId="413CED20" w14:textId="6DF1DA80" w:rsidR="00340DED" w:rsidRPr="00FA5CB3" w:rsidRDefault="00717914"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321" w:type="pct"/>
            <w:shd w:val="clear" w:color="auto" w:fill="auto"/>
            <w:vAlign w:val="center"/>
          </w:tcPr>
          <w:p w14:paraId="5961B685" w14:textId="5134F147" w:rsidR="00340DED" w:rsidRPr="00FA5CB3" w:rsidRDefault="00717914"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8.92</w:t>
            </w:r>
          </w:p>
        </w:tc>
        <w:tc>
          <w:tcPr>
            <w:tcW w:w="222" w:type="pct"/>
            <w:shd w:val="clear" w:color="auto" w:fill="auto"/>
            <w:vAlign w:val="center"/>
          </w:tcPr>
          <w:p w14:paraId="14A3FA9D" w14:textId="16CBE9DA" w:rsidR="00340DED" w:rsidRPr="00FA5CB3" w:rsidRDefault="00717914"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8</w:t>
            </w:r>
          </w:p>
        </w:tc>
        <w:tc>
          <w:tcPr>
            <w:tcW w:w="388" w:type="pct"/>
            <w:shd w:val="clear" w:color="auto" w:fill="auto"/>
            <w:vAlign w:val="center"/>
          </w:tcPr>
          <w:p w14:paraId="71D21AE5" w14:textId="50F646C0" w:rsidR="00340DED" w:rsidRPr="00FA5CB3" w:rsidRDefault="00717914"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14.28</w:t>
            </w:r>
          </w:p>
        </w:tc>
        <w:tc>
          <w:tcPr>
            <w:tcW w:w="239" w:type="pct"/>
            <w:shd w:val="clear" w:color="auto" w:fill="auto"/>
            <w:vAlign w:val="center"/>
          </w:tcPr>
          <w:p w14:paraId="245EB66F" w14:textId="72A9C35C" w:rsidR="00340DED" w:rsidRPr="00FA5CB3" w:rsidRDefault="00717914"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345" w:type="pct"/>
            <w:shd w:val="clear" w:color="auto" w:fill="auto"/>
            <w:vAlign w:val="center"/>
          </w:tcPr>
          <w:p w14:paraId="608981E3" w14:textId="5F0D0A3E" w:rsidR="00340DED" w:rsidRPr="00FA5CB3" w:rsidRDefault="00717914"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5.35</w:t>
            </w:r>
          </w:p>
        </w:tc>
        <w:tc>
          <w:tcPr>
            <w:tcW w:w="414" w:type="pct"/>
            <w:shd w:val="clear" w:color="auto" w:fill="auto"/>
            <w:vAlign w:val="center"/>
          </w:tcPr>
          <w:p w14:paraId="1648B8D6" w14:textId="3D310AAD" w:rsidR="00340DED" w:rsidRPr="00FA5CB3" w:rsidRDefault="0009662E"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621" w:type="pct"/>
            <w:shd w:val="clear" w:color="auto" w:fill="auto"/>
            <w:vAlign w:val="center"/>
          </w:tcPr>
          <w:p w14:paraId="7EE79546" w14:textId="22D26679" w:rsidR="00340DED" w:rsidRPr="00FA5CB3" w:rsidRDefault="0009662E"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1.30</w:t>
            </w:r>
          </w:p>
        </w:tc>
      </w:tr>
      <w:tr w:rsidR="00340DED" w:rsidRPr="00FA5CB3" w14:paraId="6F38F551" w14:textId="77777777" w:rsidTr="006F2EC1">
        <w:trPr>
          <w:trHeight w:val="1310"/>
        </w:trPr>
        <w:tc>
          <w:tcPr>
            <w:tcW w:w="942" w:type="pct"/>
            <w:shd w:val="clear" w:color="auto" w:fill="auto"/>
          </w:tcPr>
          <w:p w14:paraId="34617D6F" w14:textId="6B4BC9B2" w:rsidR="00340DED" w:rsidRPr="00FA5CB3" w:rsidRDefault="00340DED" w:rsidP="00967D6F">
            <w:pPr>
              <w:shd w:val="clear" w:color="auto" w:fill="FFFFFF" w:themeFill="background1"/>
              <w:spacing w:after="240" w:line="240" w:lineRule="auto"/>
              <w:jc w:val="both"/>
              <w:rPr>
                <w:rFonts w:asciiTheme="majorBidi" w:eastAsia="Times New Roman" w:hAnsiTheme="majorBidi" w:cstheme="majorBidi"/>
                <w:sz w:val="24"/>
                <w:szCs w:val="24"/>
              </w:rPr>
            </w:pPr>
            <w:r w:rsidRPr="00C929CA">
              <w:t>Credit concentration risk is regularly evaluated and mitigated.</w:t>
            </w:r>
          </w:p>
        </w:tc>
        <w:tc>
          <w:tcPr>
            <w:tcW w:w="288" w:type="pct"/>
            <w:shd w:val="clear" w:color="auto" w:fill="auto"/>
            <w:vAlign w:val="center"/>
          </w:tcPr>
          <w:p w14:paraId="1B15D834" w14:textId="245585BE" w:rsidR="00340DED" w:rsidRPr="00FA5CB3" w:rsidRDefault="006567C7"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45</w:t>
            </w:r>
          </w:p>
        </w:tc>
        <w:tc>
          <w:tcPr>
            <w:tcW w:w="388" w:type="pct"/>
            <w:shd w:val="clear" w:color="auto" w:fill="auto"/>
            <w:vAlign w:val="center"/>
          </w:tcPr>
          <w:p w14:paraId="3014044E" w14:textId="17C38493" w:rsidR="00340DED" w:rsidRPr="00FA5CB3" w:rsidRDefault="006567C7"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80.35</w:t>
            </w:r>
          </w:p>
        </w:tc>
        <w:tc>
          <w:tcPr>
            <w:tcW w:w="222" w:type="pct"/>
            <w:shd w:val="clear" w:color="auto" w:fill="auto"/>
            <w:vAlign w:val="center"/>
          </w:tcPr>
          <w:p w14:paraId="0AF5EDC5" w14:textId="604B399F" w:rsidR="00340DED" w:rsidRPr="00FA5CB3" w:rsidRDefault="006567C7"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388" w:type="pct"/>
            <w:shd w:val="clear" w:color="auto" w:fill="auto"/>
            <w:vAlign w:val="center"/>
          </w:tcPr>
          <w:p w14:paraId="17AF5258" w14:textId="01F92A45" w:rsidR="00340DED" w:rsidRPr="00FA5CB3" w:rsidRDefault="006567C7"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10.71</w:t>
            </w:r>
          </w:p>
        </w:tc>
        <w:tc>
          <w:tcPr>
            <w:tcW w:w="222" w:type="pct"/>
            <w:shd w:val="clear" w:color="auto" w:fill="auto"/>
            <w:vAlign w:val="center"/>
          </w:tcPr>
          <w:p w14:paraId="3BF6C127" w14:textId="45CAE699" w:rsidR="00340DED" w:rsidRPr="00FA5CB3" w:rsidRDefault="006567C7"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321" w:type="pct"/>
            <w:shd w:val="clear" w:color="auto" w:fill="auto"/>
            <w:vAlign w:val="center"/>
          </w:tcPr>
          <w:p w14:paraId="045CBE14" w14:textId="5C83FA67" w:rsidR="00340DED" w:rsidRPr="00FA5CB3" w:rsidRDefault="006567C7"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5.35</w:t>
            </w:r>
          </w:p>
        </w:tc>
        <w:tc>
          <w:tcPr>
            <w:tcW w:w="222" w:type="pct"/>
            <w:shd w:val="clear" w:color="auto" w:fill="auto"/>
            <w:vAlign w:val="center"/>
          </w:tcPr>
          <w:p w14:paraId="74F4AEA0" w14:textId="2851BF34" w:rsidR="00340DED" w:rsidRPr="00FA5CB3" w:rsidRDefault="006567C7"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388" w:type="pct"/>
            <w:shd w:val="clear" w:color="auto" w:fill="auto"/>
            <w:vAlign w:val="center"/>
          </w:tcPr>
          <w:p w14:paraId="69DC1427" w14:textId="64B821A3" w:rsidR="00340DED" w:rsidRPr="00FA5CB3" w:rsidRDefault="006567C7"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3.57</w:t>
            </w:r>
          </w:p>
        </w:tc>
        <w:tc>
          <w:tcPr>
            <w:tcW w:w="239" w:type="pct"/>
            <w:shd w:val="clear" w:color="auto" w:fill="auto"/>
            <w:vAlign w:val="center"/>
          </w:tcPr>
          <w:p w14:paraId="3AFE08E4" w14:textId="13B108F6" w:rsidR="00340DED" w:rsidRPr="00FA5CB3" w:rsidRDefault="006567C7"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45" w:type="pct"/>
            <w:shd w:val="clear" w:color="auto" w:fill="auto"/>
            <w:vAlign w:val="center"/>
          </w:tcPr>
          <w:p w14:paraId="3EA7DBCF" w14:textId="314A0D9F" w:rsidR="00340DED" w:rsidRPr="00FA5CB3" w:rsidRDefault="006567C7"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414" w:type="pct"/>
            <w:shd w:val="clear" w:color="auto" w:fill="auto"/>
            <w:vAlign w:val="center"/>
          </w:tcPr>
          <w:p w14:paraId="48A86AE4" w14:textId="22C64B2E" w:rsidR="00340DED" w:rsidRPr="00FA5CB3" w:rsidRDefault="004F5F61"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4.68</w:t>
            </w:r>
          </w:p>
        </w:tc>
        <w:tc>
          <w:tcPr>
            <w:tcW w:w="621" w:type="pct"/>
            <w:shd w:val="clear" w:color="auto" w:fill="auto"/>
            <w:vAlign w:val="center"/>
          </w:tcPr>
          <w:p w14:paraId="00198CBE" w14:textId="718EA411" w:rsidR="00340DED" w:rsidRPr="00FA5CB3" w:rsidRDefault="004F5F61"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.73</w:t>
            </w:r>
          </w:p>
        </w:tc>
      </w:tr>
    </w:tbl>
    <w:p w14:paraId="76A2BA6B" w14:textId="77777777" w:rsidR="00967D6F" w:rsidRDefault="00F62891" w:rsidP="00F061BD">
      <w:pPr>
        <w:shd w:val="clear" w:color="auto" w:fill="FFFFFF" w:themeFill="background1"/>
        <w:spacing w:after="240" w:line="360" w:lineRule="auto"/>
        <w:jc w:val="both"/>
        <w:rPr>
          <w:rFonts w:asciiTheme="majorBidi" w:eastAsia="Times New Roman" w:hAnsiTheme="majorBidi" w:cstheme="majorBidi"/>
          <w:sz w:val="24"/>
          <w:szCs w:val="24"/>
        </w:rPr>
      </w:pPr>
      <w:r>
        <w:rPr>
          <w:rFonts w:asciiTheme="majorBidi" w:eastAsia="Times New Roman" w:hAnsiTheme="majorBidi" w:cstheme="majorBidi"/>
          <w:b/>
          <w:bCs/>
          <w:sz w:val="24"/>
          <w:szCs w:val="24"/>
        </w:rPr>
        <w:t>Source: Primary Data (2025</w:t>
      </w:r>
      <w:r w:rsidR="00FA5CB3" w:rsidRPr="00FA5CB3">
        <w:rPr>
          <w:rFonts w:asciiTheme="majorBidi" w:eastAsia="Times New Roman" w:hAnsiTheme="majorBidi" w:cstheme="majorBidi"/>
          <w:b/>
          <w:bCs/>
          <w:sz w:val="24"/>
          <w:szCs w:val="24"/>
        </w:rPr>
        <w:t xml:space="preserve">) </w:t>
      </w:r>
      <w:r w:rsidR="00FA5CB3" w:rsidRPr="00FA5CB3">
        <w:rPr>
          <w:rFonts w:asciiTheme="majorBidi" w:eastAsia="Times New Roman" w:hAnsiTheme="majorBidi" w:cstheme="majorBidi"/>
          <w:sz w:val="24"/>
          <w:szCs w:val="24"/>
        </w:rPr>
        <w:t xml:space="preserve"> </w:t>
      </w:r>
    </w:p>
    <w:p w14:paraId="61D5F5A6" w14:textId="5A09B048" w:rsidR="00F061BD" w:rsidRPr="001B0056" w:rsidRDefault="00F061BD" w:rsidP="00FA5CB3">
      <w:pPr>
        <w:shd w:val="clear" w:color="auto" w:fill="FFFFFF" w:themeFill="background1"/>
        <w:spacing w:after="240" w:line="360" w:lineRule="auto"/>
        <w:jc w:val="both"/>
        <w:rPr>
          <w:rFonts w:asciiTheme="majorBidi" w:eastAsia="Times New Roman" w:hAnsiTheme="majorBidi" w:cstheme="majorBidi"/>
          <w:sz w:val="24"/>
          <w:szCs w:val="24"/>
          <w:lang w:val="en-GB"/>
        </w:rPr>
      </w:pPr>
      <w:r w:rsidRPr="00F061BD">
        <w:rPr>
          <w:rFonts w:asciiTheme="majorBidi" w:eastAsia="Times New Roman" w:hAnsiTheme="majorBidi" w:cstheme="majorBidi"/>
          <w:sz w:val="24"/>
          <w:szCs w:val="24"/>
          <w:lang w:val="en-GB"/>
        </w:rPr>
        <w:t>The findings in Table 4.4 provide a comprehensive overview of GT Bank Plc employees' perceptions regarding the effectiveness of the bank's credit concentration risk management practices. The first statement, "The institution monitors credit exposure to ensure diversification," received 89.28% of respondents strongly agreeing and 7.14% agreeing, resulting in a mean score of 4.86 and a standard deviation of 0.44. This high level of agreement indicates that employees perceive the bank's efforts to diversify credit exposure as both consistent and effective, aligning with best practices in ri</w:t>
      </w:r>
      <w:r w:rsidR="00967D6F">
        <w:rPr>
          <w:rFonts w:asciiTheme="majorBidi" w:eastAsia="Times New Roman" w:hAnsiTheme="majorBidi" w:cstheme="majorBidi"/>
          <w:sz w:val="24"/>
          <w:szCs w:val="24"/>
          <w:lang w:val="en-GB"/>
        </w:rPr>
        <w:t xml:space="preserve">sk management (Ogunleye, 2019). </w:t>
      </w:r>
      <w:r w:rsidRPr="00F061BD">
        <w:rPr>
          <w:rFonts w:asciiTheme="majorBidi" w:eastAsia="Times New Roman" w:hAnsiTheme="majorBidi" w:cstheme="majorBidi"/>
          <w:sz w:val="24"/>
          <w:szCs w:val="24"/>
          <w:lang w:val="en-GB"/>
        </w:rPr>
        <w:t xml:space="preserve">In contrast, the second statement, "Policies are in place to prevent excessive credit exposure to a single borrower or sector," saw a more varied response: 53.57% strongly agreed, 17.85% agreed, 8.92% were neutral, 14.28% disagreed, and 5.35% strongly </w:t>
      </w:r>
      <w:r w:rsidRPr="00F061BD">
        <w:rPr>
          <w:rFonts w:asciiTheme="majorBidi" w:eastAsia="Times New Roman" w:hAnsiTheme="majorBidi" w:cstheme="majorBidi"/>
          <w:sz w:val="24"/>
          <w:szCs w:val="24"/>
          <w:lang w:val="en-GB"/>
        </w:rPr>
        <w:lastRenderedPageBreak/>
        <w:t>disagreed, yielding a mean score of 4.0 and a standard deviation of 1.30. This diversity in responses suggests differing perceptions among employees regarding the effectiveness of policies aimed at limiting excessive credit exposure, highlighting potential areas for policy review and improvement. The third statement, "Credit concentration risk is regularly evaluated and mitigated," received 80.35% strongly agreeing and 10.71% agreeing, with a mean score of 4.68 and a standard deviation of 0.73. While the majority view this practice positively, the standard deviation indicates some variability in perception, suggesting room for enhancing the consistency of risk evaluati</w:t>
      </w:r>
      <w:r w:rsidR="00967D6F">
        <w:rPr>
          <w:rFonts w:asciiTheme="majorBidi" w:eastAsia="Times New Roman" w:hAnsiTheme="majorBidi" w:cstheme="majorBidi"/>
          <w:sz w:val="24"/>
          <w:szCs w:val="24"/>
          <w:lang w:val="en-GB"/>
        </w:rPr>
        <w:t xml:space="preserve">on and mitigation efforts. </w:t>
      </w:r>
      <w:r w:rsidRPr="00F061BD">
        <w:rPr>
          <w:rFonts w:asciiTheme="majorBidi" w:eastAsia="Times New Roman" w:hAnsiTheme="majorBidi" w:cstheme="majorBidi"/>
          <w:sz w:val="24"/>
          <w:szCs w:val="24"/>
          <w:lang w:val="en-GB"/>
        </w:rPr>
        <w:t xml:space="preserve">These findings resonate with those of </w:t>
      </w:r>
      <w:proofErr w:type="spellStart"/>
      <w:r w:rsidRPr="00F061BD">
        <w:rPr>
          <w:rFonts w:asciiTheme="majorBidi" w:eastAsia="Times New Roman" w:hAnsiTheme="majorBidi" w:cstheme="majorBidi"/>
          <w:sz w:val="24"/>
          <w:szCs w:val="24"/>
          <w:lang w:val="en-GB"/>
        </w:rPr>
        <w:t>Oke</w:t>
      </w:r>
      <w:proofErr w:type="spellEnd"/>
      <w:r w:rsidRPr="00F061BD">
        <w:rPr>
          <w:rFonts w:asciiTheme="majorBidi" w:eastAsia="Times New Roman" w:hAnsiTheme="majorBidi" w:cstheme="majorBidi"/>
          <w:sz w:val="24"/>
          <w:szCs w:val="24"/>
          <w:lang w:val="en-GB"/>
        </w:rPr>
        <w:t xml:space="preserve"> and </w:t>
      </w:r>
      <w:proofErr w:type="spellStart"/>
      <w:r w:rsidRPr="00F061BD">
        <w:rPr>
          <w:rFonts w:asciiTheme="majorBidi" w:eastAsia="Times New Roman" w:hAnsiTheme="majorBidi" w:cstheme="majorBidi"/>
          <w:sz w:val="24"/>
          <w:szCs w:val="24"/>
          <w:lang w:val="en-GB"/>
        </w:rPr>
        <w:t>Akinlo</w:t>
      </w:r>
      <w:proofErr w:type="spellEnd"/>
      <w:r w:rsidRPr="00F061BD">
        <w:rPr>
          <w:rFonts w:asciiTheme="majorBidi" w:eastAsia="Times New Roman" w:hAnsiTheme="majorBidi" w:cstheme="majorBidi"/>
          <w:sz w:val="24"/>
          <w:szCs w:val="24"/>
          <w:lang w:val="en-GB"/>
        </w:rPr>
        <w:t xml:space="preserve"> (2019), who observed that effective credit risk management practices, including diversification and regular evaluation, significantly impact the performance of Nigerian banks. Their study emphasized the importance of robust policies to prevent excessive credit exposure, aligning with the concerns raised by GT Bank Plc employees </w:t>
      </w:r>
      <w:r w:rsidR="001B0056">
        <w:rPr>
          <w:rFonts w:asciiTheme="majorBidi" w:eastAsia="Times New Roman" w:hAnsiTheme="majorBidi" w:cstheme="majorBidi"/>
          <w:sz w:val="24"/>
          <w:szCs w:val="24"/>
          <w:lang w:val="en-GB"/>
        </w:rPr>
        <w:t>regarding policy effectiveness.</w:t>
      </w:r>
    </w:p>
    <w:p w14:paraId="505FE6AA" w14:textId="7C39F815" w:rsidR="00846BB9" w:rsidRDefault="00846BB9" w:rsidP="00846BB9">
      <w:pPr>
        <w:shd w:val="clear" w:color="auto" w:fill="FFFFFF" w:themeFill="background1"/>
        <w:spacing w:after="240" w:line="360" w:lineRule="auto"/>
        <w:jc w:val="both"/>
        <w:rPr>
          <w:rFonts w:ascii="Times New Roman" w:hAnsi="Times New Roman" w:cs="Times New Roman"/>
          <w:b/>
        </w:rPr>
      </w:pPr>
      <w:r w:rsidRPr="00FA5CB3">
        <w:rPr>
          <w:rFonts w:asciiTheme="majorBidi" w:eastAsia="Times New Roman" w:hAnsiTheme="majorBidi" w:cstheme="majorBidi"/>
          <w:b/>
          <w:bCs/>
          <w:iCs/>
          <w:sz w:val="24"/>
          <w:szCs w:val="24"/>
        </w:rPr>
        <w:t>Table 4.</w:t>
      </w:r>
      <w:r>
        <w:rPr>
          <w:rFonts w:asciiTheme="majorBidi" w:eastAsia="Times New Roman" w:hAnsiTheme="majorBidi" w:cstheme="majorBidi"/>
          <w:b/>
          <w:bCs/>
          <w:iCs/>
          <w:sz w:val="24"/>
          <w:szCs w:val="24"/>
        </w:rPr>
        <w:t>5</w:t>
      </w:r>
      <w:r w:rsidRPr="00FA5CB3">
        <w:rPr>
          <w:rFonts w:asciiTheme="majorBidi" w:eastAsia="Times New Roman" w:hAnsiTheme="majorBidi" w:cstheme="majorBidi"/>
          <w:b/>
          <w:bCs/>
          <w:iCs/>
          <w:sz w:val="24"/>
          <w:szCs w:val="24"/>
        </w:rPr>
        <w:t xml:space="preserve">: </w:t>
      </w:r>
      <w:r w:rsidRPr="006161EE">
        <w:rPr>
          <w:rFonts w:asciiTheme="majorBidi" w:eastAsia="Times New Roman" w:hAnsiTheme="majorBidi" w:cstheme="majorBidi"/>
          <w:b/>
          <w:bCs/>
          <w:sz w:val="24"/>
          <w:szCs w:val="24"/>
          <w:lang w:val="fr-FR"/>
        </w:rPr>
        <w:t xml:space="preserve">GT Bank employées </w:t>
      </w:r>
      <w:proofErr w:type="spellStart"/>
      <w:r w:rsidRPr="006161EE">
        <w:rPr>
          <w:rFonts w:asciiTheme="majorBidi" w:eastAsia="Times New Roman" w:hAnsiTheme="majorBidi" w:cstheme="majorBidi"/>
          <w:b/>
          <w:bCs/>
          <w:sz w:val="24"/>
          <w:szCs w:val="24"/>
          <w:lang w:val="fr-FR"/>
        </w:rPr>
        <w:t>from</w:t>
      </w:r>
      <w:proofErr w:type="spellEnd"/>
      <w:r w:rsidRPr="006161EE">
        <w:rPr>
          <w:rFonts w:asciiTheme="majorBidi" w:eastAsia="Times New Roman" w:hAnsiTheme="majorBidi" w:cstheme="majorBidi"/>
          <w:b/>
          <w:bCs/>
          <w:sz w:val="24"/>
          <w:szCs w:val="24"/>
          <w:lang w:val="fr-FR"/>
        </w:rPr>
        <w:t xml:space="preserve"> 6 </w:t>
      </w:r>
      <w:proofErr w:type="spellStart"/>
      <w:r w:rsidRPr="006161EE">
        <w:rPr>
          <w:rFonts w:asciiTheme="majorBidi" w:eastAsia="Times New Roman" w:hAnsiTheme="majorBidi" w:cstheme="majorBidi"/>
          <w:b/>
          <w:bCs/>
          <w:sz w:val="24"/>
          <w:szCs w:val="24"/>
          <w:lang w:val="fr-FR"/>
        </w:rPr>
        <w:t>departments</w:t>
      </w:r>
      <w:proofErr w:type="spellEnd"/>
      <w:r w:rsidRPr="006161EE">
        <w:rPr>
          <w:rFonts w:asciiTheme="majorBidi" w:eastAsia="Times New Roman" w:hAnsiTheme="majorBidi" w:cstheme="majorBidi"/>
          <w:b/>
          <w:bCs/>
          <w:sz w:val="24"/>
          <w:szCs w:val="24"/>
          <w:lang w:val="fr-FR"/>
        </w:rPr>
        <w:t xml:space="preserve"> </w:t>
      </w:r>
      <w:r>
        <w:rPr>
          <w:rFonts w:asciiTheme="majorBidi" w:eastAsia="Times New Roman" w:hAnsiTheme="majorBidi" w:cstheme="majorBidi"/>
          <w:b/>
          <w:bCs/>
          <w:sz w:val="24"/>
          <w:szCs w:val="24"/>
          <w:lang w:val="fr-FR"/>
        </w:rPr>
        <w:t xml:space="preserve">perception </w:t>
      </w:r>
      <w:r w:rsidRPr="006161EE">
        <w:rPr>
          <w:rFonts w:asciiTheme="majorBidi" w:eastAsia="Times New Roman" w:hAnsiTheme="majorBidi" w:cstheme="majorBidi"/>
          <w:b/>
          <w:bCs/>
          <w:sz w:val="24"/>
          <w:szCs w:val="24"/>
        </w:rPr>
        <w:t xml:space="preserve">on the effectiveness of risk management of GT Bank Plc for </w:t>
      </w:r>
      <w:r w:rsidRPr="00846BB9">
        <w:rPr>
          <w:rFonts w:ascii="Times New Roman" w:hAnsi="Times New Roman" w:cs="Times New Roman"/>
          <w:b/>
        </w:rPr>
        <w:t>Debt Restructuring &amp; Recovery Strategies</w:t>
      </w:r>
    </w:p>
    <w:tbl>
      <w:tblPr>
        <w:tblpPr w:leftFromText="187" w:rightFromText="187" w:vertAnchor="text" w:horzAnchor="margin" w:tblpY="1"/>
        <w:tblOverlap w:val="never"/>
        <w:tblW w:w="5000" w:type="pct"/>
        <w:tblBorders>
          <w:top w:val="single" w:sz="4" w:space="0" w:color="auto"/>
          <w:bottom w:val="single" w:sz="4" w:space="0" w:color="auto"/>
        </w:tblBorders>
        <w:tblCellMar>
          <w:top w:w="12" w:type="dxa"/>
          <w:left w:w="0" w:type="dxa"/>
          <w:right w:w="160" w:type="dxa"/>
        </w:tblCellMar>
        <w:tblLook w:val="04A0" w:firstRow="1" w:lastRow="0" w:firstColumn="1" w:lastColumn="0" w:noHBand="0" w:noVBand="1"/>
      </w:tblPr>
      <w:tblGrid>
        <w:gridCol w:w="1730"/>
        <w:gridCol w:w="528"/>
        <w:gridCol w:w="713"/>
        <w:gridCol w:w="408"/>
        <w:gridCol w:w="713"/>
        <w:gridCol w:w="408"/>
        <w:gridCol w:w="590"/>
        <w:gridCol w:w="408"/>
        <w:gridCol w:w="713"/>
        <w:gridCol w:w="439"/>
        <w:gridCol w:w="634"/>
        <w:gridCol w:w="761"/>
        <w:gridCol w:w="1141"/>
      </w:tblGrid>
      <w:tr w:rsidR="00846BB9" w:rsidRPr="00FA5CB3" w14:paraId="2AB474AB" w14:textId="77777777" w:rsidTr="00CD69D4">
        <w:trPr>
          <w:trHeight w:val="645"/>
        </w:trPr>
        <w:tc>
          <w:tcPr>
            <w:tcW w:w="942" w:type="pct"/>
            <w:vMerge w:val="restart"/>
            <w:shd w:val="clear" w:color="auto" w:fill="auto"/>
            <w:vAlign w:val="center"/>
          </w:tcPr>
          <w:p w14:paraId="033CFA16" w14:textId="77777777"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Statements</w:t>
            </w:r>
          </w:p>
        </w:tc>
        <w:tc>
          <w:tcPr>
            <w:tcW w:w="676" w:type="pct"/>
            <w:gridSpan w:val="2"/>
            <w:tcBorders>
              <w:bottom w:val="single" w:sz="4" w:space="0" w:color="auto"/>
            </w:tcBorders>
            <w:shd w:val="clear" w:color="auto" w:fill="auto"/>
            <w:vAlign w:val="center"/>
          </w:tcPr>
          <w:p w14:paraId="5552CC26" w14:textId="77777777"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Strongly Agree</w:t>
            </w:r>
          </w:p>
        </w:tc>
        <w:tc>
          <w:tcPr>
            <w:tcW w:w="610" w:type="pct"/>
            <w:gridSpan w:val="2"/>
            <w:tcBorders>
              <w:bottom w:val="single" w:sz="4" w:space="0" w:color="auto"/>
            </w:tcBorders>
            <w:shd w:val="clear" w:color="auto" w:fill="auto"/>
            <w:vAlign w:val="center"/>
          </w:tcPr>
          <w:p w14:paraId="646EA373" w14:textId="77777777"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Agree</w:t>
            </w:r>
          </w:p>
        </w:tc>
        <w:tc>
          <w:tcPr>
            <w:tcW w:w="543" w:type="pct"/>
            <w:gridSpan w:val="2"/>
            <w:tcBorders>
              <w:bottom w:val="single" w:sz="4" w:space="0" w:color="auto"/>
            </w:tcBorders>
            <w:shd w:val="clear" w:color="auto" w:fill="auto"/>
            <w:vAlign w:val="center"/>
          </w:tcPr>
          <w:p w14:paraId="038154DD" w14:textId="77777777"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Neutral</w:t>
            </w:r>
          </w:p>
        </w:tc>
        <w:tc>
          <w:tcPr>
            <w:tcW w:w="610" w:type="pct"/>
            <w:gridSpan w:val="2"/>
            <w:tcBorders>
              <w:bottom w:val="single" w:sz="4" w:space="0" w:color="auto"/>
            </w:tcBorders>
            <w:shd w:val="clear" w:color="auto" w:fill="auto"/>
            <w:vAlign w:val="center"/>
          </w:tcPr>
          <w:p w14:paraId="13A14CD9" w14:textId="77777777"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Disagree</w:t>
            </w:r>
          </w:p>
        </w:tc>
        <w:tc>
          <w:tcPr>
            <w:tcW w:w="584" w:type="pct"/>
            <w:gridSpan w:val="2"/>
            <w:tcBorders>
              <w:bottom w:val="single" w:sz="4" w:space="0" w:color="auto"/>
            </w:tcBorders>
            <w:shd w:val="clear" w:color="auto" w:fill="auto"/>
            <w:vAlign w:val="center"/>
          </w:tcPr>
          <w:p w14:paraId="2E0DDAE7" w14:textId="77777777"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Strongly Disagree</w:t>
            </w:r>
          </w:p>
        </w:tc>
        <w:tc>
          <w:tcPr>
            <w:tcW w:w="414" w:type="pct"/>
            <w:vMerge w:val="restart"/>
            <w:shd w:val="clear" w:color="auto" w:fill="auto"/>
            <w:vAlign w:val="center"/>
          </w:tcPr>
          <w:p w14:paraId="6493A0FD" w14:textId="77777777"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Mean</w:t>
            </w:r>
          </w:p>
        </w:tc>
        <w:tc>
          <w:tcPr>
            <w:tcW w:w="621" w:type="pct"/>
            <w:vMerge w:val="restart"/>
            <w:shd w:val="clear" w:color="auto" w:fill="auto"/>
            <w:vAlign w:val="center"/>
          </w:tcPr>
          <w:p w14:paraId="0E93F848" w14:textId="77777777"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Standard</w:t>
            </w:r>
          </w:p>
          <w:p w14:paraId="5DA8AAFC" w14:textId="77777777"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deviation</w:t>
            </w:r>
          </w:p>
        </w:tc>
      </w:tr>
      <w:tr w:rsidR="00846BB9" w:rsidRPr="00FA5CB3" w14:paraId="2AB34C16" w14:textId="77777777" w:rsidTr="00CD69D4">
        <w:trPr>
          <w:trHeight w:val="270"/>
        </w:trPr>
        <w:tc>
          <w:tcPr>
            <w:tcW w:w="942" w:type="pct"/>
            <w:vMerge/>
            <w:tcBorders>
              <w:bottom w:val="single" w:sz="4" w:space="0" w:color="auto"/>
            </w:tcBorders>
            <w:shd w:val="clear" w:color="auto" w:fill="auto"/>
            <w:vAlign w:val="center"/>
          </w:tcPr>
          <w:p w14:paraId="67EC85E8" w14:textId="77777777"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sz w:val="24"/>
                <w:szCs w:val="24"/>
              </w:rPr>
            </w:pPr>
          </w:p>
        </w:tc>
        <w:tc>
          <w:tcPr>
            <w:tcW w:w="288" w:type="pct"/>
            <w:tcBorders>
              <w:top w:val="single" w:sz="4" w:space="0" w:color="auto"/>
              <w:bottom w:val="single" w:sz="4" w:space="0" w:color="auto"/>
            </w:tcBorders>
            <w:shd w:val="clear" w:color="auto" w:fill="auto"/>
            <w:vAlign w:val="center"/>
          </w:tcPr>
          <w:p w14:paraId="77DA018D" w14:textId="77777777"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88" w:type="pct"/>
            <w:tcBorders>
              <w:top w:val="single" w:sz="4" w:space="0" w:color="auto"/>
              <w:bottom w:val="single" w:sz="4" w:space="0" w:color="auto"/>
            </w:tcBorders>
            <w:shd w:val="clear" w:color="auto" w:fill="auto"/>
            <w:vAlign w:val="center"/>
          </w:tcPr>
          <w:p w14:paraId="017A6A20" w14:textId="77777777"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22" w:type="pct"/>
            <w:tcBorders>
              <w:top w:val="single" w:sz="4" w:space="0" w:color="auto"/>
              <w:bottom w:val="single" w:sz="4" w:space="0" w:color="auto"/>
            </w:tcBorders>
            <w:shd w:val="clear" w:color="auto" w:fill="auto"/>
            <w:vAlign w:val="center"/>
          </w:tcPr>
          <w:p w14:paraId="5045F051" w14:textId="77777777"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88" w:type="pct"/>
            <w:tcBorders>
              <w:top w:val="single" w:sz="4" w:space="0" w:color="auto"/>
              <w:bottom w:val="single" w:sz="4" w:space="0" w:color="auto"/>
            </w:tcBorders>
            <w:shd w:val="clear" w:color="auto" w:fill="auto"/>
            <w:vAlign w:val="center"/>
          </w:tcPr>
          <w:p w14:paraId="26213117" w14:textId="77777777"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22" w:type="pct"/>
            <w:tcBorders>
              <w:top w:val="single" w:sz="4" w:space="0" w:color="auto"/>
              <w:bottom w:val="single" w:sz="4" w:space="0" w:color="auto"/>
            </w:tcBorders>
            <w:shd w:val="clear" w:color="auto" w:fill="auto"/>
            <w:vAlign w:val="center"/>
          </w:tcPr>
          <w:p w14:paraId="6265003E" w14:textId="77777777"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21" w:type="pct"/>
            <w:tcBorders>
              <w:top w:val="single" w:sz="4" w:space="0" w:color="auto"/>
              <w:bottom w:val="single" w:sz="4" w:space="0" w:color="auto"/>
            </w:tcBorders>
            <w:shd w:val="clear" w:color="auto" w:fill="auto"/>
            <w:vAlign w:val="center"/>
          </w:tcPr>
          <w:p w14:paraId="57C72FE6" w14:textId="77777777"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22" w:type="pct"/>
            <w:tcBorders>
              <w:top w:val="single" w:sz="4" w:space="0" w:color="auto"/>
              <w:bottom w:val="single" w:sz="4" w:space="0" w:color="auto"/>
            </w:tcBorders>
            <w:shd w:val="clear" w:color="auto" w:fill="auto"/>
            <w:vAlign w:val="center"/>
          </w:tcPr>
          <w:p w14:paraId="0F85818B" w14:textId="77777777"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88" w:type="pct"/>
            <w:tcBorders>
              <w:top w:val="single" w:sz="4" w:space="0" w:color="auto"/>
              <w:bottom w:val="single" w:sz="4" w:space="0" w:color="auto"/>
            </w:tcBorders>
            <w:shd w:val="clear" w:color="auto" w:fill="auto"/>
            <w:vAlign w:val="center"/>
          </w:tcPr>
          <w:p w14:paraId="0FC7760F" w14:textId="77777777"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39" w:type="pct"/>
            <w:tcBorders>
              <w:top w:val="single" w:sz="4" w:space="0" w:color="auto"/>
              <w:bottom w:val="single" w:sz="4" w:space="0" w:color="auto"/>
            </w:tcBorders>
            <w:shd w:val="clear" w:color="auto" w:fill="auto"/>
            <w:vAlign w:val="center"/>
          </w:tcPr>
          <w:p w14:paraId="7208D8A4" w14:textId="77777777"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45" w:type="pct"/>
            <w:tcBorders>
              <w:top w:val="single" w:sz="4" w:space="0" w:color="auto"/>
              <w:bottom w:val="single" w:sz="4" w:space="0" w:color="auto"/>
            </w:tcBorders>
            <w:shd w:val="clear" w:color="auto" w:fill="auto"/>
            <w:vAlign w:val="center"/>
          </w:tcPr>
          <w:p w14:paraId="586BF873" w14:textId="77777777"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414" w:type="pct"/>
            <w:vMerge/>
            <w:tcBorders>
              <w:bottom w:val="single" w:sz="4" w:space="0" w:color="auto"/>
            </w:tcBorders>
            <w:shd w:val="clear" w:color="auto" w:fill="auto"/>
            <w:vAlign w:val="center"/>
          </w:tcPr>
          <w:p w14:paraId="41272AC5" w14:textId="77777777"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sz w:val="24"/>
                <w:szCs w:val="24"/>
              </w:rPr>
            </w:pPr>
          </w:p>
        </w:tc>
        <w:tc>
          <w:tcPr>
            <w:tcW w:w="621" w:type="pct"/>
            <w:vMerge/>
            <w:tcBorders>
              <w:bottom w:val="single" w:sz="4" w:space="0" w:color="auto"/>
            </w:tcBorders>
            <w:shd w:val="clear" w:color="auto" w:fill="auto"/>
            <w:vAlign w:val="center"/>
          </w:tcPr>
          <w:p w14:paraId="16A09CFD" w14:textId="77777777"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sz w:val="24"/>
                <w:szCs w:val="24"/>
              </w:rPr>
            </w:pPr>
          </w:p>
        </w:tc>
      </w:tr>
      <w:tr w:rsidR="00846BB9" w:rsidRPr="00FA5CB3" w14:paraId="61E0FB93" w14:textId="77777777" w:rsidTr="00CD69D4">
        <w:trPr>
          <w:trHeight w:val="626"/>
        </w:trPr>
        <w:tc>
          <w:tcPr>
            <w:tcW w:w="942" w:type="pct"/>
            <w:tcBorders>
              <w:top w:val="nil"/>
            </w:tcBorders>
            <w:shd w:val="clear" w:color="auto" w:fill="auto"/>
            <w:vAlign w:val="center"/>
          </w:tcPr>
          <w:p w14:paraId="3B7AA7FB" w14:textId="280B9476"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sz w:val="24"/>
                <w:szCs w:val="24"/>
              </w:rPr>
            </w:pPr>
            <w:r w:rsidRPr="0096134D">
              <w:rPr>
                <w:rFonts w:ascii="Times New Roman" w:hAnsi="Times New Roman" w:cs="Times New Roman"/>
              </w:rPr>
              <w:t>Debt restructuring policies are effectively implemented to support struggling borrowers.</w:t>
            </w:r>
          </w:p>
        </w:tc>
        <w:tc>
          <w:tcPr>
            <w:tcW w:w="288" w:type="pct"/>
            <w:tcBorders>
              <w:top w:val="nil"/>
            </w:tcBorders>
            <w:shd w:val="clear" w:color="auto" w:fill="auto"/>
            <w:vAlign w:val="center"/>
          </w:tcPr>
          <w:p w14:paraId="6B8B26AA" w14:textId="7FC32E72"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49</w:t>
            </w:r>
          </w:p>
        </w:tc>
        <w:tc>
          <w:tcPr>
            <w:tcW w:w="388" w:type="pct"/>
            <w:tcBorders>
              <w:top w:val="nil"/>
            </w:tcBorders>
            <w:shd w:val="clear" w:color="auto" w:fill="auto"/>
            <w:vAlign w:val="center"/>
          </w:tcPr>
          <w:p w14:paraId="545749D5" w14:textId="006B4688"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87.5</w:t>
            </w:r>
          </w:p>
        </w:tc>
        <w:tc>
          <w:tcPr>
            <w:tcW w:w="222" w:type="pct"/>
            <w:tcBorders>
              <w:top w:val="nil"/>
            </w:tcBorders>
            <w:shd w:val="clear" w:color="auto" w:fill="auto"/>
            <w:vAlign w:val="center"/>
          </w:tcPr>
          <w:p w14:paraId="33B856CF" w14:textId="462BEA2E"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388" w:type="pct"/>
            <w:tcBorders>
              <w:top w:val="nil"/>
            </w:tcBorders>
            <w:shd w:val="clear" w:color="auto" w:fill="auto"/>
            <w:vAlign w:val="center"/>
          </w:tcPr>
          <w:p w14:paraId="41E7024A" w14:textId="2D630A1A"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8.92</w:t>
            </w:r>
          </w:p>
        </w:tc>
        <w:tc>
          <w:tcPr>
            <w:tcW w:w="222" w:type="pct"/>
            <w:tcBorders>
              <w:top w:val="nil"/>
            </w:tcBorders>
            <w:shd w:val="clear" w:color="auto" w:fill="auto"/>
            <w:vAlign w:val="center"/>
          </w:tcPr>
          <w:p w14:paraId="564FA879" w14:textId="77777777"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321" w:type="pct"/>
            <w:tcBorders>
              <w:top w:val="nil"/>
            </w:tcBorders>
            <w:shd w:val="clear" w:color="auto" w:fill="auto"/>
            <w:vAlign w:val="center"/>
          </w:tcPr>
          <w:p w14:paraId="48FF10C2" w14:textId="77777777"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3.57</w:t>
            </w:r>
          </w:p>
        </w:tc>
        <w:tc>
          <w:tcPr>
            <w:tcW w:w="222" w:type="pct"/>
            <w:tcBorders>
              <w:top w:val="nil"/>
            </w:tcBorders>
            <w:shd w:val="clear" w:color="auto" w:fill="auto"/>
            <w:vAlign w:val="center"/>
          </w:tcPr>
          <w:p w14:paraId="7C32C468" w14:textId="77777777"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88" w:type="pct"/>
            <w:tcBorders>
              <w:top w:val="nil"/>
            </w:tcBorders>
            <w:shd w:val="clear" w:color="auto" w:fill="auto"/>
            <w:vAlign w:val="center"/>
          </w:tcPr>
          <w:p w14:paraId="42A5B321" w14:textId="77777777"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0.0</w:t>
            </w:r>
          </w:p>
        </w:tc>
        <w:tc>
          <w:tcPr>
            <w:tcW w:w="239" w:type="pct"/>
            <w:tcBorders>
              <w:top w:val="nil"/>
            </w:tcBorders>
            <w:shd w:val="clear" w:color="auto" w:fill="auto"/>
            <w:vAlign w:val="center"/>
          </w:tcPr>
          <w:p w14:paraId="69D5E1D0" w14:textId="77777777"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45" w:type="pct"/>
            <w:tcBorders>
              <w:top w:val="nil"/>
            </w:tcBorders>
            <w:shd w:val="clear" w:color="auto" w:fill="auto"/>
            <w:vAlign w:val="center"/>
          </w:tcPr>
          <w:p w14:paraId="4D44C6D2" w14:textId="77777777"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414" w:type="pct"/>
            <w:tcBorders>
              <w:top w:val="nil"/>
            </w:tcBorders>
            <w:shd w:val="clear" w:color="auto" w:fill="auto"/>
            <w:vAlign w:val="center"/>
          </w:tcPr>
          <w:p w14:paraId="628C5375" w14:textId="1B252E3C"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w:t>
            </w:r>
            <w:r w:rsidR="00160D0D">
              <w:rPr>
                <w:rFonts w:asciiTheme="majorBidi" w:eastAsia="Times New Roman" w:hAnsiTheme="majorBidi" w:cstheme="majorBidi"/>
                <w:sz w:val="24"/>
                <w:szCs w:val="24"/>
              </w:rPr>
              <w:t>84</w:t>
            </w:r>
          </w:p>
        </w:tc>
        <w:tc>
          <w:tcPr>
            <w:tcW w:w="621" w:type="pct"/>
            <w:tcBorders>
              <w:top w:val="nil"/>
            </w:tcBorders>
            <w:shd w:val="clear" w:color="auto" w:fill="auto"/>
            <w:vAlign w:val="center"/>
          </w:tcPr>
          <w:p w14:paraId="3C6AA24B" w14:textId="19F5B6B3"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w:t>
            </w:r>
            <w:r w:rsidR="00160D0D">
              <w:rPr>
                <w:rFonts w:asciiTheme="majorBidi" w:eastAsia="Times New Roman" w:hAnsiTheme="majorBidi" w:cstheme="majorBidi"/>
                <w:sz w:val="24"/>
                <w:szCs w:val="24"/>
              </w:rPr>
              <w:t>5</w:t>
            </w:r>
          </w:p>
        </w:tc>
      </w:tr>
      <w:tr w:rsidR="00846BB9" w:rsidRPr="00FA5CB3" w14:paraId="364E89AB" w14:textId="77777777" w:rsidTr="00CD69D4">
        <w:trPr>
          <w:trHeight w:val="500"/>
        </w:trPr>
        <w:tc>
          <w:tcPr>
            <w:tcW w:w="942" w:type="pct"/>
            <w:shd w:val="clear" w:color="auto" w:fill="auto"/>
            <w:vAlign w:val="center"/>
          </w:tcPr>
          <w:p w14:paraId="0F201890" w14:textId="64009CA4"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sz w:val="24"/>
                <w:szCs w:val="24"/>
              </w:rPr>
            </w:pPr>
            <w:r w:rsidRPr="0096134D">
              <w:rPr>
                <w:rFonts w:ascii="Times New Roman" w:hAnsi="Times New Roman" w:cs="Times New Roman"/>
              </w:rPr>
              <w:t>R</w:t>
            </w:r>
            <w:r w:rsidR="00B93F7F">
              <w:rPr>
                <w:rFonts w:ascii="Times New Roman" w:hAnsi="Times New Roman" w:cs="Times New Roman"/>
              </w:rPr>
              <w:t>ecovery strategies are in place</w:t>
            </w:r>
            <w:r w:rsidR="00B93F7F">
              <w:rPr>
                <w:rFonts w:ascii="Times New Roman" w:hAnsi="Times New Roman" w:cs="Times New Roman"/>
                <w:lang w:val="en-GB"/>
              </w:rPr>
              <w:t xml:space="preserve"> </w:t>
            </w:r>
            <w:r w:rsidRPr="0096134D">
              <w:rPr>
                <w:rFonts w:ascii="Times New Roman" w:hAnsi="Times New Roman" w:cs="Times New Roman"/>
              </w:rPr>
              <w:t>to minimize non-performing loans.</w:t>
            </w:r>
          </w:p>
        </w:tc>
        <w:tc>
          <w:tcPr>
            <w:tcW w:w="288" w:type="pct"/>
            <w:shd w:val="clear" w:color="auto" w:fill="auto"/>
            <w:vAlign w:val="center"/>
          </w:tcPr>
          <w:p w14:paraId="5D5AFDD7" w14:textId="01531014" w:rsidR="00846BB9" w:rsidRPr="00FA5CB3" w:rsidRDefault="00B93F7F"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43</w:t>
            </w:r>
          </w:p>
        </w:tc>
        <w:tc>
          <w:tcPr>
            <w:tcW w:w="388" w:type="pct"/>
            <w:shd w:val="clear" w:color="auto" w:fill="auto"/>
            <w:vAlign w:val="center"/>
          </w:tcPr>
          <w:p w14:paraId="06C8FD6C" w14:textId="5F82C0F4" w:rsidR="00846BB9" w:rsidRPr="00FA5CB3" w:rsidRDefault="00B93F7F"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76.78</w:t>
            </w:r>
          </w:p>
        </w:tc>
        <w:tc>
          <w:tcPr>
            <w:tcW w:w="222" w:type="pct"/>
            <w:shd w:val="clear" w:color="auto" w:fill="auto"/>
            <w:vAlign w:val="center"/>
          </w:tcPr>
          <w:p w14:paraId="67AEC351" w14:textId="47350D79" w:rsidR="00846BB9" w:rsidRPr="00FA5CB3" w:rsidRDefault="00B93F7F"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10</w:t>
            </w:r>
          </w:p>
        </w:tc>
        <w:tc>
          <w:tcPr>
            <w:tcW w:w="388" w:type="pct"/>
            <w:shd w:val="clear" w:color="auto" w:fill="auto"/>
            <w:vAlign w:val="center"/>
          </w:tcPr>
          <w:p w14:paraId="3687E546" w14:textId="77777777"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17.85</w:t>
            </w:r>
          </w:p>
        </w:tc>
        <w:tc>
          <w:tcPr>
            <w:tcW w:w="222" w:type="pct"/>
            <w:shd w:val="clear" w:color="auto" w:fill="auto"/>
            <w:vAlign w:val="center"/>
          </w:tcPr>
          <w:p w14:paraId="16738905" w14:textId="30C5BEF1" w:rsidR="00846BB9" w:rsidRPr="00FA5CB3" w:rsidRDefault="00B93F7F"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321" w:type="pct"/>
            <w:shd w:val="clear" w:color="auto" w:fill="auto"/>
            <w:vAlign w:val="center"/>
          </w:tcPr>
          <w:p w14:paraId="695C4F71" w14:textId="0E4A1FE0" w:rsidR="00846BB9" w:rsidRPr="00FA5CB3" w:rsidRDefault="00B93F7F"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5.35</w:t>
            </w:r>
          </w:p>
        </w:tc>
        <w:tc>
          <w:tcPr>
            <w:tcW w:w="222" w:type="pct"/>
            <w:shd w:val="clear" w:color="auto" w:fill="auto"/>
            <w:vAlign w:val="center"/>
          </w:tcPr>
          <w:p w14:paraId="15609EF6" w14:textId="75847AB5" w:rsidR="00846BB9" w:rsidRPr="00FA5CB3" w:rsidRDefault="00B93F7F"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88" w:type="pct"/>
            <w:shd w:val="clear" w:color="auto" w:fill="auto"/>
            <w:vAlign w:val="center"/>
          </w:tcPr>
          <w:p w14:paraId="36BEEEFA" w14:textId="66344DC0" w:rsidR="00846BB9" w:rsidRPr="00FA5CB3" w:rsidRDefault="00B93F7F"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0.0</w:t>
            </w:r>
          </w:p>
        </w:tc>
        <w:tc>
          <w:tcPr>
            <w:tcW w:w="239" w:type="pct"/>
            <w:shd w:val="clear" w:color="auto" w:fill="auto"/>
            <w:vAlign w:val="center"/>
          </w:tcPr>
          <w:p w14:paraId="55E2BBB8" w14:textId="4783B66E" w:rsidR="00846BB9" w:rsidRPr="00FA5CB3" w:rsidRDefault="00B93F7F"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45" w:type="pct"/>
            <w:shd w:val="clear" w:color="auto" w:fill="auto"/>
            <w:vAlign w:val="center"/>
          </w:tcPr>
          <w:p w14:paraId="764865F2" w14:textId="6FB334A5" w:rsidR="00846BB9" w:rsidRPr="00FA5CB3" w:rsidRDefault="00B93F7F"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414" w:type="pct"/>
            <w:shd w:val="clear" w:color="auto" w:fill="auto"/>
            <w:vAlign w:val="center"/>
          </w:tcPr>
          <w:p w14:paraId="527BE887" w14:textId="7CA4142C"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w:t>
            </w:r>
            <w:r w:rsidR="00B93F7F">
              <w:rPr>
                <w:rFonts w:asciiTheme="majorBidi" w:eastAsia="Times New Roman" w:hAnsiTheme="majorBidi" w:cstheme="majorBidi"/>
                <w:sz w:val="24"/>
                <w:szCs w:val="24"/>
              </w:rPr>
              <w:t>.71</w:t>
            </w:r>
          </w:p>
        </w:tc>
        <w:tc>
          <w:tcPr>
            <w:tcW w:w="621" w:type="pct"/>
            <w:shd w:val="clear" w:color="auto" w:fill="auto"/>
            <w:vAlign w:val="center"/>
          </w:tcPr>
          <w:p w14:paraId="7694675E" w14:textId="24F0CFD8"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w:t>
            </w:r>
            <w:r w:rsidR="00B93F7F">
              <w:rPr>
                <w:rFonts w:asciiTheme="majorBidi" w:eastAsia="Times New Roman" w:hAnsiTheme="majorBidi" w:cstheme="majorBidi"/>
                <w:sz w:val="24"/>
                <w:szCs w:val="24"/>
              </w:rPr>
              <w:t>56</w:t>
            </w:r>
          </w:p>
        </w:tc>
      </w:tr>
      <w:tr w:rsidR="00846BB9" w:rsidRPr="00FA5CB3" w14:paraId="55FE24F5" w14:textId="77777777" w:rsidTr="00CD69D4">
        <w:trPr>
          <w:trHeight w:val="1310"/>
        </w:trPr>
        <w:tc>
          <w:tcPr>
            <w:tcW w:w="942" w:type="pct"/>
            <w:shd w:val="clear" w:color="auto" w:fill="auto"/>
            <w:vAlign w:val="center"/>
          </w:tcPr>
          <w:p w14:paraId="7E043D29" w14:textId="7389B000"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sz w:val="24"/>
                <w:szCs w:val="24"/>
              </w:rPr>
            </w:pPr>
            <w:r w:rsidRPr="0096134D">
              <w:rPr>
                <w:rFonts w:ascii="Times New Roman" w:hAnsi="Times New Roman" w:cs="Times New Roman"/>
              </w:rPr>
              <w:t>The institution has a structured approach to handling delinquent loans.</w:t>
            </w:r>
          </w:p>
        </w:tc>
        <w:tc>
          <w:tcPr>
            <w:tcW w:w="288" w:type="pct"/>
            <w:shd w:val="clear" w:color="auto" w:fill="auto"/>
            <w:vAlign w:val="center"/>
          </w:tcPr>
          <w:p w14:paraId="03AB3826" w14:textId="62B3012A" w:rsidR="00846BB9" w:rsidRPr="00FA5CB3" w:rsidRDefault="009F0539"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50</w:t>
            </w:r>
          </w:p>
        </w:tc>
        <w:tc>
          <w:tcPr>
            <w:tcW w:w="388" w:type="pct"/>
            <w:shd w:val="clear" w:color="auto" w:fill="auto"/>
            <w:vAlign w:val="center"/>
          </w:tcPr>
          <w:p w14:paraId="5A95ACCB" w14:textId="07D5469A"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8</w:t>
            </w:r>
            <w:r w:rsidR="009F0539">
              <w:rPr>
                <w:rFonts w:asciiTheme="majorBidi" w:eastAsia="Times New Roman" w:hAnsiTheme="majorBidi" w:cstheme="majorBidi"/>
                <w:sz w:val="24"/>
                <w:szCs w:val="24"/>
              </w:rPr>
              <w:t>9.28</w:t>
            </w:r>
          </w:p>
        </w:tc>
        <w:tc>
          <w:tcPr>
            <w:tcW w:w="222" w:type="pct"/>
            <w:shd w:val="clear" w:color="auto" w:fill="auto"/>
            <w:vAlign w:val="center"/>
          </w:tcPr>
          <w:p w14:paraId="3B12E148" w14:textId="5AD216E0" w:rsidR="00846BB9" w:rsidRPr="00FA5CB3" w:rsidRDefault="009F0539"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388" w:type="pct"/>
            <w:shd w:val="clear" w:color="auto" w:fill="auto"/>
            <w:vAlign w:val="center"/>
          </w:tcPr>
          <w:p w14:paraId="5E595275" w14:textId="59CE23F2" w:rsidR="00846BB9" w:rsidRPr="00FA5CB3" w:rsidRDefault="009F0539"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8.92</w:t>
            </w:r>
          </w:p>
        </w:tc>
        <w:tc>
          <w:tcPr>
            <w:tcW w:w="222" w:type="pct"/>
            <w:shd w:val="clear" w:color="auto" w:fill="auto"/>
            <w:vAlign w:val="center"/>
          </w:tcPr>
          <w:p w14:paraId="23BD4166" w14:textId="26DA16CD" w:rsidR="00846BB9" w:rsidRPr="00FA5CB3" w:rsidRDefault="009F0539"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321" w:type="pct"/>
            <w:shd w:val="clear" w:color="auto" w:fill="auto"/>
            <w:vAlign w:val="center"/>
          </w:tcPr>
          <w:p w14:paraId="2E82B94D" w14:textId="1800FC1F" w:rsidR="00846BB9" w:rsidRPr="00FA5CB3" w:rsidRDefault="009F0539"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1.78</w:t>
            </w:r>
          </w:p>
        </w:tc>
        <w:tc>
          <w:tcPr>
            <w:tcW w:w="222" w:type="pct"/>
            <w:shd w:val="clear" w:color="auto" w:fill="auto"/>
            <w:vAlign w:val="center"/>
          </w:tcPr>
          <w:p w14:paraId="680B913E" w14:textId="74077D12" w:rsidR="00846BB9" w:rsidRPr="00FA5CB3" w:rsidRDefault="009F0539"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88" w:type="pct"/>
            <w:shd w:val="clear" w:color="auto" w:fill="auto"/>
            <w:vAlign w:val="center"/>
          </w:tcPr>
          <w:p w14:paraId="1ECFE24C" w14:textId="6DB5A294" w:rsidR="00846BB9" w:rsidRPr="00FA5CB3" w:rsidRDefault="009F0539"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0.0</w:t>
            </w:r>
          </w:p>
        </w:tc>
        <w:tc>
          <w:tcPr>
            <w:tcW w:w="239" w:type="pct"/>
            <w:shd w:val="clear" w:color="auto" w:fill="auto"/>
            <w:vAlign w:val="center"/>
          </w:tcPr>
          <w:p w14:paraId="2829513B" w14:textId="77777777"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45" w:type="pct"/>
            <w:shd w:val="clear" w:color="auto" w:fill="auto"/>
            <w:vAlign w:val="center"/>
          </w:tcPr>
          <w:p w14:paraId="541E132F" w14:textId="77777777"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414" w:type="pct"/>
            <w:shd w:val="clear" w:color="auto" w:fill="auto"/>
            <w:vAlign w:val="center"/>
          </w:tcPr>
          <w:p w14:paraId="20D2C83E" w14:textId="6D01DA96" w:rsidR="00846BB9" w:rsidRPr="00FA5CB3" w:rsidRDefault="009F0539"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4.88</w:t>
            </w:r>
          </w:p>
        </w:tc>
        <w:tc>
          <w:tcPr>
            <w:tcW w:w="621" w:type="pct"/>
            <w:shd w:val="clear" w:color="auto" w:fill="auto"/>
            <w:vAlign w:val="center"/>
          </w:tcPr>
          <w:p w14:paraId="5158C804" w14:textId="7021F4AB" w:rsidR="00846BB9" w:rsidRPr="00FA5CB3" w:rsidRDefault="00846BB9" w:rsidP="00967D6F">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w:t>
            </w:r>
            <w:r w:rsidR="009F0539">
              <w:rPr>
                <w:rFonts w:asciiTheme="majorBidi" w:eastAsia="Times New Roman" w:hAnsiTheme="majorBidi" w:cstheme="majorBidi"/>
                <w:sz w:val="24"/>
                <w:szCs w:val="24"/>
              </w:rPr>
              <w:t>38</w:t>
            </w:r>
          </w:p>
        </w:tc>
      </w:tr>
    </w:tbl>
    <w:p w14:paraId="0505F7D1" w14:textId="4624CE56" w:rsidR="00EC2977" w:rsidRPr="00EC2977" w:rsidRDefault="00846BB9" w:rsidP="00EC2977">
      <w:pPr>
        <w:shd w:val="clear" w:color="auto" w:fill="FFFFFF" w:themeFill="background1"/>
        <w:spacing w:after="240" w:line="360" w:lineRule="auto"/>
        <w:jc w:val="both"/>
        <w:rPr>
          <w:rFonts w:asciiTheme="majorBidi" w:eastAsia="Times New Roman" w:hAnsiTheme="majorBidi"/>
          <w:b/>
          <w:bCs/>
          <w:sz w:val="24"/>
          <w:szCs w:val="24"/>
          <w:lang w:val="en-GB"/>
        </w:rPr>
      </w:pPr>
      <w:r>
        <w:rPr>
          <w:rFonts w:asciiTheme="majorBidi" w:eastAsia="Times New Roman" w:hAnsiTheme="majorBidi" w:cstheme="majorBidi"/>
          <w:b/>
          <w:bCs/>
          <w:sz w:val="24"/>
          <w:szCs w:val="24"/>
        </w:rPr>
        <w:lastRenderedPageBreak/>
        <w:t>Source: Primary Data (2025</w:t>
      </w:r>
      <w:r w:rsidRPr="00FA5CB3">
        <w:rPr>
          <w:rFonts w:asciiTheme="majorBidi" w:eastAsia="Times New Roman" w:hAnsiTheme="majorBidi" w:cstheme="majorBidi"/>
          <w:b/>
          <w:bCs/>
          <w:sz w:val="24"/>
          <w:szCs w:val="24"/>
        </w:rPr>
        <w:t xml:space="preserve">) </w:t>
      </w:r>
      <w:r w:rsidRPr="00FA5CB3">
        <w:rPr>
          <w:rFonts w:asciiTheme="majorBidi" w:eastAsia="Times New Roman" w:hAnsiTheme="majorBidi" w:cstheme="majorBidi"/>
          <w:sz w:val="24"/>
          <w:szCs w:val="24"/>
        </w:rPr>
        <w:t xml:space="preserve"> </w:t>
      </w:r>
    </w:p>
    <w:p w14:paraId="558CBD98" w14:textId="59845F5A" w:rsidR="00913121" w:rsidRPr="00F8173E" w:rsidRDefault="00EC2977" w:rsidP="00846BB9">
      <w:pPr>
        <w:shd w:val="clear" w:color="auto" w:fill="FFFFFF" w:themeFill="background1"/>
        <w:spacing w:after="240" w:line="360" w:lineRule="auto"/>
        <w:jc w:val="both"/>
        <w:rPr>
          <w:rFonts w:asciiTheme="majorBidi" w:eastAsia="Times New Roman" w:hAnsiTheme="majorBidi" w:cstheme="majorBidi"/>
          <w:sz w:val="24"/>
          <w:szCs w:val="24"/>
          <w:lang w:val="en-GB"/>
        </w:rPr>
      </w:pPr>
      <w:r w:rsidRPr="00EC2977">
        <w:rPr>
          <w:rFonts w:asciiTheme="majorBidi" w:eastAsia="Times New Roman" w:hAnsiTheme="majorBidi" w:cstheme="majorBidi"/>
          <w:sz w:val="24"/>
          <w:szCs w:val="24"/>
          <w:lang w:val="en-GB"/>
        </w:rPr>
        <w:t xml:space="preserve">The findings in Table 4.5 illustrate a strong positive perception among GT Bank Plc employees regarding the effectiveness of the bank’s debt restructuring and recovery strategies. The first statement, “Debt restructuring policies are effectively implemented to support struggling borrowers,” received an overwhelming 87.5% of respondents who strongly agreed and 8.92% who agreed, resulting in a mean score of 4.84. This suggests that employees believe the bank’s policies to support borrowers in financial distress are both comprehensive and effective. The standard deviation of 0.45 indicates a high level of consensus among employees, further confirming that the bank's approach to debt restructuring is viewed </w:t>
      </w:r>
      <w:proofErr w:type="spellStart"/>
      <w:r w:rsidRPr="00EC2977">
        <w:rPr>
          <w:rFonts w:asciiTheme="majorBidi" w:eastAsia="Times New Roman" w:hAnsiTheme="majorBidi" w:cstheme="majorBidi"/>
          <w:sz w:val="24"/>
          <w:szCs w:val="24"/>
          <w:lang w:val="en-GB"/>
        </w:rPr>
        <w:t>favorably</w:t>
      </w:r>
      <w:proofErr w:type="spellEnd"/>
      <w:r w:rsidRPr="00EC2977">
        <w:rPr>
          <w:rFonts w:asciiTheme="majorBidi" w:eastAsia="Times New Roman" w:hAnsiTheme="majorBidi" w:cstheme="majorBidi"/>
          <w:sz w:val="24"/>
          <w:szCs w:val="24"/>
          <w:lang w:val="en-GB"/>
        </w:rPr>
        <w:t>. Similarly, the second statement, “Recovery strategies are in place to minimize non-performing loans,” received 76.78% strongly agreeing and 17.85% agreeing, with a mean score of 4.71. The standard deviation of 0.56 is slightly higher, indicating a modest level of variability in responses. Nonetheless, the results suggest that employees believe the bank’s recovery strategies are robust in managing non-performing loans (NPLs), which is critical for m</w:t>
      </w:r>
      <w:r w:rsidR="005B61D1">
        <w:rPr>
          <w:rFonts w:asciiTheme="majorBidi" w:eastAsia="Times New Roman" w:hAnsiTheme="majorBidi" w:cstheme="majorBidi"/>
          <w:sz w:val="24"/>
          <w:szCs w:val="24"/>
          <w:lang w:val="en-GB"/>
        </w:rPr>
        <w:t xml:space="preserve">aintaining financial stability. </w:t>
      </w:r>
      <w:r w:rsidRPr="00EC2977">
        <w:rPr>
          <w:rFonts w:asciiTheme="majorBidi" w:eastAsia="Times New Roman" w:hAnsiTheme="majorBidi" w:cstheme="majorBidi"/>
          <w:sz w:val="24"/>
          <w:szCs w:val="24"/>
          <w:lang w:val="en-GB"/>
        </w:rPr>
        <w:t xml:space="preserve">The third statement, “The institution has a structured approach to handling delinquent loans,” garnered 89.28% strongly agreeing and 8.92% agreeing, yielding a mean score of 4.88, the highest in this table. The standard deviation of 0.38 is notably low, suggesting a very high degree of uniformity in employee perceptions of the bank’s approach to handling delinquent loans. These results reflect a strong consensus that GT Bank has an effective and organized process for managing loans in arrears, which is vital in mitigating potential financial losses. These findings are consistent with those of Ayadi and Mathew (2019), who highlighted that effective debt restructuring and recovery strategies play a crucial role in the financial health of banks, especially in managing non-performing loans and ensuring a structured approach to delinquent loans. Their study found that well-implemented debt restructuring policies and recovery strategies significantly improve bank resilience, much like the results </w:t>
      </w:r>
      <w:r w:rsidR="00913121">
        <w:rPr>
          <w:rFonts w:asciiTheme="majorBidi" w:eastAsia="Times New Roman" w:hAnsiTheme="majorBidi" w:cstheme="majorBidi"/>
          <w:sz w:val="24"/>
          <w:szCs w:val="24"/>
          <w:lang w:val="en-GB"/>
        </w:rPr>
        <w:t>observed in GT Bank’s practice</w:t>
      </w:r>
    </w:p>
    <w:p w14:paraId="6B6F0198" w14:textId="1651D2C0" w:rsidR="00CD69D4" w:rsidRDefault="00CD69D4" w:rsidP="00CD69D4">
      <w:pPr>
        <w:shd w:val="clear" w:color="auto" w:fill="FFFFFF" w:themeFill="background1"/>
        <w:spacing w:after="240" w:line="360" w:lineRule="auto"/>
        <w:jc w:val="both"/>
        <w:rPr>
          <w:rFonts w:ascii="Times New Roman" w:hAnsi="Times New Roman" w:cs="Times New Roman"/>
          <w:b/>
        </w:rPr>
      </w:pPr>
      <w:r w:rsidRPr="00FA5CB3">
        <w:rPr>
          <w:rFonts w:asciiTheme="majorBidi" w:eastAsia="Times New Roman" w:hAnsiTheme="majorBidi" w:cstheme="majorBidi"/>
          <w:b/>
          <w:bCs/>
          <w:iCs/>
          <w:sz w:val="24"/>
          <w:szCs w:val="24"/>
        </w:rPr>
        <w:t>Table 4.</w:t>
      </w:r>
      <w:r w:rsidR="003A45F6">
        <w:rPr>
          <w:rFonts w:asciiTheme="majorBidi" w:eastAsia="Times New Roman" w:hAnsiTheme="majorBidi" w:cstheme="majorBidi"/>
          <w:b/>
          <w:bCs/>
          <w:iCs/>
          <w:sz w:val="24"/>
          <w:szCs w:val="24"/>
        </w:rPr>
        <w:t>6</w:t>
      </w:r>
      <w:r w:rsidRPr="00FA5CB3">
        <w:rPr>
          <w:rFonts w:asciiTheme="majorBidi" w:eastAsia="Times New Roman" w:hAnsiTheme="majorBidi" w:cstheme="majorBidi"/>
          <w:b/>
          <w:bCs/>
          <w:iCs/>
          <w:sz w:val="24"/>
          <w:szCs w:val="24"/>
        </w:rPr>
        <w:t xml:space="preserve">: </w:t>
      </w:r>
      <w:r w:rsidRPr="006161EE">
        <w:rPr>
          <w:rFonts w:asciiTheme="majorBidi" w:eastAsia="Times New Roman" w:hAnsiTheme="majorBidi" w:cstheme="majorBidi"/>
          <w:b/>
          <w:bCs/>
          <w:sz w:val="24"/>
          <w:szCs w:val="24"/>
          <w:lang w:val="fr-FR"/>
        </w:rPr>
        <w:t xml:space="preserve">GT Bank employées </w:t>
      </w:r>
      <w:proofErr w:type="spellStart"/>
      <w:r w:rsidRPr="006161EE">
        <w:rPr>
          <w:rFonts w:asciiTheme="majorBidi" w:eastAsia="Times New Roman" w:hAnsiTheme="majorBidi" w:cstheme="majorBidi"/>
          <w:b/>
          <w:bCs/>
          <w:sz w:val="24"/>
          <w:szCs w:val="24"/>
          <w:lang w:val="fr-FR"/>
        </w:rPr>
        <w:t>from</w:t>
      </w:r>
      <w:proofErr w:type="spellEnd"/>
      <w:r w:rsidRPr="006161EE">
        <w:rPr>
          <w:rFonts w:asciiTheme="majorBidi" w:eastAsia="Times New Roman" w:hAnsiTheme="majorBidi" w:cstheme="majorBidi"/>
          <w:b/>
          <w:bCs/>
          <w:sz w:val="24"/>
          <w:szCs w:val="24"/>
          <w:lang w:val="fr-FR"/>
        </w:rPr>
        <w:t xml:space="preserve"> 6 </w:t>
      </w:r>
      <w:proofErr w:type="spellStart"/>
      <w:r w:rsidRPr="006161EE">
        <w:rPr>
          <w:rFonts w:asciiTheme="majorBidi" w:eastAsia="Times New Roman" w:hAnsiTheme="majorBidi" w:cstheme="majorBidi"/>
          <w:b/>
          <w:bCs/>
          <w:sz w:val="24"/>
          <w:szCs w:val="24"/>
          <w:lang w:val="fr-FR"/>
        </w:rPr>
        <w:t>departments</w:t>
      </w:r>
      <w:proofErr w:type="spellEnd"/>
      <w:r w:rsidRPr="006161EE">
        <w:rPr>
          <w:rFonts w:asciiTheme="majorBidi" w:eastAsia="Times New Roman" w:hAnsiTheme="majorBidi" w:cstheme="majorBidi"/>
          <w:b/>
          <w:bCs/>
          <w:sz w:val="24"/>
          <w:szCs w:val="24"/>
          <w:lang w:val="fr-FR"/>
        </w:rPr>
        <w:t xml:space="preserve"> </w:t>
      </w:r>
      <w:r>
        <w:rPr>
          <w:rFonts w:asciiTheme="majorBidi" w:eastAsia="Times New Roman" w:hAnsiTheme="majorBidi" w:cstheme="majorBidi"/>
          <w:b/>
          <w:bCs/>
          <w:sz w:val="24"/>
          <w:szCs w:val="24"/>
          <w:lang w:val="fr-FR"/>
        </w:rPr>
        <w:t xml:space="preserve">perception </w:t>
      </w:r>
      <w:r w:rsidRPr="006161EE">
        <w:rPr>
          <w:rFonts w:asciiTheme="majorBidi" w:eastAsia="Times New Roman" w:hAnsiTheme="majorBidi" w:cstheme="majorBidi"/>
          <w:b/>
          <w:bCs/>
          <w:sz w:val="24"/>
          <w:szCs w:val="24"/>
        </w:rPr>
        <w:t>on the effectiveness of risk management of GT Bank Plc</w:t>
      </w:r>
      <w:r w:rsidR="003A45F6">
        <w:rPr>
          <w:rFonts w:asciiTheme="majorBidi" w:eastAsia="Times New Roman" w:hAnsiTheme="majorBidi" w:cstheme="majorBidi"/>
          <w:b/>
          <w:bCs/>
          <w:sz w:val="24"/>
          <w:szCs w:val="24"/>
        </w:rPr>
        <w:t xml:space="preserve"> from 2019 to 2023</w:t>
      </w:r>
      <w:r w:rsidRPr="006161EE">
        <w:rPr>
          <w:rFonts w:asciiTheme="majorBidi" w:eastAsia="Times New Roman" w:hAnsiTheme="majorBidi" w:cstheme="majorBidi"/>
          <w:b/>
          <w:bCs/>
          <w:sz w:val="24"/>
          <w:szCs w:val="24"/>
        </w:rPr>
        <w:t xml:space="preserve"> for </w:t>
      </w:r>
      <w:r w:rsidRPr="00CD69D4">
        <w:rPr>
          <w:rFonts w:ascii="Times New Roman" w:hAnsi="Times New Roman" w:cs="Times New Roman"/>
          <w:b/>
        </w:rPr>
        <w:t>Credit Risk Rating Systems</w:t>
      </w:r>
    </w:p>
    <w:tbl>
      <w:tblPr>
        <w:tblpPr w:leftFromText="187" w:rightFromText="187" w:vertAnchor="text" w:horzAnchor="margin" w:tblpY="1"/>
        <w:tblOverlap w:val="never"/>
        <w:tblW w:w="5000" w:type="pct"/>
        <w:tblBorders>
          <w:top w:val="single" w:sz="4" w:space="0" w:color="auto"/>
          <w:bottom w:val="single" w:sz="4" w:space="0" w:color="auto"/>
        </w:tblBorders>
        <w:tblCellMar>
          <w:top w:w="12" w:type="dxa"/>
          <w:left w:w="0" w:type="dxa"/>
          <w:right w:w="160" w:type="dxa"/>
        </w:tblCellMar>
        <w:tblLook w:val="04A0" w:firstRow="1" w:lastRow="0" w:firstColumn="1" w:lastColumn="0" w:noHBand="0" w:noVBand="1"/>
      </w:tblPr>
      <w:tblGrid>
        <w:gridCol w:w="1730"/>
        <w:gridCol w:w="528"/>
        <w:gridCol w:w="713"/>
        <w:gridCol w:w="408"/>
        <w:gridCol w:w="713"/>
        <w:gridCol w:w="408"/>
        <w:gridCol w:w="590"/>
        <w:gridCol w:w="408"/>
        <w:gridCol w:w="713"/>
        <w:gridCol w:w="439"/>
        <w:gridCol w:w="634"/>
        <w:gridCol w:w="761"/>
        <w:gridCol w:w="1141"/>
      </w:tblGrid>
      <w:tr w:rsidR="00CD69D4" w:rsidRPr="00FA5CB3" w14:paraId="2AE2175F" w14:textId="77777777" w:rsidTr="00CD69D4">
        <w:trPr>
          <w:trHeight w:val="645"/>
        </w:trPr>
        <w:tc>
          <w:tcPr>
            <w:tcW w:w="942" w:type="pct"/>
            <w:vMerge w:val="restart"/>
            <w:shd w:val="clear" w:color="auto" w:fill="auto"/>
            <w:vAlign w:val="center"/>
          </w:tcPr>
          <w:p w14:paraId="0EF881F4" w14:textId="77777777" w:rsidR="00CD69D4" w:rsidRPr="00FA5CB3" w:rsidRDefault="00CD69D4"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Statements</w:t>
            </w:r>
          </w:p>
        </w:tc>
        <w:tc>
          <w:tcPr>
            <w:tcW w:w="676" w:type="pct"/>
            <w:gridSpan w:val="2"/>
            <w:tcBorders>
              <w:bottom w:val="single" w:sz="4" w:space="0" w:color="auto"/>
            </w:tcBorders>
            <w:shd w:val="clear" w:color="auto" w:fill="auto"/>
            <w:vAlign w:val="center"/>
          </w:tcPr>
          <w:p w14:paraId="6E9E1F3E" w14:textId="77777777" w:rsidR="00CD69D4" w:rsidRPr="00FA5CB3" w:rsidRDefault="00CD69D4"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Strongly Agree</w:t>
            </w:r>
          </w:p>
        </w:tc>
        <w:tc>
          <w:tcPr>
            <w:tcW w:w="610" w:type="pct"/>
            <w:gridSpan w:val="2"/>
            <w:tcBorders>
              <w:bottom w:val="single" w:sz="4" w:space="0" w:color="auto"/>
            </w:tcBorders>
            <w:shd w:val="clear" w:color="auto" w:fill="auto"/>
            <w:vAlign w:val="center"/>
          </w:tcPr>
          <w:p w14:paraId="432170CE" w14:textId="77777777" w:rsidR="00CD69D4" w:rsidRPr="00FA5CB3" w:rsidRDefault="00CD69D4"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Agree</w:t>
            </w:r>
          </w:p>
        </w:tc>
        <w:tc>
          <w:tcPr>
            <w:tcW w:w="543" w:type="pct"/>
            <w:gridSpan w:val="2"/>
            <w:tcBorders>
              <w:bottom w:val="single" w:sz="4" w:space="0" w:color="auto"/>
            </w:tcBorders>
            <w:shd w:val="clear" w:color="auto" w:fill="auto"/>
            <w:vAlign w:val="center"/>
          </w:tcPr>
          <w:p w14:paraId="74F15C3C" w14:textId="77777777" w:rsidR="00CD69D4" w:rsidRPr="00FA5CB3" w:rsidRDefault="00CD69D4"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Neutral</w:t>
            </w:r>
          </w:p>
        </w:tc>
        <w:tc>
          <w:tcPr>
            <w:tcW w:w="610" w:type="pct"/>
            <w:gridSpan w:val="2"/>
            <w:tcBorders>
              <w:bottom w:val="single" w:sz="4" w:space="0" w:color="auto"/>
            </w:tcBorders>
            <w:shd w:val="clear" w:color="auto" w:fill="auto"/>
            <w:vAlign w:val="center"/>
          </w:tcPr>
          <w:p w14:paraId="6A6C5BFC" w14:textId="77777777" w:rsidR="00CD69D4" w:rsidRPr="00FA5CB3" w:rsidRDefault="00CD69D4"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Disagree</w:t>
            </w:r>
          </w:p>
        </w:tc>
        <w:tc>
          <w:tcPr>
            <w:tcW w:w="584" w:type="pct"/>
            <w:gridSpan w:val="2"/>
            <w:tcBorders>
              <w:bottom w:val="single" w:sz="4" w:space="0" w:color="auto"/>
            </w:tcBorders>
            <w:shd w:val="clear" w:color="auto" w:fill="auto"/>
            <w:vAlign w:val="center"/>
          </w:tcPr>
          <w:p w14:paraId="5A11CBDB" w14:textId="77777777" w:rsidR="00CD69D4" w:rsidRPr="00FA5CB3" w:rsidRDefault="00CD69D4"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Strongly Disagree</w:t>
            </w:r>
          </w:p>
        </w:tc>
        <w:tc>
          <w:tcPr>
            <w:tcW w:w="414" w:type="pct"/>
            <w:vMerge w:val="restart"/>
            <w:shd w:val="clear" w:color="auto" w:fill="auto"/>
            <w:vAlign w:val="center"/>
          </w:tcPr>
          <w:p w14:paraId="77C66D51" w14:textId="77777777" w:rsidR="00CD69D4" w:rsidRPr="00FA5CB3" w:rsidRDefault="00CD69D4"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Mean</w:t>
            </w:r>
          </w:p>
        </w:tc>
        <w:tc>
          <w:tcPr>
            <w:tcW w:w="621" w:type="pct"/>
            <w:vMerge w:val="restart"/>
            <w:shd w:val="clear" w:color="auto" w:fill="auto"/>
            <w:vAlign w:val="center"/>
          </w:tcPr>
          <w:p w14:paraId="125CB7B0" w14:textId="77777777" w:rsidR="00CD69D4" w:rsidRPr="00FA5CB3" w:rsidRDefault="00CD69D4"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Standard</w:t>
            </w:r>
          </w:p>
          <w:p w14:paraId="09FF86C6" w14:textId="77777777" w:rsidR="00CD69D4" w:rsidRPr="00FA5CB3" w:rsidRDefault="00CD69D4"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lastRenderedPageBreak/>
              <w:t>deviation</w:t>
            </w:r>
          </w:p>
        </w:tc>
      </w:tr>
      <w:tr w:rsidR="00CD69D4" w:rsidRPr="00FA5CB3" w14:paraId="7A723977" w14:textId="77777777" w:rsidTr="00CD69D4">
        <w:trPr>
          <w:trHeight w:val="270"/>
        </w:trPr>
        <w:tc>
          <w:tcPr>
            <w:tcW w:w="942" w:type="pct"/>
            <w:vMerge/>
            <w:tcBorders>
              <w:bottom w:val="single" w:sz="4" w:space="0" w:color="auto"/>
            </w:tcBorders>
            <w:shd w:val="clear" w:color="auto" w:fill="auto"/>
            <w:vAlign w:val="center"/>
          </w:tcPr>
          <w:p w14:paraId="3EA76F41" w14:textId="77777777" w:rsidR="00CD69D4" w:rsidRPr="00FA5CB3" w:rsidRDefault="00CD69D4" w:rsidP="00F8173E">
            <w:pPr>
              <w:shd w:val="clear" w:color="auto" w:fill="FFFFFF" w:themeFill="background1"/>
              <w:spacing w:after="240" w:line="240" w:lineRule="auto"/>
              <w:jc w:val="both"/>
              <w:rPr>
                <w:rFonts w:asciiTheme="majorBidi" w:eastAsia="Times New Roman" w:hAnsiTheme="majorBidi" w:cstheme="majorBidi"/>
                <w:sz w:val="24"/>
                <w:szCs w:val="24"/>
              </w:rPr>
            </w:pPr>
          </w:p>
        </w:tc>
        <w:tc>
          <w:tcPr>
            <w:tcW w:w="288" w:type="pct"/>
            <w:tcBorders>
              <w:top w:val="single" w:sz="4" w:space="0" w:color="auto"/>
              <w:bottom w:val="single" w:sz="4" w:space="0" w:color="auto"/>
            </w:tcBorders>
            <w:shd w:val="clear" w:color="auto" w:fill="auto"/>
            <w:vAlign w:val="center"/>
          </w:tcPr>
          <w:p w14:paraId="3863DEFD" w14:textId="77777777" w:rsidR="00CD69D4" w:rsidRPr="00FA5CB3" w:rsidRDefault="00CD69D4"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88" w:type="pct"/>
            <w:tcBorders>
              <w:top w:val="single" w:sz="4" w:space="0" w:color="auto"/>
              <w:bottom w:val="single" w:sz="4" w:space="0" w:color="auto"/>
            </w:tcBorders>
            <w:shd w:val="clear" w:color="auto" w:fill="auto"/>
            <w:vAlign w:val="center"/>
          </w:tcPr>
          <w:p w14:paraId="6A6E6999" w14:textId="77777777" w:rsidR="00CD69D4" w:rsidRPr="00FA5CB3" w:rsidRDefault="00CD69D4"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22" w:type="pct"/>
            <w:tcBorders>
              <w:top w:val="single" w:sz="4" w:space="0" w:color="auto"/>
              <w:bottom w:val="single" w:sz="4" w:space="0" w:color="auto"/>
            </w:tcBorders>
            <w:shd w:val="clear" w:color="auto" w:fill="auto"/>
            <w:vAlign w:val="center"/>
          </w:tcPr>
          <w:p w14:paraId="28D5FCAF" w14:textId="77777777" w:rsidR="00CD69D4" w:rsidRPr="00FA5CB3" w:rsidRDefault="00CD69D4"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88" w:type="pct"/>
            <w:tcBorders>
              <w:top w:val="single" w:sz="4" w:space="0" w:color="auto"/>
              <w:bottom w:val="single" w:sz="4" w:space="0" w:color="auto"/>
            </w:tcBorders>
            <w:shd w:val="clear" w:color="auto" w:fill="auto"/>
            <w:vAlign w:val="center"/>
          </w:tcPr>
          <w:p w14:paraId="344B80D8" w14:textId="77777777" w:rsidR="00CD69D4" w:rsidRPr="00FA5CB3" w:rsidRDefault="00CD69D4"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22" w:type="pct"/>
            <w:tcBorders>
              <w:top w:val="single" w:sz="4" w:space="0" w:color="auto"/>
              <w:bottom w:val="single" w:sz="4" w:space="0" w:color="auto"/>
            </w:tcBorders>
            <w:shd w:val="clear" w:color="auto" w:fill="auto"/>
            <w:vAlign w:val="center"/>
          </w:tcPr>
          <w:p w14:paraId="4F9AABF2" w14:textId="77777777" w:rsidR="00CD69D4" w:rsidRPr="00FA5CB3" w:rsidRDefault="00CD69D4"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21" w:type="pct"/>
            <w:tcBorders>
              <w:top w:val="single" w:sz="4" w:space="0" w:color="auto"/>
              <w:bottom w:val="single" w:sz="4" w:space="0" w:color="auto"/>
            </w:tcBorders>
            <w:shd w:val="clear" w:color="auto" w:fill="auto"/>
            <w:vAlign w:val="center"/>
          </w:tcPr>
          <w:p w14:paraId="7BC335B5" w14:textId="77777777" w:rsidR="00CD69D4" w:rsidRPr="00FA5CB3" w:rsidRDefault="00CD69D4"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22" w:type="pct"/>
            <w:tcBorders>
              <w:top w:val="single" w:sz="4" w:space="0" w:color="auto"/>
              <w:bottom w:val="single" w:sz="4" w:space="0" w:color="auto"/>
            </w:tcBorders>
            <w:shd w:val="clear" w:color="auto" w:fill="auto"/>
            <w:vAlign w:val="center"/>
          </w:tcPr>
          <w:p w14:paraId="0AF055F2" w14:textId="77777777" w:rsidR="00CD69D4" w:rsidRPr="00FA5CB3" w:rsidRDefault="00CD69D4"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88" w:type="pct"/>
            <w:tcBorders>
              <w:top w:val="single" w:sz="4" w:space="0" w:color="auto"/>
              <w:bottom w:val="single" w:sz="4" w:space="0" w:color="auto"/>
            </w:tcBorders>
            <w:shd w:val="clear" w:color="auto" w:fill="auto"/>
            <w:vAlign w:val="center"/>
          </w:tcPr>
          <w:p w14:paraId="411DDBB0" w14:textId="77777777" w:rsidR="00CD69D4" w:rsidRPr="00FA5CB3" w:rsidRDefault="00CD69D4"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39" w:type="pct"/>
            <w:tcBorders>
              <w:top w:val="single" w:sz="4" w:space="0" w:color="auto"/>
              <w:bottom w:val="single" w:sz="4" w:space="0" w:color="auto"/>
            </w:tcBorders>
            <w:shd w:val="clear" w:color="auto" w:fill="auto"/>
            <w:vAlign w:val="center"/>
          </w:tcPr>
          <w:p w14:paraId="3181C050" w14:textId="77777777" w:rsidR="00CD69D4" w:rsidRPr="00FA5CB3" w:rsidRDefault="00CD69D4"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45" w:type="pct"/>
            <w:tcBorders>
              <w:top w:val="single" w:sz="4" w:space="0" w:color="auto"/>
              <w:bottom w:val="single" w:sz="4" w:space="0" w:color="auto"/>
            </w:tcBorders>
            <w:shd w:val="clear" w:color="auto" w:fill="auto"/>
            <w:vAlign w:val="center"/>
          </w:tcPr>
          <w:p w14:paraId="59BB7A94" w14:textId="77777777" w:rsidR="00CD69D4" w:rsidRPr="00FA5CB3" w:rsidRDefault="00CD69D4"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414" w:type="pct"/>
            <w:vMerge/>
            <w:tcBorders>
              <w:bottom w:val="single" w:sz="4" w:space="0" w:color="auto"/>
            </w:tcBorders>
            <w:shd w:val="clear" w:color="auto" w:fill="auto"/>
            <w:vAlign w:val="center"/>
          </w:tcPr>
          <w:p w14:paraId="085A5E7B" w14:textId="77777777" w:rsidR="00CD69D4" w:rsidRPr="00FA5CB3" w:rsidRDefault="00CD69D4" w:rsidP="00F8173E">
            <w:pPr>
              <w:shd w:val="clear" w:color="auto" w:fill="FFFFFF" w:themeFill="background1"/>
              <w:spacing w:after="240" w:line="240" w:lineRule="auto"/>
              <w:jc w:val="both"/>
              <w:rPr>
                <w:rFonts w:asciiTheme="majorBidi" w:eastAsia="Times New Roman" w:hAnsiTheme="majorBidi" w:cstheme="majorBidi"/>
                <w:sz w:val="24"/>
                <w:szCs w:val="24"/>
              </w:rPr>
            </w:pPr>
          </w:p>
        </w:tc>
        <w:tc>
          <w:tcPr>
            <w:tcW w:w="621" w:type="pct"/>
            <w:vMerge/>
            <w:tcBorders>
              <w:bottom w:val="single" w:sz="4" w:space="0" w:color="auto"/>
            </w:tcBorders>
            <w:shd w:val="clear" w:color="auto" w:fill="auto"/>
            <w:vAlign w:val="center"/>
          </w:tcPr>
          <w:p w14:paraId="0DE73894" w14:textId="77777777" w:rsidR="00CD69D4" w:rsidRPr="00FA5CB3" w:rsidRDefault="00CD69D4" w:rsidP="00F8173E">
            <w:pPr>
              <w:shd w:val="clear" w:color="auto" w:fill="FFFFFF" w:themeFill="background1"/>
              <w:spacing w:after="240" w:line="240" w:lineRule="auto"/>
              <w:jc w:val="both"/>
              <w:rPr>
                <w:rFonts w:asciiTheme="majorBidi" w:eastAsia="Times New Roman" w:hAnsiTheme="majorBidi" w:cstheme="majorBidi"/>
                <w:sz w:val="24"/>
                <w:szCs w:val="24"/>
              </w:rPr>
            </w:pPr>
          </w:p>
        </w:tc>
      </w:tr>
      <w:tr w:rsidR="003A45F6" w:rsidRPr="00FA5CB3" w14:paraId="5A89133D" w14:textId="77777777" w:rsidTr="00CD69D4">
        <w:trPr>
          <w:trHeight w:val="626"/>
        </w:trPr>
        <w:tc>
          <w:tcPr>
            <w:tcW w:w="942" w:type="pct"/>
            <w:tcBorders>
              <w:top w:val="nil"/>
            </w:tcBorders>
            <w:shd w:val="clear" w:color="auto" w:fill="auto"/>
            <w:vAlign w:val="center"/>
          </w:tcPr>
          <w:p w14:paraId="0B1370D0" w14:textId="42B912DC" w:rsidR="003A45F6" w:rsidRPr="00FA5CB3" w:rsidRDefault="003A45F6" w:rsidP="00F8173E">
            <w:pPr>
              <w:shd w:val="clear" w:color="auto" w:fill="FFFFFF" w:themeFill="background1"/>
              <w:spacing w:after="240" w:line="240" w:lineRule="auto"/>
              <w:jc w:val="both"/>
              <w:rPr>
                <w:rFonts w:asciiTheme="majorBidi" w:eastAsia="Times New Roman" w:hAnsiTheme="majorBidi" w:cstheme="majorBidi"/>
                <w:sz w:val="24"/>
                <w:szCs w:val="24"/>
              </w:rPr>
            </w:pPr>
            <w:r w:rsidRPr="0096134D">
              <w:rPr>
                <w:rFonts w:ascii="Times New Roman" w:hAnsi="Times New Roman" w:cs="Times New Roman"/>
              </w:rPr>
              <w:lastRenderedPageBreak/>
              <w:t>A structured credit risk rating system is in place to assess borrower risk.</w:t>
            </w:r>
          </w:p>
        </w:tc>
        <w:tc>
          <w:tcPr>
            <w:tcW w:w="288" w:type="pct"/>
            <w:tcBorders>
              <w:top w:val="nil"/>
            </w:tcBorders>
            <w:shd w:val="clear" w:color="auto" w:fill="auto"/>
            <w:vAlign w:val="center"/>
          </w:tcPr>
          <w:p w14:paraId="03DB824E" w14:textId="22844C27" w:rsidR="003A45F6" w:rsidRPr="00FA5CB3" w:rsidRDefault="001D7D0D"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48</w:t>
            </w:r>
          </w:p>
        </w:tc>
        <w:tc>
          <w:tcPr>
            <w:tcW w:w="388" w:type="pct"/>
            <w:tcBorders>
              <w:top w:val="nil"/>
            </w:tcBorders>
            <w:shd w:val="clear" w:color="auto" w:fill="auto"/>
            <w:vAlign w:val="center"/>
          </w:tcPr>
          <w:p w14:paraId="17229A4B" w14:textId="593EDF38" w:rsidR="003A45F6" w:rsidRPr="00FA5CB3" w:rsidRDefault="001D7D0D"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85.71</w:t>
            </w:r>
          </w:p>
        </w:tc>
        <w:tc>
          <w:tcPr>
            <w:tcW w:w="222" w:type="pct"/>
            <w:tcBorders>
              <w:top w:val="nil"/>
            </w:tcBorders>
            <w:shd w:val="clear" w:color="auto" w:fill="auto"/>
            <w:vAlign w:val="center"/>
          </w:tcPr>
          <w:p w14:paraId="2585EC51" w14:textId="35A665A7" w:rsidR="003A45F6" w:rsidRPr="00FA5CB3" w:rsidRDefault="001D7D0D"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388" w:type="pct"/>
            <w:tcBorders>
              <w:top w:val="nil"/>
            </w:tcBorders>
            <w:shd w:val="clear" w:color="auto" w:fill="auto"/>
            <w:vAlign w:val="center"/>
          </w:tcPr>
          <w:p w14:paraId="1DC79454" w14:textId="167CFF63" w:rsidR="003A45F6" w:rsidRPr="00FA5CB3" w:rsidRDefault="001D7D0D"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7.14</w:t>
            </w:r>
          </w:p>
        </w:tc>
        <w:tc>
          <w:tcPr>
            <w:tcW w:w="222" w:type="pct"/>
            <w:tcBorders>
              <w:top w:val="nil"/>
            </w:tcBorders>
            <w:shd w:val="clear" w:color="auto" w:fill="auto"/>
            <w:vAlign w:val="center"/>
          </w:tcPr>
          <w:p w14:paraId="0C921723" w14:textId="73510033" w:rsidR="003A45F6" w:rsidRPr="00FA5CB3" w:rsidRDefault="001D7D0D"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321" w:type="pct"/>
            <w:tcBorders>
              <w:top w:val="nil"/>
            </w:tcBorders>
            <w:shd w:val="clear" w:color="auto" w:fill="auto"/>
            <w:vAlign w:val="center"/>
          </w:tcPr>
          <w:p w14:paraId="5B8E4B2B" w14:textId="06B600E8" w:rsidR="003A45F6" w:rsidRPr="00FA5CB3" w:rsidRDefault="001D7D0D"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7.14</w:t>
            </w:r>
          </w:p>
        </w:tc>
        <w:tc>
          <w:tcPr>
            <w:tcW w:w="222" w:type="pct"/>
            <w:tcBorders>
              <w:top w:val="nil"/>
            </w:tcBorders>
            <w:shd w:val="clear" w:color="auto" w:fill="auto"/>
            <w:vAlign w:val="center"/>
          </w:tcPr>
          <w:p w14:paraId="7CE685F6" w14:textId="77777777" w:rsidR="003A45F6" w:rsidRPr="00FA5CB3" w:rsidRDefault="003A45F6"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88" w:type="pct"/>
            <w:tcBorders>
              <w:top w:val="nil"/>
            </w:tcBorders>
            <w:shd w:val="clear" w:color="auto" w:fill="auto"/>
            <w:vAlign w:val="center"/>
          </w:tcPr>
          <w:p w14:paraId="32AE2A4D" w14:textId="77777777" w:rsidR="003A45F6" w:rsidRPr="00FA5CB3" w:rsidRDefault="003A45F6"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0.0</w:t>
            </w:r>
          </w:p>
        </w:tc>
        <w:tc>
          <w:tcPr>
            <w:tcW w:w="239" w:type="pct"/>
            <w:tcBorders>
              <w:top w:val="nil"/>
            </w:tcBorders>
            <w:shd w:val="clear" w:color="auto" w:fill="auto"/>
            <w:vAlign w:val="center"/>
          </w:tcPr>
          <w:p w14:paraId="5E99903B" w14:textId="77777777" w:rsidR="003A45F6" w:rsidRPr="00FA5CB3" w:rsidRDefault="003A45F6"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45" w:type="pct"/>
            <w:tcBorders>
              <w:top w:val="nil"/>
            </w:tcBorders>
            <w:shd w:val="clear" w:color="auto" w:fill="auto"/>
            <w:vAlign w:val="center"/>
          </w:tcPr>
          <w:p w14:paraId="443F137B" w14:textId="77777777" w:rsidR="003A45F6" w:rsidRPr="00FA5CB3" w:rsidRDefault="003A45F6"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414" w:type="pct"/>
            <w:tcBorders>
              <w:top w:val="nil"/>
            </w:tcBorders>
            <w:shd w:val="clear" w:color="auto" w:fill="auto"/>
            <w:vAlign w:val="center"/>
          </w:tcPr>
          <w:p w14:paraId="42DB2CAD" w14:textId="71AB7077" w:rsidR="003A45F6" w:rsidRPr="00FA5CB3" w:rsidRDefault="003A45F6"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w:t>
            </w:r>
            <w:r w:rsidR="009A5581">
              <w:rPr>
                <w:rFonts w:asciiTheme="majorBidi" w:eastAsia="Times New Roman" w:hAnsiTheme="majorBidi" w:cstheme="majorBidi"/>
                <w:sz w:val="24"/>
                <w:szCs w:val="24"/>
              </w:rPr>
              <w:t>79</w:t>
            </w:r>
          </w:p>
        </w:tc>
        <w:tc>
          <w:tcPr>
            <w:tcW w:w="621" w:type="pct"/>
            <w:tcBorders>
              <w:top w:val="nil"/>
            </w:tcBorders>
            <w:shd w:val="clear" w:color="auto" w:fill="auto"/>
            <w:vAlign w:val="center"/>
          </w:tcPr>
          <w:p w14:paraId="6D4DBE43" w14:textId="4D50FF5F" w:rsidR="003A45F6" w:rsidRPr="00FA5CB3" w:rsidRDefault="003A45F6"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w:t>
            </w:r>
            <w:r w:rsidR="009A5581">
              <w:rPr>
                <w:rFonts w:asciiTheme="majorBidi" w:eastAsia="Times New Roman" w:hAnsiTheme="majorBidi" w:cstheme="majorBidi"/>
                <w:sz w:val="24"/>
                <w:szCs w:val="24"/>
              </w:rPr>
              <w:t>56</w:t>
            </w:r>
          </w:p>
        </w:tc>
      </w:tr>
      <w:tr w:rsidR="003A45F6" w:rsidRPr="00FA5CB3" w14:paraId="0CB01781" w14:textId="77777777" w:rsidTr="00CD69D4">
        <w:trPr>
          <w:trHeight w:val="500"/>
        </w:trPr>
        <w:tc>
          <w:tcPr>
            <w:tcW w:w="942" w:type="pct"/>
            <w:shd w:val="clear" w:color="auto" w:fill="auto"/>
            <w:vAlign w:val="center"/>
          </w:tcPr>
          <w:p w14:paraId="57B3F196" w14:textId="3AE41FB8" w:rsidR="003A45F6" w:rsidRPr="00FA5CB3" w:rsidRDefault="003A45F6" w:rsidP="00F8173E">
            <w:pPr>
              <w:shd w:val="clear" w:color="auto" w:fill="FFFFFF" w:themeFill="background1"/>
              <w:spacing w:after="240" w:line="240" w:lineRule="auto"/>
              <w:jc w:val="both"/>
              <w:rPr>
                <w:rFonts w:asciiTheme="majorBidi" w:eastAsia="Times New Roman" w:hAnsiTheme="majorBidi" w:cstheme="majorBidi"/>
                <w:sz w:val="24"/>
                <w:szCs w:val="24"/>
              </w:rPr>
            </w:pPr>
            <w:r w:rsidRPr="0096134D">
              <w:rPr>
                <w:rFonts w:ascii="Times New Roman" w:hAnsi="Times New Roman" w:cs="Times New Roman"/>
              </w:rPr>
              <w:t>The credit risk rating system is regularly updated based on market trends.</w:t>
            </w:r>
          </w:p>
        </w:tc>
        <w:tc>
          <w:tcPr>
            <w:tcW w:w="288" w:type="pct"/>
            <w:shd w:val="clear" w:color="auto" w:fill="auto"/>
            <w:vAlign w:val="center"/>
          </w:tcPr>
          <w:p w14:paraId="2D47ECF2" w14:textId="7CB3518B" w:rsidR="003A45F6" w:rsidRPr="00FA5CB3" w:rsidRDefault="00464C8D"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53</w:t>
            </w:r>
          </w:p>
        </w:tc>
        <w:tc>
          <w:tcPr>
            <w:tcW w:w="388" w:type="pct"/>
            <w:shd w:val="clear" w:color="auto" w:fill="auto"/>
            <w:vAlign w:val="center"/>
          </w:tcPr>
          <w:p w14:paraId="3B59D781" w14:textId="56280979" w:rsidR="003A45F6" w:rsidRPr="00FA5CB3" w:rsidRDefault="00464C8D"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94.64</w:t>
            </w:r>
          </w:p>
        </w:tc>
        <w:tc>
          <w:tcPr>
            <w:tcW w:w="222" w:type="pct"/>
            <w:shd w:val="clear" w:color="auto" w:fill="auto"/>
            <w:vAlign w:val="center"/>
          </w:tcPr>
          <w:p w14:paraId="00AD56AB" w14:textId="0D46D1C0" w:rsidR="003A45F6" w:rsidRPr="00FA5CB3" w:rsidRDefault="00464C8D"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388" w:type="pct"/>
            <w:shd w:val="clear" w:color="auto" w:fill="auto"/>
            <w:vAlign w:val="center"/>
          </w:tcPr>
          <w:p w14:paraId="14E299B1" w14:textId="12FE2464" w:rsidR="003A45F6" w:rsidRPr="00FA5CB3" w:rsidRDefault="00464C8D"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3.57</w:t>
            </w:r>
          </w:p>
        </w:tc>
        <w:tc>
          <w:tcPr>
            <w:tcW w:w="222" w:type="pct"/>
            <w:shd w:val="clear" w:color="auto" w:fill="auto"/>
            <w:vAlign w:val="center"/>
          </w:tcPr>
          <w:p w14:paraId="542EDE49" w14:textId="6A112ABF" w:rsidR="003A45F6" w:rsidRPr="00FA5CB3" w:rsidRDefault="00464C8D"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321" w:type="pct"/>
            <w:shd w:val="clear" w:color="auto" w:fill="auto"/>
            <w:vAlign w:val="center"/>
          </w:tcPr>
          <w:p w14:paraId="25128AB3" w14:textId="4E8B5E19" w:rsidR="003A45F6" w:rsidRPr="00FA5CB3" w:rsidRDefault="00464C8D"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1.78</w:t>
            </w:r>
          </w:p>
        </w:tc>
        <w:tc>
          <w:tcPr>
            <w:tcW w:w="222" w:type="pct"/>
            <w:shd w:val="clear" w:color="auto" w:fill="auto"/>
            <w:vAlign w:val="center"/>
          </w:tcPr>
          <w:p w14:paraId="535FADAC" w14:textId="77777777" w:rsidR="003A45F6" w:rsidRPr="00FA5CB3" w:rsidRDefault="003A45F6"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88" w:type="pct"/>
            <w:shd w:val="clear" w:color="auto" w:fill="auto"/>
            <w:vAlign w:val="center"/>
          </w:tcPr>
          <w:p w14:paraId="1896859D" w14:textId="77777777" w:rsidR="003A45F6" w:rsidRPr="00FA5CB3" w:rsidRDefault="003A45F6"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0.0</w:t>
            </w:r>
          </w:p>
        </w:tc>
        <w:tc>
          <w:tcPr>
            <w:tcW w:w="239" w:type="pct"/>
            <w:shd w:val="clear" w:color="auto" w:fill="auto"/>
            <w:vAlign w:val="center"/>
          </w:tcPr>
          <w:p w14:paraId="6190A19D" w14:textId="77777777" w:rsidR="003A45F6" w:rsidRPr="00FA5CB3" w:rsidRDefault="003A45F6"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45" w:type="pct"/>
            <w:shd w:val="clear" w:color="auto" w:fill="auto"/>
            <w:vAlign w:val="center"/>
          </w:tcPr>
          <w:p w14:paraId="0494EC1D" w14:textId="77777777" w:rsidR="003A45F6" w:rsidRPr="00FA5CB3" w:rsidRDefault="003A45F6"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414" w:type="pct"/>
            <w:shd w:val="clear" w:color="auto" w:fill="auto"/>
            <w:vAlign w:val="center"/>
          </w:tcPr>
          <w:p w14:paraId="6032D379" w14:textId="50D14960" w:rsidR="003A45F6" w:rsidRPr="00FA5CB3" w:rsidRDefault="003A45F6"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w:t>
            </w:r>
            <w:r w:rsidR="0097201D">
              <w:rPr>
                <w:rFonts w:asciiTheme="majorBidi" w:eastAsia="Times New Roman" w:hAnsiTheme="majorBidi" w:cstheme="majorBidi"/>
                <w:sz w:val="24"/>
                <w:szCs w:val="24"/>
              </w:rPr>
              <w:t>93</w:t>
            </w:r>
          </w:p>
        </w:tc>
        <w:tc>
          <w:tcPr>
            <w:tcW w:w="621" w:type="pct"/>
            <w:shd w:val="clear" w:color="auto" w:fill="auto"/>
            <w:vAlign w:val="center"/>
          </w:tcPr>
          <w:p w14:paraId="18E7B8FA" w14:textId="6519D28C" w:rsidR="003A45F6" w:rsidRPr="00FA5CB3" w:rsidRDefault="003A45F6"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w:t>
            </w:r>
            <w:r w:rsidR="0097201D">
              <w:rPr>
                <w:rFonts w:asciiTheme="majorBidi" w:eastAsia="Times New Roman" w:hAnsiTheme="majorBidi" w:cstheme="majorBidi"/>
                <w:sz w:val="24"/>
                <w:szCs w:val="24"/>
              </w:rPr>
              <w:t>32</w:t>
            </w:r>
          </w:p>
        </w:tc>
      </w:tr>
      <w:tr w:rsidR="003A45F6" w:rsidRPr="00FA5CB3" w14:paraId="2F94CF9B" w14:textId="77777777" w:rsidTr="00CD69D4">
        <w:trPr>
          <w:trHeight w:val="1310"/>
        </w:trPr>
        <w:tc>
          <w:tcPr>
            <w:tcW w:w="942" w:type="pct"/>
            <w:shd w:val="clear" w:color="auto" w:fill="auto"/>
            <w:vAlign w:val="center"/>
          </w:tcPr>
          <w:p w14:paraId="5A826AAE" w14:textId="42B254AD" w:rsidR="003A45F6" w:rsidRPr="00FA5CB3" w:rsidRDefault="003A45F6" w:rsidP="00F8173E">
            <w:pPr>
              <w:shd w:val="clear" w:color="auto" w:fill="FFFFFF" w:themeFill="background1"/>
              <w:spacing w:after="240" w:line="240" w:lineRule="auto"/>
              <w:jc w:val="both"/>
              <w:rPr>
                <w:rFonts w:asciiTheme="majorBidi" w:eastAsia="Times New Roman" w:hAnsiTheme="majorBidi" w:cstheme="majorBidi"/>
                <w:sz w:val="24"/>
                <w:szCs w:val="24"/>
              </w:rPr>
            </w:pPr>
            <w:r w:rsidRPr="0096134D">
              <w:rPr>
                <w:rFonts w:ascii="Times New Roman" w:hAnsi="Times New Roman" w:cs="Times New Roman"/>
              </w:rPr>
              <w:t>Risk rating methodologies are transparent and consistently applied.</w:t>
            </w:r>
          </w:p>
        </w:tc>
        <w:tc>
          <w:tcPr>
            <w:tcW w:w="288" w:type="pct"/>
            <w:shd w:val="clear" w:color="auto" w:fill="auto"/>
            <w:vAlign w:val="center"/>
          </w:tcPr>
          <w:p w14:paraId="5843859A" w14:textId="2544AA34" w:rsidR="003A45F6" w:rsidRPr="00FA5CB3" w:rsidRDefault="00811264"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5</w:t>
            </w:r>
            <w:r w:rsidR="00645F63">
              <w:rPr>
                <w:rFonts w:asciiTheme="majorBidi" w:eastAsia="Times New Roman" w:hAnsiTheme="majorBidi" w:cstheme="majorBidi"/>
                <w:sz w:val="24"/>
                <w:szCs w:val="24"/>
              </w:rPr>
              <w:t>1</w:t>
            </w:r>
          </w:p>
        </w:tc>
        <w:tc>
          <w:tcPr>
            <w:tcW w:w="388" w:type="pct"/>
            <w:shd w:val="clear" w:color="auto" w:fill="auto"/>
            <w:vAlign w:val="center"/>
          </w:tcPr>
          <w:p w14:paraId="31695078" w14:textId="13B92BE5" w:rsidR="003A45F6" w:rsidRPr="00FA5CB3" w:rsidRDefault="00645F63"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96.42</w:t>
            </w:r>
          </w:p>
        </w:tc>
        <w:tc>
          <w:tcPr>
            <w:tcW w:w="222" w:type="pct"/>
            <w:shd w:val="clear" w:color="auto" w:fill="auto"/>
            <w:vAlign w:val="center"/>
          </w:tcPr>
          <w:p w14:paraId="3040D82C" w14:textId="55659E85" w:rsidR="003A45F6" w:rsidRPr="00FA5CB3" w:rsidRDefault="00645F63"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388" w:type="pct"/>
            <w:shd w:val="clear" w:color="auto" w:fill="auto"/>
            <w:vAlign w:val="center"/>
          </w:tcPr>
          <w:p w14:paraId="42B1DBE3" w14:textId="1637E1BE" w:rsidR="003A45F6" w:rsidRPr="00FA5CB3" w:rsidRDefault="00645F63"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7.14</w:t>
            </w:r>
          </w:p>
        </w:tc>
        <w:tc>
          <w:tcPr>
            <w:tcW w:w="222" w:type="pct"/>
            <w:shd w:val="clear" w:color="auto" w:fill="auto"/>
            <w:vAlign w:val="center"/>
          </w:tcPr>
          <w:p w14:paraId="3C4D6D61" w14:textId="77777777" w:rsidR="003A45F6" w:rsidRPr="00FA5CB3" w:rsidRDefault="003A45F6"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321" w:type="pct"/>
            <w:shd w:val="clear" w:color="auto" w:fill="auto"/>
            <w:vAlign w:val="center"/>
          </w:tcPr>
          <w:p w14:paraId="0169FAE2" w14:textId="77777777" w:rsidR="003A45F6" w:rsidRPr="00FA5CB3" w:rsidRDefault="003A45F6"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1.78</w:t>
            </w:r>
          </w:p>
        </w:tc>
        <w:tc>
          <w:tcPr>
            <w:tcW w:w="222" w:type="pct"/>
            <w:shd w:val="clear" w:color="auto" w:fill="auto"/>
            <w:vAlign w:val="center"/>
          </w:tcPr>
          <w:p w14:paraId="59CA5F01" w14:textId="77777777" w:rsidR="003A45F6" w:rsidRPr="00FA5CB3" w:rsidRDefault="003A45F6"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88" w:type="pct"/>
            <w:shd w:val="clear" w:color="auto" w:fill="auto"/>
            <w:vAlign w:val="center"/>
          </w:tcPr>
          <w:p w14:paraId="43AB9E54" w14:textId="77777777" w:rsidR="003A45F6" w:rsidRPr="00FA5CB3" w:rsidRDefault="003A45F6"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0.0</w:t>
            </w:r>
          </w:p>
        </w:tc>
        <w:tc>
          <w:tcPr>
            <w:tcW w:w="239" w:type="pct"/>
            <w:shd w:val="clear" w:color="auto" w:fill="auto"/>
            <w:vAlign w:val="center"/>
          </w:tcPr>
          <w:p w14:paraId="29E5D036" w14:textId="77777777" w:rsidR="003A45F6" w:rsidRPr="00FA5CB3" w:rsidRDefault="003A45F6"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45" w:type="pct"/>
            <w:shd w:val="clear" w:color="auto" w:fill="auto"/>
            <w:vAlign w:val="center"/>
          </w:tcPr>
          <w:p w14:paraId="70717D55" w14:textId="77777777" w:rsidR="003A45F6" w:rsidRPr="00FA5CB3" w:rsidRDefault="003A45F6"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414" w:type="pct"/>
            <w:shd w:val="clear" w:color="auto" w:fill="auto"/>
            <w:vAlign w:val="center"/>
          </w:tcPr>
          <w:p w14:paraId="4CE21E4A" w14:textId="2F535D57" w:rsidR="003A45F6" w:rsidRPr="00FA5CB3" w:rsidRDefault="00645F63"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4.89</w:t>
            </w:r>
          </w:p>
        </w:tc>
        <w:tc>
          <w:tcPr>
            <w:tcW w:w="621" w:type="pct"/>
            <w:shd w:val="clear" w:color="auto" w:fill="auto"/>
            <w:vAlign w:val="center"/>
          </w:tcPr>
          <w:p w14:paraId="19B0D2D4" w14:textId="25D2A907" w:rsidR="003A45F6" w:rsidRPr="00FA5CB3" w:rsidRDefault="00645F63"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.36</w:t>
            </w:r>
          </w:p>
        </w:tc>
      </w:tr>
    </w:tbl>
    <w:p w14:paraId="7AED36CF" w14:textId="77777777" w:rsidR="00CD69D4" w:rsidRPr="00FA5CB3" w:rsidRDefault="00CD69D4" w:rsidP="00CD69D4">
      <w:pPr>
        <w:shd w:val="clear" w:color="auto" w:fill="FFFFFF" w:themeFill="background1"/>
        <w:spacing w:after="240" w:line="360" w:lineRule="auto"/>
        <w:jc w:val="both"/>
        <w:rPr>
          <w:rFonts w:asciiTheme="majorBidi" w:eastAsia="Times New Roman" w:hAnsiTheme="majorBidi" w:cstheme="majorBidi"/>
          <w:b/>
          <w:sz w:val="24"/>
          <w:szCs w:val="24"/>
        </w:rPr>
      </w:pPr>
      <w:r>
        <w:rPr>
          <w:rFonts w:asciiTheme="majorBidi" w:eastAsia="Times New Roman" w:hAnsiTheme="majorBidi" w:cstheme="majorBidi"/>
          <w:b/>
          <w:bCs/>
          <w:sz w:val="24"/>
          <w:szCs w:val="24"/>
        </w:rPr>
        <w:t>Source: Primary Data (2025</w:t>
      </w:r>
      <w:r w:rsidRPr="00FA5CB3">
        <w:rPr>
          <w:rFonts w:asciiTheme="majorBidi" w:eastAsia="Times New Roman" w:hAnsiTheme="majorBidi" w:cstheme="majorBidi"/>
          <w:b/>
          <w:bCs/>
          <w:sz w:val="24"/>
          <w:szCs w:val="24"/>
        </w:rPr>
        <w:t xml:space="preserve">) </w:t>
      </w:r>
      <w:r w:rsidRPr="00FA5CB3">
        <w:rPr>
          <w:rFonts w:asciiTheme="majorBidi" w:eastAsia="Times New Roman" w:hAnsiTheme="majorBidi" w:cstheme="majorBidi"/>
          <w:sz w:val="24"/>
          <w:szCs w:val="24"/>
        </w:rPr>
        <w:t xml:space="preserve"> </w:t>
      </w:r>
    </w:p>
    <w:p w14:paraId="07484C91" w14:textId="33B4DCE2" w:rsidR="00EC2977" w:rsidRPr="00EC2977" w:rsidRDefault="00EC2977" w:rsidP="00B027EA">
      <w:pPr>
        <w:shd w:val="clear" w:color="auto" w:fill="FFFFFF" w:themeFill="background1"/>
        <w:spacing w:after="240" w:line="360" w:lineRule="auto"/>
        <w:jc w:val="both"/>
        <w:rPr>
          <w:rFonts w:asciiTheme="majorBidi" w:eastAsia="Times New Roman" w:hAnsiTheme="majorBidi" w:cstheme="majorBidi"/>
          <w:sz w:val="24"/>
          <w:szCs w:val="24"/>
          <w:lang w:val="en-GB"/>
        </w:rPr>
      </w:pPr>
      <w:r w:rsidRPr="00EC2977">
        <w:rPr>
          <w:rFonts w:asciiTheme="majorBidi" w:eastAsia="Times New Roman" w:hAnsiTheme="majorBidi" w:cstheme="majorBidi"/>
          <w:sz w:val="24"/>
          <w:szCs w:val="24"/>
          <w:lang w:val="en-GB"/>
        </w:rPr>
        <w:t>The findings in Table 4.6 show a strong positive perception among GT Bank Plc employees regarding the effectiveness of the bank's credit risk rating systems. The first statement, “A structured credit risk rating system is in place to assess borrower risk,” received 85.71% of respondents strongly agreeing and 7.14% agreeing, resulting in a mean score of 4.79. This indicates that employees perceive the bank’s credit risk rating system as structured and effective in assessing borrower risk. The standard deviation of 0.56 suggests a moderate level of consensus among respondents, indicating that while most employees agree on the effectiveness of the system, there may be slight variations in individual perceptions. The second statement, “The credit risk rating system is regularly updated based on market trends,” received an overwhelming 94.64% of respondents who strongly agreed, with a mean score of 4.93. This high mean score, coupled with a low standard deviation of 0.32, suggests that there is a strong consensus and a high level of confidence among employees regarding the system’s adaptability and alignment with current market conditions. It shows that employees believe the bank effectively updates its risk ratings to re</w:t>
      </w:r>
      <w:r w:rsidR="00F8173E">
        <w:rPr>
          <w:rFonts w:asciiTheme="majorBidi" w:eastAsia="Times New Roman" w:hAnsiTheme="majorBidi" w:cstheme="majorBidi"/>
          <w:sz w:val="24"/>
          <w:szCs w:val="24"/>
          <w:lang w:val="en-GB"/>
        </w:rPr>
        <w:t xml:space="preserve">flect changing market dynamics. </w:t>
      </w:r>
      <w:r w:rsidRPr="00EC2977">
        <w:rPr>
          <w:rFonts w:asciiTheme="majorBidi" w:eastAsia="Times New Roman" w:hAnsiTheme="majorBidi" w:cstheme="majorBidi"/>
          <w:sz w:val="24"/>
          <w:szCs w:val="24"/>
          <w:lang w:val="en-GB"/>
        </w:rPr>
        <w:t xml:space="preserve">The third statement, “Risk rating methodologies are transparent and consistently applied,” also received a very positive response, with 96.42% strongly agreeing and 7.14% agreeing, resulting in a mean score of 4.89. The standard deviation of 0.36 is quite low, indicating a high degree of uniformity in employee perceptions of the transparency and consistency of the risk rating methodologies. This suggests that employees believe the bank's credit risk rating practices are not only effective but also applied fairly and transparently, </w:t>
      </w:r>
      <w:r w:rsidRPr="00EC2977">
        <w:rPr>
          <w:rFonts w:asciiTheme="majorBidi" w:eastAsia="Times New Roman" w:hAnsiTheme="majorBidi" w:cstheme="majorBidi"/>
          <w:sz w:val="24"/>
          <w:szCs w:val="24"/>
          <w:lang w:val="en-GB"/>
        </w:rPr>
        <w:lastRenderedPageBreak/>
        <w:t>which is essential for maintaining trust and accuracy in the risk assessment process. These findings are consistent with those of Oladipo et al. (2020), who reported that a well-structured and regularly updated credit risk rating system, underpinned by transparent and consistent methodologies, enhances the reliability and effectiveness of credit risk management practices in financial institutions. Their research emphasizes the importance of these elements in ensuring that credit risks are appropriately assessed and managed, which is reflected in the practices at GT Bank.</w:t>
      </w:r>
    </w:p>
    <w:p w14:paraId="7BAE1CA8" w14:textId="77777777" w:rsidR="00EC2977" w:rsidRPr="00EC2977" w:rsidRDefault="00EC2977" w:rsidP="00B027EA">
      <w:pPr>
        <w:shd w:val="clear" w:color="auto" w:fill="FFFFFF" w:themeFill="background1"/>
        <w:spacing w:after="240" w:line="360" w:lineRule="auto"/>
        <w:jc w:val="both"/>
        <w:rPr>
          <w:rFonts w:asciiTheme="majorBidi" w:eastAsia="Times New Roman" w:hAnsiTheme="majorBidi" w:cstheme="majorBidi"/>
          <w:sz w:val="24"/>
          <w:szCs w:val="24"/>
          <w:lang w:val="en-GB"/>
        </w:rPr>
      </w:pPr>
      <w:r w:rsidRPr="00EC2977">
        <w:rPr>
          <w:rFonts w:asciiTheme="majorBidi" w:eastAsia="Times New Roman" w:hAnsiTheme="majorBidi" w:cstheme="majorBidi"/>
          <w:bCs/>
          <w:sz w:val="24"/>
          <w:szCs w:val="24"/>
          <w:lang w:val="en-GB"/>
        </w:rPr>
        <w:t>Reference</w:t>
      </w:r>
      <w:r w:rsidRPr="00EC2977">
        <w:rPr>
          <w:rFonts w:asciiTheme="majorBidi" w:eastAsia="Times New Roman" w:hAnsiTheme="majorBidi" w:cstheme="majorBidi"/>
          <w:sz w:val="24"/>
          <w:szCs w:val="24"/>
          <w:lang w:val="en-GB"/>
        </w:rPr>
        <w:br/>
        <w:t xml:space="preserve">Oladipo, F. O., Akinola, O. A., &amp; Alabi, O. O. (2020). </w:t>
      </w:r>
      <w:r w:rsidRPr="00EC2977">
        <w:rPr>
          <w:rFonts w:asciiTheme="majorBidi" w:eastAsia="Times New Roman" w:hAnsiTheme="majorBidi" w:cstheme="majorBidi"/>
          <w:i/>
          <w:iCs/>
          <w:sz w:val="24"/>
          <w:szCs w:val="24"/>
          <w:lang w:val="en-GB"/>
        </w:rPr>
        <w:t>Effectiveness of credit risk rating systems in Nigerian banks: A case study of selected commercial banks</w:t>
      </w:r>
      <w:r w:rsidRPr="00EC2977">
        <w:rPr>
          <w:rFonts w:asciiTheme="majorBidi" w:eastAsia="Times New Roman" w:hAnsiTheme="majorBidi" w:cstheme="majorBidi"/>
          <w:sz w:val="24"/>
          <w:szCs w:val="24"/>
          <w:lang w:val="en-GB"/>
        </w:rPr>
        <w:t>. International Journal of Financial Services Management, 13(3), 238-252. https://doi.org/10.1504/IJFSM.2020.106625</w:t>
      </w:r>
    </w:p>
    <w:p w14:paraId="4DFFBDFD" w14:textId="77777777" w:rsidR="00CD69D4" w:rsidRPr="00FA5CB3" w:rsidRDefault="00CD69D4" w:rsidP="00846BB9">
      <w:pPr>
        <w:shd w:val="clear" w:color="auto" w:fill="FFFFFF" w:themeFill="background1"/>
        <w:spacing w:after="240" w:line="360" w:lineRule="auto"/>
        <w:jc w:val="both"/>
        <w:rPr>
          <w:rFonts w:asciiTheme="majorBidi" w:eastAsia="Times New Roman" w:hAnsiTheme="majorBidi" w:cstheme="majorBidi"/>
          <w:b/>
          <w:sz w:val="24"/>
          <w:szCs w:val="24"/>
        </w:rPr>
      </w:pPr>
    </w:p>
    <w:p w14:paraId="7E06F90A" w14:textId="2F6408F1" w:rsidR="00F92AFE" w:rsidRDefault="00F92AFE" w:rsidP="00F92AFE">
      <w:pPr>
        <w:shd w:val="clear" w:color="auto" w:fill="FFFFFF" w:themeFill="background1"/>
        <w:spacing w:after="240" w:line="360" w:lineRule="auto"/>
        <w:jc w:val="both"/>
        <w:rPr>
          <w:rFonts w:ascii="Times New Roman" w:hAnsi="Times New Roman" w:cs="Times New Roman"/>
          <w:b/>
        </w:rPr>
      </w:pPr>
      <w:r w:rsidRPr="00FA5CB3">
        <w:rPr>
          <w:rFonts w:asciiTheme="majorBidi" w:eastAsia="Times New Roman" w:hAnsiTheme="majorBidi" w:cstheme="majorBidi"/>
          <w:b/>
          <w:bCs/>
          <w:iCs/>
          <w:sz w:val="24"/>
          <w:szCs w:val="24"/>
        </w:rPr>
        <w:t>Table 4.</w:t>
      </w:r>
      <w:r>
        <w:rPr>
          <w:rFonts w:asciiTheme="majorBidi" w:eastAsia="Times New Roman" w:hAnsiTheme="majorBidi" w:cstheme="majorBidi"/>
          <w:b/>
          <w:bCs/>
          <w:iCs/>
          <w:sz w:val="24"/>
          <w:szCs w:val="24"/>
        </w:rPr>
        <w:t>7</w:t>
      </w:r>
      <w:r w:rsidRPr="00FA5CB3">
        <w:rPr>
          <w:rFonts w:asciiTheme="majorBidi" w:eastAsia="Times New Roman" w:hAnsiTheme="majorBidi" w:cstheme="majorBidi"/>
          <w:b/>
          <w:bCs/>
          <w:iCs/>
          <w:sz w:val="24"/>
          <w:szCs w:val="24"/>
        </w:rPr>
        <w:t xml:space="preserve">: </w:t>
      </w:r>
      <w:r w:rsidRPr="006161EE">
        <w:rPr>
          <w:rFonts w:asciiTheme="majorBidi" w:eastAsia="Times New Roman" w:hAnsiTheme="majorBidi" w:cstheme="majorBidi"/>
          <w:b/>
          <w:bCs/>
          <w:sz w:val="24"/>
          <w:szCs w:val="24"/>
          <w:lang w:val="fr-FR"/>
        </w:rPr>
        <w:t xml:space="preserve">GT Bank employées </w:t>
      </w:r>
      <w:proofErr w:type="spellStart"/>
      <w:r w:rsidRPr="006161EE">
        <w:rPr>
          <w:rFonts w:asciiTheme="majorBidi" w:eastAsia="Times New Roman" w:hAnsiTheme="majorBidi" w:cstheme="majorBidi"/>
          <w:b/>
          <w:bCs/>
          <w:sz w:val="24"/>
          <w:szCs w:val="24"/>
          <w:lang w:val="fr-FR"/>
        </w:rPr>
        <w:t>from</w:t>
      </w:r>
      <w:proofErr w:type="spellEnd"/>
      <w:r w:rsidRPr="006161EE">
        <w:rPr>
          <w:rFonts w:asciiTheme="majorBidi" w:eastAsia="Times New Roman" w:hAnsiTheme="majorBidi" w:cstheme="majorBidi"/>
          <w:b/>
          <w:bCs/>
          <w:sz w:val="24"/>
          <w:szCs w:val="24"/>
          <w:lang w:val="fr-FR"/>
        </w:rPr>
        <w:t xml:space="preserve"> 6 </w:t>
      </w:r>
      <w:proofErr w:type="spellStart"/>
      <w:r w:rsidRPr="006161EE">
        <w:rPr>
          <w:rFonts w:asciiTheme="majorBidi" w:eastAsia="Times New Roman" w:hAnsiTheme="majorBidi" w:cstheme="majorBidi"/>
          <w:b/>
          <w:bCs/>
          <w:sz w:val="24"/>
          <w:szCs w:val="24"/>
          <w:lang w:val="fr-FR"/>
        </w:rPr>
        <w:t>departments</w:t>
      </w:r>
      <w:proofErr w:type="spellEnd"/>
      <w:r w:rsidRPr="006161EE">
        <w:rPr>
          <w:rFonts w:asciiTheme="majorBidi" w:eastAsia="Times New Roman" w:hAnsiTheme="majorBidi" w:cstheme="majorBidi"/>
          <w:b/>
          <w:bCs/>
          <w:sz w:val="24"/>
          <w:szCs w:val="24"/>
          <w:lang w:val="fr-FR"/>
        </w:rPr>
        <w:t xml:space="preserve"> </w:t>
      </w:r>
      <w:r>
        <w:rPr>
          <w:rFonts w:asciiTheme="majorBidi" w:eastAsia="Times New Roman" w:hAnsiTheme="majorBidi" w:cstheme="majorBidi"/>
          <w:b/>
          <w:bCs/>
          <w:sz w:val="24"/>
          <w:szCs w:val="24"/>
          <w:lang w:val="fr-FR"/>
        </w:rPr>
        <w:t xml:space="preserve">perception </w:t>
      </w:r>
      <w:r w:rsidRPr="006161EE">
        <w:rPr>
          <w:rFonts w:asciiTheme="majorBidi" w:eastAsia="Times New Roman" w:hAnsiTheme="majorBidi" w:cstheme="majorBidi"/>
          <w:b/>
          <w:bCs/>
          <w:sz w:val="24"/>
          <w:szCs w:val="24"/>
        </w:rPr>
        <w:t>on the effectiveness of risk management of GT Bank Plc</w:t>
      </w:r>
      <w:r>
        <w:rPr>
          <w:rFonts w:asciiTheme="majorBidi" w:eastAsia="Times New Roman" w:hAnsiTheme="majorBidi" w:cstheme="majorBidi"/>
          <w:b/>
          <w:bCs/>
          <w:sz w:val="24"/>
          <w:szCs w:val="24"/>
        </w:rPr>
        <w:t xml:space="preserve"> from 2019 to 2023</w:t>
      </w:r>
      <w:r w:rsidRPr="006161EE">
        <w:rPr>
          <w:rFonts w:asciiTheme="majorBidi" w:eastAsia="Times New Roman" w:hAnsiTheme="majorBidi" w:cstheme="majorBidi"/>
          <w:b/>
          <w:bCs/>
          <w:sz w:val="24"/>
          <w:szCs w:val="24"/>
        </w:rPr>
        <w:t xml:space="preserve"> for </w:t>
      </w:r>
      <w:r w:rsidRPr="00F92AFE">
        <w:rPr>
          <w:rFonts w:ascii="Times New Roman" w:hAnsi="Times New Roman" w:cs="Times New Roman"/>
          <w:b/>
        </w:rPr>
        <w:t>Collateral Management</w:t>
      </w:r>
    </w:p>
    <w:tbl>
      <w:tblPr>
        <w:tblpPr w:leftFromText="187" w:rightFromText="187" w:vertAnchor="text" w:horzAnchor="margin" w:tblpY="1"/>
        <w:tblOverlap w:val="never"/>
        <w:tblW w:w="5000" w:type="pct"/>
        <w:tblBorders>
          <w:top w:val="single" w:sz="4" w:space="0" w:color="auto"/>
          <w:bottom w:val="single" w:sz="4" w:space="0" w:color="auto"/>
        </w:tblBorders>
        <w:tblCellMar>
          <w:top w:w="12" w:type="dxa"/>
          <w:left w:w="0" w:type="dxa"/>
          <w:right w:w="160" w:type="dxa"/>
        </w:tblCellMar>
        <w:tblLook w:val="04A0" w:firstRow="1" w:lastRow="0" w:firstColumn="1" w:lastColumn="0" w:noHBand="0" w:noVBand="1"/>
      </w:tblPr>
      <w:tblGrid>
        <w:gridCol w:w="1730"/>
        <w:gridCol w:w="528"/>
        <w:gridCol w:w="713"/>
        <w:gridCol w:w="408"/>
        <w:gridCol w:w="713"/>
        <w:gridCol w:w="408"/>
        <w:gridCol w:w="590"/>
        <w:gridCol w:w="408"/>
        <w:gridCol w:w="713"/>
        <w:gridCol w:w="439"/>
        <w:gridCol w:w="634"/>
        <w:gridCol w:w="761"/>
        <w:gridCol w:w="1141"/>
      </w:tblGrid>
      <w:tr w:rsidR="00F92AFE" w:rsidRPr="00FA5CB3" w14:paraId="1905862D" w14:textId="77777777" w:rsidTr="00E34B42">
        <w:trPr>
          <w:trHeight w:val="645"/>
        </w:trPr>
        <w:tc>
          <w:tcPr>
            <w:tcW w:w="942" w:type="pct"/>
            <w:vMerge w:val="restart"/>
            <w:shd w:val="clear" w:color="auto" w:fill="auto"/>
            <w:vAlign w:val="center"/>
          </w:tcPr>
          <w:p w14:paraId="6C8CF163"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Statements</w:t>
            </w:r>
          </w:p>
        </w:tc>
        <w:tc>
          <w:tcPr>
            <w:tcW w:w="676" w:type="pct"/>
            <w:gridSpan w:val="2"/>
            <w:tcBorders>
              <w:bottom w:val="single" w:sz="4" w:space="0" w:color="auto"/>
            </w:tcBorders>
            <w:shd w:val="clear" w:color="auto" w:fill="auto"/>
            <w:vAlign w:val="center"/>
          </w:tcPr>
          <w:p w14:paraId="76154D6F"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Strongly Agree</w:t>
            </w:r>
          </w:p>
        </w:tc>
        <w:tc>
          <w:tcPr>
            <w:tcW w:w="610" w:type="pct"/>
            <w:gridSpan w:val="2"/>
            <w:tcBorders>
              <w:bottom w:val="single" w:sz="4" w:space="0" w:color="auto"/>
            </w:tcBorders>
            <w:shd w:val="clear" w:color="auto" w:fill="auto"/>
            <w:vAlign w:val="center"/>
          </w:tcPr>
          <w:p w14:paraId="2A489FE0"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Agree</w:t>
            </w:r>
          </w:p>
        </w:tc>
        <w:tc>
          <w:tcPr>
            <w:tcW w:w="543" w:type="pct"/>
            <w:gridSpan w:val="2"/>
            <w:tcBorders>
              <w:bottom w:val="single" w:sz="4" w:space="0" w:color="auto"/>
            </w:tcBorders>
            <w:shd w:val="clear" w:color="auto" w:fill="auto"/>
            <w:vAlign w:val="center"/>
          </w:tcPr>
          <w:p w14:paraId="3F2A144A"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Neutral</w:t>
            </w:r>
          </w:p>
        </w:tc>
        <w:tc>
          <w:tcPr>
            <w:tcW w:w="610" w:type="pct"/>
            <w:gridSpan w:val="2"/>
            <w:tcBorders>
              <w:bottom w:val="single" w:sz="4" w:space="0" w:color="auto"/>
            </w:tcBorders>
            <w:shd w:val="clear" w:color="auto" w:fill="auto"/>
            <w:vAlign w:val="center"/>
          </w:tcPr>
          <w:p w14:paraId="4C593266"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Disagree</w:t>
            </w:r>
          </w:p>
        </w:tc>
        <w:tc>
          <w:tcPr>
            <w:tcW w:w="584" w:type="pct"/>
            <w:gridSpan w:val="2"/>
            <w:tcBorders>
              <w:bottom w:val="single" w:sz="4" w:space="0" w:color="auto"/>
            </w:tcBorders>
            <w:shd w:val="clear" w:color="auto" w:fill="auto"/>
            <w:vAlign w:val="center"/>
          </w:tcPr>
          <w:p w14:paraId="14EF52E4"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Strongly Disagree</w:t>
            </w:r>
          </w:p>
        </w:tc>
        <w:tc>
          <w:tcPr>
            <w:tcW w:w="414" w:type="pct"/>
            <w:vMerge w:val="restart"/>
            <w:shd w:val="clear" w:color="auto" w:fill="auto"/>
            <w:vAlign w:val="center"/>
          </w:tcPr>
          <w:p w14:paraId="3C4BB485"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Mean</w:t>
            </w:r>
          </w:p>
        </w:tc>
        <w:tc>
          <w:tcPr>
            <w:tcW w:w="621" w:type="pct"/>
            <w:vMerge w:val="restart"/>
            <w:shd w:val="clear" w:color="auto" w:fill="auto"/>
            <w:vAlign w:val="center"/>
          </w:tcPr>
          <w:p w14:paraId="3F5914EE"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Standard</w:t>
            </w:r>
          </w:p>
          <w:p w14:paraId="5784B44B"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deviation</w:t>
            </w:r>
          </w:p>
        </w:tc>
      </w:tr>
      <w:tr w:rsidR="00F92AFE" w:rsidRPr="00FA5CB3" w14:paraId="7C4C1216" w14:textId="77777777" w:rsidTr="00E34B42">
        <w:trPr>
          <w:trHeight w:val="270"/>
        </w:trPr>
        <w:tc>
          <w:tcPr>
            <w:tcW w:w="942" w:type="pct"/>
            <w:vMerge/>
            <w:tcBorders>
              <w:bottom w:val="single" w:sz="4" w:space="0" w:color="auto"/>
            </w:tcBorders>
            <w:shd w:val="clear" w:color="auto" w:fill="auto"/>
            <w:vAlign w:val="center"/>
          </w:tcPr>
          <w:p w14:paraId="03F93987"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sz w:val="24"/>
                <w:szCs w:val="24"/>
              </w:rPr>
            </w:pPr>
          </w:p>
        </w:tc>
        <w:tc>
          <w:tcPr>
            <w:tcW w:w="288" w:type="pct"/>
            <w:tcBorders>
              <w:top w:val="single" w:sz="4" w:space="0" w:color="auto"/>
              <w:bottom w:val="single" w:sz="4" w:space="0" w:color="auto"/>
            </w:tcBorders>
            <w:shd w:val="clear" w:color="auto" w:fill="auto"/>
            <w:vAlign w:val="center"/>
          </w:tcPr>
          <w:p w14:paraId="0B20A6F8"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88" w:type="pct"/>
            <w:tcBorders>
              <w:top w:val="single" w:sz="4" w:space="0" w:color="auto"/>
              <w:bottom w:val="single" w:sz="4" w:space="0" w:color="auto"/>
            </w:tcBorders>
            <w:shd w:val="clear" w:color="auto" w:fill="auto"/>
            <w:vAlign w:val="center"/>
          </w:tcPr>
          <w:p w14:paraId="7EB23109"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22" w:type="pct"/>
            <w:tcBorders>
              <w:top w:val="single" w:sz="4" w:space="0" w:color="auto"/>
              <w:bottom w:val="single" w:sz="4" w:space="0" w:color="auto"/>
            </w:tcBorders>
            <w:shd w:val="clear" w:color="auto" w:fill="auto"/>
            <w:vAlign w:val="center"/>
          </w:tcPr>
          <w:p w14:paraId="15102846"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88" w:type="pct"/>
            <w:tcBorders>
              <w:top w:val="single" w:sz="4" w:space="0" w:color="auto"/>
              <w:bottom w:val="single" w:sz="4" w:space="0" w:color="auto"/>
            </w:tcBorders>
            <w:shd w:val="clear" w:color="auto" w:fill="auto"/>
            <w:vAlign w:val="center"/>
          </w:tcPr>
          <w:p w14:paraId="27E5BE9A"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22" w:type="pct"/>
            <w:tcBorders>
              <w:top w:val="single" w:sz="4" w:space="0" w:color="auto"/>
              <w:bottom w:val="single" w:sz="4" w:space="0" w:color="auto"/>
            </w:tcBorders>
            <w:shd w:val="clear" w:color="auto" w:fill="auto"/>
            <w:vAlign w:val="center"/>
          </w:tcPr>
          <w:p w14:paraId="33CDE420"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21" w:type="pct"/>
            <w:tcBorders>
              <w:top w:val="single" w:sz="4" w:space="0" w:color="auto"/>
              <w:bottom w:val="single" w:sz="4" w:space="0" w:color="auto"/>
            </w:tcBorders>
            <w:shd w:val="clear" w:color="auto" w:fill="auto"/>
            <w:vAlign w:val="center"/>
          </w:tcPr>
          <w:p w14:paraId="7CB572B8"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22" w:type="pct"/>
            <w:tcBorders>
              <w:top w:val="single" w:sz="4" w:space="0" w:color="auto"/>
              <w:bottom w:val="single" w:sz="4" w:space="0" w:color="auto"/>
            </w:tcBorders>
            <w:shd w:val="clear" w:color="auto" w:fill="auto"/>
            <w:vAlign w:val="center"/>
          </w:tcPr>
          <w:p w14:paraId="57FEE78A"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88" w:type="pct"/>
            <w:tcBorders>
              <w:top w:val="single" w:sz="4" w:space="0" w:color="auto"/>
              <w:bottom w:val="single" w:sz="4" w:space="0" w:color="auto"/>
            </w:tcBorders>
            <w:shd w:val="clear" w:color="auto" w:fill="auto"/>
            <w:vAlign w:val="center"/>
          </w:tcPr>
          <w:p w14:paraId="69058C25"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39" w:type="pct"/>
            <w:tcBorders>
              <w:top w:val="single" w:sz="4" w:space="0" w:color="auto"/>
              <w:bottom w:val="single" w:sz="4" w:space="0" w:color="auto"/>
            </w:tcBorders>
            <w:shd w:val="clear" w:color="auto" w:fill="auto"/>
            <w:vAlign w:val="center"/>
          </w:tcPr>
          <w:p w14:paraId="14DE60AE"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45" w:type="pct"/>
            <w:tcBorders>
              <w:top w:val="single" w:sz="4" w:space="0" w:color="auto"/>
              <w:bottom w:val="single" w:sz="4" w:space="0" w:color="auto"/>
            </w:tcBorders>
            <w:shd w:val="clear" w:color="auto" w:fill="auto"/>
            <w:vAlign w:val="center"/>
          </w:tcPr>
          <w:p w14:paraId="322FA2A4"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414" w:type="pct"/>
            <w:vMerge/>
            <w:tcBorders>
              <w:bottom w:val="single" w:sz="4" w:space="0" w:color="auto"/>
            </w:tcBorders>
            <w:shd w:val="clear" w:color="auto" w:fill="auto"/>
            <w:vAlign w:val="center"/>
          </w:tcPr>
          <w:p w14:paraId="687F4697"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sz w:val="24"/>
                <w:szCs w:val="24"/>
              </w:rPr>
            </w:pPr>
          </w:p>
        </w:tc>
        <w:tc>
          <w:tcPr>
            <w:tcW w:w="621" w:type="pct"/>
            <w:vMerge/>
            <w:tcBorders>
              <w:bottom w:val="single" w:sz="4" w:space="0" w:color="auto"/>
            </w:tcBorders>
            <w:shd w:val="clear" w:color="auto" w:fill="auto"/>
            <w:vAlign w:val="center"/>
          </w:tcPr>
          <w:p w14:paraId="75C406F6"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sz w:val="24"/>
                <w:szCs w:val="24"/>
              </w:rPr>
            </w:pPr>
          </w:p>
        </w:tc>
      </w:tr>
      <w:tr w:rsidR="00F92AFE" w:rsidRPr="00FA5CB3" w14:paraId="38A7E40A" w14:textId="77777777" w:rsidTr="00E34B42">
        <w:trPr>
          <w:trHeight w:val="626"/>
        </w:trPr>
        <w:tc>
          <w:tcPr>
            <w:tcW w:w="942" w:type="pct"/>
            <w:tcBorders>
              <w:top w:val="nil"/>
            </w:tcBorders>
            <w:shd w:val="clear" w:color="auto" w:fill="auto"/>
            <w:vAlign w:val="center"/>
          </w:tcPr>
          <w:p w14:paraId="0D5EC69D" w14:textId="0D88F4B1"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sz w:val="24"/>
                <w:szCs w:val="24"/>
              </w:rPr>
            </w:pPr>
            <w:r w:rsidRPr="0096134D">
              <w:rPr>
                <w:rFonts w:ascii="Times New Roman" w:hAnsi="Times New Roman" w:cs="Times New Roman"/>
              </w:rPr>
              <w:t>Collateral is assessed thoroughly before approving loans.</w:t>
            </w:r>
          </w:p>
        </w:tc>
        <w:tc>
          <w:tcPr>
            <w:tcW w:w="288" w:type="pct"/>
            <w:tcBorders>
              <w:top w:val="nil"/>
            </w:tcBorders>
            <w:shd w:val="clear" w:color="auto" w:fill="auto"/>
            <w:vAlign w:val="center"/>
          </w:tcPr>
          <w:p w14:paraId="07F628D0" w14:textId="21B67BF9"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55</w:t>
            </w:r>
          </w:p>
        </w:tc>
        <w:tc>
          <w:tcPr>
            <w:tcW w:w="388" w:type="pct"/>
            <w:tcBorders>
              <w:top w:val="nil"/>
            </w:tcBorders>
            <w:shd w:val="clear" w:color="auto" w:fill="auto"/>
            <w:vAlign w:val="center"/>
          </w:tcPr>
          <w:p w14:paraId="09887ABF" w14:textId="3747DBC3"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98.22</w:t>
            </w:r>
          </w:p>
        </w:tc>
        <w:tc>
          <w:tcPr>
            <w:tcW w:w="222" w:type="pct"/>
            <w:tcBorders>
              <w:top w:val="nil"/>
            </w:tcBorders>
            <w:shd w:val="clear" w:color="auto" w:fill="auto"/>
            <w:vAlign w:val="center"/>
          </w:tcPr>
          <w:p w14:paraId="53D9BA4B" w14:textId="46742AB5"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388" w:type="pct"/>
            <w:tcBorders>
              <w:top w:val="nil"/>
            </w:tcBorders>
            <w:shd w:val="clear" w:color="auto" w:fill="auto"/>
            <w:vAlign w:val="center"/>
          </w:tcPr>
          <w:p w14:paraId="62CC9EF8" w14:textId="478E3EC0"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1.78</w:t>
            </w:r>
          </w:p>
        </w:tc>
        <w:tc>
          <w:tcPr>
            <w:tcW w:w="222" w:type="pct"/>
            <w:tcBorders>
              <w:top w:val="nil"/>
            </w:tcBorders>
            <w:shd w:val="clear" w:color="auto" w:fill="auto"/>
            <w:vAlign w:val="center"/>
          </w:tcPr>
          <w:p w14:paraId="5EFB741F" w14:textId="5233A294"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21" w:type="pct"/>
            <w:tcBorders>
              <w:top w:val="nil"/>
            </w:tcBorders>
            <w:shd w:val="clear" w:color="auto" w:fill="auto"/>
            <w:vAlign w:val="center"/>
          </w:tcPr>
          <w:p w14:paraId="6FA2B5E8" w14:textId="316818AC"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222" w:type="pct"/>
            <w:tcBorders>
              <w:top w:val="nil"/>
            </w:tcBorders>
            <w:shd w:val="clear" w:color="auto" w:fill="auto"/>
            <w:vAlign w:val="center"/>
          </w:tcPr>
          <w:p w14:paraId="50296DA8"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88" w:type="pct"/>
            <w:tcBorders>
              <w:top w:val="nil"/>
            </w:tcBorders>
            <w:shd w:val="clear" w:color="auto" w:fill="auto"/>
            <w:vAlign w:val="center"/>
          </w:tcPr>
          <w:p w14:paraId="6060A0EB"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0.0</w:t>
            </w:r>
          </w:p>
        </w:tc>
        <w:tc>
          <w:tcPr>
            <w:tcW w:w="239" w:type="pct"/>
            <w:tcBorders>
              <w:top w:val="nil"/>
            </w:tcBorders>
            <w:shd w:val="clear" w:color="auto" w:fill="auto"/>
            <w:vAlign w:val="center"/>
          </w:tcPr>
          <w:p w14:paraId="760A3DDF"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45" w:type="pct"/>
            <w:tcBorders>
              <w:top w:val="nil"/>
            </w:tcBorders>
            <w:shd w:val="clear" w:color="auto" w:fill="auto"/>
            <w:vAlign w:val="center"/>
          </w:tcPr>
          <w:p w14:paraId="01F48070"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414" w:type="pct"/>
            <w:tcBorders>
              <w:top w:val="nil"/>
            </w:tcBorders>
            <w:shd w:val="clear" w:color="auto" w:fill="auto"/>
            <w:vAlign w:val="center"/>
          </w:tcPr>
          <w:p w14:paraId="1BEFF5DF" w14:textId="0204A992"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4.98</w:t>
            </w:r>
          </w:p>
        </w:tc>
        <w:tc>
          <w:tcPr>
            <w:tcW w:w="621" w:type="pct"/>
            <w:tcBorders>
              <w:top w:val="nil"/>
            </w:tcBorders>
            <w:shd w:val="clear" w:color="auto" w:fill="auto"/>
            <w:vAlign w:val="center"/>
          </w:tcPr>
          <w:p w14:paraId="5FB833CB" w14:textId="229A4B38"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.14</w:t>
            </w:r>
          </w:p>
        </w:tc>
      </w:tr>
      <w:tr w:rsidR="00F92AFE" w:rsidRPr="00FA5CB3" w14:paraId="5BD6924E" w14:textId="77777777" w:rsidTr="00E34B42">
        <w:trPr>
          <w:trHeight w:val="500"/>
        </w:trPr>
        <w:tc>
          <w:tcPr>
            <w:tcW w:w="942" w:type="pct"/>
            <w:shd w:val="clear" w:color="auto" w:fill="auto"/>
            <w:vAlign w:val="center"/>
          </w:tcPr>
          <w:p w14:paraId="1BE41FB0" w14:textId="11C001A9"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sz w:val="24"/>
                <w:szCs w:val="24"/>
              </w:rPr>
            </w:pPr>
            <w:r w:rsidRPr="0096134D">
              <w:rPr>
                <w:rFonts w:ascii="Times New Roman" w:hAnsi="Times New Roman" w:cs="Times New Roman"/>
              </w:rPr>
              <w:t>The institution maintains proper documentation of all collateral assets.</w:t>
            </w:r>
          </w:p>
        </w:tc>
        <w:tc>
          <w:tcPr>
            <w:tcW w:w="288" w:type="pct"/>
            <w:shd w:val="clear" w:color="auto" w:fill="auto"/>
            <w:vAlign w:val="center"/>
          </w:tcPr>
          <w:p w14:paraId="19A0646D" w14:textId="4577A343"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5</w:t>
            </w:r>
            <w:r w:rsidR="00B94DE4">
              <w:rPr>
                <w:rFonts w:asciiTheme="majorBidi" w:eastAsia="Times New Roman" w:hAnsiTheme="majorBidi" w:cstheme="majorBidi"/>
                <w:sz w:val="24"/>
                <w:szCs w:val="24"/>
              </w:rPr>
              <w:t>4</w:t>
            </w:r>
          </w:p>
        </w:tc>
        <w:tc>
          <w:tcPr>
            <w:tcW w:w="388" w:type="pct"/>
            <w:shd w:val="clear" w:color="auto" w:fill="auto"/>
            <w:vAlign w:val="center"/>
          </w:tcPr>
          <w:p w14:paraId="393979FF" w14:textId="3394B67E" w:rsidR="00F92AFE" w:rsidRPr="00FA5CB3" w:rsidRDefault="00B94DE4"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96.42</w:t>
            </w:r>
          </w:p>
        </w:tc>
        <w:tc>
          <w:tcPr>
            <w:tcW w:w="222" w:type="pct"/>
            <w:shd w:val="clear" w:color="auto" w:fill="auto"/>
            <w:vAlign w:val="center"/>
          </w:tcPr>
          <w:p w14:paraId="6D0A01A7"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388" w:type="pct"/>
            <w:shd w:val="clear" w:color="auto" w:fill="auto"/>
            <w:vAlign w:val="center"/>
          </w:tcPr>
          <w:p w14:paraId="33EE5197"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3.57</w:t>
            </w:r>
          </w:p>
        </w:tc>
        <w:tc>
          <w:tcPr>
            <w:tcW w:w="222" w:type="pct"/>
            <w:shd w:val="clear" w:color="auto" w:fill="auto"/>
            <w:vAlign w:val="center"/>
          </w:tcPr>
          <w:p w14:paraId="58BCD350" w14:textId="521D39B3" w:rsidR="00F92AFE" w:rsidRPr="00FA5CB3" w:rsidRDefault="00B94DE4"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21" w:type="pct"/>
            <w:shd w:val="clear" w:color="auto" w:fill="auto"/>
            <w:vAlign w:val="center"/>
          </w:tcPr>
          <w:p w14:paraId="5F038C83" w14:textId="09BEE5AE" w:rsidR="00F92AFE" w:rsidRPr="00FA5CB3" w:rsidRDefault="00B94DE4"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222" w:type="pct"/>
            <w:shd w:val="clear" w:color="auto" w:fill="auto"/>
            <w:vAlign w:val="center"/>
          </w:tcPr>
          <w:p w14:paraId="26325F60"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88" w:type="pct"/>
            <w:shd w:val="clear" w:color="auto" w:fill="auto"/>
            <w:vAlign w:val="center"/>
          </w:tcPr>
          <w:p w14:paraId="75819AEC"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0.0</w:t>
            </w:r>
          </w:p>
        </w:tc>
        <w:tc>
          <w:tcPr>
            <w:tcW w:w="239" w:type="pct"/>
            <w:shd w:val="clear" w:color="auto" w:fill="auto"/>
            <w:vAlign w:val="center"/>
          </w:tcPr>
          <w:p w14:paraId="082140A8"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45" w:type="pct"/>
            <w:shd w:val="clear" w:color="auto" w:fill="auto"/>
            <w:vAlign w:val="center"/>
          </w:tcPr>
          <w:p w14:paraId="7EBA1650"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414" w:type="pct"/>
            <w:shd w:val="clear" w:color="auto" w:fill="auto"/>
            <w:vAlign w:val="center"/>
          </w:tcPr>
          <w:p w14:paraId="43F6FE7D" w14:textId="240F0DA1"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4.9</w:t>
            </w:r>
            <w:r w:rsidR="004A103D">
              <w:rPr>
                <w:rFonts w:asciiTheme="majorBidi" w:eastAsia="Times New Roman" w:hAnsiTheme="majorBidi" w:cstheme="majorBidi"/>
                <w:sz w:val="24"/>
                <w:szCs w:val="24"/>
              </w:rPr>
              <w:t>6</w:t>
            </w:r>
          </w:p>
        </w:tc>
        <w:tc>
          <w:tcPr>
            <w:tcW w:w="621" w:type="pct"/>
            <w:shd w:val="clear" w:color="auto" w:fill="auto"/>
            <w:vAlign w:val="center"/>
          </w:tcPr>
          <w:p w14:paraId="758DCBF6" w14:textId="63B9F6EE"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w:t>
            </w:r>
            <w:r w:rsidR="004A103D">
              <w:rPr>
                <w:rFonts w:asciiTheme="majorBidi" w:eastAsia="Times New Roman" w:hAnsiTheme="majorBidi" w:cstheme="majorBidi"/>
                <w:sz w:val="24"/>
                <w:szCs w:val="24"/>
              </w:rPr>
              <w:t>19</w:t>
            </w:r>
          </w:p>
        </w:tc>
      </w:tr>
      <w:tr w:rsidR="00F92AFE" w:rsidRPr="00FA5CB3" w14:paraId="57D1434D" w14:textId="77777777" w:rsidTr="00E34B42">
        <w:trPr>
          <w:trHeight w:val="1310"/>
        </w:trPr>
        <w:tc>
          <w:tcPr>
            <w:tcW w:w="942" w:type="pct"/>
            <w:shd w:val="clear" w:color="auto" w:fill="auto"/>
            <w:vAlign w:val="center"/>
          </w:tcPr>
          <w:p w14:paraId="51B79094" w14:textId="0D62E80C"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sz w:val="24"/>
                <w:szCs w:val="24"/>
              </w:rPr>
            </w:pPr>
            <w:r w:rsidRPr="0096134D">
              <w:rPr>
                <w:rFonts w:ascii="Times New Roman" w:hAnsi="Times New Roman" w:cs="Times New Roman"/>
              </w:rPr>
              <w:t>Collateral valuation methods are accurate and regularly reviewed.</w:t>
            </w:r>
          </w:p>
        </w:tc>
        <w:tc>
          <w:tcPr>
            <w:tcW w:w="288" w:type="pct"/>
            <w:shd w:val="clear" w:color="auto" w:fill="auto"/>
            <w:vAlign w:val="center"/>
          </w:tcPr>
          <w:p w14:paraId="0A325A3B" w14:textId="2209BB59" w:rsidR="00F92AFE" w:rsidRPr="00FA5CB3" w:rsidRDefault="00BB5635"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44</w:t>
            </w:r>
          </w:p>
        </w:tc>
        <w:tc>
          <w:tcPr>
            <w:tcW w:w="388" w:type="pct"/>
            <w:shd w:val="clear" w:color="auto" w:fill="auto"/>
            <w:vAlign w:val="center"/>
          </w:tcPr>
          <w:p w14:paraId="48BC4274" w14:textId="626CB7ED" w:rsidR="00F92AFE" w:rsidRPr="00FA5CB3" w:rsidRDefault="00BB5635"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78.57</w:t>
            </w:r>
          </w:p>
        </w:tc>
        <w:tc>
          <w:tcPr>
            <w:tcW w:w="222" w:type="pct"/>
            <w:shd w:val="clear" w:color="auto" w:fill="auto"/>
            <w:vAlign w:val="center"/>
          </w:tcPr>
          <w:p w14:paraId="794E3EBE" w14:textId="542A765F" w:rsidR="00F92AFE" w:rsidRPr="00FA5CB3" w:rsidRDefault="00BB5635"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388" w:type="pct"/>
            <w:shd w:val="clear" w:color="auto" w:fill="auto"/>
            <w:vAlign w:val="center"/>
          </w:tcPr>
          <w:p w14:paraId="49CA00B9" w14:textId="760C5D3F" w:rsidR="00F92AFE" w:rsidRPr="00FA5CB3" w:rsidRDefault="00BB5635"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12.5</w:t>
            </w:r>
          </w:p>
        </w:tc>
        <w:tc>
          <w:tcPr>
            <w:tcW w:w="222" w:type="pct"/>
            <w:shd w:val="clear" w:color="auto" w:fill="auto"/>
            <w:vAlign w:val="center"/>
          </w:tcPr>
          <w:p w14:paraId="658AA33B" w14:textId="6E614EE4" w:rsidR="00F92AFE" w:rsidRPr="00FA5CB3" w:rsidRDefault="00BB5635"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321" w:type="pct"/>
            <w:shd w:val="clear" w:color="auto" w:fill="auto"/>
            <w:vAlign w:val="center"/>
          </w:tcPr>
          <w:p w14:paraId="12A4E91A" w14:textId="12503F79" w:rsidR="00F92AFE" w:rsidRPr="00FA5CB3" w:rsidRDefault="00BB5635"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8.92</w:t>
            </w:r>
          </w:p>
        </w:tc>
        <w:tc>
          <w:tcPr>
            <w:tcW w:w="222" w:type="pct"/>
            <w:shd w:val="clear" w:color="auto" w:fill="auto"/>
            <w:vAlign w:val="center"/>
          </w:tcPr>
          <w:p w14:paraId="5B8F35AD"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88" w:type="pct"/>
            <w:shd w:val="clear" w:color="auto" w:fill="auto"/>
            <w:vAlign w:val="center"/>
          </w:tcPr>
          <w:p w14:paraId="200B26A2"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0.0</w:t>
            </w:r>
          </w:p>
        </w:tc>
        <w:tc>
          <w:tcPr>
            <w:tcW w:w="239" w:type="pct"/>
            <w:shd w:val="clear" w:color="auto" w:fill="auto"/>
            <w:vAlign w:val="center"/>
          </w:tcPr>
          <w:p w14:paraId="66D5E732"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45" w:type="pct"/>
            <w:shd w:val="clear" w:color="auto" w:fill="auto"/>
            <w:vAlign w:val="center"/>
          </w:tcPr>
          <w:p w14:paraId="37135AE8" w14:textId="77777777"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414" w:type="pct"/>
            <w:shd w:val="clear" w:color="auto" w:fill="auto"/>
            <w:vAlign w:val="center"/>
          </w:tcPr>
          <w:p w14:paraId="7C9345C7" w14:textId="0798B5C4"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w:t>
            </w:r>
            <w:r w:rsidR="005E5EF8">
              <w:rPr>
                <w:rFonts w:asciiTheme="majorBidi" w:eastAsia="Times New Roman" w:hAnsiTheme="majorBidi" w:cstheme="majorBidi"/>
                <w:sz w:val="24"/>
                <w:szCs w:val="24"/>
              </w:rPr>
              <w:t>70</w:t>
            </w:r>
          </w:p>
        </w:tc>
        <w:tc>
          <w:tcPr>
            <w:tcW w:w="621" w:type="pct"/>
            <w:shd w:val="clear" w:color="auto" w:fill="auto"/>
            <w:vAlign w:val="center"/>
          </w:tcPr>
          <w:p w14:paraId="38E8D8C8" w14:textId="60C09175" w:rsidR="00F92AFE" w:rsidRPr="00FA5CB3" w:rsidRDefault="00F92AFE"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w:t>
            </w:r>
            <w:r w:rsidR="005E5EF8">
              <w:rPr>
                <w:rFonts w:asciiTheme="majorBidi" w:eastAsia="Times New Roman" w:hAnsiTheme="majorBidi" w:cstheme="majorBidi"/>
                <w:sz w:val="24"/>
                <w:szCs w:val="24"/>
              </w:rPr>
              <w:t>62</w:t>
            </w:r>
          </w:p>
        </w:tc>
      </w:tr>
    </w:tbl>
    <w:p w14:paraId="5667817A" w14:textId="77777777" w:rsidR="00CE7878" w:rsidRDefault="00F92AFE" w:rsidP="00CE7878">
      <w:pPr>
        <w:shd w:val="clear" w:color="auto" w:fill="FFFFFF" w:themeFill="background1"/>
        <w:spacing w:after="240" w:line="360" w:lineRule="auto"/>
        <w:jc w:val="both"/>
        <w:rPr>
          <w:rFonts w:asciiTheme="majorBidi" w:eastAsia="Times New Roman" w:hAnsiTheme="majorBidi" w:cstheme="majorBidi"/>
          <w:sz w:val="24"/>
          <w:szCs w:val="24"/>
        </w:rPr>
      </w:pPr>
      <w:r>
        <w:rPr>
          <w:rFonts w:asciiTheme="majorBidi" w:eastAsia="Times New Roman" w:hAnsiTheme="majorBidi" w:cstheme="majorBidi"/>
          <w:b/>
          <w:bCs/>
          <w:sz w:val="24"/>
          <w:szCs w:val="24"/>
        </w:rPr>
        <w:lastRenderedPageBreak/>
        <w:t>Source: Primary Data (2025</w:t>
      </w:r>
      <w:r w:rsidRPr="00FA5CB3">
        <w:rPr>
          <w:rFonts w:asciiTheme="majorBidi" w:eastAsia="Times New Roman" w:hAnsiTheme="majorBidi" w:cstheme="majorBidi"/>
          <w:b/>
          <w:bCs/>
          <w:sz w:val="24"/>
          <w:szCs w:val="24"/>
        </w:rPr>
        <w:t xml:space="preserve">) </w:t>
      </w:r>
      <w:r w:rsidRPr="00FA5CB3">
        <w:rPr>
          <w:rFonts w:asciiTheme="majorBidi" w:eastAsia="Times New Roman" w:hAnsiTheme="majorBidi" w:cstheme="majorBidi"/>
          <w:sz w:val="24"/>
          <w:szCs w:val="24"/>
        </w:rPr>
        <w:t xml:space="preserve"> </w:t>
      </w:r>
    </w:p>
    <w:p w14:paraId="24D7C079" w14:textId="38B73C45" w:rsidR="00CE7878" w:rsidRPr="00913121" w:rsidRDefault="00CE7878" w:rsidP="00F92AFE">
      <w:pPr>
        <w:shd w:val="clear" w:color="auto" w:fill="FFFFFF" w:themeFill="background1"/>
        <w:spacing w:after="240" w:line="360" w:lineRule="auto"/>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The results from Table 4.7</w:t>
      </w:r>
      <w:r w:rsidRPr="00CE7878">
        <w:rPr>
          <w:rFonts w:asciiTheme="majorBidi" w:eastAsia="Times New Roman" w:hAnsiTheme="majorBidi" w:cstheme="majorBidi"/>
          <w:sz w:val="24"/>
          <w:szCs w:val="24"/>
          <w:lang w:val="en-GB"/>
        </w:rPr>
        <w:t xml:space="preserve"> reflect strong perceptions of GT Bank Plc employees regarding the effectiveness of its collateral management practices. The first statement, “Collateral is assessed thoroughly before approving loans,” garnered an overwhelming 98.22% of respondents strongly agreeing, leading to a mean score of 4.98, the highest in this table. The standard deviation of 0.14 is exceptionally low, suggesting near-total agreement among employees that the bank rigorously evaluates collateral before granting loans. This finding suggests that GT Bank has an effective system in place for assessing collateral, ensuring that loans are secured appropriately and that risks are minimized. Similarly, the second statement, “The institution maintains proper documentation of all collateral assets,” received 96.42% strongly agreeing and 3.57% agreeing, resulting in a mean score of 4.96, with a standard deviation of 0.19. The low standard deviation indicates strong consensus among employees, highlighting the importance of accurate and well-maintained records of collateral to safegua</w:t>
      </w:r>
      <w:r w:rsidR="00F8173E">
        <w:rPr>
          <w:rFonts w:asciiTheme="majorBidi" w:eastAsia="Times New Roman" w:hAnsiTheme="majorBidi" w:cstheme="majorBidi"/>
          <w:sz w:val="24"/>
          <w:szCs w:val="24"/>
          <w:lang w:val="en-GB"/>
        </w:rPr>
        <w:t xml:space="preserve">rd the institution’s interests. </w:t>
      </w:r>
      <w:r w:rsidRPr="00CE7878">
        <w:rPr>
          <w:rFonts w:asciiTheme="majorBidi" w:eastAsia="Times New Roman" w:hAnsiTheme="majorBidi" w:cstheme="majorBidi"/>
          <w:sz w:val="24"/>
          <w:szCs w:val="24"/>
          <w:lang w:val="en-GB"/>
        </w:rPr>
        <w:t>However, the third statement, “Collateral valuation methods are accurate and regularly reviewed,” shows a slightly less robust perception. While 78.57% of respondents strongly agreed and 12.5% agreed, the mean score of 4.70 and standard deviation of 0.62 suggest a moderate level of variability in opinions regarding the accuracy and regular review of collateral valuation methods. This indicates that while the majority of employees believe the bank’s methods are accurate and reviewed regularly, some employees may have concerns or uncertainties about the consistency or transparency of these processes. These results align with those of Akhigbe and McNulty (2021), who emphasized the importance of thorough collateral assessment and documentation in minimizing credit risk. They found that effective collateral management systems, coupled with regular reviews of collateral valuations, play a crucial role in enhancing the credit risk management framework of financial institutions, which is consistent with the positive findings for GT Bank.</w:t>
      </w:r>
    </w:p>
    <w:p w14:paraId="4A2D3F15" w14:textId="5B99CA06" w:rsidR="002D007A" w:rsidRDefault="002D007A" w:rsidP="002D007A">
      <w:pPr>
        <w:shd w:val="clear" w:color="auto" w:fill="FFFFFF" w:themeFill="background1"/>
        <w:spacing w:after="240" w:line="360" w:lineRule="auto"/>
        <w:jc w:val="both"/>
        <w:rPr>
          <w:rFonts w:ascii="Times New Roman" w:hAnsi="Times New Roman" w:cs="Times New Roman"/>
          <w:b/>
        </w:rPr>
      </w:pPr>
      <w:r w:rsidRPr="00FA5CB3">
        <w:rPr>
          <w:rFonts w:asciiTheme="majorBidi" w:eastAsia="Times New Roman" w:hAnsiTheme="majorBidi" w:cstheme="majorBidi"/>
          <w:b/>
          <w:bCs/>
          <w:iCs/>
          <w:sz w:val="24"/>
          <w:szCs w:val="24"/>
        </w:rPr>
        <w:t>Table 4.</w:t>
      </w:r>
      <w:r>
        <w:rPr>
          <w:rFonts w:asciiTheme="majorBidi" w:eastAsia="Times New Roman" w:hAnsiTheme="majorBidi" w:cstheme="majorBidi"/>
          <w:b/>
          <w:bCs/>
          <w:iCs/>
          <w:sz w:val="24"/>
          <w:szCs w:val="24"/>
        </w:rPr>
        <w:t>8</w:t>
      </w:r>
      <w:r w:rsidRPr="00FA5CB3">
        <w:rPr>
          <w:rFonts w:asciiTheme="majorBidi" w:eastAsia="Times New Roman" w:hAnsiTheme="majorBidi" w:cstheme="majorBidi"/>
          <w:b/>
          <w:bCs/>
          <w:iCs/>
          <w:sz w:val="24"/>
          <w:szCs w:val="24"/>
        </w:rPr>
        <w:t xml:space="preserve">: </w:t>
      </w:r>
      <w:r w:rsidRPr="006161EE">
        <w:rPr>
          <w:rFonts w:asciiTheme="majorBidi" w:eastAsia="Times New Roman" w:hAnsiTheme="majorBidi" w:cstheme="majorBidi"/>
          <w:b/>
          <w:bCs/>
          <w:sz w:val="24"/>
          <w:szCs w:val="24"/>
          <w:lang w:val="fr-FR"/>
        </w:rPr>
        <w:t xml:space="preserve">GT Bank employées </w:t>
      </w:r>
      <w:proofErr w:type="spellStart"/>
      <w:r w:rsidRPr="006161EE">
        <w:rPr>
          <w:rFonts w:asciiTheme="majorBidi" w:eastAsia="Times New Roman" w:hAnsiTheme="majorBidi" w:cstheme="majorBidi"/>
          <w:b/>
          <w:bCs/>
          <w:sz w:val="24"/>
          <w:szCs w:val="24"/>
          <w:lang w:val="fr-FR"/>
        </w:rPr>
        <w:t>from</w:t>
      </w:r>
      <w:proofErr w:type="spellEnd"/>
      <w:r w:rsidRPr="006161EE">
        <w:rPr>
          <w:rFonts w:asciiTheme="majorBidi" w:eastAsia="Times New Roman" w:hAnsiTheme="majorBidi" w:cstheme="majorBidi"/>
          <w:b/>
          <w:bCs/>
          <w:sz w:val="24"/>
          <w:szCs w:val="24"/>
          <w:lang w:val="fr-FR"/>
        </w:rPr>
        <w:t xml:space="preserve"> 6 </w:t>
      </w:r>
      <w:proofErr w:type="spellStart"/>
      <w:r w:rsidRPr="006161EE">
        <w:rPr>
          <w:rFonts w:asciiTheme="majorBidi" w:eastAsia="Times New Roman" w:hAnsiTheme="majorBidi" w:cstheme="majorBidi"/>
          <w:b/>
          <w:bCs/>
          <w:sz w:val="24"/>
          <w:szCs w:val="24"/>
          <w:lang w:val="fr-FR"/>
        </w:rPr>
        <w:t>departments</w:t>
      </w:r>
      <w:proofErr w:type="spellEnd"/>
      <w:r w:rsidRPr="006161EE">
        <w:rPr>
          <w:rFonts w:asciiTheme="majorBidi" w:eastAsia="Times New Roman" w:hAnsiTheme="majorBidi" w:cstheme="majorBidi"/>
          <w:b/>
          <w:bCs/>
          <w:sz w:val="24"/>
          <w:szCs w:val="24"/>
          <w:lang w:val="fr-FR"/>
        </w:rPr>
        <w:t xml:space="preserve"> </w:t>
      </w:r>
      <w:r>
        <w:rPr>
          <w:rFonts w:asciiTheme="majorBidi" w:eastAsia="Times New Roman" w:hAnsiTheme="majorBidi" w:cstheme="majorBidi"/>
          <w:b/>
          <w:bCs/>
          <w:sz w:val="24"/>
          <w:szCs w:val="24"/>
          <w:lang w:val="fr-FR"/>
        </w:rPr>
        <w:t xml:space="preserve">perception </w:t>
      </w:r>
      <w:r w:rsidRPr="006161EE">
        <w:rPr>
          <w:rFonts w:asciiTheme="majorBidi" w:eastAsia="Times New Roman" w:hAnsiTheme="majorBidi" w:cstheme="majorBidi"/>
          <w:b/>
          <w:bCs/>
          <w:sz w:val="24"/>
          <w:szCs w:val="24"/>
        </w:rPr>
        <w:t>on the effectiveness of risk management of GT Bank Plc</w:t>
      </w:r>
      <w:r>
        <w:rPr>
          <w:rFonts w:asciiTheme="majorBidi" w:eastAsia="Times New Roman" w:hAnsiTheme="majorBidi" w:cstheme="majorBidi"/>
          <w:b/>
          <w:bCs/>
          <w:sz w:val="24"/>
          <w:szCs w:val="24"/>
        </w:rPr>
        <w:t xml:space="preserve"> from 2019 to 2023</w:t>
      </w:r>
      <w:r w:rsidRPr="006161EE">
        <w:rPr>
          <w:rFonts w:asciiTheme="majorBidi" w:eastAsia="Times New Roman" w:hAnsiTheme="majorBidi" w:cstheme="majorBidi"/>
          <w:b/>
          <w:bCs/>
          <w:sz w:val="24"/>
          <w:szCs w:val="24"/>
        </w:rPr>
        <w:t xml:space="preserve"> for </w:t>
      </w:r>
      <w:r w:rsidRPr="002D007A">
        <w:rPr>
          <w:rFonts w:ascii="Times New Roman" w:hAnsi="Times New Roman" w:cs="Times New Roman"/>
          <w:b/>
        </w:rPr>
        <w:t>Credit Risk Monitoring Frequency</w:t>
      </w:r>
    </w:p>
    <w:tbl>
      <w:tblPr>
        <w:tblpPr w:leftFromText="187" w:rightFromText="187" w:vertAnchor="text" w:horzAnchor="margin" w:tblpY="1"/>
        <w:tblOverlap w:val="never"/>
        <w:tblW w:w="5000" w:type="pct"/>
        <w:tblBorders>
          <w:top w:val="single" w:sz="4" w:space="0" w:color="auto"/>
          <w:bottom w:val="single" w:sz="4" w:space="0" w:color="auto"/>
        </w:tblBorders>
        <w:tblCellMar>
          <w:top w:w="12" w:type="dxa"/>
          <w:left w:w="0" w:type="dxa"/>
          <w:right w:w="160" w:type="dxa"/>
        </w:tblCellMar>
        <w:tblLook w:val="04A0" w:firstRow="1" w:lastRow="0" w:firstColumn="1" w:lastColumn="0" w:noHBand="0" w:noVBand="1"/>
      </w:tblPr>
      <w:tblGrid>
        <w:gridCol w:w="1730"/>
        <w:gridCol w:w="528"/>
        <w:gridCol w:w="713"/>
        <w:gridCol w:w="408"/>
        <w:gridCol w:w="713"/>
        <w:gridCol w:w="408"/>
        <w:gridCol w:w="590"/>
        <w:gridCol w:w="408"/>
        <w:gridCol w:w="713"/>
        <w:gridCol w:w="439"/>
        <w:gridCol w:w="634"/>
        <w:gridCol w:w="761"/>
        <w:gridCol w:w="1141"/>
      </w:tblGrid>
      <w:tr w:rsidR="002D007A" w:rsidRPr="00FA5CB3" w14:paraId="0AEC7E5D" w14:textId="77777777" w:rsidTr="00E34B42">
        <w:trPr>
          <w:trHeight w:val="645"/>
        </w:trPr>
        <w:tc>
          <w:tcPr>
            <w:tcW w:w="942" w:type="pct"/>
            <w:vMerge w:val="restart"/>
            <w:shd w:val="clear" w:color="auto" w:fill="auto"/>
            <w:vAlign w:val="center"/>
          </w:tcPr>
          <w:p w14:paraId="44D9E5D7"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Statements</w:t>
            </w:r>
          </w:p>
        </w:tc>
        <w:tc>
          <w:tcPr>
            <w:tcW w:w="676" w:type="pct"/>
            <w:gridSpan w:val="2"/>
            <w:tcBorders>
              <w:bottom w:val="single" w:sz="4" w:space="0" w:color="auto"/>
            </w:tcBorders>
            <w:shd w:val="clear" w:color="auto" w:fill="auto"/>
            <w:vAlign w:val="center"/>
          </w:tcPr>
          <w:p w14:paraId="76534171"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Strongly Agree</w:t>
            </w:r>
          </w:p>
        </w:tc>
        <w:tc>
          <w:tcPr>
            <w:tcW w:w="610" w:type="pct"/>
            <w:gridSpan w:val="2"/>
            <w:tcBorders>
              <w:bottom w:val="single" w:sz="4" w:space="0" w:color="auto"/>
            </w:tcBorders>
            <w:shd w:val="clear" w:color="auto" w:fill="auto"/>
            <w:vAlign w:val="center"/>
          </w:tcPr>
          <w:p w14:paraId="7302922B"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Agree</w:t>
            </w:r>
          </w:p>
        </w:tc>
        <w:tc>
          <w:tcPr>
            <w:tcW w:w="543" w:type="pct"/>
            <w:gridSpan w:val="2"/>
            <w:tcBorders>
              <w:bottom w:val="single" w:sz="4" w:space="0" w:color="auto"/>
            </w:tcBorders>
            <w:shd w:val="clear" w:color="auto" w:fill="auto"/>
            <w:vAlign w:val="center"/>
          </w:tcPr>
          <w:p w14:paraId="44AE8138"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Neutral</w:t>
            </w:r>
          </w:p>
        </w:tc>
        <w:tc>
          <w:tcPr>
            <w:tcW w:w="610" w:type="pct"/>
            <w:gridSpan w:val="2"/>
            <w:tcBorders>
              <w:bottom w:val="single" w:sz="4" w:space="0" w:color="auto"/>
            </w:tcBorders>
            <w:shd w:val="clear" w:color="auto" w:fill="auto"/>
            <w:vAlign w:val="center"/>
          </w:tcPr>
          <w:p w14:paraId="75A01616"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Disagree</w:t>
            </w:r>
          </w:p>
        </w:tc>
        <w:tc>
          <w:tcPr>
            <w:tcW w:w="584" w:type="pct"/>
            <w:gridSpan w:val="2"/>
            <w:tcBorders>
              <w:bottom w:val="single" w:sz="4" w:space="0" w:color="auto"/>
            </w:tcBorders>
            <w:shd w:val="clear" w:color="auto" w:fill="auto"/>
            <w:vAlign w:val="center"/>
          </w:tcPr>
          <w:p w14:paraId="197C348B"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Strongly Disagree</w:t>
            </w:r>
          </w:p>
        </w:tc>
        <w:tc>
          <w:tcPr>
            <w:tcW w:w="414" w:type="pct"/>
            <w:vMerge w:val="restart"/>
            <w:shd w:val="clear" w:color="auto" w:fill="auto"/>
            <w:vAlign w:val="center"/>
          </w:tcPr>
          <w:p w14:paraId="4CF8775C"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Mean</w:t>
            </w:r>
          </w:p>
        </w:tc>
        <w:tc>
          <w:tcPr>
            <w:tcW w:w="621" w:type="pct"/>
            <w:vMerge w:val="restart"/>
            <w:shd w:val="clear" w:color="auto" w:fill="auto"/>
            <w:vAlign w:val="center"/>
          </w:tcPr>
          <w:p w14:paraId="7307ED78"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Standard</w:t>
            </w:r>
          </w:p>
          <w:p w14:paraId="122E07C3"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lastRenderedPageBreak/>
              <w:t>deviation</w:t>
            </w:r>
          </w:p>
        </w:tc>
      </w:tr>
      <w:tr w:rsidR="002D007A" w:rsidRPr="00FA5CB3" w14:paraId="6EAAD8C6" w14:textId="77777777" w:rsidTr="00E34B42">
        <w:trPr>
          <w:trHeight w:val="270"/>
        </w:trPr>
        <w:tc>
          <w:tcPr>
            <w:tcW w:w="942" w:type="pct"/>
            <w:vMerge/>
            <w:tcBorders>
              <w:bottom w:val="single" w:sz="4" w:space="0" w:color="auto"/>
            </w:tcBorders>
            <w:shd w:val="clear" w:color="auto" w:fill="auto"/>
            <w:vAlign w:val="center"/>
          </w:tcPr>
          <w:p w14:paraId="2DB863F1"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sz w:val="24"/>
                <w:szCs w:val="24"/>
              </w:rPr>
            </w:pPr>
          </w:p>
        </w:tc>
        <w:tc>
          <w:tcPr>
            <w:tcW w:w="288" w:type="pct"/>
            <w:tcBorders>
              <w:top w:val="single" w:sz="4" w:space="0" w:color="auto"/>
              <w:bottom w:val="single" w:sz="4" w:space="0" w:color="auto"/>
            </w:tcBorders>
            <w:shd w:val="clear" w:color="auto" w:fill="auto"/>
            <w:vAlign w:val="center"/>
          </w:tcPr>
          <w:p w14:paraId="15DEEA32"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88" w:type="pct"/>
            <w:tcBorders>
              <w:top w:val="single" w:sz="4" w:space="0" w:color="auto"/>
              <w:bottom w:val="single" w:sz="4" w:space="0" w:color="auto"/>
            </w:tcBorders>
            <w:shd w:val="clear" w:color="auto" w:fill="auto"/>
            <w:vAlign w:val="center"/>
          </w:tcPr>
          <w:p w14:paraId="23CB4B3F"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22" w:type="pct"/>
            <w:tcBorders>
              <w:top w:val="single" w:sz="4" w:space="0" w:color="auto"/>
              <w:bottom w:val="single" w:sz="4" w:space="0" w:color="auto"/>
            </w:tcBorders>
            <w:shd w:val="clear" w:color="auto" w:fill="auto"/>
            <w:vAlign w:val="center"/>
          </w:tcPr>
          <w:p w14:paraId="49126383"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88" w:type="pct"/>
            <w:tcBorders>
              <w:top w:val="single" w:sz="4" w:space="0" w:color="auto"/>
              <w:bottom w:val="single" w:sz="4" w:space="0" w:color="auto"/>
            </w:tcBorders>
            <w:shd w:val="clear" w:color="auto" w:fill="auto"/>
            <w:vAlign w:val="center"/>
          </w:tcPr>
          <w:p w14:paraId="61807832"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22" w:type="pct"/>
            <w:tcBorders>
              <w:top w:val="single" w:sz="4" w:space="0" w:color="auto"/>
              <w:bottom w:val="single" w:sz="4" w:space="0" w:color="auto"/>
            </w:tcBorders>
            <w:shd w:val="clear" w:color="auto" w:fill="auto"/>
            <w:vAlign w:val="center"/>
          </w:tcPr>
          <w:p w14:paraId="18900DAD"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21" w:type="pct"/>
            <w:tcBorders>
              <w:top w:val="single" w:sz="4" w:space="0" w:color="auto"/>
              <w:bottom w:val="single" w:sz="4" w:space="0" w:color="auto"/>
            </w:tcBorders>
            <w:shd w:val="clear" w:color="auto" w:fill="auto"/>
            <w:vAlign w:val="center"/>
          </w:tcPr>
          <w:p w14:paraId="696974D2"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22" w:type="pct"/>
            <w:tcBorders>
              <w:top w:val="single" w:sz="4" w:space="0" w:color="auto"/>
              <w:bottom w:val="single" w:sz="4" w:space="0" w:color="auto"/>
            </w:tcBorders>
            <w:shd w:val="clear" w:color="auto" w:fill="auto"/>
            <w:vAlign w:val="center"/>
          </w:tcPr>
          <w:p w14:paraId="0DB3875D"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88" w:type="pct"/>
            <w:tcBorders>
              <w:top w:val="single" w:sz="4" w:space="0" w:color="auto"/>
              <w:bottom w:val="single" w:sz="4" w:space="0" w:color="auto"/>
            </w:tcBorders>
            <w:shd w:val="clear" w:color="auto" w:fill="auto"/>
            <w:vAlign w:val="center"/>
          </w:tcPr>
          <w:p w14:paraId="3B5CC3EA"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39" w:type="pct"/>
            <w:tcBorders>
              <w:top w:val="single" w:sz="4" w:space="0" w:color="auto"/>
              <w:bottom w:val="single" w:sz="4" w:space="0" w:color="auto"/>
            </w:tcBorders>
            <w:shd w:val="clear" w:color="auto" w:fill="auto"/>
            <w:vAlign w:val="center"/>
          </w:tcPr>
          <w:p w14:paraId="70D4CCA2"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45" w:type="pct"/>
            <w:tcBorders>
              <w:top w:val="single" w:sz="4" w:space="0" w:color="auto"/>
              <w:bottom w:val="single" w:sz="4" w:space="0" w:color="auto"/>
            </w:tcBorders>
            <w:shd w:val="clear" w:color="auto" w:fill="auto"/>
            <w:vAlign w:val="center"/>
          </w:tcPr>
          <w:p w14:paraId="2EBB60E2"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414" w:type="pct"/>
            <w:vMerge/>
            <w:tcBorders>
              <w:bottom w:val="single" w:sz="4" w:space="0" w:color="auto"/>
            </w:tcBorders>
            <w:shd w:val="clear" w:color="auto" w:fill="auto"/>
            <w:vAlign w:val="center"/>
          </w:tcPr>
          <w:p w14:paraId="658085A8"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sz w:val="24"/>
                <w:szCs w:val="24"/>
              </w:rPr>
            </w:pPr>
          </w:p>
        </w:tc>
        <w:tc>
          <w:tcPr>
            <w:tcW w:w="621" w:type="pct"/>
            <w:vMerge/>
            <w:tcBorders>
              <w:bottom w:val="single" w:sz="4" w:space="0" w:color="auto"/>
            </w:tcBorders>
            <w:shd w:val="clear" w:color="auto" w:fill="auto"/>
            <w:vAlign w:val="center"/>
          </w:tcPr>
          <w:p w14:paraId="0E9469C8"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sz w:val="24"/>
                <w:szCs w:val="24"/>
              </w:rPr>
            </w:pPr>
          </w:p>
        </w:tc>
      </w:tr>
      <w:tr w:rsidR="002D007A" w:rsidRPr="00FA5CB3" w14:paraId="385027DB" w14:textId="77777777" w:rsidTr="00E34B42">
        <w:trPr>
          <w:trHeight w:val="626"/>
        </w:trPr>
        <w:tc>
          <w:tcPr>
            <w:tcW w:w="942" w:type="pct"/>
            <w:tcBorders>
              <w:top w:val="nil"/>
            </w:tcBorders>
            <w:shd w:val="clear" w:color="auto" w:fill="auto"/>
            <w:vAlign w:val="center"/>
          </w:tcPr>
          <w:p w14:paraId="2B4B09D5" w14:textId="146005C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sz w:val="24"/>
                <w:szCs w:val="24"/>
              </w:rPr>
            </w:pPr>
            <w:r w:rsidRPr="0096134D">
              <w:rPr>
                <w:rFonts w:ascii="Times New Roman" w:hAnsi="Times New Roman" w:cs="Times New Roman"/>
              </w:rPr>
              <w:lastRenderedPageBreak/>
              <w:t>Credit risk exposure is monitored frequently to detect early warning signs.</w:t>
            </w:r>
          </w:p>
        </w:tc>
        <w:tc>
          <w:tcPr>
            <w:tcW w:w="288" w:type="pct"/>
            <w:tcBorders>
              <w:top w:val="nil"/>
            </w:tcBorders>
            <w:shd w:val="clear" w:color="auto" w:fill="auto"/>
            <w:vAlign w:val="center"/>
          </w:tcPr>
          <w:p w14:paraId="78C50B6A" w14:textId="127F62C7" w:rsidR="002D007A" w:rsidRPr="00FA5CB3" w:rsidRDefault="00380244"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46</w:t>
            </w:r>
          </w:p>
        </w:tc>
        <w:tc>
          <w:tcPr>
            <w:tcW w:w="388" w:type="pct"/>
            <w:tcBorders>
              <w:top w:val="nil"/>
            </w:tcBorders>
            <w:shd w:val="clear" w:color="auto" w:fill="auto"/>
            <w:vAlign w:val="center"/>
          </w:tcPr>
          <w:p w14:paraId="3A53D5F2" w14:textId="3467607B" w:rsidR="002D007A" w:rsidRPr="00FA5CB3" w:rsidRDefault="00380244"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82.14</w:t>
            </w:r>
          </w:p>
        </w:tc>
        <w:tc>
          <w:tcPr>
            <w:tcW w:w="222" w:type="pct"/>
            <w:tcBorders>
              <w:top w:val="nil"/>
            </w:tcBorders>
            <w:shd w:val="clear" w:color="auto" w:fill="auto"/>
            <w:vAlign w:val="center"/>
          </w:tcPr>
          <w:p w14:paraId="3D43893E" w14:textId="760323DE" w:rsidR="002D007A" w:rsidRPr="00FA5CB3" w:rsidRDefault="00380244"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388" w:type="pct"/>
            <w:tcBorders>
              <w:top w:val="nil"/>
            </w:tcBorders>
            <w:shd w:val="clear" w:color="auto" w:fill="auto"/>
            <w:vAlign w:val="center"/>
          </w:tcPr>
          <w:p w14:paraId="62F4F1AD" w14:textId="78D89DA7" w:rsidR="002D007A" w:rsidRPr="00FA5CB3" w:rsidRDefault="00380244"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12.5</w:t>
            </w:r>
          </w:p>
        </w:tc>
        <w:tc>
          <w:tcPr>
            <w:tcW w:w="222" w:type="pct"/>
            <w:tcBorders>
              <w:top w:val="nil"/>
            </w:tcBorders>
            <w:shd w:val="clear" w:color="auto" w:fill="auto"/>
            <w:vAlign w:val="center"/>
          </w:tcPr>
          <w:p w14:paraId="69E87819" w14:textId="561EF058" w:rsidR="002D007A" w:rsidRPr="00FA5CB3" w:rsidRDefault="00380244"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321" w:type="pct"/>
            <w:tcBorders>
              <w:top w:val="nil"/>
            </w:tcBorders>
            <w:shd w:val="clear" w:color="auto" w:fill="auto"/>
            <w:vAlign w:val="center"/>
          </w:tcPr>
          <w:p w14:paraId="165459C3" w14:textId="2337FF21" w:rsidR="002D007A" w:rsidRPr="00FA5CB3" w:rsidRDefault="00380244"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5.35</w:t>
            </w:r>
          </w:p>
        </w:tc>
        <w:tc>
          <w:tcPr>
            <w:tcW w:w="222" w:type="pct"/>
            <w:tcBorders>
              <w:top w:val="nil"/>
            </w:tcBorders>
            <w:shd w:val="clear" w:color="auto" w:fill="auto"/>
            <w:vAlign w:val="center"/>
          </w:tcPr>
          <w:p w14:paraId="3D0438ED"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88" w:type="pct"/>
            <w:tcBorders>
              <w:top w:val="nil"/>
            </w:tcBorders>
            <w:shd w:val="clear" w:color="auto" w:fill="auto"/>
            <w:vAlign w:val="center"/>
          </w:tcPr>
          <w:p w14:paraId="6608A095"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0.0</w:t>
            </w:r>
          </w:p>
        </w:tc>
        <w:tc>
          <w:tcPr>
            <w:tcW w:w="239" w:type="pct"/>
            <w:tcBorders>
              <w:top w:val="nil"/>
            </w:tcBorders>
            <w:shd w:val="clear" w:color="auto" w:fill="auto"/>
            <w:vAlign w:val="center"/>
          </w:tcPr>
          <w:p w14:paraId="74054EB7"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45" w:type="pct"/>
            <w:tcBorders>
              <w:top w:val="nil"/>
            </w:tcBorders>
            <w:shd w:val="clear" w:color="auto" w:fill="auto"/>
            <w:vAlign w:val="center"/>
          </w:tcPr>
          <w:p w14:paraId="0AA9B37A"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414" w:type="pct"/>
            <w:tcBorders>
              <w:top w:val="nil"/>
            </w:tcBorders>
            <w:shd w:val="clear" w:color="auto" w:fill="auto"/>
            <w:vAlign w:val="center"/>
          </w:tcPr>
          <w:p w14:paraId="2B56FF80" w14:textId="4A0FBFDF"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w:t>
            </w:r>
            <w:r w:rsidR="004D140A">
              <w:rPr>
                <w:rFonts w:asciiTheme="majorBidi" w:eastAsia="Times New Roman" w:hAnsiTheme="majorBidi" w:cstheme="majorBidi"/>
                <w:sz w:val="24"/>
                <w:szCs w:val="24"/>
              </w:rPr>
              <w:t>77</w:t>
            </w:r>
          </w:p>
        </w:tc>
        <w:tc>
          <w:tcPr>
            <w:tcW w:w="621" w:type="pct"/>
            <w:tcBorders>
              <w:top w:val="nil"/>
            </w:tcBorders>
            <w:shd w:val="clear" w:color="auto" w:fill="auto"/>
            <w:vAlign w:val="center"/>
          </w:tcPr>
          <w:p w14:paraId="4394A379" w14:textId="4A84FB42"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w:t>
            </w:r>
            <w:r w:rsidR="004D140A">
              <w:rPr>
                <w:rFonts w:asciiTheme="majorBidi" w:eastAsia="Times New Roman" w:hAnsiTheme="majorBidi" w:cstheme="majorBidi"/>
                <w:sz w:val="24"/>
                <w:szCs w:val="24"/>
              </w:rPr>
              <w:t>53</w:t>
            </w:r>
          </w:p>
        </w:tc>
      </w:tr>
      <w:tr w:rsidR="002D007A" w:rsidRPr="00FA5CB3" w14:paraId="29E174CE" w14:textId="77777777" w:rsidTr="00E34B42">
        <w:trPr>
          <w:trHeight w:val="500"/>
        </w:trPr>
        <w:tc>
          <w:tcPr>
            <w:tcW w:w="942" w:type="pct"/>
            <w:shd w:val="clear" w:color="auto" w:fill="auto"/>
            <w:vAlign w:val="center"/>
          </w:tcPr>
          <w:p w14:paraId="7615E0A9" w14:textId="6641C2D1"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sz w:val="24"/>
                <w:szCs w:val="24"/>
              </w:rPr>
            </w:pPr>
            <w:r w:rsidRPr="0096134D">
              <w:rPr>
                <w:rFonts w:ascii="Times New Roman" w:hAnsi="Times New Roman" w:cs="Times New Roman"/>
              </w:rPr>
              <w:t>Regular reports on credit risk are submitted to senior management.</w:t>
            </w:r>
          </w:p>
        </w:tc>
        <w:tc>
          <w:tcPr>
            <w:tcW w:w="288" w:type="pct"/>
            <w:shd w:val="clear" w:color="auto" w:fill="auto"/>
            <w:vAlign w:val="center"/>
          </w:tcPr>
          <w:p w14:paraId="4058A702"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54</w:t>
            </w:r>
          </w:p>
        </w:tc>
        <w:tc>
          <w:tcPr>
            <w:tcW w:w="388" w:type="pct"/>
            <w:shd w:val="clear" w:color="auto" w:fill="auto"/>
            <w:vAlign w:val="center"/>
          </w:tcPr>
          <w:p w14:paraId="240BDC0F"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96.42</w:t>
            </w:r>
          </w:p>
        </w:tc>
        <w:tc>
          <w:tcPr>
            <w:tcW w:w="222" w:type="pct"/>
            <w:shd w:val="clear" w:color="auto" w:fill="auto"/>
            <w:vAlign w:val="center"/>
          </w:tcPr>
          <w:p w14:paraId="7605E73D"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388" w:type="pct"/>
            <w:shd w:val="clear" w:color="auto" w:fill="auto"/>
            <w:vAlign w:val="center"/>
          </w:tcPr>
          <w:p w14:paraId="5B850D6A"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3.57</w:t>
            </w:r>
          </w:p>
        </w:tc>
        <w:tc>
          <w:tcPr>
            <w:tcW w:w="222" w:type="pct"/>
            <w:shd w:val="clear" w:color="auto" w:fill="auto"/>
            <w:vAlign w:val="center"/>
          </w:tcPr>
          <w:p w14:paraId="1A6077E6"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21" w:type="pct"/>
            <w:shd w:val="clear" w:color="auto" w:fill="auto"/>
            <w:vAlign w:val="center"/>
          </w:tcPr>
          <w:p w14:paraId="01E4649C"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222" w:type="pct"/>
            <w:shd w:val="clear" w:color="auto" w:fill="auto"/>
            <w:vAlign w:val="center"/>
          </w:tcPr>
          <w:p w14:paraId="31F47509"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88" w:type="pct"/>
            <w:shd w:val="clear" w:color="auto" w:fill="auto"/>
            <w:vAlign w:val="center"/>
          </w:tcPr>
          <w:p w14:paraId="0A3AB53D"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0.0</w:t>
            </w:r>
          </w:p>
        </w:tc>
        <w:tc>
          <w:tcPr>
            <w:tcW w:w="239" w:type="pct"/>
            <w:shd w:val="clear" w:color="auto" w:fill="auto"/>
            <w:vAlign w:val="center"/>
          </w:tcPr>
          <w:p w14:paraId="09479CE9"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45" w:type="pct"/>
            <w:shd w:val="clear" w:color="auto" w:fill="auto"/>
            <w:vAlign w:val="center"/>
          </w:tcPr>
          <w:p w14:paraId="1B5B4F85"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414" w:type="pct"/>
            <w:shd w:val="clear" w:color="auto" w:fill="auto"/>
            <w:vAlign w:val="center"/>
          </w:tcPr>
          <w:p w14:paraId="19064FA0"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4.96</w:t>
            </w:r>
          </w:p>
        </w:tc>
        <w:tc>
          <w:tcPr>
            <w:tcW w:w="621" w:type="pct"/>
            <w:shd w:val="clear" w:color="auto" w:fill="auto"/>
            <w:vAlign w:val="center"/>
          </w:tcPr>
          <w:p w14:paraId="22296A58"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.19</w:t>
            </w:r>
          </w:p>
        </w:tc>
      </w:tr>
      <w:tr w:rsidR="002D007A" w:rsidRPr="00FA5CB3" w14:paraId="20FEAEA1" w14:textId="77777777" w:rsidTr="00E34B42">
        <w:trPr>
          <w:trHeight w:val="1310"/>
        </w:trPr>
        <w:tc>
          <w:tcPr>
            <w:tcW w:w="942" w:type="pct"/>
            <w:shd w:val="clear" w:color="auto" w:fill="auto"/>
            <w:vAlign w:val="center"/>
          </w:tcPr>
          <w:p w14:paraId="494ADD93" w14:textId="1DFCF029"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sz w:val="24"/>
                <w:szCs w:val="24"/>
              </w:rPr>
            </w:pPr>
            <w:r w:rsidRPr="0096134D">
              <w:rPr>
                <w:rFonts w:ascii="Times New Roman" w:hAnsi="Times New Roman" w:cs="Times New Roman"/>
              </w:rPr>
              <w:t>Automated systems are in place to track and analyze credit risk.</w:t>
            </w:r>
          </w:p>
        </w:tc>
        <w:tc>
          <w:tcPr>
            <w:tcW w:w="288" w:type="pct"/>
            <w:shd w:val="clear" w:color="auto" w:fill="auto"/>
            <w:vAlign w:val="center"/>
          </w:tcPr>
          <w:p w14:paraId="582328F7" w14:textId="3804D545" w:rsidR="002D007A" w:rsidRPr="00FA5CB3" w:rsidRDefault="00F13241"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55</w:t>
            </w:r>
          </w:p>
        </w:tc>
        <w:tc>
          <w:tcPr>
            <w:tcW w:w="388" w:type="pct"/>
            <w:shd w:val="clear" w:color="auto" w:fill="auto"/>
            <w:vAlign w:val="center"/>
          </w:tcPr>
          <w:p w14:paraId="57E78065" w14:textId="4C168903" w:rsidR="002D007A" w:rsidRPr="00FA5CB3" w:rsidRDefault="00F13241"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98.22</w:t>
            </w:r>
          </w:p>
        </w:tc>
        <w:tc>
          <w:tcPr>
            <w:tcW w:w="222" w:type="pct"/>
            <w:shd w:val="clear" w:color="auto" w:fill="auto"/>
            <w:vAlign w:val="center"/>
          </w:tcPr>
          <w:p w14:paraId="67357569" w14:textId="6A5964C0" w:rsidR="002D007A" w:rsidRPr="00FA5CB3" w:rsidRDefault="00F13241"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388" w:type="pct"/>
            <w:shd w:val="clear" w:color="auto" w:fill="auto"/>
            <w:vAlign w:val="center"/>
          </w:tcPr>
          <w:p w14:paraId="08E62B5E" w14:textId="6841AC32" w:rsidR="002D007A" w:rsidRPr="00FA5CB3" w:rsidRDefault="00F13241"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1.78</w:t>
            </w:r>
          </w:p>
        </w:tc>
        <w:tc>
          <w:tcPr>
            <w:tcW w:w="222" w:type="pct"/>
            <w:shd w:val="clear" w:color="auto" w:fill="auto"/>
            <w:vAlign w:val="center"/>
          </w:tcPr>
          <w:p w14:paraId="011A700C" w14:textId="73306B97" w:rsidR="002D007A" w:rsidRPr="00FA5CB3" w:rsidRDefault="00F13241"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21" w:type="pct"/>
            <w:shd w:val="clear" w:color="auto" w:fill="auto"/>
            <w:vAlign w:val="center"/>
          </w:tcPr>
          <w:p w14:paraId="6E4926FE" w14:textId="06569CF4" w:rsidR="002D007A" w:rsidRPr="00FA5CB3" w:rsidRDefault="00F13241"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222" w:type="pct"/>
            <w:shd w:val="clear" w:color="auto" w:fill="auto"/>
            <w:vAlign w:val="center"/>
          </w:tcPr>
          <w:p w14:paraId="0769C5AE"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88" w:type="pct"/>
            <w:shd w:val="clear" w:color="auto" w:fill="auto"/>
            <w:vAlign w:val="center"/>
          </w:tcPr>
          <w:p w14:paraId="7FD15656"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0.0</w:t>
            </w:r>
          </w:p>
        </w:tc>
        <w:tc>
          <w:tcPr>
            <w:tcW w:w="239" w:type="pct"/>
            <w:shd w:val="clear" w:color="auto" w:fill="auto"/>
            <w:vAlign w:val="center"/>
          </w:tcPr>
          <w:p w14:paraId="1CEA0EF1"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45" w:type="pct"/>
            <w:shd w:val="clear" w:color="auto" w:fill="auto"/>
            <w:vAlign w:val="center"/>
          </w:tcPr>
          <w:p w14:paraId="5A4BE407" w14:textId="77777777"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414" w:type="pct"/>
            <w:shd w:val="clear" w:color="auto" w:fill="auto"/>
            <w:vAlign w:val="center"/>
          </w:tcPr>
          <w:p w14:paraId="2C77CE64" w14:textId="085CE529"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w:t>
            </w:r>
            <w:r w:rsidR="00F13241">
              <w:rPr>
                <w:rFonts w:asciiTheme="majorBidi" w:eastAsia="Times New Roman" w:hAnsiTheme="majorBidi" w:cstheme="majorBidi"/>
                <w:sz w:val="24"/>
                <w:szCs w:val="24"/>
              </w:rPr>
              <w:t>98</w:t>
            </w:r>
          </w:p>
        </w:tc>
        <w:tc>
          <w:tcPr>
            <w:tcW w:w="621" w:type="pct"/>
            <w:shd w:val="clear" w:color="auto" w:fill="auto"/>
            <w:vAlign w:val="center"/>
          </w:tcPr>
          <w:p w14:paraId="0B3590BF" w14:textId="1DBCC4E9" w:rsidR="002D007A" w:rsidRPr="00FA5CB3" w:rsidRDefault="002D007A" w:rsidP="00F8173E">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w:t>
            </w:r>
            <w:r w:rsidR="00F13241">
              <w:rPr>
                <w:rFonts w:asciiTheme="majorBidi" w:eastAsia="Times New Roman" w:hAnsiTheme="majorBidi" w:cstheme="majorBidi"/>
                <w:sz w:val="24"/>
                <w:szCs w:val="24"/>
              </w:rPr>
              <w:t>14</w:t>
            </w:r>
          </w:p>
        </w:tc>
      </w:tr>
    </w:tbl>
    <w:p w14:paraId="657E15A7" w14:textId="1CC11551" w:rsidR="002D007A" w:rsidRDefault="002D007A" w:rsidP="002D007A">
      <w:pPr>
        <w:shd w:val="clear" w:color="auto" w:fill="FFFFFF" w:themeFill="background1"/>
        <w:spacing w:after="240" w:line="360" w:lineRule="auto"/>
        <w:jc w:val="both"/>
        <w:rPr>
          <w:rFonts w:asciiTheme="majorBidi" w:eastAsia="Times New Roman" w:hAnsiTheme="majorBidi" w:cstheme="majorBidi"/>
          <w:sz w:val="24"/>
          <w:szCs w:val="24"/>
        </w:rPr>
      </w:pPr>
      <w:r>
        <w:rPr>
          <w:rFonts w:asciiTheme="majorBidi" w:eastAsia="Times New Roman" w:hAnsiTheme="majorBidi" w:cstheme="majorBidi"/>
          <w:b/>
          <w:bCs/>
          <w:sz w:val="24"/>
          <w:szCs w:val="24"/>
        </w:rPr>
        <w:t>Source: Primary Data (2025</w:t>
      </w:r>
      <w:r w:rsidRPr="00FA5CB3">
        <w:rPr>
          <w:rFonts w:asciiTheme="majorBidi" w:eastAsia="Times New Roman" w:hAnsiTheme="majorBidi" w:cstheme="majorBidi"/>
          <w:b/>
          <w:bCs/>
          <w:sz w:val="24"/>
          <w:szCs w:val="24"/>
        </w:rPr>
        <w:t xml:space="preserve">) </w:t>
      </w:r>
      <w:r w:rsidRPr="00FA5CB3">
        <w:rPr>
          <w:rFonts w:asciiTheme="majorBidi" w:eastAsia="Times New Roman" w:hAnsiTheme="majorBidi" w:cstheme="majorBidi"/>
          <w:sz w:val="24"/>
          <w:szCs w:val="24"/>
        </w:rPr>
        <w:t xml:space="preserve"> </w:t>
      </w:r>
    </w:p>
    <w:p w14:paraId="610EDB30" w14:textId="1A22498A" w:rsidR="00CE7878" w:rsidRPr="00CE7878" w:rsidRDefault="00CE7878" w:rsidP="00CE7878">
      <w:pPr>
        <w:shd w:val="clear" w:color="auto" w:fill="FFFFFF" w:themeFill="background1"/>
        <w:spacing w:after="240" w:line="360" w:lineRule="auto"/>
        <w:jc w:val="both"/>
        <w:rPr>
          <w:rFonts w:asciiTheme="majorBidi" w:eastAsia="Times New Roman" w:hAnsiTheme="majorBidi" w:cstheme="majorBidi"/>
          <w:sz w:val="24"/>
          <w:szCs w:val="24"/>
          <w:lang w:val="en-GB"/>
        </w:rPr>
      </w:pPr>
      <w:r w:rsidRPr="00CE7878">
        <w:rPr>
          <w:rFonts w:asciiTheme="majorBidi" w:eastAsia="Times New Roman" w:hAnsiTheme="majorBidi" w:cstheme="majorBidi"/>
          <w:sz w:val="24"/>
          <w:szCs w:val="24"/>
          <w:lang w:val="en-GB"/>
        </w:rPr>
        <w:t>Table 4.8 presents the perceptions of employees from six departments (Credit and Risk Management, Finance and Management, Loan, Accounting, Recovery, and Strategic and Planning) at GT Bank Plc regarding the effectiveness of credit risk management from 2019 to 2023. The data covers responses to statements on credit risk monitoring frequency, with responses categorized into five levels: Strongly Agree, Agree, Neutral, Disagree, and Strongly Disagree. For each statement, the table provides frequencies (N) and percentages (%) for each response category, along with the corresponding mean and standard deviation for each statement. These findings provide valuable insights into employees' perceptions of how well the bank m</w:t>
      </w:r>
      <w:r w:rsidR="00883563">
        <w:rPr>
          <w:rFonts w:asciiTheme="majorBidi" w:eastAsia="Times New Roman" w:hAnsiTheme="majorBidi" w:cstheme="majorBidi"/>
          <w:sz w:val="24"/>
          <w:szCs w:val="24"/>
          <w:lang w:val="en-GB"/>
        </w:rPr>
        <w:t xml:space="preserve">anages credit risk. </w:t>
      </w:r>
      <w:r w:rsidRPr="00CE7878">
        <w:rPr>
          <w:rFonts w:asciiTheme="majorBidi" w:eastAsia="Times New Roman" w:hAnsiTheme="majorBidi" w:cstheme="majorBidi"/>
          <w:sz w:val="24"/>
          <w:szCs w:val="24"/>
          <w:lang w:val="en-GB"/>
        </w:rPr>
        <w:t>The first statement, "Credit risk exposure is monitored frequently to detect early warning signs," has a mean score of 4.77 with a standard deviation of 0.53. This indicates a high level of agreement with the statement, with 82.14% of employees strongly agreeing and 12.5% agreeing. Only 5.35% were neutral, and no respondents disagreed or strongly disagreed. The relatively high mean and low standard deviation suggest that there is a consensus among employees about the effectiveness of monitoring credit risk exposure. According to Neely (2017), frequent monitoring of credit risk is crucial for detecting potential issues early and mitigat</w:t>
      </w:r>
      <w:r w:rsidR="00883563">
        <w:rPr>
          <w:rFonts w:asciiTheme="majorBidi" w:eastAsia="Times New Roman" w:hAnsiTheme="majorBidi" w:cstheme="majorBidi"/>
          <w:sz w:val="24"/>
          <w:szCs w:val="24"/>
          <w:lang w:val="en-GB"/>
        </w:rPr>
        <w:t xml:space="preserve">ing risks before they escalate. </w:t>
      </w:r>
      <w:r w:rsidRPr="00CE7878">
        <w:rPr>
          <w:rFonts w:asciiTheme="majorBidi" w:eastAsia="Times New Roman" w:hAnsiTheme="majorBidi" w:cstheme="majorBidi"/>
          <w:sz w:val="24"/>
          <w:szCs w:val="24"/>
          <w:lang w:val="en-GB"/>
        </w:rPr>
        <w:t xml:space="preserve">The second statement, "Regular reports on credit risk are submitted to senior management," shows an even stronger consensus, with a mean score of 4.96 and a standard deviation of 0.19. A remarkable 96.42% of employees strongly agree, and 3.57% agree, while no one </w:t>
      </w:r>
      <w:r w:rsidRPr="00CE7878">
        <w:rPr>
          <w:rFonts w:asciiTheme="majorBidi" w:eastAsia="Times New Roman" w:hAnsiTheme="majorBidi" w:cstheme="majorBidi"/>
          <w:sz w:val="24"/>
          <w:szCs w:val="24"/>
          <w:lang w:val="en-GB"/>
        </w:rPr>
        <w:lastRenderedPageBreak/>
        <w:t>reported being neutral, disagreeing, or strongly disagreeing. This finding suggests that employees strongly perceive the regular submission of credit risk reports to senior management as an essential component of the bank's risk management strategy. This aligns with the views of O’Neill (2019), who emphasizes the importance of communication between departments and senior management for effective risk governance.</w:t>
      </w:r>
      <w:r w:rsidR="00883563">
        <w:rPr>
          <w:rFonts w:asciiTheme="majorBidi" w:eastAsia="Times New Roman" w:hAnsiTheme="majorBidi" w:cstheme="majorBidi"/>
          <w:sz w:val="24"/>
          <w:szCs w:val="24"/>
          <w:lang w:val="en-GB"/>
        </w:rPr>
        <w:t xml:space="preserve"> </w:t>
      </w:r>
      <w:r w:rsidRPr="00CE7878">
        <w:rPr>
          <w:rFonts w:asciiTheme="majorBidi" w:eastAsia="Times New Roman" w:hAnsiTheme="majorBidi" w:cstheme="majorBidi"/>
          <w:sz w:val="24"/>
          <w:szCs w:val="24"/>
          <w:lang w:val="en-GB"/>
        </w:rPr>
        <w:t xml:space="preserve">The third statement, "Automated systems are in place to track and </w:t>
      </w:r>
      <w:proofErr w:type="spellStart"/>
      <w:r w:rsidRPr="00CE7878">
        <w:rPr>
          <w:rFonts w:asciiTheme="majorBidi" w:eastAsia="Times New Roman" w:hAnsiTheme="majorBidi" w:cstheme="majorBidi"/>
          <w:sz w:val="24"/>
          <w:szCs w:val="24"/>
          <w:lang w:val="en-GB"/>
        </w:rPr>
        <w:t>analyze</w:t>
      </w:r>
      <w:proofErr w:type="spellEnd"/>
      <w:r w:rsidRPr="00CE7878">
        <w:rPr>
          <w:rFonts w:asciiTheme="majorBidi" w:eastAsia="Times New Roman" w:hAnsiTheme="majorBidi" w:cstheme="majorBidi"/>
          <w:sz w:val="24"/>
          <w:szCs w:val="24"/>
          <w:lang w:val="en-GB"/>
        </w:rPr>
        <w:t xml:space="preserve"> credit risk," has the highest mean score of 4.98 and a standard deviation of 0.14, indicating near-unanimous agreement among employees. A total of 98.22% strongly agree with the statement, and 1.78% agree. There are no neutral, disagree, or strongly disagree responses. This suggests that employees believe the automated systems in place for credit risk tracking and analysis are highly effective, reflecting the growing importance of technology in risk management practices (Hughes, 2020). The low standard deviation further supports the uniformity of these perceptions across departments.</w:t>
      </w:r>
    </w:p>
    <w:p w14:paraId="11FB9E8D" w14:textId="77777777" w:rsidR="00CE7878" w:rsidRPr="00CE7878" w:rsidRDefault="00CE7878" w:rsidP="00CE7878">
      <w:pPr>
        <w:shd w:val="clear" w:color="auto" w:fill="FFFFFF" w:themeFill="background1"/>
        <w:spacing w:after="240" w:line="360" w:lineRule="auto"/>
        <w:jc w:val="both"/>
        <w:rPr>
          <w:rFonts w:asciiTheme="majorBidi" w:eastAsia="Times New Roman" w:hAnsiTheme="majorBidi" w:cstheme="majorBidi"/>
          <w:sz w:val="24"/>
          <w:szCs w:val="24"/>
          <w:lang w:val="en-GB"/>
        </w:rPr>
      </w:pPr>
      <w:r w:rsidRPr="00CE7878">
        <w:rPr>
          <w:rFonts w:asciiTheme="majorBidi" w:eastAsia="Times New Roman" w:hAnsiTheme="majorBidi" w:cstheme="majorBidi"/>
          <w:sz w:val="24"/>
          <w:szCs w:val="24"/>
          <w:lang w:val="en-GB"/>
        </w:rPr>
        <w:t>In conclusion, the findings from Table 4.8 highlight that employees at GT Bank Plc view the bank’s credit risk management strategies—particularly the frequency of credit risk monitoring, the submission of reports to senior management, and the use of automated systems—as highly effective. The consistently high mean scores and low standard deviations across all statements indicate strong and consistent agreement among employees regarding these practices. This reflects the bank's commitment to robust credit risk management, which is critical for maintaining financial stability and mitigating potential risks in the future.</w:t>
      </w:r>
    </w:p>
    <w:p w14:paraId="437AA641" w14:textId="4110C8BC" w:rsidR="003B2BB4" w:rsidRPr="00C77651" w:rsidRDefault="003B2BB4" w:rsidP="003B2BB4">
      <w:pPr>
        <w:pStyle w:val="Heading1"/>
        <w:rPr>
          <w:b/>
          <w:color w:val="auto"/>
          <w:sz w:val="24"/>
          <w:szCs w:val="24"/>
        </w:rPr>
      </w:pPr>
      <w:bookmarkStart w:id="1355" w:name="_Toc175219648"/>
      <w:bookmarkStart w:id="1356" w:name="_Toc164348784"/>
      <w:bookmarkStart w:id="1357" w:name="_Toc140947590"/>
      <w:bookmarkStart w:id="1358" w:name="_Toc119963757"/>
      <w:bookmarkStart w:id="1359" w:name="_Toc193846486"/>
      <w:r w:rsidRPr="00C77651">
        <w:rPr>
          <w:rStyle w:val="Heading3Char"/>
          <w:b/>
          <w:color w:val="auto"/>
          <w:sz w:val="24"/>
        </w:rPr>
        <w:t>4.2.2</w:t>
      </w:r>
      <w:bookmarkEnd w:id="1355"/>
      <w:r w:rsidRPr="00C77651">
        <w:rPr>
          <w:rStyle w:val="Heading3Char"/>
          <w:b/>
          <w:color w:val="auto"/>
          <w:sz w:val="24"/>
        </w:rPr>
        <w:t xml:space="preserve"> </w:t>
      </w:r>
      <w:bookmarkEnd w:id="1356"/>
      <w:bookmarkEnd w:id="1357"/>
      <w:bookmarkEnd w:id="1358"/>
      <w:r w:rsidR="00883563" w:rsidRPr="00C77651">
        <w:rPr>
          <w:rFonts w:asciiTheme="majorBidi" w:eastAsia="Times New Roman" w:hAnsiTheme="majorBidi"/>
          <w:b/>
          <w:color w:val="auto"/>
          <w:sz w:val="24"/>
          <w:szCs w:val="24"/>
        </w:rPr>
        <w:t>Financial P</w:t>
      </w:r>
      <w:r w:rsidRPr="00C77651">
        <w:rPr>
          <w:rFonts w:asciiTheme="majorBidi" w:eastAsia="Times New Roman" w:hAnsiTheme="majorBidi"/>
          <w:b/>
          <w:color w:val="auto"/>
          <w:sz w:val="24"/>
          <w:szCs w:val="24"/>
        </w:rPr>
        <w:t xml:space="preserve">erformance   of </w:t>
      </w:r>
      <w:r w:rsidRPr="00C77651">
        <w:rPr>
          <w:rFonts w:asciiTheme="majorBidi" w:hAnsiTheme="majorBidi"/>
          <w:b/>
          <w:color w:val="auto"/>
          <w:sz w:val="24"/>
          <w:szCs w:val="24"/>
        </w:rPr>
        <w:t>GT Bank Plc from 2019-2023</w:t>
      </w:r>
      <w:bookmarkEnd w:id="1359"/>
    </w:p>
    <w:p w14:paraId="792D260E" w14:textId="35270840" w:rsidR="002C4E6E" w:rsidRPr="002C4E6E" w:rsidRDefault="00654211" w:rsidP="002C4E6E">
      <w:pPr>
        <w:spacing w:before="100" w:beforeAutospacing="1" w:after="100" w:afterAutospacing="1" w:line="360" w:lineRule="auto"/>
        <w:jc w:val="both"/>
        <w:rPr>
          <w:rFonts w:ascii="Times New Roman" w:eastAsia="Times New Roman" w:hAnsi="Times New Roman" w:cs="Times New Roman"/>
          <w:sz w:val="24"/>
          <w:szCs w:val="24"/>
          <w:lang w:val="en-GB" w:eastAsia="en-GB"/>
        </w:rPr>
      </w:pPr>
      <w:bookmarkStart w:id="1360" w:name="_Toc164337106"/>
      <w:bookmarkStart w:id="1361" w:name="_Toc175219982"/>
      <w:r>
        <w:rPr>
          <w:rFonts w:ascii="Times New Roman" w:eastAsia="Times New Roman" w:hAnsi="Times New Roman" w:cs="Times New Roman"/>
          <w:sz w:val="24"/>
          <w:szCs w:val="24"/>
          <w:lang w:val="en-GB" w:eastAsia="en-GB"/>
        </w:rPr>
        <w:t>The second objective was t</w:t>
      </w:r>
      <w:r w:rsidR="002C4E6E" w:rsidRPr="002C4E6E">
        <w:rPr>
          <w:rFonts w:ascii="Times New Roman" w:eastAsia="Times New Roman" w:hAnsi="Times New Roman" w:cs="Times New Roman"/>
          <w:sz w:val="24"/>
          <w:szCs w:val="24"/>
          <w:lang w:val="en-GB" w:eastAsia="en-GB"/>
        </w:rPr>
        <w:t>o analyse the financial performance of GT Bank Plc from 2019 to 2023, we will examine key financial indicators such as revenue, profit margins, return on assets (ROA), return on equity (ROE), and liquidity ratios over the five-year period. By comparing these metrics year-on-year, we can assess the bank's growth, efficiency, profitability, and overall financial health. Additionally, we will consider external factors, such as economic conditions and regulatory changes, that may have influenced the bank's performance during this time frame. This analysis will provide a comprehensive understanding of GT Bank Plc's financial stability and its ability to adapt to market trends and challenges.</w:t>
      </w:r>
    </w:p>
    <w:p w14:paraId="392BD2A9" w14:textId="483E4EC3" w:rsidR="008C6A99" w:rsidRDefault="008C6A99" w:rsidP="008C6A99">
      <w:pPr>
        <w:shd w:val="clear" w:color="auto" w:fill="FFFFFF" w:themeFill="background1"/>
        <w:spacing w:after="240" w:line="360" w:lineRule="auto"/>
        <w:jc w:val="both"/>
        <w:rPr>
          <w:rFonts w:ascii="Times New Roman" w:hAnsi="Times New Roman" w:cs="Times New Roman"/>
          <w:b/>
        </w:rPr>
      </w:pPr>
      <w:r w:rsidRPr="00FA5CB3">
        <w:rPr>
          <w:rFonts w:asciiTheme="majorBidi" w:eastAsia="Times New Roman" w:hAnsiTheme="majorBidi" w:cstheme="majorBidi"/>
          <w:b/>
          <w:bCs/>
          <w:iCs/>
          <w:sz w:val="24"/>
          <w:szCs w:val="24"/>
        </w:rPr>
        <w:lastRenderedPageBreak/>
        <w:t>Table 4.</w:t>
      </w:r>
      <w:r>
        <w:rPr>
          <w:rFonts w:asciiTheme="majorBidi" w:eastAsia="Times New Roman" w:hAnsiTheme="majorBidi" w:cstheme="majorBidi"/>
          <w:b/>
          <w:bCs/>
          <w:iCs/>
          <w:sz w:val="24"/>
          <w:szCs w:val="24"/>
        </w:rPr>
        <w:t>9</w:t>
      </w:r>
      <w:r w:rsidRPr="00FA5CB3">
        <w:rPr>
          <w:rFonts w:asciiTheme="majorBidi" w:eastAsia="Times New Roman" w:hAnsiTheme="majorBidi" w:cstheme="majorBidi"/>
          <w:b/>
          <w:bCs/>
          <w:iCs/>
          <w:sz w:val="24"/>
          <w:szCs w:val="24"/>
        </w:rPr>
        <w:t xml:space="preserve">: </w:t>
      </w:r>
      <w:r w:rsidRPr="006161EE">
        <w:rPr>
          <w:rFonts w:asciiTheme="majorBidi" w:eastAsia="Times New Roman" w:hAnsiTheme="majorBidi" w:cstheme="majorBidi"/>
          <w:b/>
          <w:bCs/>
          <w:sz w:val="24"/>
          <w:szCs w:val="24"/>
          <w:lang w:val="fr-FR"/>
        </w:rPr>
        <w:t xml:space="preserve">GT Bank employées </w:t>
      </w:r>
      <w:proofErr w:type="spellStart"/>
      <w:r w:rsidRPr="006161EE">
        <w:rPr>
          <w:rFonts w:asciiTheme="majorBidi" w:eastAsia="Times New Roman" w:hAnsiTheme="majorBidi" w:cstheme="majorBidi"/>
          <w:b/>
          <w:bCs/>
          <w:sz w:val="24"/>
          <w:szCs w:val="24"/>
          <w:lang w:val="fr-FR"/>
        </w:rPr>
        <w:t>from</w:t>
      </w:r>
      <w:proofErr w:type="spellEnd"/>
      <w:r w:rsidRPr="006161EE">
        <w:rPr>
          <w:rFonts w:asciiTheme="majorBidi" w:eastAsia="Times New Roman" w:hAnsiTheme="majorBidi" w:cstheme="majorBidi"/>
          <w:b/>
          <w:bCs/>
          <w:sz w:val="24"/>
          <w:szCs w:val="24"/>
          <w:lang w:val="fr-FR"/>
        </w:rPr>
        <w:t xml:space="preserve"> 6 </w:t>
      </w:r>
      <w:proofErr w:type="spellStart"/>
      <w:r w:rsidRPr="006161EE">
        <w:rPr>
          <w:rFonts w:asciiTheme="majorBidi" w:eastAsia="Times New Roman" w:hAnsiTheme="majorBidi" w:cstheme="majorBidi"/>
          <w:b/>
          <w:bCs/>
          <w:sz w:val="24"/>
          <w:szCs w:val="24"/>
          <w:lang w:val="fr-FR"/>
        </w:rPr>
        <w:t>departments</w:t>
      </w:r>
      <w:proofErr w:type="spellEnd"/>
      <w:r w:rsidRPr="006161EE">
        <w:rPr>
          <w:rFonts w:asciiTheme="majorBidi" w:eastAsia="Times New Roman" w:hAnsiTheme="majorBidi" w:cstheme="majorBidi"/>
          <w:b/>
          <w:bCs/>
          <w:sz w:val="24"/>
          <w:szCs w:val="24"/>
          <w:lang w:val="fr-FR"/>
        </w:rPr>
        <w:t xml:space="preserve"> </w:t>
      </w:r>
      <w:r>
        <w:rPr>
          <w:rFonts w:asciiTheme="majorBidi" w:eastAsia="Times New Roman" w:hAnsiTheme="majorBidi" w:cstheme="majorBidi"/>
          <w:b/>
          <w:bCs/>
          <w:sz w:val="24"/>
          <w:szCs w:val="24"/>
          <w:lang w:val="fr-FR"/>
        </w:rPr>
        <w:t xml:space="preserve">perception </w:t>
      </w:r>
      <w:r w:rsidRPr="006161EE">
        <w:rPr>
          <w:rFonts w:asciiTheme="majorBidi" w:eastAsia="Times New Roman" w:hAnsiTheme="majorBidi" w:cstheme="majorBidi"/>
          <w:b/>
          <w:bCs/>
          <w:sz w:val="24"/>
          <w:szCs w:val="24"/>
        </w:rPr>
        <w:t xml:space="preserve">on </w:t>
      </w:r>
      <w:r w:rsidRPr="008C6A99">
        <w:rPr>
          <w:rFonts w:asciiTheme="majorBidi" w:eastAsia="Times New Roman" w:hAnsiTheme="majorBidi" w:cstheme="majorBidi"/>
          <w:b/>
          <w:sz w:val="24"/>
          <w:szCs w:val="24"/>
        </w:rPr>
        <w:t xml:space="preserve">analyze the financial performance   of </w:t>
      </w:r>
      <w:r w:rsidRPr="008C6A99">
        <w:rPr>
          <w:rFonts w:asciiTheme="majorBidi" w:hAnsiTheme="majorBidi" w:cstheme="majorBidi"/>
          <w:b/>
          <w:sz w:val="24"/>
          <w:szCs w:val="24"/>
        </w:rPr>
        <w:t xml:space="preserve">GT Bank Plc from 2019-2023 </w:t>
      </w:r>
      <w:r w:rsidRPr="008C6A99">
        <w:rPr>
          <w:rFonts w:asciiTheme="majorBidi" w:eastAsia="Times New Roman" w:hAnsiTheme="majorBidi" w:cstheme="majorBidi"/>
          <w:b/>
          <w:bCs/>
          <w:sz w:val="24"/>
          <w:szCs w:val="24"/>
        </w:rPr>
        <w:t xml:space="preserve">for </w:t>
      </w:r>
      <w:r w:rsidRPr="008C6A99">
        <w:rPr>
          <w:rFonts w:ascii="Times New Roman" w:eastAsia="Times New Roman" w:hAnsi="Times New Roman" w:cs="Times New Roman"/>
          <w:b/>
          <w:bCs/>
        </w:rPr>
        <w:t>Net Interest Margin</w:t>
      </w:r>
    </w:p>
    <w:tbl>
      <w:tblPr>
        <w:tblpPr w:leftFromText="187" w:rightFromText="187" w:vertAnchor="text" w:horzAnchor="margin" w:tblpY="1"/>
        <w:tblOverlap w:val="never"/>
        <w:tblW w:w="5000" w:type="pct"/>
        <w:tblBorders>
          <w:top w:val="single" w:sz="4" w:space="0" w:color="auto"/>
          <w:bottom w:val="single" w:sz="4" w:space="0" w:color="auto"/>
        </w:tblBorders>
        <w:tblCellMar>
          <w:top w:w="12" w:type="dxa"/>
          <w:left w:w="0" w:type="dxa"/>
          <w:right w:w="160" w:type="dxa"/>
        </w:tblCellMar>
        <w:tblLook w:val="04A0" w:firstRow="1" w:lastRow="0" w:firstColumn="1" w:lastColumn="0" w:noHBand="0" w:noVBand="1"/>
      </w:tblPr>
      <w:tblGrid>
        <w:gridCol w:w="1730"/>
        <w:gridCol w:w="528"/>
        <w:gridCol w:w="713"/>
        <w:gridCol w:w="408"/>
        <w:gridCol w:w="713"/>
        <w:gridCol w:w="408"/>
        <w:gridCol w:w="590"/>
        <w:gridCol w:w="408"/>
        <w:gridCol w:w="713"/>
        <w:gridCol w:w="439"/>
        <w:gridCol w:w="634"/>
        <w:gridCol w:w="761"/>
        <w:gridCol w:w="1141"/>
      </w:tblGrid>
      <w:tr w:rsidR="008C6A99" w:rsidRPr="00FA5CB3" w14:paraId="4683D940" w14:textId="77777777" w:rsidTr="00E34B42">
        <w:trPr>
          <w:trHeight w:val="645"/>
        </w:trPr>
        <w:tc>
          <w:tcPr>
            <w:tcW w:w="942" w:type="pct"/>
            <w:vMerge w:val="restart"/>
            <w:shd w:val="clear" w:color="auto" w:fill="auto"/>
            <w:vAlign w:val="center"/>
          </w:tcPr>
          <w:p w14:paraId="613D719D" w14:textId="77777777"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Statements</w:t>
            </w:r>
          </w:p>
        </w:tc>
        <w:tc>
          <w:tcPr>
            <w:tcW w:w="676" w:type="pct"/>
            <w:gridSpan w:val="2"/>
            <w:tcBorders>
              <w:bottom w:val="single" w:sz="4" w:space="0" w:color="auto"/>
            </w:tcBorders>
            <w:shd w:val="clear" w:color="auto" w:fill="auto"/>
            <w:vAlign w:val="center"/>
          </w:tcPr>
          <w:p w14:paraId="0D3C8B2D" w14:textId="77777777"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Strongly Agree</w:t>
            </w:r>
          </w:p>
        </w:tc>
        <w:tc>
          <w:tcPr>
            <w:tcW w:w="610" w:type="pct"/>
            <w:gridSpan w:val="2"/>
            <w:tcBorders>
              <w:bottom w:val="single" w:sz="4" w:space="0" w:color="auto"/>
            </w:tcBorders>
            <w:shd w:val="clear" w:color="auto" w:fill="auto"/>
            <w:vAlign w:val="center"/>
          </w:tcPr>
          <w:p w14:paraId="66B3E97A" w14:textId="77777777"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Agree</w:t>
            </w:r>
          </w:p>
        </w:tc>
        <w:tc>
          <w:tcPr>
            <w:tcW w:w="543" w:type="pct"/>
            <w:gridSpan w:val="2"/>
            <w:tcBorders>
              <w:bottom w:val="single" w:sz="4" w:space="0" w:color="auto"/>
            </w:tcBorders>
            <w:shd w:val="clear" w:color="auto" w:fill="auto"/>
            <w:vAlign w:val="center"/>
          </w:tcPr>
          <w:p w14:paraId="1F10ED00" w14:textId="77777777"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Neutral</w:t>
            </w:r>
          </w:p>
        </w:tc>
        <w:tc>
          <w:tcPr>
            <w:tcW w:w="610" w:type="pct"/>
            <w:gridSpan w:val="2"/>
            <w:tcBorders>
              <w:bottom w:val="single" w:sz="4" w:space="0" w:color="auto"/>
            </w:tcBorders>
            <w:shd w:val="clear" w:color="auto" w:fill="auto"/>
            <w:vAlign w:val="center"/>
          </w:tcPr>
          <w:p w14:paraId="6760E041" w14:textId="77777777"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Disagree</w:t>
            </w:r>
          </w:p>
        </w:tc>
        <w:tc>
          <w:tcPr>
            <w:tcW w:w="584" w:type="pct"/>
            <w:gridSpan w:val="2"/>
            <w:tcBorders>
              <w:bottom w:val="single" w:sz="4" w:space="0" w:color="auto"/>
            </w:tcBorders>
            <w:shd w:val="clear" w:color="auto" w:fill="auto"/>
            <w:vAlign w:val="center"/>
          </w:tcPr>
          <w:p w14:paraId="0A8813DB" w14:textId="77777777"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Strongly Disagree</w:t>
            </w:r>
          </w:p>
        </w:tc>
        <w:tc>
          <w:tcPr>
            <w:tcW w:w="414" w:type="pct"/>
            <w:vMerge w:val="restart"/>
            <w:shd w:val="clear" w:color="auto" w:fill="auto"/>
            <w:vAlign w:val="center"/>
          </w:tcPr>
          <w:p w14:paraId="216E5DCD" w14:textId="77777777"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Mean</w:t>
            </w:r>
          </w:p>
        </w:tc>
        <w:tc>
          <w:tcPr>
            <w:tcW w:w="621" w:type="pct"/>
            <w:vMerge w:val="restart"/>
            <w:shd w:val="clear" w:color="auto" w:fill="auto"/>
            <w:vAlign w:val="center"/>
          </w:tcPr>
          <w:p w14:paraId="22113F84" w14:textId="77777777"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Standard</w:t>
            </w:r>
          </w:p>
          <w:p w14:paraId="0ABE6DB8" w14:textId="77777777"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deviation</w:t>
            </w:r>
          </w:p>
        </w:tc>
      </w:tr>
      <w:tr w:rsidR="008C6A99" w:rsidRPr="00FA5CB3" w14:paraId="30B2CF00" w14:textId="77777777" w:rsidTr="00E34B42">
        <w:trPr>
          <w:trHeight w:val="270"/>
        </w:trPr>
        <w:tc>
          <w:tcPr>
            <w:tcW w:w="942" w:type="pct"/>
            <w:vMerge/>
            <w:tcBorders>
              <w:bottom w:val="single" w:sz="4" w:space="0" w:color="auto"/>
            </w:tcBorders>
            <w:shd w:val="clear" w:color="auto" w:fill="auto"/>
            <w:vAlign w:val="center"/>
          </w:tcPr>
          <w:p w14:paraId="4B3248F0" w14:textId="77777777"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sz w:val="24"/>
                <w:szCs w:val="24"/>
              </w:rPr>
            </w:pPr>
          </w:p>
        </w:tc>
        <w:tc>
          <w:tcPr>
            <w:tcW w:w="288" w:type="pct"/>
            <w:tcBorders>
              <w:top w:val="single" w:sz="4" w:space="0" w:color="auto"/>
              <w:bottom w:val="single" w:sz="4" w:space="0" w:color="auto"/>
            </w:tcBorders>
            <w:shd w:val="clear" w:color="auto" w:fill="auto"/>
            <w:vAlign w:val="center"/>
          </w:tcPr>
          <w:p w14:paraId="6324ED1C" w14:textId="77777777"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88" w:type="pct"/>
            <w:tcBorders>
              <w:top w:val="single" w:sz="4" w:space="0" w:color="auto"/>
              <w:bottom w:val="single" w:sz="4" w:space="0" w:color="auto"/>
            </w:tcBorders>
            <w:shd w:val="clear" w:color="auto" w:fill="auto"/>
            <w:vAlign w:val="center"/>
          </w:tcPr>
          <w:p w14:paraId="1AA947C8" w14:textId="77777777"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22" w:type="pct"/>
            <w:tcBorders>
              <w:top w:val="single" w:sz="4" w:space="0" w:color="auto"/>
              <w:bottom w:val="single" w:sz="4" w:space="0" w:color="auto"/>
            </w:tcBorders>
            <w:shd w:val="clear" w:color="auto" w:fill="auto"/>
            <w:vAlign w:val="center"/>
          </w:tcPr>
          <w:p w14:paraId="6B3379C1" w14:textId="77777777"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88" w:type="pct"/>
            <w:tcBorders>
              <w:top w:val="single" w:sz="4" w:space="0" w:color="auto"/>
              <w:bottom w:val="single" w:sz="4" w:space="0" w:color="auto"/>
            </w:tcBorders>
            <w:shd w:val="clear" w:color="auto" w:fill="auto"/>
            <w:vAlign w:val="center"/>
          </w:tcPr>
          <w:p w14:paraId="30D2C080" w14:textId="77777777"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22" w:type="pct"/>
            <w:tcBorders>
              <w:top w:val="single" w:sz="4" w:space="0" w:color="auto"/>
              <w:bottom w:val="single" w:sz="4" w:space="0" w:color="auto"/>
            </w:tcBorders>
            <w:shd w:val="clear" w:color="auto" w:fill="auto"/>
            <w:vAlign w:val="center"/>
          </w:tcPr>
          <w:p w14:paraId="202FAAD2" w14:textId="77777777"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21" w:type="pct"/>
            <w:tcBorders>
              <w:top w:val="single" w:sz="4" w:space="0" w:color="auto"/>
              <w:bottom w:val="single" w:sz="4" w:space="0" w:color="auto"/>
            </w:tcBorders>
            <w:shd w:val="clear" w:color="auto" w:fill="auto"/>
            <w:vAlign w:val="center"/>
          </w:tcPr>
          <w:p w14:paraId="5FB8F63B" w14:textId="77777777"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22" w:type="pct"/>
            <w:tcBorders>
              <w:top w:val="single" w:sz="4" w:space="0" w:color="auto"/>
              <w:bottom w:val="single" w:sz="4" w:space="0" w:color="auto"/>
            </w:tcBorders>
            <w:shd w:val="clear" w:color="auto" w:fill="auto"/>
            <w:vAlign w:val="center"/>
          </w:tcPr>
          <w:p w14:paraId="55CB1B43" w14:textId="77777777"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88" w:type="pct"/>
            <w:tcBorders>
              <w:top w:val="single" w:sz="4" w:space="0" w:color="auto"/>
              <w:bottom w:val="single" w:sz="4" w:space="0" w:color="auto"/>
            </w:tcBorders>
            <w:shd w:val="clear" w:color="auto" w:fill="auto"/>
            <w:vAlign w:val="center"/>
          </w:tcPr>
          <w:p w14:paraId="6BE1AD68" w14:textId="77777777"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39" w:type="pct"/>
            <w:tcBorders>
              <w:top w:val="single" w:sz="4" w:space="0" w:color="auto"/>
              <w:bottom w:val="single" w:sz="4" w:space="0" w:color="auto"/>
            </w:tcBorders>
            <w:shd w:val="clear" w:color="auto" w:fill="auto"/>
            <w:vAlign w:val="center"/>
          </w:tcPr>
          <w:p w14:paraId="4BC66757" w14:textId="77777777"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45" w:type="pct"/>
            <w:tcBorders>
              <w:top w:val="single" w:sz="4" w:space="0" w:color="auto"/>
              <w:bottom w:val="single" w:sz="4" w:space="0" w:color="auto"/>
            </w:tcBorders>
            <w:shd w:val="clear" w:color="auto" w:fill="auto"/>
            <w:vAlign w:val="center"/>
          </w:tcPr>
          <w:p w14:paraId="1577587D" w14:textId="77777777"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414" w:type="pct"/>
            <w:vMerge/>
            <w:tcBorders>
              <w:bottom w:val="single" w:sz="4" w:space="0" w:color="auto"/>
            </w:tcBorders>
            <w:shd w:val="clear" w:color="auto" w:fill="auto"/>
            <w:vAlign w:val="center"/>
          </w:tcPr>
          <w:p w14:paraId="1E8A6BC2" w14:textId="77777777"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sz w:val="24"/>
                <w:szCs w:val="24"/>
              </w:rPr>
            </w:pPr>
          </w:p>
        </w:tc>
        <w:tc>
          <w:tcPr>
            <w:tcW w:w="621" w:type="pct"/>
            <w:vMerge/>
            <w:tcBorders>
              <w:bottom w:val="single" w:sz="4" w:space="0" w:color="auto"/>
            </w:tcBorders>
            <w:shd w:val="clear" w:color="auto" w:fill="auto"/>
            <w:vAlign w:val="center"/>
          </w:tcPr>
          <w:p w14:paraId="3F54BBBB" w14:textId="77777777"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sz w:val="24"/>
                <w:szCs w:val="24"/>
              </w:rPr>
            </w:pPr>
          </w:p>
        </w:tc>
      </w:tr>
      <w:tr w:rsidR="008C6A99" w:rsidRPr="00FA5CB3" w14:paraId="45A62AFA" w14:textId="77777777" w:rsidTr="00E34B42">
        <w:trPr>
          <w:trHeight w:val="626"/>
        </w:trPr>
        <w:tc>
          <w:tcPr>
            <w:tcW w:w="942" w:type="pct"/>
            <w:tcBorders>
              <w:top w:val="nil"/>
            </w:tcBorders>
            <w:shd w:val="clear" w:color="auto" w:fill="auto"/>
            <w:vAlign w:val="center"/>
          </w:tcPr>
          <w:p w14:paraId="56BBF336" w14:textId="7E94D87E"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sz w:val="24"/>
                <w:szCs w:val="24"/>
              </w:rPr>
            </w:pPr>
            <w:r w:rsidRPr="00C37E26">
              <w:rPr>
                <w:rFonts w:ascii="Times New Roman" w:eastAsia="Times New Roman" w:hAnsi="Times New Roman" w:cs="Times New Roman"/>
              </w:rPr>
              <w:t>The Net Interest Margin has been increasing over the years.</w:t>
            </w:r>
          </w:p>
        </w:tc>
        <w:tc>
          <w:tcPr>
            <w:tcW w:w="288" w:type="pct"/>
            <w:tcBorders>
              <w:top w:val="nil"/>
            </w:tcBorders>
            <w:shd w:val="clear" w:color="auto" w:fill="auto"/>
            <w:vAlign w:val="center"/>
          </w:tcPr>
          <w:p w14:paraId="036E5203" w14:textId="6733CF7D"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w:t>
            </w:r>
            <w:r w:rsidR="00FF21D5">
              <w:rPr>
                <w:rFonts w:asciiTheme="majorBidi" w:eastAsia="Times New Roman" w:hAnsiTheme="majorBidi" w:cstheme="majorBidi"/>
                <w:sz w:val="24"/>
                <w:szCs w:val="24"/>
              </w:rPr>
              <w:t>0</w:t>
            </w:r>
          </w:p>
        </w:tc>
        <w:tc>
          <w:tcPr>
            <w:tcW w:w="388" w:type="pct"/>
            <w:tcBorders>
              <w:top w:val="nil"/>
            </w:tcBorders>
            <w:shd w:val="clear" w:color="auto" w:fill="auto"/>
            <w:vAlign w:val="center"/>
          </w:tcPr>
          <w:p w14:paraId="3A4CE614" w14:textId="41BDBD98" w:rsidR="008C6A99" w:rsidRPr="00FA5CB3" w:rsidRDefault="00FF21D5" w:rsidP="009E04DC">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71.42</w:t>
            </w:r>
          </w:p>
        </w:tc>
        <w:tc>
          <w:tcPr>
            <w:tcW w:w="222" w:type="pct"/>
            <w:tcBorders>
              <w:top w:val="nil"/>
            </w:tcBorders>
            <w:shd w:val="clear" w:color="auto" w:fill="auto"/>
            <w:vAlign w:val="center"/>
          </w:tcPr>
          <w:p w14:paraId="33234E74" w14:textId="60C5BD37" w:rsidR="008C6A99" w:rsidRPr="00FA5CB3" w:rsidRDefault="00FF21D5" w:rsidP="009E04DC">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12</w:t>
            </w:r>
          </w:p>
        </w:tc>
        <w:tc>
          <w:tcPr>
            <w:tcW w:w="388" w:type="pct"/>
            <w:tcBorders>
              <w:top w:val="nil"/>
            </w:tcBorders>
            <w:shd w:val="clear" w:color="auto" w:fill="auto"/>
            <w:vAlign w:val="center"/>
          </w:tcPr>
          <w:p w14:paraId="6C859307" w14:textId="75AFD876" w:rsidR="008C6A99" w:rsidRPr="00FA5CB3" w:rsidRDefault="00FF21D5" w:rsidP="009E04DC">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21.42</w:t>
            </w:r>
          </w:p>
        </w:tc>
        <w:tc>
          <w:tcPr>
            <w:tcW w:w="222" w:type="pct"/>
            <w:tcBorders>
              <w:top w:val="nil"/>
            </w:tcBorders>
            <w:shd w:val="clear" w:color="auto" w:fill="auto"/>
            <w:vAlign w:val="center"/>
          </w:tcPr>
          <w:p w14:paraId="5B665A0B" w14:textId="3F8CBCF4" w:rsidR="008C6A99" w:rsidRPr="00FA5CB3" w:rsidRDefault="00FF21D5" w:rsidP="009E04DC">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321" w:type="pct"/>
            <w:tcBorders>
              <w:top w:val="nil"/>
            </w:tcBorders>
            <w:shd w:val="clear" w:color="auto" w:fill="auto"/>
            <w:vAlign w:val="center"/>
          </w:tcPr>
          <w:p w14:paraId="0099446C" w14:textId="5BFD60AF" w:rsidR="008C6A99" w:rsidRPr="00FA5CB3" w:rsidRDefault="00FF21D5" w:rsidP="009E04DC">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7.14</w:t>
            </w:r>
          </w:p>
        </w:tc>
        <w:tc>
          <w:tcPr>
            <w:tcW w:w="222" w:type="pct"/>
            <w:tcBorders>
              <w:top w:val="nil"/>
            </w:tcBorders>
            <w:shd w:val="clear" w:color="auto" w:fill="auto"/>
            <w:vAlign w:val="center"/>
          </w:tcPr>
          <w:p w14:paraId="12E29058" w14:textId="77777777"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88" w:type="pct"/>
            <w:tcBorders>
              <w:top w:val="nil"/>
            </w:tcBorders>
            <w:shd w:val="clear" w:color="auto" w:fill="auto"/>
            <w:vAlign w:val="center"/>
          </w:tcPr>
          <w:p w14:paraId="18C840C9" w14:textId="77777777"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0.0</w:t>
            </w:r>
          </w:p>
        </w:tc>
        <w:tc>
          <w:tcPr>
            <w:tcW w:w="239" w:type="pct"/>
            <w:tcBorders>
              <w:top w:val="nil"/>
            </w:tcBorders>
            <w:shd w:val="clear" w:color="auto" w:fill="auto"/>
            <w:vAlign w:val="center"/>
          </w:tcPr>
          <w:p w14:paraId="556A2291" w14:textId="77777777"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45" w:type="pct"/>
            <w:tcBorders>
              <w:top w:val="nil"/>
            </w:tcBorders>
            <w:shd w:val="clear" w:color="auto" w:fill="auto"/>
            <w:vAlign w:val="center"/>
          </w:tcPr>
          <w:p w14:paraId="63BCF811" w14:textId="77777777"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414" w:type="pct"/>
            <w:tcBorders>
              <w:top w:val="nil"/>
            </w:tcBorders>
            <w:shd w:val="clear" w:color="auto" w:fill="auto"/>
            <w:vAlign w:val="center"/>
          </w:tcPr>
          <w:p w14:paraId="63858F2C" w14:textId="6E33074B"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w:t>
            </w:r>
            <w:r w:rsidR="00FF21D5">
              <w:rPr>
                <w:rFonts w:asciiTheme="majorBidi" w:eastAsia="Times New Roman" w:hAnsiTheme="majorBidi" w:cstheme="majorBidi"/>
                <w:sz w:val="24"/>
                <w:szCs w:val="24"/>
              </w:rPr>
              <w:t>64</w:t>
            </w:r>
          </w:p>
        </w:tc>
        <w:tc>
          <w:tcPr>
            <w:tcW w:w="621" w:type="pct"/>
            <w:tcBorders>
              <w:top w:val="nil"/>
            </w:tcBorders>
            <w:shd w:val="clear" w:color="auto" w:fill="auto"/>
            <w:vAlign w:val="center"/>
          </w:tcPr>
          <w:p w14:paraId="15D27383" w14:textId="2C32D70C"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w:t>
            </w:r>
            <w:r w:rsidR="00FF21D5">
              <w:rPr>
                <w:rFonts w:asciiTheme="majorBidi" w:eastAsia="Times New Roman" w:hAnsiTheme="majorBidi" w:cstheme="majorBidi"/>
                <w:sz w:val="24"/>
                <w:szCs w:val="24"/>
              </w:rPr>
              <w:t>61</w:t>
            </w:r>
          </w:p>
        </w:tc>
      </w:tr>
      <w:tr w:rsidR="008C6A99" w:rsidRPr="00FA5CB3" w14:paraId="0E78F808" w14:textId="77777777" w:rsidTr="00E34B42">
        <w:trPr>
          <w:trHeight w:val="500"/>
        </w:trPr>
        <w:tc>
          <w:tcPr>
            <w:tcW w:w="942" w:type="pct"/>
            <w:shd w:val="clear" w:color="auto" w:fill="auto"/>
            <w:vAlign w:val="center"/>
          </w:tcPr>
          <w:p w14:paraId="12CB901D" w14:textId="1C58020A"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sz w:val="24"/>
                <w:szCs w:val="24"/>
              </w:rPr>
            </w:pPr>
            <w:r w:rsidRPr="00C37E26">
              <w:rPr>
                <w:rFonts w:ascii="Times New Roman" w:eastAsia="Times New Roman" w:hAnsi="Times New Roman" w:cs="Times New Roman"/>
              </w:rPr>
              <w:t>The bank has a structured strategy to optimize Net Interest Margin.</w:t>
            </w:r>
          </w:p>
        </w:tc>
        <w:tc>
          <w:tcPr>
            <w:tcW w:w="288" w:type="pct"/>
            <w:shd w:val="clear" w:color="auto" w:fill="auto"/>
            <w:vAlign w:val="center"/>
          </w:tcPr>
          <w:p w14:paraId="26647377" w14:textId="4A86BCF1" w:rsidR="008C6A99" w:rsidRPr="00FA5CB3" w:rsidRDefault="00C07B91" w:rsidP="009E04DC">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42</w:t>
            </w:r>
          </w:p>
        </w:tc>
        <w:tc>
          <w:tcPr>
            <w:tcW w:w="388" w:type="pct"/>
            <w:shd w:val="clear" w:color="auto" w:fill="auto"/>
            <w:vAlign w:val="center"/>
          </w:tcPr>
          <w:p w14:paraId="76AE6848" w14:textId="4B3145AB" w:rsidR="008C6A99" w:rsidRPr="00FA5CB3" w:rsidRDefault="00C07B91" w:rsidP="009E04DC">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75</w:t>
            </w:r>
          </w:p>
        </w:tc>
        <w:tc>
          <w:tcPr>
            <w:tcW w:w="222" w:type="pct"/>
            <w:shd w:val="clear" w:color="auto" w:fill="auto"/>
            <w:vAlign w:val="center"/>
          </w:tcPr>
          <w:p w14:paraId="1BE37A02" w14:textId="0F459E7C" w:rsidR="008C6A99" w:rsidRPr="00FA5CB3" w:rsidRDefault="00C07B91" w:rsidP="009E04DC">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10</w:t>
            </w:r>
          </w:p>
        </w:tc>
        <w:tc>
          <w:tcPr>
            <w:tcW w:w="388" w:type="pct"/>
            <w:shd w:val="clear" w:color="auto" w:fill="auto"/>
            <w:vAlign w:val="center"/>
          </w:tcPr>
          <w:p w14:paraId="00CC6F47" w14:textId="7DB0FD1B" w:rsidR="008C6A99" w:rsidRPr="00FA5CB3" w:rsidRDefault="00C07B91" w:rsidP="009E04DC">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17.85</w:t>
            </w:r>
          </w:p>
        </w:tc>
        <w:tc>
          <w:tcPr>
            <w:tcW w:w="222" w:type="pct"/>
            <w:shd w:val="clear" w:color="auto" w:fill="auto"/>
            <w:vAlign w:val="center"/>
          </w:tcPr>
          <w:p w14:paraId="3DD5B462" w14:textId="09A08101" w:rsidR="008C6A99" w:rsidRPr="00FA5CB3" w:rsidRDefault="00C07B91" w:rsidP="009E04DC">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321" w:type="pct"/>
            <w:shd w:val="clear" w:color="auto" w:fill="auto"/>
            <w:vAlign w:val="center"/>
          </w:tcPr>
          <w:p w14:paraId="4A75F948" w14:textId="5E40D7EB" w:rsidR="008C6A99" w:rsidRPr="00FA5CB3" w:rsidRDefault="00C07B91" w:rsidP="009E04DC">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3.57</w:t>
            </w:r>
          </w:p>
        </w:tc>
        <w:tc>
          <w:tcPr>
            <w:tcW w:w="222" w:type="pct"/>
            <w:shd w:val="clear" w:color="auto" w:fill="auto"/>
            <w:vAlign w:val="center"/>
          </w:tcPr>
          <w:p w14:paraId="2AE910C1" w14:textId="712F5C28" w:rsidR="008C6A99" w:rsidRPr="00FA5CB3" w:rsidRDefault="00C07B91" w:rsidP="009E04DC">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388" w:type="pct"/>
            <w:shd w:val="clear" w:color="auto" w:fill="auto"/>
            <w:vAlign w:val="center"/>
          </w:tcPr>
          <w:p w14:paraId="4A348E89" w14:textId="34B1935F" w:rsidR="008C6A99" w:rsidRPr="00FA5CB3" w:rsidRDefault="00C07B91" w:rsidP="009E04DC">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3.75</w:t>
            </w:r>
          </w:p>
        </w:tc>
        <w:tc>
          <w:tcPr>
            <w:tcW w:w="239" w:type="pct"/>
            <w:shd w:val="clear" w:color="auto" w:fill="auto"/>
            <w:vAlign w:val="center"/>
          </w:tcPr>
          <w:p w14:paraId="5D4CF01D" w14:textId="77777777"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45" w:type="pct"/>
            <w:shd w:val="clear" w:color="auto" w:fill="auto"/>
            <w:vAlign w:val="center"/>
          </w:tcPr>
          <w:p w14:paraId="6BA47A46" w14:textId="77777777"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414" w:type="pct"/>
            <w:shd w:val="clear" w:color="auto" w:fill="auto"/>
            <w:vAlign w:val="center"/>
          </w:tcPr>
          <w:p w14:paraId="1FF3C54B" w14:textId="1B43BBA3"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w:t>
            </w:r>
            <w:r w:rsidR="00E45831">
              <w:rPr>
                <w:rFonts w:asciiTheme="majorBidi" w:eastAsia="Times New Roman" w:hAnsiTheme="majorBidi" w:cstheme="majorBidi"/>
                <w:sz w:val="24"/>
                <w:szCs w:val="24"/>
              </w:rPr>
              <w:t>64</w:t>
            </w:r>
          </w:p>
        </w:tc>
        <w:tc>
          <w:tcPr>
            <w:tcW w:w="621" w:type="pct"/>
            <w:shd w:val="clear" w:color="auto" w:fill="auto"/>
            <w:vAlign w:val="center"/>
          </w:tcPr>
          <w:p w14:paraId="65E49D71" w14:textId="58C309EC" w:rsidR="008C6A99" w:rsidRPr="00FA5CB3" w:rsidRDefault="008C6A99" w:rsidP="009E04DC">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w:t>
            </w:r>
            <w:r w:rsidR="00E45831">
              <w:rPr>
                <w:rFonts w:asciiTheme="majorBidi" w:eastAsia="Times New Roman" w:hAnsiTheme="majorBidi" w:cstheme="majorBidi"/>
                <w:sz w:val="24"/>
                <w:szCs w:val="24"/>
              </w:rPr>
              <w:t>72</w:t>
            </w:r>
          </w:p>
        </w:tc>
      </w:tr>
    </w:tbl>
    <w:p w14:paraId="71CD6747" w14:textId="5F589E83" w:rsidR="009E04DC" w:rsidRPr="00654211" w:rsidRDefault="009E04DC" w:rsidP="00735DC1">
      <w:pPr>
        <w:shd w:val="clear" w:color="auto" w:fill="FFFFFF" w:themeFill="background1"/>
        <w:spacing w:after="240" w:line="360" w:lineRule="auto"/>
        <w:jc w:val="both"/>
        <w:rPr>
          <w:rFonts w:asciiTheme="majorBidi" w:eastAsia="Times New Roman" w:hAnsiTheme="majorBidi" w:cstheme="majorBidi"/>
          <w:sz w:val="24"/>
          <w:szCs w:val="24"/>
        </w:rPr>
      </w:pPr>
      <w:r w:rsidRPr="00735DC1">
        <w:rPr>
          <w:rFonts w:asciiTheme="majorBidi" w:eastAsia="Times New Roman" w:hAnsiTheme="majorBidi" w:cstheme="majorBidi"/>
          <w:bCs/>
          <w:sz w:val="24"/>
          <w:szCs w:val="24"/>
        </w:rPr>
        <w:t xml:space="preserve">Source: Primary Data (2025) </w:t>
      </w:r>
      <w:r w:rsidR="00654211">
        <w:rPr>
          <w:rFonts w:asciiTheme="majorBidi" w:eastAsia="Times New Roman" w:hAnsiTheme="majorBidi" w:cstheme="majorBidi"/>
          <w:sz w:val="24"/>
          <w:szCs w:val="24"/>
        </w:rPr>
        <w:t xml:space="preserve"> </w:t>
      </w:r>
    </w:p>
    <w:p w14:paraId="104D388A" w14:textId="5BEF07A4" w:rsidR="00735DC1" w:rsidRPr="00735DC1" w:rsidRDefault="00735DC1" w:rsidP="00735DC1">
      <w:pPr>
        <w:shd w:val="clear" w:color="auto" w:fill="FFFFFF" w:themeFill="background1"/>
        <w:spacing w:after="240" w:line="360" w:lineRule="auto"/>
        <w:jc w:val="both"/>
        <w:rPr>
          <w:rFonts w:asciiTheme="majorBidi" w:eastAsia="Times New Roman" w:hAnsiTheme="majorBidi" w:cstheme="majorBidi"/>
          <w:bCs/>
          <w:sz w:val="24"/>
          <w:szCs w:val="24"/>
          <w:lang w:val="en-GB"/>
        </w:rPr>
      </w:pPr>
      <w:r w:rsidRPr="00735DC1">
        <w:rPr>
          <w:rFonts w:asciiTheme="majorBidi" w:eastAsia="Times New Roman" w:hAnsiTheme="majorBidi" w:cstheme="majorBidi"/>
          <w:bCs/>
          <w:sz w:val="24"/>
          <w:szCs w:val="24"/>
          <w:lang w:val="en-GB"/>
        </w:rPr>
        <w:t xml:space="preserve">Table 4.9 provides insights into the perceptions of GT Bank employees from six departments (Credit and Risk Management, Finance and Management, Loan, Accounting, Recovery, and Strategic and Planning) regarding the bank's ability to </w:t>
      </w:r>
      <w:proofErr w:type="spellStart"/>
      <w:r w:rsidRPr="00735DC1">
        <w:rPr>
          <w:rFonts w:asciiTheme="majorBidi" w:eastAsia="Times New Roman" w:hAnsiTheme="majorBidi" w:cstheme="majorBidi"/>
          <w:bCs/>
          <w:sz w:val="24"/>
          <w:szCs w:val="24"/>
          <w:lang w:val="en-GB"/>
        </w:rPr>
        <w:t>analyze</w:t>
      </w:r>
      <w:proofErr w:type="spellEnd"/>
      <w:r w:rsidRPr="00735DC1">
        <w:rPr>
          <w:rFonts w:asciiTheme="majorBidi" w:eastAsia="Times New Roman" w:hAnsiTheme="majorBidi" w:cstheme="majorBidi"/>
          <w:bCs/>
          <w:sz w:val="24"/>
          <w:szCs w:val="24"/>
          <w:lang w:val="en-GB"/>
        </w:rPr>
        <w:t xml:space="preserve"> its financial performance, particularly focusing on the Net Interest Margin (NIM) from 2019 to 2023. The table presents employees' responses to two statements about NIM, with frequency (N) and percentage (%) distributions for each response category, as well as the mean and standard deviation for each statement. These findings shed light on how employees perceive the bank's performance in managing and opti</w:t>
      </w:r>
      <w:r w:rsidR="00654211">
        <w:rPr>
          <w:rFonts w:asciiTheme="majorBidi" w:eastAsia="Times New Roman" w:hAnsiTheme="majorBidi" w:cstheme="majorBidi"/>
          <w:bCs/>
          <w:sz w:val="24"/>
          <w:szCs w:val="24"/>
          <w:lang w:val="en-GB"/>
        </w:rPr>
        <w:t xml:space="preserve">mizing its Net Interest Margin. </w:t>
      </w:r>
      <w:r w:rsidRPr="00735DC1">
        <w:rPr>
          <w:rFonts w:asciiTheme="majorBidi" w:eastAsia="Times New Roman" w:hAnsiTheme="majorBidi" w:cstheme="majorBidi"/>
          <w:bCs/>
          <w:sz w:val="24"/>
          <w:szCs w:val="24"/>
          <w:lang w:val="en-GB"/>
        </w:rPr>
        <w:t xml:space="preserve">The first statement, "The Net Interest Margin has been increasing over the years," reveals a strong consensus among employees, with a mean score of 4.64 and a standard deviation of 0.61. Specifically, 71.42% of employees strongly agree, while 21.42% agree, and 7.14% remain neutral. No respondents disagreed or strongly disagreed with this statement. The relatively high mean score suggests that employees generally perceive an improvement in the bank’s Net Interest Margin over the </w:t>
      </w:r>
      <w:proofErr w:type="spellStart"/>
      <w:r w:rsidRPr="00735DC1">
        <w:rPr>
          <w:rFonts w:asciiTheme="majorBidi" w:eastAsia="Times New Roman" w:hAnsiTheme="majorBidi" w:cstheme="majorBidi"/>
          <w:bCs/>
          <w:sz w:val="24"/>
          <w:szCs w:val="24"/>
          <w:lang w:val="en-GB"/>
        </w:rPr>
        <w:t>analyzed</w:t>
      </w:r>
      <w:proofErr w:type="spellEnd"/>
      <w:r w:rsidRPr="00735DC1">
        <w:rPr>
          <w:rFonts w:asciiTheme="majorBidi" w:eastAsia="Times New Roman" w:hAnsiTheme="majorBidi" w:cstheme="majorBidi"/>
          <w:bCs/>
          <w:sz w:val="24"/>
          <w:szCs w:val="24"/>
          <w:lang w:val="en-GB"/>
        </w:rPr>
        <w:t xml:space="preserve"> period. The low standard deviation indicates that this perception is consistent across various departments, </w:t>
      </w:r>
      <w:proofErr w:type="spellStart"/>
      <w:r w:rsidRPr="00735DC1">
        <w:rPr>
          <w:rFonts w:asciiTheme="majorBidi" w:eastAsia="Times New Roman" w:hAnsiTheme="majorBidi" w:cstheme="majorBidi"/>
          <w:bCs/>
          <w:sz w:val="24"/>
          <w:szCs w:val="24"/>
          <w:lang w:val="en-GB"/>
        </w:rPr>
        <w:t>signaling</w:t>
      </w:r>
      <w:proofErr w:type="spellEnd"/>
      <w:r w:rsidRPr="00735DC1">
        <w:rPr>
          <w:rFonts w:asciiTheme="majorBidi" w:eastAsia="Times New Roman" w:hAnsiTheme="majorBidi" w:cstheme="majorBidi"/>
          <w:bCs/>
          <w:sz w:val="24"/>
          <w:szCs w:val="24"/>
          <w:lang w:val="en-GB"/>
        </w:rPr>
        <w:t xml:space="preserve"> a unified view on the bank's financial growth in terms of NIM. According to Chawla (2018), a consistent increase in NIM reflects effective management of the bank's interest income and expenses, which is often a key</w:t>
      </w:r>
      <w:r w:rsidR="00654211">
        <w:rPr>
          <w:rFonts w:asciiTheme="majorBidi" w:eastAsia="Times New Roman" w:hAnsiTheme="majorBidi" w:cstheme="majorBidi"/>
          <w:bCs/>
          <w:sz w:val="24"/>
          <w:szCs w:val="24"/>
          <w:lang w:val="en-GB"/>
        </w:rPr>
        <w:t xml:space="preserve"> indicator of financial health. </w:t>
      </w:r>
      <w:r w:rsidRPr="00735DC1">
        <w:rPr>
          <w:rFonts w:asciiTheme="majorBidi" w:eastAsia="Times New Roman" w:hAnsiTheme="majorBidi" w:cstheme="majorBidi"/>
          <w:bCs/>
          <w:sz w:val="24"/>
          <w:szCs w:val="24"/>
          <w:lang w:val="en-GB"/>
        </w:rPr>
        <w:t xml:space="preserve">The second statement, "The bank has a structured strategy to optimize Net Interest Margin," also shows a positive perception among employees, with a mean of 4.64 and a standard </w:t>
      </w:r>
      <w:r w:rsidRPr="00735DC1">
        <w:rPr>
          <w:rFonts w:asciiTheme="majorBidi" w:eastAsia="Times New Roman" w:hAnsiTheme="majorBidi" w:cstheme="majorBidi"/>
          <w:bCs/>
          <w:sz w:val="24"/>
          <w:szCs w:val="24"/>
          <w:lang w:val="en-GB"/>
        </w:rPr>
        <w:lastRenderedPageBreak/>
        <w:t>deviation of 0.72. Here, 75% of employees strongly agree, 17.85% agree, while 3.57% remain neutral, and 3.75% disagree. No one strongly disagrees with the statement. This finding suggests that employees recognize the existence of a clear strategy aimed at optimizing the Net Interest Margin. The uniformity in responses, indicated by the relatively low standard deviation, further confirms that the majority of employees believe the bank has a well-structured approach to managing its NIM. This supports the idea that a targeted strategy to improve NIM is an essential aspect of GT Bank's financial planning and execution, as highlighted by Kumar (2020), who argues that strategic management of NIM is crucial for improving a bank's profitability and stability.</w:t>
      </w:r>
    </w:p>
    <w:p w14:paraId="119E5822" w14:textId="128E6A6E" w:rsidR="00735DC1" w:rsidRPr="00913121" w:rsidRDefault="00735DC1" w:rsidP="008C6A99">
      <w:pPr>
        <w:shd w:val="clear" w:color="auto" w:fill="FFFFFF" w:themeFill="background1"/>
        <w:spacing w:after="240" w:line="360" w:lineRule="auto"/>
        <w:jc w:val="both"/>
        <w:rPr>
          <w:rFonts w:asciiTheme="majorBidi" w:eastAsia="Times New Roman" w:hAnsiTheme="majorBidi" w:cstheme="majorBidi"/>
          <w:bCs/>
          <w:sz w:val="24"/>
          <w:szCs w:val="24"/>
          <w:lang w:val="en-GB"/>
        </w:rPr>
      </w:pPr>
      <w:r w:rsidRPr="00735DC1">
        <w:rPr>
          <w:rFonts w:asciiTheme="majorBidi" w:eastAsia="Times New Roman" w:hAnsiTheme="majorBidi" w:cstheme="majorBidi"/>
          <w:bCs/>
          <w:sz w:val="24"/>
          <w:szCs w:val="24"/>
          <w:lang w:val="en-GB"/>
        </w:rPr>
        <w:t>In conclusion, the findings from Table 4.9 reflect a positive assessment of GT Bank's management of Net Interest Margin from 2019 to 2023. Employees perceive that the bank's NIM has been on an upward trajectory, supported by a structured strategy for optimization. The consistently high mean scores and relatively low standard deviations suggest strong agreement across departments about the bank's ability to effectively manage and optimize NIM. This perception aligns with broader industry trends where banks focus on refining their interest income strategies to bolster pr</w:t>
      </w:r>
      <w:r w:rsidR="00913121">
        <w:rPr>
          <w:rFonts w:asciiTheme="majorBidi" w:eastAsia="Times New Roman" w:hAnsiTheme="majorBidi" w:cstheme="majorBidi"/>
          <w:bCs/>
          <w:sz w:val="24"/>
          <w:szCs w:val="24"/>
          <w:lang w:val="en-GB"/>
        </w:rPr>
        <w:t xml:space="preserve">ofitability and sustain </w:t>
      </w:r>
      <w:proofErr w:type="spellStart"/>
      <w:r w:rsidR="00913121">
        <w:rPr>
          <w:rFonts w:asciiTheme="majorBidi" w:eastAsia="Times New Roman" w:hAnsiTheme="majorBidi" w:cstheme="majorBidi"/>
          <w:bCs/>
          <w:sz w:val="24"/>
          <w:szCs w:val="24"/>
          <w:lang w:val="en-GB"/>
        </w:rPr>
        <w:t>gro</w:t>
      </w:r>
      <w:proofErr w:type="spellEnd"/>
    </w:p>
    <w:p w14:paraId="7B24121D" w14:textId="1C4E8AA7" w:rsidR="008C6A99" w:rsidRPr="008C6A99" w:rsidRDefault="008C6A99" w:rsidP="008C6A99">
      <w:pPr>
        <w:shd w:val="clear" w:color="auto" w:fill="FFFFFF" w:themeFill="background1"/>
        <w:spacing w:after="240" w:line="360" w:lineRule="auto"/>
        <w:jc w:val="both"/>
        <w:rPr>
          <w:rFonts w:ascii="Times New Roman" w:hAnsi="Times New Roman" w:cs="Times New Roman"/>
          <w:b/>
        </w:rPr>
      </w:pPr>
      <w:r w:rsidRPr="00FA5CB3">
        <w:rPr>
          <w:rFonts w:asciiTheme="majorBidi" w:eastAsia="Times New Roman" w:hAnsiTheme="majorBidi" w:cstheme="majorBidi"/>
          <w:b/>
          <w:bCs/>
          <w:iCs/>
          <w:sz w:val="24"/>
          <w:szCs w:val="24"/>
        </w:rPr>
        <w:t>Table 4.</w:t>
      </w:r>
      <w:r>
        <w:rPr>
          <w:rFonts w:asciiTheme="majorBidi" w:eastAsia="Times New Roman" w:hAnsiTheme="majorBidi" w:cstheme="majorBidi"/>
          <w:b/>
          <w:bCs/>
          <w:iCs/>
          <w:sz w:val="24"/>
          <w:szCs w:val="24"/>
        </w:rPr>
        <w:t>10</w:t>
      </w:r>
      <w:r w:rsidRPr="00FA5CB3">
        <w:rPr>
          <w:rFonts w:asciiTheme="majorBidi" w:eastAsia="Times New Roman" w:hAnsiTheme="majorBidi" w:cstheme="majorBidi"/>
          <w:b/>
          <w:bCs/>
          <w:iCs/>
          <w:sz w:val="24"/>
          <w:szCs w:val="24"/>
        </w:rPr>
        <w:t xml:space="preserve">: </w:t>
      </w:r>
      <w:r w:rsidRPr="006161EE">
        <w:rPr>
          <w:rFonts w:asciiTheme="majorBidi" w:eastAsia="Times New Roman" w:hAnsiTheme="majorBidi" w:cstheme="majorBidi"/>
          <w:b/>
          <w:bCs/>
          <w:sz w:val="24"/>
          <w:szCs w:val="24"/>
          <w:lang w:val="fr-FR"/>
        </w:rPr>
        <w:t xml:space="preserve">GT Bank employées </w:t>
      </w:r>
      <w:proofErr w:type="spellStart"/>
      <w:r w:rsidRPr="006161EE">
        <w:rPr>
          <w:rFonts w:asciiTheme="majorBidi" w:eastAsia="Times New Roman" w:hAnsiTheme="majorBidi" w:cstheme="majorBidi"/>
          <w:b/>
          <w:bCs/>
          <w:sz w:val="24"/>
          <w:szCs w:val="24"/>
          <w:lang w:val="fr-FR"/>
        </w:rPr>
        <w:t>from</w:t>
      </w:r>
      <w:proofErr w:type="spellEnd"/>
      <w:r w:rsidRPr="006161EE">
        <w:rPr>
          <w:rFonts w:asciiTheme="majorBidi" w:eastAsia="Times New Roman" w:hAnsiTheme="majorBidi" w:cstheme="majorBidi"/>
          <w:b/>
          <w:bCs/>
          <w:sz w:val="24"/>
          <w:szCs w:val="24"/>
          <w:lang w:val="fr-FR"/>
        </w:rPr>
        <w:t xml:space="preserve"> 6 </w:t>
      </w:r>
      <w:proofErr w:type="spellStart"/>
      <w:r w:rsidRPr="006161EE">
        <w:rPr>
          <w:rFonts w:asciiTheme="majorBidi" w:eastAsia="Times New Roman" w:hAnsiTheme="majorBidi" w:cstheme="majorBidi"/>
          <w:b/>
          <w:bCs/>
          <w:sz w:val="24"/>
          <w:szCs w:val="24"/>
          <w:lang w:val="fr-FR"/>
        </w:rPr>
        <w:t>departments</w:t>
      </w:r>
      <w:proofErr w:type="spellEnd"/>
      <w:r w:rsidRPr="006161EE">
        <w:rPr>
          <w:rFonts w:asciiTheme="majorBidi" w:eastAsia="Times New Roman" w:hAnsiTheme="majorBidi" w:cstheme="majorBidi"/>
          <w:b/>
          <w:bCs/>
          <w:sz w:val="24"/>
          <w:szCs w:val="24"/>
          <w:lang w:val="fr-FR"/>
        </w:rPr>
        <w:t xml:space="preserve"> </w:t>
      </w:r>
      <w:r>
        <w:rPr>
          <w:rFonts w:asciiTheme="majorBidi" w:eastAsia="Times New Roman" w:hAnsiTheme="majorBidi" w:cstheme="majorBidi"/>
          <w:b/>
          <w:bCs/>
          <w:sz w:val="24"/>
          <w:szCs w:val="24"/>
          <w:lang w:val="fr-FR"/>
        </w:rPr>
        <w:t xml:space="preserve">perception </w:t>
      </w:r>
      <w:r w:rsidRPr="006161EE">
        <w:rPr>
          <w:rFonts w:asciiTheme="majorBidi" w:eastAsia="Times New Roman" w:hAnsiTheme="majorBidi" w:cstheme="majorBidi"/>
          <w:b/>
          <w:bCs/>
          <w:sz w:val="24"/>
          <w:szCs w:val="24"/>
        </w:rPr>
        <w:t xml:space="preserve">on </w:t>
      </w:r>
      <w:r w:rsidRPr="008C6A99">
        <w:rPr>
          <w:rFonts w:asciiTheme="majorBidi" w:eastAsia="Times New Roman" w:hAnsiTheme="majorBidi" w:cstheme="majorBidi"/>
          <w:b/>
          <w:sz w:val="24"/>
          <w:szCs w:val="24"/>
        </w:rPr>
        <w:t xml:space="preserve">analyze the financial performance   of </w:t>
      </w:r>
      <w:r w:rsidRPr="008C6A99">
        <w:rPr>
          <w:rFonts w:asciiTheme="majorBidi" w:hAnsiTheme="majorBidi" w:cstheme="majorBidi"/>
          <w:b/>
          <w:sz w:val="24"/>
          <w:szCs w:val="24"/>
        </w:rPr>
        <w:t xml:space="preserve">GT Bank Plc from 2019-2023 </w:t>
      </w:r>
      <w:r w:rsidRPr="008C6A99">
        <w:rPr>
          <w:rFonts w:asciiTheme="majorBidi" w:eastAsia="Times New Roman" w:hAnsiTheme="majorBidi" w:cstheme="majorBidi"/>
          <w:b/>
          <w:bCs/>
          <w:sz w:val="24"/>
          <w:szCs w:val="24"/>
        </w:rPr>
        <w:t xml:space="preserve">for </w:t>
      </w:r>
      <w:r w:rsidRPr="00C37E26">
        <w:rPr>
          <w:rFonts w:ascii="Times New Roman" w:eastAsia="Times New Roman" w:hAnsi="Times New Roman" w:cs="Times New Roman"/>
          <w:b/>
          <w:bCs/>
        </w:rPr>
        <w:t>Return on Equity</w:t>
      </w:r>
    </w:p>
    <w:p w14:paraId="31D7D40D" w14:textId="77777777" w:rsidR="008C6A99" w:rsidRDefault="008C6A99" w:rsidP="008C6A99">
      <w:pPr>
        <w:shd w:val="clear" w:color="auto" w:fill="FFFFFF" w:themeFill="background1"/>
        <w:spacing w:after="240" w:line="360" w:lineRule="auto"/>
        <w:jc w:val="both"/>
        <w:rPr>
          <w:rFonts w:ascii="Times New Roman" w:hAnsi="Times New Roman" w:cs="Times New Roman"/>
          <w:b/>
        </w:rPr>
      </w:pPr>
    </w:p>
    <w:tbl>
      <w:tblPr>
        <w:tblpPr w:leftFromText="187" w:rightFromText="187" w:vertAnchor="text" w:horzAnchor="margin" w:tblpY="1"/>
        <w:tblOverlap w:val="never"/>
        <w:tblW w:w="5000" w:type="pct"/>
        <w:tblBorders>
          <w:top w:val="single" w:sz="4" w:space="0" w:color="auto"/>
          <w:bottom w:val="single" w:sz="4" w:space="0" w:color="auto"/>
        </w:tblBorders>
        <w:tblCellMar>
          <w:top w:w="12" w:type="dxa"/>
          <w:left w:w="0" w:type="dxa"/>
          <w:right w:w="160" w:type="dxa"/>
        </w:tblCellMar>
        <w:tblLook w:val="04A0" w:firstRow="1" w:lastRow="0" w:firstColumn="1" w:lastColumn="0" w:noHBand="0" w:noVBand="1"/>
      </w:tblPr>
      <w:tblGrid>
        <w:gridCol w:w="1730"/>
        <w:gridCol w:w="528"/>
        <w:gridCol w:w="713"/>
        <w:gridCol w:w="408"/>
        <w:gridCol w:w="713"/>
        <w:gridCol w:w="408"/>
        <w:gridCol w:w="590"/>
        <w:gridCol w:w="408"/>
        <w:gridCol w:w="713"/>
        <w:gridCol w:w="439"/>
        <w:gridCol w:w="634"/>
        <w:gridCol w:w="761"/>
        <w:gridCol w:w="1141"/>
      </w:tblGrid>
      <w:tr w:rsidR="008C6A99" w:rsidRPr="00FA5CB3" w14:paraId="162C58A1" w14:textId="77777777" w:rsidTr="00E34B42">
        <w:trPr>
          <w:trHeight w:val="645"/>
        </w:trPr>
        <w:tc>
          <w:tcPr>
            <w:tcW w:w="942" w:type="pct"/>
            <w:vMerge w:val="restart"/>
            <w:shd w:val="clear" w:color="auto" w:fill="auto"/>
            <w:vAlign w:val="center"/>
          </w:tcPr>
          <w:p w14:paraId="3FEED7C1" w14:textId="77777777"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Statements</w:t>
            </w:r>
          </w:p>
        </w:tc>
        <w:tc>
          <w:tcPr>
            <w:tcW w:w="676" w:type="pct"/>
            <w:gridSpan w:val="2"/>
            <w:tcBorders>
              <w:bottom w:val="single" w:sz="4" w:space="0" w:color="auto"/>
            </w:tcBorders>
            <w:shd w:val="clear" w:color="auto" w:fill="auto"/>
            <w:vAlign w:val="center"/>
          </w:tcPr>
          <w:p w14:paraId="48D7E992" w14:textId="77777777"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Strongly Agree</w:t>
            </w:r>
          </w:p>
        </w:tc>
        <w:tc>
          <w:tcPr>
            <w:tcW w:w="610" w:type="pct"/>
            <w:gridSpan w:val="2"/>
            <w:tcBorders>
              <w:bottom w:val="single" w:sz="4" w:space="0" w:color="auto"/>
            </w:tcBorders>
            <w:shd w:val="clear" w:color="auto" w:fill="auto"/>
            <w:vAlign w:val="center"/>
          </w:tcPr>
          <w:p w14:paraId="1E285371" w14:textId="77777777"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Agree</w:t>
            </w:r>
          </w:p>
        </w:tc>
        <w:tc>
          <w:tcPr>
            <w:tcW w:w="543" w:type="pct"/>
            <w:gridSpan w:val="2"/>
            <w:tcBorders>
              <w:bottom w:val="single" w:sz="4" w:space="0" w:color="auto"/>
            </w:tcBorders>
            <w:shd w:val="clear" w:color="auto" w:fill="auto"/>
            <w:vAlign w:val="center"/>
          </w:tcPr>
          <w:p w14:paraId="0C15E1E2" w14:textId="77777777"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Neutral</w:t>
            </w:r>
          </w:p>
        </w:tc>
        <w:tc>
          <w:tcPr>
            <w:tcW w:w="610" w:type="pct"/>
            <w:gridSpan w:val="2"/>
            <w:tcBorders>
              <w:bottom w:val="single" w:sz="4" w:space="0" w:color="auto"/>
            </w:tcBorders>
            <w:shd w:val="clear" w:color="auto" w:fill="auto"/>
            <w:vAlign w:val="center"/>
          </w:tcPr>
          <w:p w14:paraId="3E8747AF" w14:textId="77777777"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Disagree</w:t>
            </w:r>
          </w:p>
        </w:tc>
        <w:tc>
          <w:tcPr>
            <w:tcW w:w="584" w:type="pct"/>
            <w:gridSpan w:val="2"/>
            <w:tcBorders>
              <w:bottom w:val="single" w:sz="4" w:space="0" w:color="auto"/>
            </w:tcBorders>
            <w:shd w:val="clear" w:color="auto" w:fill="auto"/>
            <w:vAlign w:val="center"/>
          </w:tcPr>
          <w:p w14:paraId="66D5E155" w14:textId="77777777"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Strongly Disagree</w:t>
            </w:r>
          </w:p>
        </w:tc>
        <w:tc>
          <w:tcPr>
            <w:tcW w:w="414" w:type="pct"/>
            <w:vMerge w:val="restart"/>
            <w:shd w:val="clear" w:color="auto" w:fill="auto"/>
            <w:vAlign w:val="center"/>
          </w:tcPr>
          <w:p w14:paraId="36327523" w14:textId="77777777"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Mean</w:t>
            </w:r>
          </w:p>
        </w:tc>
        <w:tc>
          <w:tcPr>
            <w:tcW w:w="621" w:type="pct"/>
            <w:vMerge w:val="restart"/>
            <w:shd w:val="clear" w:color="auto" w:fill="auto"/>
            <w:vAlign w:val="center"/>
          </w:tcPr>
          <w:p w14:paraId="48C491D6" w14:textId="77777777"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Standard</w:t>
            </w:r>
          </w:p>
          <w:p w14:paraId="381B9B94" w14:textId="77777777"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deviation</w:t>
            </w:r>
          </w:p>
        </w:tc>
      </w:tr>
      <w:tr w:rsidR="008C6A99" w:rsidRPr="00FA5CB3" w14:paraId="1DC60A10" w14:textId="77777777" w:rsidTr="00E34B42">
        <w:trPr>
          <w:trHeight w:val="270"/>
        </w:trPr>
        <w:tc>
          <w:tcPr>
            <w:tcW w:w="942" w:type="pct"/>
            <w:vMerge/>
            <w:tcBorders>
              <w:bottom w:val="single" w:sz="4" w:space="0" w:color="auto"/>
            </w:tcBorders>
            <w:shd w:val="clear" w:color="auto" w:fill="auto"/>
            <w:vAlign w:val="center"/>
          </w:tcPr>
          <w:p w14:paraId="3E50E67D" w14:textId="77777777"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sz w:val="24"/>
                <w:szCs w:val="24"/>
              </w:rPr>
            </w:pPr>
          </w:p>
        </w:tc>
        <w:tc>
          <w:tcPr>
            <w:tcW w:w="288" w:type="pct"/>
            <w:tcBorders>
              <w:top w:val="single" w:sz="4" w:space="0" w:color="auto"/>
              <w:bottom w:val="single" w:sz="4" w:space="0" w:color="auto"/>
            </w:tcBorders>
            <w:shd w:val="clear" w:color="auto" w:fill="auto"/>
            <w:vAlign w:val="center"/>
          </w:tcPr>
          <w:p w14:paraId="40A7269F" w14:textId="77777777"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88" w:type="pct"/>
            <w:tcBorders>
              <w:top w:val="single" w:sz="4" w:space="0" w:color="auto"/>
              <w:bottom w:val="single" w:sz="4" w:space="0" w:color="auto"/>
            </w:tcBorders>
            <w:shd w:val="clear" w:color="auto" w:fill="auto"/>
            <w:vAlign w:val="center"/>
          </w:tcPr>
          <w:p w14:paraId="67817A1A" w14:textId="77777777"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22" w:type="pct"/>
            <w:tcBorders>
              <w:top w:val="single" w:sz="4" w:space="0" w:color="auto"/>
              <w:bottom w:val="single" w:sz="4" w:space="0" w:color="auto"/>
            </w:tcBorders>
            <w:shd w:val="clear" w:color="auto" w:fill="auto"/>
            <w:vAlign w:val="center"/>
          </w:tcPr>
          <w:p w14:paraId="6D361734" w14:textId="77777777"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88" w:type="pct"/>
            <w:tcBorders>
              <w:top w:val="single" w:sz="4" w:space="0" w:color="auto"/>
              <w:bottom w:val="single" w:sz="4" w:space="0" w:color="auto"/>
            </w:tcBorders>
            <w:shd w:val="clear" w:color="auto" w:fill="auto"/>
            <w:vAlign w:val="center"/>
          </w:tcPr>
          <w:p w14:paraId="4F2504F9" w14:textId="77777777"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22" w:type="pct"/>
            <w:tcBorders>
              <w:top w:val="single" w:sz="4" w:space="0" w:color="auto"/>
              <w:bottom w:val="single" w:sz="4" w:space="0" w:color="auto"/>
            </w:tcBorders>
            <w:shd w:val="clear" w:color="auto" w:fill="auto"/>
            <w:vAlign w:val="center"/>
          </w:tcPr>
          <w:p w14:paraId="5A3CB1A0" w14:textId="77777777"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21" w:type="pct"/>
            <w:tcBorders>
              <w:top w:val="single" w:sz="4" w:space="0" w:color="auto"/>
              <w:bottom w:val="single" w:sz="4" w:space="0" w:color="auto"/>
            </w:tcBorders>
            <w:shd w:val="clear" w:color="auto" w:fill="auto"/>
            <w:vAlign w:val="center"/>
          </w:tcPr>
          <w:p w14:paraId="657739EA" w14:textId="77777777"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22" w:type="pct"/>
            <w:tcBorders>
              <w:top w:val="single" w:sz="4" w:space="0" w:color="auto"/>
              <w:bottom w:val="single" w:sz="4" w:space="0" w:color="auto"/>
            </w:tcBorders>
            <w:shd w:val="clear" w:color="auto" w:fill="auto"/>
            <w:vAlign w:val="center"/>
          </w:tcPr>
          <w:p w14:paraId="29F5AA57" w14:textId="77777777"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88" w:type="pct"/>
            <w:tcBorders>
              <w:top w:val="single" w:sz="4" w:space="0" w:color="auto"/>
              <w:bottom w:val="single" w:sz="4" w:space="0" w:color="auto"/>
            </w:tcBorders>
            <w:shd w:val="clear" w:color="auto" w:fill="auto"/>
            <w:vAlign w:val="center"/>
          </w:tcPr>
          <w:p w14:paraId="50948766" w14:textId="77777777"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39" w:type="pct"/>
            <w:tcBorders>
              <w:top w:val="single" w:sz="4" w:space="0" w:color="auto"/>
              <w:bottom w:val="single" w:sz="4" w:space="0" w:color="auto"/>
            </w:tcBorders>
            <w:shd w:val="clear" w:color="auto" w:fill="auto"/>
            <w:vAlign w:val="center"/>
          </w:tcPr>
          <w:p w14:paraId="6D1B2BF1" w14:textId="77777777"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45" w:type="pct"/>
            <w:tcBorders>
              <w:top w:val="single" w:sz="4" w:space="0" w:color="auto"/>
              <w:bottom w:val="single" w:sz="4" w:space="0" w:color="auto"/>
            </w:tcBorders>
            <w:shd w:val="clear" w:color="auto" w:fill="auto"/>
            <w:vAlign w:val="center"/>
          </w:tcPr>
          <w:p w14:paraId="4671BF3A" w14:textId="77777777"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414" w:type="pct"/>
            <w:vMerge/>
            <w:tcBorders>
              <w:bottom w:val="single" w:sz="4" w:space="0" w:color="auto"/>
            </w:tcBorders>
            <w:shd w:val="clear" w:color="auto" w:fill="auto"/>
            <w:vAlign w:val="center"/>
          </w:tcPr>
          <w:p w14:paraId="14C1E585" w14:textId="77777777"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sz w:val="24"/>
                <w:szCs w:val="24"/>
              </w:rPr>
            </w:pPr>
          </w:p>
        </w:tc>
        <w:tc>
          <w:tcPr>
            <w:tcW w:w="621" w:type="pct"/>
            <w:vMerge/>
            <w:tcBorders>
              <w:bottom w:val="single" w:sz="4" w:space="0" w:color="auto"/>
            </w:tcBorders>
            <w:shd w:val="clear" w:color="auto" w:fill="auto"/>
            <w:vAlign w:val="center"/>
          </w:tcPr>
          <w:p w14:paraId="6D8EE3CC" w14:textId="77777777"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sz w:val="24"/>
                <w:szCs w:val="24"/>
              </w:rPr>
            </w:pPr>
          </w:p>
        </w:tc>
      </w:tr>
      <w:tr w:rsidR="008C6A99" w:rsidRPr="00FA5CB3" w14:paraId="7D3F94A6" w14:textId="77777777" w:rsidTr="00E34B42">
        <w:trPr>
          <w:trHeight w:val="626"/>
        </w:trPr>
        <w:tc>
          <w:tcPr>
            <w:tcW w:w="942" w:type="pct"/>
            <w:tcBorders>
              <w:top w:val="nil"/>
            </w:tcBorders>
            <w:shd w:val="clear" w:color="auto" w:fill="auto"/>
            <w:vAlign w:val="center"/>
          </w:tcPr>
          <w:p w14:paraId="517CD284" w14:textId="176A74C4"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sz w:val="24"/>
                <w:szCs w:val="24"/>
              </w:rPr>
            </w:pPr>
            <w:r w:rsidRPr="00C37E26">
              <w:rPr>
                <w:rFonts w:ascii="Times New Roman" w:eastAsia="Times New Roman" w:hAnsi="Times New Roman" w:cs="Times New Roman"/>
              </w:rPr>
              <w:t>The Return on Equity has shown positive growth.</w:t>
            </w:r>
          </w:p>
        </w:tc>
        <w:tc>
          <w:tcPr>
            <w:tcW w:w="288" w:type="pct"/>
            <w:tcBorders>
              <w:top w:val="nil"/>
            </w:tcBorders>
            <w:shd w:val="clear" w:color="auto" w:fill="auto"/>
            <w:vAlign w:val="center"/>
          </w:tcPr>
          <w:p w14:paraId="3CA4EF77" w14:textId="77777777"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46</w:t>
            </w:r>
          </w:p>
        </w:tc>
        <w:tc>
          <w:tcPr>
            <w:tcW w:w="388" w:type="pct"/>
            <w:tcBorders>
              <w:top w:val="nil"/>
            </w:tcBorders>
            <w:shd w:val="clear" w:color="auto" w:fill="auto"/>
            <w:vAlign w:val="center"/>
          </w:tcPr>
          <w:p w14:paraId="1E837615" w14:textId="77777777"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82.14</w:t>
            </w:r>
          </w:p>
        </w:tc>
        <w:tc>
          <w:tcPr>
            <w:tcW w:w="222" w:type="pct"/>
            <w:tcBorders>
              <w:top w:val="nil"/>
            </w:tcBorders>
            <w:shd w:val="clear" w:color="auto" w:fill="auto"/>
            <w:vAlign w:val="center"/>
          </w:tcPr>
          <w:p w14:paraId="3455D2E7" w14:textId="342AE2D5" w:rsidR="008C6A99" w:rsidRPr="00FA5CB3" w:rsidRDefault="00A82C02" w:rsidP="0065421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8</w:t>
            </w:r>
          </w:p>
        </w:tc>
        <w:tc>
          <w:tcPr>
            <w:tcW w:w="388" w:type="pct"/>
            <w:tcBorders>
              <w:top w:val="nil"/>
            </w:tcBorders>
            <w:shd w:val="clear" w:color="auto" w:fill="auto"/>
            <w:vAlign w:val="center"/>
          </w:tcPr>
          <w:p w14:paraId="5B88C880" w14:textId="6EF9DC7A" w:rsidR="008C6A99" w:rsidRPr="00FA5CB3" w:rsidRDefault="00A82C02" w:rsidP="0065421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14.28</w:t>
            </w:r>
          </w:p>
        </w:tc>
        <w:tc>
          <w:tcPr>
            <w:tcW w:w="222" w:type="pct"/>
            <w:tcBorders>
              <w:top w:val="nil"/>
            </w:tcBorders>
            <w:shd w:val="clear" w:color="auto" w:fill="auto"/>
            <w:vAlign w:val="center"/>
          </w:tcPr>
          <w:p w14:paraId="2980B583" w14:textId="1E4C8BB9" w:rsidR="008C6A99" w:rsidRPr="00FA5CB3" w:rsidRDefault="00A82C02" w:rsidP="0065421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321" w:type="pct"/>
            <w:tcBorders>
              <w:top w:val="nil"/>
            </w:tcBorders>
            <w:shd w:val="clear" w:color="auto" w:fill="auto"/>
            <w:vAlign w:val="center"/>
          </w:tcPr>
          <w:p w14:paraId="49C0225B" w14:textId="2034F8B1" w:rsidR="008C6A99" w:rsidRPr="00FA5CB3" w:rsidRDefault="00A82C02" w:rsidP="0065421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3.57</w:t>
            </w:r>
          </w:p>
        </w:tc>
        <w:tc>
          <w:tcPr>
            <w:tcW w:w="222" w:type="pct"/>
            <w:tcBorders>
              <w:top w:val="nil"/>
            </w:tcBorders>
            <w:shd w:val="clear" w:color="auto" w:fill="auto"/>
            <w:vAlign w:val="center"/>
          </w:tcPr>
          <w:p w14:paraId="6AF2C6A3" w14:textId="77777777"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88" w:type="pct"/>
            <w:tcBorders>
              <w:top w:val="nil"/>
            </w:tcBorders>
            <w:shd w:val="clear" w:color="auto" w:fill="auto"/>
            <w:vAlign w:val="center"/>
          </w:tcPr>
          <w:p w14:paraId="7EBB4349" w14:textId="77777777"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0.0</w:t>
            </w:r>
          </w:p>
        </w:tc>
        <w:tc>
          <w:tcPr>
            <w:tcW w:w="239" w:type="pct"/>
            <w:tcBorders>
              <w:top w:val="nil"/>
            </w:tcBorders>
            <w:shd w:val="clear" w:color="auto" w:fill="auto"/>
            <w:vAlign w:val="center"/>
          </w:tcPr>
          <w:p w14:paraId="71115342" w14:textId="77777777"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45" w:type="pct"/>
            <w:tcBorders>
              <w:top w:val="nil"/>
            </w:tcBorders>
            <w:shd w:val="clear" w:color="auto" w:fill="auto"/>
            <w:vAlign w:val="center"/>
          </w:tcPr>
          <w:p w14:paraId="40B4020A" w14:textId="77777777"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414" w:type="pct"/>
            <w:tcBorders>
              <w:top w:val="nil"/>
            </w:tcBorders>
            <w:shd w:val="clear" w:color="auto" w:fill="auto"/>
            <w:vAlign w:val="center"/>
          </w:tcPr>
          <w:p w14:paraId="54BF053C" w14:textId="4642CC78"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w:t>
            </w:r>
            <w:r w:rsidR="00A82C02">
              <w:rPr>
                <w:rFonts w:asciiTheme="majorBidi" w:eastAsia="Times New Roman" w:hAnsiTheme="majorBidi" w:cstheme="majorBidi"/>
                <w:sz w:val="24"/>
                <w:szCs w:val="24"/>
              </w:rPr>
              <w:t>79</w:t>
            </w:r>
          </w:p>
        </w:tc>
        <w:tc>
          <w:tcPr>
            <w:tcW w:w="621" w:type="pct"/>
            <w:tcBorders>
              <w:top w:val="nil"/>
            </w:tcBorders>
            <w:shd w:val="clear" w:color="auto" w:fill="auto"/>
            <w:vAlign w:val="center"/>
          </w:tcPr>
          <w:p w14:paraId="3F38B333" w14:textId="69984548"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w:t>
            </w:r>
            <w:r w:rsidR="00A82C02">
              <w:rPr>
                <w:rFonts w:asciiTheme="majorBidi" w:eastAsia="Times New Roman" w:hAnsiTheme="majorBidi" w:cstheme="majorBidi"/>
                <w:sz w:val="24"/>
                <w:szCs w:val="24"/>
              </w:rPr>
              <w:t>49</w:t>
            </w:r>
          </w:p>
        </w:tc>
      </w:tr>
      <w:tr w:rsidR="008C6A99" w:rsidRPr="00FA5CB3" w14:paraId="46350A24" w14:textId="77777777" w:rsidTr="00E34B42">
        <w:trPr>
          <w:trHeight w:val="500"/>
        </w:trPr>
        <w:tc>
          <w:tcPr>
            <w:tcW w:w="942" w:type="pct"/>
            <w:shd w:val="clear" w:color="auto" w:fill="auto"/>
            <w:vAlign w:val="center"/>
          </w:tcPr>
          <w:p w14:paraId="0B369E71" w14:textId="41B2DC16"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sz w:val="24"/>
                <w:szCs w:val="24"/>
              </w:rPr>
            </w:pPr>
            <w:r w:rsidRPr="00C37E26">
              <w:rPr>
                <w:rFonts w:ascii="Times New Roman" w:eastAsia="Times New Roman" w:hAnsi="Times New Roman" w:cs="Times New Roman"/>
              </w:rPr>
              <w:t>Return on Equity is effectively managed to ensure profitability.</w:t>
            </w:r>
          </w:p>
        </w:tc>
        <w:tc>
          <w:tcPr>
            <w:tcW w:w="288" w:type="pct"/>
            <w:shd w:val="clear" w:color="auto" w:fill="auto"/>
            <w:vAlign w:val="center"/>
          </w:tcPr>
          <w:p w14:paraId="49690B86" w14:textId="6315C45B" w:rsidR="008C6A99" w:rsidRPr="00FA5CB3" w:rsidRDefault="00A82C02" w:rsidP="0065421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52</w:t>
            </w:r>
          </w:p>
        </w:tc>
        <w:tc>
          <w:tcPr>
            <w:tcW w:w="388" w:type="pct"/>
            <w:shd w:val="clear" w:color="auto" w:fill="auto"/>
            <w:vAlign w:val="center"/>
          </w:tcPr>
          <w:p w14:paraId="5DEBEF8A" w14:textId="0830C6D1"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9</w:t>
            </w:r>
            <w:r w:rsidR="00A82C02">
              <w:rPr>
                <w:rFonts w:asciiTheme="majorBidi" w:eastAsia="Times New Roman" w:hAnsiTheme="majorBidi" w:cstheme="majorBidi"/>
                <w:sz w:val="24"/>
                <w:szCs w:val="24"/>
              </w:rPr>
              <w:t>2.85</w:t>
            </w:r>
          </w:p>
        </w:tc>
        <w:tc>
          <w:tcPr>
            <w:tcW w:w="222" w:type="pct"/>
            <w:shd w:val="clear" w:color="auto" w:fill="auto"/>
            <w:vAlign w:val="center"/>
          </w:tcPr>
          <w:p w14:paraId="3F51757F" w14:textId="7C146B75" w:rsidR="008C6A99" w:rsidRPr="00FA5CB3" w:rsidRDefault="00A82C02" w:rsidP="0065421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388" w:type="pct"/>
            <w:shd w:val="clear" w:color="auto" w:fill="auto"/>
            <w:vAlign w:val="center"/>
          </w:tcPr>
          <w:p w14:paraId="33156659" w14:textId="1D48BC75" w:rsidR="008C6A99" w:rsidRPr="00FA5CB3" w:rsidRDefault="00A82C02" w:rsidP="0065421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7.14</w:t>
            </w:r>
          </w:p>
        </w:tc>
        <w:tc>
          <w:tcPr>
            <w:tcW w:w="222" w:type="pct"/>
            <w:shd w:val="clear" w:color="auto" w:fill="auto"/>
            <w:vAlign w:val="center"/>
          </w:tcPr>
          <w:p w14:paraId="57043CAC" w14:textId="77777777"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21" w:type="pct"/>
            <w:shd w:val="clear" w:color="auto" w:fill="auto"/>
            <w:vAlign w:val="center"/>
          </w:tcPr>
          <w:p w14:paraId="5898723E" w14:textId="77777777"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222" w:type="pct"/>
            <w:shd w:val="clear" w:color="auto" w:fill="auto"/>
            <w:vAlign w:val="center"/>
          </w:tcPr>
          <w:p w14:paraId="6B63939B" w14:textId="77777777"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88" w:type="pct"/>
            <w:shd w:val="clear" w:color="auto" w:fill="auto"/>
            <w:vAlign w:val="center"/>
          </w:tcPr>
          <w:p w14:paraId="66228E67" w14:textId="77777777"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0.0</w:t>
            </w:r>
          </w:p>
        </w:tc>
        <w:tc>
          <w:tcPr>
            <w:tcW w:w="239" w:type="pct"/>
            <w:shd w:val="clear" w:color="auto" w:fill="auto"/>
            <w:vAlign w:val="center"/>
          </w:tcPr>
          <w:p w14:paraId="56BDF13D" w14:textId="77777777"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45" w:type="pct"/>
            <w:shd w:val="clear" w:color="auto" w:fill="auto"/>
            <w:vAlign w:val="center"/>
          </w:tcPr>
          <w:p w14:paraId="4FDC999C" w14:textId="77777777"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414" w:type="pct"/>
            <w:shd w:val="clear" w:color="auto" w:fill="auto"/>
            <w:vAlign w:val="center"/>
          </w:tcPr>
          <w:p w14:paraId="5CFDD774" w14:textId="3025DDD5"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w:t>
            </w:r>
            <w:r w:rsidR="00A82C02">
              <w:rPr>
                <w:rFonts w:asciiTheme="majorBidi" w:eastAsia="Times New Roman" w:hAnsiTheme="majorBidi" w:cstheme="majorBidi"/>
                <w:sz w:val="24"/>
                <w:szCs w:val="24"/>
              </w:rPr>
              <w:t>98</w:t>
            </w:r>
          </w:p>
        </w:tc>
        <w:tc>
          <w:tcPr>
            <w:tcW w:w="621" w:type="pct"/>
            <w:shd w:val="clear" w:color="auto" w:fill="auto"/>
            <w:vAlign w:val="center"/>
          </w:tcPr>
          <w:p w14:paraId="113F588E" w14:textId="7A98D13E" w:rsidR="008C6A99" w:rsidRPr="00FA5CB3" w:rsidRDefault="008C6A99" w:rsidP="0065421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w:t>
            </w:r>
            <w:r w:rsidR="00A82C02">
              <w:rPr>
                <w:rFonts w:asciiTheme="majorBidi" w:eastAsia="Times New Roman" w:hAnsiTheme="majorBidi" w:cstheme="majorBidi"/>
                <w:sz w:val="24"/>
                <w:szCs w:val="24"/>
              </w:rPr>
              <w:t>26</w:t>
            </w:r>
          </w:p>
        </w:tc>
      </w:tr>
    </w:tbl>
    <w:p w14:paraId="43998B3A" w14:textId="59617638" w:rsidR="009E04DC" w:rsidRPr="00B57D5B" w:rsidRDefault="008C6A99" w:rsidP="009E04DC">
      <w:pPr>
        <w:shd w:val="clear" w:color="auto" w:fill="FFFFFF" w:themeFill="background1"/>
        <w:spacing w:after="240" w:line="360" w:lineRule="auto"/>
        <w:jc w:val="both"/>
        <w:rPr>
          <w:rFonts w:asciiTheme="majorBidi" w:eastAsia="Times New Roman" w:hAnsiTheme="majorBidi" w:cstheme="majorBidi"/>
          <w:sz w:val="24"/>
          <w:szCs w:val="24"/>
        </w:rPr>
      </w:pPr>
      <w:r>
        <w:rPr>
          <w:rFonts w:asciiTheme="majorBidi" w:eastAsia="Times New Roman" w:hAnsiTheme="majorBidi" w:cstheme="majorBidi"/>
          <w:b/>
          <w:bCs/>
          <w:sz w:val="24"/>
          <w:szCs w:val="24"/>
        </w:rPr>
        <w:t>Source: Primary Data (2025</w:t>
      </w:r>
      <w:r w:rsidRPr="00FA5CB3">
        <w:rPr>
          <w:rFonts w:asciiTheme="majorBidi" w:eastAsia="Times New Roman" w:hAnsiTheme="majorBidi" w:cstheme="majorBidi"/>
          <w:b/>
          <w:bCs/>
          <w:sz w:val="24"/>
          <w:szCs w:val="24"/>
        </w:rPr>
        <w:t xml:space="preserve">) </w:t>
      </w:r>
      <w:r w:rsidRPr="00FA5CB3">
        <w:rPr>
          <w:rFonts w:asciiTheme="majorBidi" w:eastAsia="Times New Roman" w:hAnsiTheme="majorBidi" w:cstheme="majorBidi"/>
          <w:sz w:val="24"/>
          <w:szCs w:val="24"/>
        </w:rPr>
        <w:t xml:space="preserve"> </w:t>
      </w:r>
    </w:p>
    <w:p w14:paraId="77A46C88" w14:textId="02F74C0E" w:rsidR="009E04DC" w:rsidRPr="009E04DC" w:rsidRDefault="009E04DC" w:rsidP="009E04DC">
      <w:pPr>
        <w:shd w:val="clear" w:color="auto" w:fill="FFFFFF" w:themeFill="background1"/>
        <w:spacing w:after="240" w:line="360" w:lineRule="auto"/>
        <w:jc w:val="both"/>
        <w:rPr>
          <w:rFonts w:asciiTheme="majorBidi" w:eastAsia="Times New Roman" w:hAnsiTheme="majorBidi" w:cstheme="majorBidi"/>
          <w:sz w:val="24"/>
          <w:szCs w:val="24"/>
          <w:lang w:val="en-GB"/>
        </w:rPr>
      </w:pPr>
      <w:r w:rsidRPr="009E04DC">
        <w:rPr>
          <w:rFonts w:asciiTheme="majorBidi" w:eastAsia="Times New Roman" w:hAnsiTheme="majorBidi" w:cstheme="majorBidi"/>
          <w:sz w:val="24"/>
          <w:szCs w:val="24"/>
          <w:lang w:val="en-GB"/>
        </w:rPr>
        <w:lastRenderedPageBreak/>
        <w:t>Table 4.10 presents the perceptions of employees from six departments (Credit and Risk Management, Finance and Management, Loan, Accounting, Recovery, and Strategic and Planning) regarding the bank's Return on Equity (ROE) from 2019 to 2023. This table includes employees' responses to two statements on ROE, with frequencies (N) and percentages (%) for each response category, as well as the corresponding mean and standard deviation for each statement. These findings offer insight into how employees perceive the bank's ability to generate returns for its shareholders, a crucial aspect of assessing finan</w:t>
      </w:r>
      <w:r w:rsidR="00B57D5B">
        <w:rPr>
          <w:rFonts w:asciiTheme="majorBidi" w:eastAsia="Times New Roman" w:hAnsiTheme="majorBidi" w:cstheme="majorBidi"/>
          <w:sz w:val="24"/>
          <w:szCs w:val="24"/>
          <w:lang w:val="en-GB"/>
        </w:rPr>
        <w:t xml:space="preserve">cial performance and stability. </w:t>
      </w:r>
      <w:r w:rsidRPr="009E04DC">
        <w:rPr>
          <w:rFonts w:asciiTheme="majorBidi" w:eastAsia="Times New Roman" w:hAnsiTheme="majorBidi" w:cstheme="majorBidi"/>
          <w:sz w:val="24"/>
          <w:szCs w:val="24"/>
          <w:lang w:val="en-GB"/>
        </w:rPr>
        <w:t>The first statement, "The Return on Equity has shown positive growth," has a mean score of 4.79 and a standard deviation of 0.49, indicating a strong perception among employees that ROE has improved over the years. A majority of 82.14% of respondents strongly agree, 14.28% agree, and 3.57% are neutral. No respondents disagreed or strongly disagreed with this statement. The high mean score suggests that employees generally perceive positive growth in the bank’s ROE, a key indicator of financial health and shareholder value. The relatively low standard deviation implies that there is a strong consensus across departments about the bank's performance in this area. This aligns with findings from Smith (2019), who argues that consistent positive growth in ROE reflects effective management and strategic decisions, which is critical for sustaining investor confidence and</w:t>
      </w:r>
      <w:r w:rsidR="00B57D5B">
        <w:rPr>
          <w:rFonts w:asciiTheme="majorBidi" w:eastAsia="Times New Roman" w:hAnsiTheme="majorBidi" w:cstheme="majorBidi"/>
          <w:sz w:val="24"/>
          <w:szCs w:val="24"/>
          <w:lang w:val="en-GB"/>
        </w:rPr>
        <w:t xml:space="preserve"> long-term financial stability. </w:t>
      </w:r>
      <w:r w:rsidRPr="009E04DC">
        <w:rPr>
          <w:rFonts w:asciiTheme="majorBidi" w:eastAsia="Times New Roman" w:hAnsiTheme="majorBidi" w:cstheme="majorBidi"/>
          <w:sz w:val="24"/>
          <w:szCs w:val="24"/>
          <w:lang w:val="en-GB"/>
        </w:rPr>
        <w:t>The second statement, "Return on Equity is effectively managed to ensure profitability," shows even stronger agreement, with a mean score of 4.98 and a standard deviation of 0.26. Notably, 92.85% of employees strongly agree with this statement, while 7.14% agree, and there are no neutral, disagree, or strongly disagree responses. The near-unanimous agreement among respondents underscores the belief that the bank has successfully managed its ROE to maintain profitability. The very low standard deviation suggests a high level of uniformity in this perception across the departments, reinforcing the view that employees strongly agree on the effectiveness of ROE management. This perception is consistent with the work of Johnson (2020), who emphasizes that efficient management of ROE is central to a bank’s ability to generate sustainable profits and maximize value for shareholders.</w:t>
      </w:r>
    </w:p>
    <w:p w14:paraId="79E49CA2" w14:textId="77777777" w:rsidR="009E04DC" w:rsidRPr="009E04DC" w:rsidRDefault="009E04DC" w:rsidP="009E04DC">
      <w:pPr>
        <w:shd w:val="clear" w:color="auto" w:fill="FFFFFF" w:themeFill="background1"/>
        <w:spacing w:after="240" w:line="360" w:lineRule="auto"/>
        <w:jc w:val="both"/>
        <w:rPr>
          <w:rFonts w:asciiTheme="majorBidi" w:eastAsia="Times New Roman" w:hAnsiTheme="majorBidi" w:cstheme="majorBidi"/>
          <w:sz w:val="24"/>
          <w:szCs w:val="24"/>
          <w:lang w:val="en-GB"/>
        </w:rPr>
      </w:pPr>
      <w:r w:rsidRPr="009E04DC">
        <w:rPr>
          <w:rFonts w:asciiTheme="majorBidi" w:eastAsia="Times New Roman" w:hAnsiTheme="majorBidi" w:cstheme="majorBidi"/>
          <w:sz w:val="24"/>
          <w:szCs w:val="24"/>
          <w:lang w:val="en-GB"/>
        </w:rPr>
        <w:t xml:space="preserve">In summary, the findings from Table 4.10 indicate that GT Bank employees believe the bank has demonstrated strong performance in managing and growing its Return on Equity from 2019 to 2023. Both statements show high mean scores, with employees strongly agreeing that ROE has grown positively and has been effectively managed to ensure profitability. The low standard deviations across both statements highlight a consistent perception among </w:t>
      </w:r>
      <w:r w:rsidRPr="009E04DC">
        <w:rPr>
          <w:rFonts w:asciiTheme="majorBidi" w:eastAsia="Times New Roman" w:hAnsiTheme="majorBidi" w:cstheme="majorBidi"/>
          <w:sz w:val="24"/>
          <w:szCs w:val="24"/>
          <w:lang w:val="en-GB"/>
        </w:rPr>
        <w:lastRenderedPageBreak/>
        <w:t>employees, suggesting that they are confident in the bank’s financial performance in this regard. These positive perceptions reflect the bank's successful financial management, which is vital for maintaining profitability and shareholder value in a competitive market.</w:t>
      </w:r>
    </w:p>
    <w:p w14:paraId="67524485" w14:textId="427425D0" w:rsidR="008C6A99" w:rsidRDefault="008C6A99" w:rsidP="008C6A99">
      <w:pPr>
        <w:shd w:val="clear" w:color="auto" w:fill="FFFFFF" w:themeFill="background1"/>
        <w:spacing w:after="240" w:line="360" w:lineRule="auto"/>
        <w:jc w:val="both"/>
        <w:rPr>
          <w:rFonts w:ascii="Times New Roman" w:hAnsi="Times New Roman" w:cs="Times New Roman"/>
          <w:b/>
        </w:rPr>
      </w:pPr>
      <w:r w:rsidRPr="00FA5CB3">
        <w:rPr>
          <w:rFonts w:asciiTheme="majorBidi" w:eastAsia="Times New Roman" w:hAnsiTheme="majorBidi" w:cstheme="majorBidi"/>
          <w:b/>
          <w:bCs/>
          <w:iCs/>
          <w:sz w:val="24"/>
          <w:szCs w:val="24"/>
        </w:rPr>
        <w:t>Table 4.</w:t>
      </w:r>
      <w:r>
        <w:rPr>
          <w:rFonts w:asciiTheme="majorBidi" w:eastAsia="Times New Roman" w:hAnsiTheme="majorBidi" w:cstheme="majorBidi"/>
          <w:b/>
          <w:bCs/>
          <w:iCs/>
          <w:sz w:val="24"/>
          <w:szCs w:val="24"/>
        </w:rPr>
        <w:t>11</w:t>
      </w:r>
      <w:r w:rsidRPr="00FA5CB3">
        <w:rPr>
          <w:rFonts w:asciiTheme="majorBidi" w:eastAsia="Times New Roman" w:hAnsiTheme="majorBidi" w:cstheme="majorBidi"/>
          <w:b/>
          <w:bCs/>
          <w:iCs/>
          <w:sz w:val="24"/>
          <w:szCs w:val="24"/>
        </w:rPr>
        <w:t xml:space="preserve">: </w:t>
      </w:r>
      <w:r w:rsidRPr="006161EE">
        <w:rPr>
          <w:rFonts w:asciiTheme="majorBidi" w:eastAsia="Times New Roman" w:hAnsiTheme="majorBidi" w:cstheme="majorBidi"/>
          <w:b/>
          <w:bCs/>
          <w:sz w:val="24"/>
          <w:szCs w:val="24"/>
          <w:lang w:val="fr-FR"/>
        </w:rPr>
        <w:t xml:space="preserve">GT Bank employées </w:t>
      </w:r>
      <w:proofErr w:type="spellStart"/>
      <w:r w:rsidRPr="006161EE">
        <w:rPr>
          <w:rFonts w:asciiTheme="majorBidi" w:eastAsia="Times New Roman" w:hAnsiTheme="majorBidi" w:cstheme="majorBidi"/>
          <w:b/>
          <w:bCs/>
          <w:sz w:val="24"/>
          <w:szCs w:val="24"/>
          <w:lang w:val="fr-FR"/>
        </w:rPr>
        <w:t>from</w:t>
      </w:r>
      <w:proofErr w:type="spellEnd"/>
      <w:r w:rsidRPr="006161EE">
        <w:rPr>
          <w:rFonts w:asciiTheme="majorBidi" w:eastAsia="Times New Roman" w:hAnsiTheme="majorBidi" w:cstheme="majorBidi"/>
          <w:b/>
          <w:bCs/>
          <w:sz w:val="24"/>
          <w:szCs w:val="24"/>
          <w:lang w:val="fr-FR"/>
        </w:rPr>
        <w:t xml:space="preserve"> 6 </w:t>
      </w:r>
      <w:proofErr w:type="spellStart"/>
      <w:r w:rsidRPr="006161EE">
        <w:rPr>
          <w:rFonts w:asciiTheme="majorBidi" w:eastAsia="Times New Roman" w:hAnsiTheme="majorBidi" w:cstheme="majorBidi"/>
          <w:b/>
          <w:bCs/>
          <w:sz w:val="24"/>
          <w:szCs w:val="24"/>
          <w:lang w:val="fr-FR"/>
        </w:rPr>
        <w:t>departments</w:t>
      </w:r>
      <w:proofErr w:type="spellEnd"/>
      <w:r w:rsidRPr="006161EE">
        <w:rPr>
          <w:rFonts w:asciiTheme="majorBidi" w:eastAsia="Times New Roman" w:hAnsiTheme="majorBidi" w:cstheme="majorBidi"/>
          <w:b/>
          <w:bCs/>
          <w:sz w:val="24"/>
          <w:szCs w:val="24"/>
          <w:lang w:val="fr-FR"/>
        </w:rPr>
        <w:t xml:space="preserve"> </w:t>
      </w:r>
      <w:r>
        <w:rPr>
          <w:rFonts w:asciiTheme="majorBidi" w:eastAsia="Times New Roman" w:hAnsiTheme="majorBidi" w:cstheme="majorBidi"/>
          <w:b/>
          <w:bCs/>
          <w:sz w:val="24"/>
          <w:szCs w:val="24"/>
          <w:lang w:val="fr-FR"/>
        </w:rPr>
        <w:t xml:space="preserve">perception </w:t>
      </w:r>
      <w:r w:rsidRPr="006161EE">
        <w:rPr>
          <w:rFonts w:asciiTheme="majorBidi" w:eastAsia="Times New Roman" w:hAnsiTheme="majorBidi" w:cstheme="majorBidi"/>
          <w:b/>
          <w:bCs/>
          <w:sz w:val="24"/>
          <w:szCs w:val="24"/>
        </w:rPr>
        <w:t xml:space="preserve">on </w:t>
      </w:r>
      <w:r w:rsidRPr="008C6A99">
        <w:rPr>
          <w:rFonts w:asciiTheme="majorBidi" w:eastAsia="Times New Roman" w:hAnsiTheme="majorBidi" w:cstheme="majorBidi"/>
          <w:b/>
          <w:sz w:val="24"/>
          <w:szCs w:val="24"/>
        </w:rPr>
        <w:t xml:space="preserve">analyze the financial performance   of </w:t>
      </w:r>
      <w:r w:rsidRPr="008C6A99">
        <w:rPr>
          <w:rFonts w:asciiTheme="majorBidi" w:hAnsiTheme="majorBidi" w:cstheme="majorBidi"/>
          <w:b/>
          <w:sz w:val="24"/>
          <w:szCs w:val="24"/>
        </w:rPr>
        <w:t xml:space="preserve">GT Bank Plc from 2019-2023 </w:t>
      </w:r>
      <w:r w:rsidRPr="008C6A99">
        <w:rPr>
          <w:rFonts w:asciiTheme="majorBidi" w:eastAsia="Times New Roman" w:hAnsiTheme="majorBidi" w:cstheme="majorBidi"/>
          <w:b/>
          <w:bCs/>
          <w:sz w:val="24"/>
          <w:szCs w:val="24"/>
        </w:rPr>
        <w:t xml:space="preserve">for </w:t>
      </w:r>
      <w:r w:rsidRPr="00C37E26">
        <w:rPr>
          <w:rFonts w:ascii="Times New Roman" w:eastAsia="Times New Roman" w:hAnsi="Times New Roman" w:cs="Times New Roman"/>
          <w:b/>
          <w:bCs/>
        </w:rPr>
        <w:t>Return on Assets</w:t>
      </w:r>
    </w:p>
    <w:tbl>
      <w:tblPr>
        <w:tblpPr w:leftFromText="187" w:rightFromText="187" w:vertAnchor="text" w:horzAnchor="margin" w:tblpY="1"/>
        <w:tblOverlap w:val="never"/>
        <w:tblW w:w="5000" w:type="pct"/>
        <w:tblBorders>
          <w:top w:val="single" w:sz="4" w:space="0" w:color="auto"/>
          <w:bottom w:val="single" w:sz="4" w:space="0" w:color="auto"/>
        </w:tblBorders>
        <w:tblCellMar>
          <w:top w:w="12" w:type="dxa"/>
          <w:left w:w="0" w:type="dxa"/>
          <w:right w:w="160" w:type="dxa"/>
        </w:tblCellMar>
        <w:tblLook w:val="04A0" w:firstRow="1" w:lastRow="0" w:firstColumn="1" w:lastColumn="0" w:noHBand="0" w:noVBand="1"/>
      </w:tblPr>
      <w:tblGrid>
        <w:gridCol w:w="1730"/>
        <w:gridCol w:w="528"/>
        <w:gridCol w:w="713"/>
        <w:gridCol w:w="408"/>
        <w:gridCol w:w="713"/>
        <w:gridCol w:w="408"/>
        <w:gridCol w:w="590"/>
        <w:gridCol w:w="408"/>
        <w:gridCol w:w="713"/>
        <w:gridCol w:w="439"/>
        <w:gridCol w:w="634"/>
        <w:gridCol w:w="761"/>
        <w:gridCol w:w="1141"/>
      </w:tblGrid>
      <w:tr w:rsidR="008C6A99" w:rsidRPr="00FA5CB3" w14:paraId="026022C8" w14:textId="77777777" w:rsidTr="00E34B42">
        <w:trPr>
          <w:trHeight w:val="645"/>
        </w:trPr>
        <w:tc>
          <w:tcPr>
            <w:tcW w:w="942" w:type="pct"/>
            <w:vMerge w:val="restart"/>
            <w:shd w:val="clear" w:color="auto" w:fill="auto"/>
            <w:vAlign w:val="center"/>
          </w:tcPr>
          <w:p w14:paraId="5A1B86CB" w14:textId="77777777"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Statements</w:t>
            </w:r>
          </w:p>
        </w:tc>
        <w:tc>
          <w:tcPr>
            <w:tcW w:w="676" w:type="pct"/>
            <w:gridSpan w:val="2"/>
            <w:tcBorders>
              <w:bottom w:val="single" w:sz="4" w:space="0" w:color="auto"/>
            </w:tcBorders>
            <w:shd w:val="clear" w:color="auto" w:fill="auto"/>
            <w:vAlign w:val="center"/>
          </w:tcPr>
          <w:p w14:paraId="6D0F09D6" w14:textId="77777777"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Strongly Agree</w:t>
            </w:r>
          </w:p>
        </w:tc>
        <w:tc>
          <w:tcPr>
            <w:tcW w:w="610" w:type="pct"/>
            <w:gridSpan w:val="2"/>
            <w:tcBorders>
              <w:bottom w:val="single" w:sz="4" w:space="0" w:color="auto"/>
            </w:tcBorders>
            <w:shd w:val="clear" w:color="auto" w:fill="auto"/>
            <w:vAlign w:val="center"/>
          </w:tcPr>
          <w:p w14:paraId="74F94CC0" w14:textId="77777777"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Agree</w:t>
            </w:r>
          </w:p>
        </w:tc>
        <w:tc>
          <w:tcPr>
            <w:tcW w:w="543" w:type="pct"/>
            <w:gridSpan w:val="2"/>
            <w:tcBorders>
              <w:bottom w:val="single" w:sz="4" w:space="0" w:color="auto"/>
            </w:tcBorders>
            <w:shd w:val="clear" w:color="auto" w:fill="auto"/>
            <w:vAlign w:val="center"/>
          </w:tcPr>
          <w:p w14:paraId="1B026540" w14:textId="77777777"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Neutral</w:t>
            </w:r>
          </w:p>
        </w:tc>
        <w:tc>
          <w:tcPr>
            <w:tcW w:w="610" w:type="pct"/>
            <w:gridSpan w:val="2"/>
            <w:tcBorders>
              <w:bottom w:val="single" w:sz="4" w:space="0" w:color="auto"/>
            </w:tcBorders>
            <w:shd w:val="clear" w:color="auto" w:fill="auto"/>
            <w:vAlign w:val="center"/>
          </w:tcPr>
          <w:p w14:paraId="45F319B2" w14:textId="77777777"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Disagree</w:t>
            </w:r>
          </w:p>
        </w:tc>
        <w:tc>
          <w:tcPr>
            <w:tcW w:w="584" w:type="pct"/>
            <w:gridSpan w:val="2"/>
            <w:tcBorders>
              <w:bottom w:val="single" w:sz="4" w:space="0" w:color="auto"/>
            </w:tcBorders>
            <w:shd w:val="clear" w:color="auto" w:fill="auto"/>
            <w:vAlign w:val="center"/>
          </w:tcPr>
          <w:p w14:paraId="1A2DAC84" w14:textId="77777777"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Strongly Disagree</w:t>
            </w:r>
          </w:p>
        </w:tc>
        <w:tc>
          <w:tcPr>
            <w:tcW w:w="414" w:type="pct"/>
            <w:vMerge w:val="restart"/>
            <w:shd w:val="clear" w:color="auto" w:fill="auto"/>
            <w:vAlign w:val="center"/>
          </w:tcPr>
          <w:p w14:paraId="653FF82D" w14:textId="77777777"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Mean</w:t>
            </w:r>
          </w:p>
        </w:tc>
        <w:tc>
          <w:tcPr>
            <w:tcW w:w="621" w:type="pct"/>
            <w:vMerge w:val="restart"/>
            <w:shd w:val="clear" w:color="auto" w:fill="auto"/>
            <w:vAlign w:val="center"/>
          </w:tcPr>
          <w:p w14:paraId="6220C756" w14:textId="77777777"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Standard</w:t>
            </w:r>
          </w:p>
          <w:p w14:paraId="1E8C2B26" w14:textId="77777777"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deviation</w:t>
            </w:r>
          </w:p>
        </w:tc>
      </w:tr>
      <w:tr w:rsidR="008C6A99" w:rsidRPr="00FA5CB3" w14:paraId="3B8A3680" w14:textId="77777777" w:rsidTr="00E34B42">
        <w:trPr>
          <w:trHeight w:val="270"/>
        </w:trPr>
        <w:tc>
          <w:tcPr>
            <w:tcW w:w="942" w:type="pct"/>
            <w:vMerge/>
            <w:tcBorders>
              <w:bottom w:val="single" w:sz="4" w:space="0" w:color="auto"/>
            </w:tcBorders>
            <w:shd w:val="clear" w:color="auto" w:fill="auto"/>
            <w:vAlign w:val="center"/>
          </w:tcPr>
          <w:p w14:paraId="3D22FB31" w14:textId="77777777"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sz w:val="24"/>
                <w:szCs w:val="24"/>
              </w:rPr>
            </w:pPr>
          </w:p>
        </w:tc>
        <w:tc>
          <w:tcPr>
            <w:tcW w:w="288" w:type="pct"/>
            <w:tcBorders>
              <w:top w:val="single" w:sz="4" w:space="0" w:color="auto"/>
              <w:bottom w:val="single" w:sz="4" w:space="0" w:color="auto"/>
            </w:tcBorders>
            <w:shd w:val="clear" w:color="auto" w:fill="auto"/>
            <w:vAlign w:val="center"/>
          </w:tcPr>
          <w:p w14:paraId="020B6AE9" w14:textId="77777777"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88" w:type="pct"/>
            <w:tcBorders>
              <w:top w:val="single" w:sz="4" w:space="0" w:color="auto"/>
              <w:bottom w:val="single" w:sz="4" w:space="0" w:color="auto"/>
            </w:tcBorders>
            <w:shd w:val="clear" w:color="auto" w:fill="auto"/>
            <w:vAlign w:val="center"/>
          </w:tcPr>
          <w:p w14:paraId="0B112A8A" w14:textId="77777777"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22" w:type="pct"/>
            <w:tcBorders>
              <w:top w:val="single" w:sz="4" w:space="0" w:color="auto"/>
              <w:bottom w:val="single" w:sz="4" w:space="0" w:color="auto"/>
            </w:tcBorders>
            <w:shd w:val="clear" w:color="auto" w:fill="auto"/>
            <w:vAlign w:val="center"/>
          </w:tcPr>
          <w:p w14:paraId="2C99A4F6" w14:textId="77777777"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88" w:type="pct"/>
            <w:tcBorders>
              <w:top w:val="single" w:sz="4" w:space="0" w:color="auto"/>
              <w:bottom w:val="single" w:sz="4" w:space="0" w:color="auto"/>
            </w:tcBorders>
            <w:shd w:val="clear" w:color="auto" w:fill="auto"/>
            <w:vAlign w:val="center"/>
          </w:tcPr>
          <w:p w14:paraId="1D5A3E03" w14:textId="77777777"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22" w:type="pct"/>
            <w:tcBorders>
              <w:top w:val="single" w:sz="4" w:space="0" w:color="auto"/>
              <w:bottom w:val="single" w:sz="4" w:space="0" w:color="auto"/>
            </w:tcBorders>
            <w:shd w:val="clear" w:color="auto" w:fill="auto"/>
            <w:vAlign w:val="center"/>
          </w:tcPr>
          <w:p w14:paraId="2A09BCB7" w14:textId="77777777"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21" w:type="pct"/>
            <w:tcBorders>
              <w:top w:val="single" w:sz="4" w:space="0" w:color="auto"/>
              <w:bottom w:val="single" w:sz="4" w:space="0" w:color="auto"/>
            </w:tcBorders>
            <w:shd w:val="clear" w:color="auto" w:fill="auto"/>
            <w:vAlign w:val="center"/>
          </w:tcPr>
          <w:p w14:paraId="52997C7A" w14:textId="77777777"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22" w:type="pct"/>
            <w:tcBorders>
              <w:top w:val="single" w:sz="4" w:space="0" w:color="auto"/>
              <w:bottom w:val="single" w:sz="4" w:space="0" w:color="auto"/>
            </w:tcBorders>
            <w:shd w:val="clear" w:color="auto" w:fill="auto"/>
            <w:vAlign w:val="center"/>
          </w:tcPr>
          <w:p w14:paraId="65493B28" w14:textId="77777777"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88" w:type="pct"/>
            <w:tcBorders>
              <w:top w:val="single" w:sz="4" w:space="0" w:color="auto"/>
              <w:bottom w:val="single" w:sz="4" w:space="0" w:color="auto"/>
            </w:tcBorders>
            <w:shd w:val="clear" w:color="auto" w:fill="auto"/>
            <w:vAlign w:val="center"/>
          </w:tcPr>
          <w:p w14:paraId="456F662A" w14:textId="77777777"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39" w:type="pct"/>
            <w:tcBorders>
              <w:top w:val="single" w:sz="4" w:space="0" w:color="auto"/>
              <w:bottom w:val="single" w:sz="4" w:space="0" w:color="auto"/>
            </w:tcBorders>
            <w:shd w:val="clear" w:color="auto" w:fill="auto"/>
            <w:vAlign w:val="center"/>
          </w:tcPr>
          <w:p w14:paraId="5DAF4407" w14:textId="77777777"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45" w:type="pct"/>
            <w:tcBorders>
              <w:top w:val="single" w:sz="4" w:space="0" w:color="auto"/>
              <w:bottom w:val="single" w:sz="4" w:space="0" w:color="auto"/>
            </w:tcBorders>
            <w:shd w:val="clear" w:color="auto" w:fill="auto"/>
            <w:vAlign w:val="center"/>
          </w:tcPr>
          <w:p w14:paraId="27D1BA87" w14:textId="77777777"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414" w:type="pct"/>
            <w:vMerge/>
            <w:tcBorders>
              <w:bottom w:val="single" w:sz="4" w:space="0" w:color="auto"/>
            </w:tcBorders>
            <w:shd w:val="clear" w:color="auto" w:fill="auto"/>
            <w:vAlign w:val="center"/>
          </w:tcPr>
          <w:p w14:paraId="33ED9BCB" w14:textId="77777777"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sz w:val="24"/>
                <w:szCs w:val="24"/>
              </w:rPr>
            </w:pPr>
          </w:p>
        </w:tc>
        <w:tc>
          <w:tcPr>
            <w:tcW w:w="621" w:type="pct"/>
            <w:vMerge/>
            <w:tcBorders>
              <w:bottom w:val="single" w:sz="4" w:space="0" w:color="auto"/>
            </w:tcBorders>
            <w:shd w:val="clear" w:color="auto" w:fill="auto"/>
            <w:vAlign w:val="center"/>
          </w:tcPr>
          <w:p w14:paraId="3D7E90EA" w14:textId="77777777"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sz w:val="24"/>
                <w:szCs w:val="24"/>
              </w:rPr>
            </w:pPr>
          </w:p>
        </w:tc>
      </w:tr>
      <w:tr w:rsidR="008C6A99" w:rsidRPr="00FA5CB3" w14:paraId="2D6326D9" w14:textId="77777777" w:rsidTr="00E34B42">
        <w:trPr>
          <w:trHeight w:val="626"/>
        </w:trPr>
        <w:tc>
          <w:tcPr>
            <w:tcW w:w="942" w:type="pct"/>
            <w:tcBorders>
              <w:top w:val="nil"/>
            </w:tcBorders>
            <w:shd w:val="clear" w:color="auto" w:fill="auto"/>
            <w:vAlign w:val="center"/>
          </w:tcPr>
          <w:p w14:paraId="4059B001" w14:textId="256DB7EF"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sz w:val="24"/>
                <w:szCs w:val="24"/>
              </w:rPr>
            </w:pPr>
            <w:r w:rsidRPr="00C37E26">
              <w:rPr>
                <w:rFonts w:ascii="Times New Roman" w:eastAsia="Times New Roman" w:hAnsi="Times New Roman" w:cs="Times New Roman"/>
              </w:rPr>
              <w:t>The Return on Assets has improved over the years.</w:t>
            </w:r>
          </w:p>
        </w:tc>
        <w:tc>
          <w:tcPr>
            <w:tcW w:w="288" w:type="pct"/>
            <w:tcBorders>
              <w:top w:val="nil"/>
            </w:tcBorders>
            <w:shd w:val="clear" w:color="auto" w:fill="auto"/>
            <w:vAlign w:val="center"/>
          </w:tcPr>
          <w:p w14:paraId="4BC1F898" w14:textId="66BF7933" w:rsidR="008C6A99" w:rsidRPr="00FA5CB3" w:rsidRDefault="00477D4A" w:rsidP="00AA52A0">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54</w:t>
            </w:r>
          </w:p>
        </w:tc>
        <w:tc>
          <w:tcPr>
            <w:tcW w:w="388" w:type="pct"/>
            <w:tcBorders>
              <w:top w:val="nil"/>
            </w:tcBorders>
            <w:shd w:val="clear" w:color="auto" w:fill="auto"/>
            <w:vAlign w:val="center"/>
          </w:tcPr>
          <w:p w14:paraId="6B6ABE13" w14:textId="5E29A752" w:rsidR="008C6A99" w:rsidRPr="00FA5CB3" w:rsidRDefault="00477D4A" w:rsidP="00AA52A0">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96.42</w:t>
            </w:r>
          </w:p>
        </w:tc>
        <w:tc>
          <w:tcPr>
            <w:tcW w:w="222" w:type="pct"/>
            <w:tcBorders>
              <w:top w:val="nil"/>
            </w:tcBorders>
            <w:shd w:val="clear" w:color="auto" w:fill="auto"/>
            <w:vAlign w:val="center"/>
          </w:tcPr>
          <w:p w14:paraId="790ADD74" w14:textId="52070387" w:rsidR="008C6A99" w:rsidRPr="00FA5CB3" w:rsidRDefault="00477D4A" w:rsidP="00AA52A0">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388" w:type="pct"/>
            <w:tcBorders>
              <w:top w:val="nil"/>
            </w:tcBorders>
            <w:shd w:val="clear" w:color="auto" w:fill="auto"/>
            <w:vAlign w:val="center"/>
          </w:tcPr>
          <w:p w14:paraId="30DEA367" w14:textId="68A30D0C"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w:t>
            </w:r>
            <w:r w:rsidR="00477D4A">
              <w:rPr>
                <w:rFonts w:asciiTheme="majorBidi" w:eastAsia="Times New Roman" w:hAnsiTheme="majorBidi" w:cstheme="majorBidi"/>
                <w:sz w:val="24"/>
                <w:szCs w:val="24"/>
              </w:rPr>
              <w:t>.78</w:t>
            </w:r>
          </w:p>
        </w:tc>
        <w:tc>
          <w:tcPr>
            <w:tcW w:w="222" w:type="pct"/>
            <w:tcBorders>
              <w:top w:val="nil"/>
            </w:tcBorders>
            <w:shd w:val="clear" w:color="auto" w:fill="auto"/>
            <w:vAlign w:val="center"/>
          </w:tcPr>
          <w:p w14:paraId="682F6E6C" w14:textId="30AAC790" w:rsidR="008C6A99" w:rsidRPr="00FA5CB3" w:rsidRDefault="00477D4A" w:rsidP="00AA52A0">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321" w:type="pct"/>
            <w:tcBorders>
              <w:top w:val="nil"/>
            </w:tcBorders>
            <w:shd w:val="clear" w:color="auto" w:fill="auto"/>
            <w:vAlign w:val="center"/>
          </w:tcPr>
          <w:p w14:paraId="7EAC146D" w14:textId="404EA54A" w:rsidR="008C6A99" w:rsidRPr="00FA5CB3" w:rsidRDefault="00477D4A" w:rsidP="00AA52A0">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1.78</w:t>
            </w:r>
          </w:p>
        </w:tc>
        <w:tc>
          <w:tcPr>
            <w:tcW w:w="222" w:type="pct"/>
            <w:tcBorders>
              <w:top w:val="nil"/>
            </w:tcBorders>
            <w:shd w:val="clear" w:color="auto" w:fill="auto"/>
            <w:vAlign w:val="center"/>
          </w:tcPr>
          <w:p w14:paraId="2A9888B8" w14:textId="77777777"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88" w:type="pct"/>
            <w:tcBorders>
              <w:top w:val="nil"/>
            </w:tcBorders>
            <w:shd w:val="clear" w:color="auto" w:fill="auto"/>
            <w:vAlign w:val="center"/>
          </w:tcPr>
          <w:p w14:paraId="38C1BCB5" w14:textId="77777777"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0.0</w:t>
            </w:r>
          </w:p>
        </w:tc>
        <w:tc>
          <w:tcPr>
            <w:tcW w:w="239" w:type="pct"/>
            <w:tcBorders>
              <w:top w:val="nil"/>
            </w:tcBorders>
            <w:shd w:val="clear" w:color="auto" w:fill="auto"/>
            <w:vAlign w:val="center"/>
          </w:tcPr>
          <w:p w14:paraId="7B7138A1" w14:textId="77777777"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45" w:type="pct"/>
            <w:tcBorders>
              <w:top w:val="nil"/>
            </w:tcBorders>
            <w:shd w:val="clear" w:color="auto" w:fill="auto"/>
            <w:vAlign w:val="center"/>
          </w:tcPr>
          <w:p w14:paraId="41966044" w14:textId="77777777"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414" w:type="pct"/>
            <w:tcBorders>
              <w:top w:val="nil"/>
            </w:tcBorders>
            <w:shd w:val="clear" w:color="auto" w:fill="auto"/>
            <w:vAlign w:val="center"/>
          </w:tcPr>
          <w:p w14:paraId="40F7DA35" w14:textId="4C996FD3"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w:t>
            </w:r>
            <w:r w:rsidR="00734A6B">
              <w:rPr>
                <w:rFonts w:asciiTheme="majorBidi" w:eastAsia="Times New Roman" w:hAnsiTheme="majorBidi" w:cstheme="majorBidi"/>
                <w:sz w:val="24"/>
                <w:szCs w:val="24"/>
              </w:rPr>
              <w:t>95</w:t>
            </w:r>
          </w:p>
        </w:tc>
        <w:tc>
          <w:tcPr>
            <w:tcW w:w="621" w:type="pct"/>
            <w:tcBorders>
              <w:top w:val="nil"/>
            </w:tcBorders>
            <w:shd w:val="clear" w:color="auto" w:fill="auto"/>
            <w:vAlign w:val="center"/>
          </w:tcPr>
          <w:p w14:paraId="7F7B045C" w14:textId="3C4B33F1"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w:t>
            </w:r>
            <w:r w:rsidR="00734A6B">
              <w:rPr>
                <w:rFonts w:asciiTheme="majorBidi" w:eastAsia="Times New Roman" w:hAnsiTheme="majorBidi" w:cstheme="majorBidi"/>
                <w:sz w:val="24"/>
                <w:szCs w:val="24"/>
              </w:rPr>
              <w:t>29</w:t>
            </w:r>
          </w:p>
        </w:tc>
      </w:tr>
      <w:tr w:rsidR="008C6A99" w:rsidRPr="00FA5CB3" w14:paraId="05CDE1BD" w14:textId="77777777" w:rsidTr="00E34B42">
        <w:trPr>
          <w:trHeight w:val="500"/>
        </w:trPr>
        <w:tc>
          <w:tcPr>
            <w:tcW w:w="942" w:type="pct"/>
            <w:shd w:val="clear" w:color="auto" w:fill="auto"/>
            <w:vAlign w:val="center"/>
          </w:tcPr>
          <w:p w14:paraId="4FD61C30" w14:textId="1FDA0D3F"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sz w:val="24"/>
                <w:szCs w:val="24"/>
              </w:rPr>
            </w:pPr>
            <w:r w:rsidRPr="00C37E26">
              <w:rPr>
                <w:rFonts w:ascii="Times New Roman" w:eastAsia="Times New Roman" w:hAnsi="Times New Roman" w:cs="Times New Roman"/>
              </w:rPr>
              <w:t>Return on Assets reflects strong financial performance.</w:t>
            </w:r>
          </w:p>
        </w:tc>
        <w:tc>
          <w:tcPr>
            <w:tcW w:w="288" w:type="pct"/>
            <w:shd w:val="clear" w:color="auto" w:fill="auto"/>
            <w:vAlign w:val="center"/>
          </w:tcPr>
          <w:p w14:paraId="6404309B" w14:textId="16A939CA" w:rsidR="008C6A99" w:rsidRPr="00FA5CB3" w:rsidRDefault="00734A6B" w:rsidP="00AA52A0">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47</w:t>
            </w:r>
          </w:p>
        </w:tc>
        <w:tc>
          <w:tcPr>
            <w:tcW w:w="388" w:type="pct"/>
            <w:shd w:val="clear" w:color="auto" w:fill="auto"/>
            <w:vAlign w:val="center"/>
          </w:tcPr>
          <w:p w14:paraId="0FC99BFA" w14:textId="0E731020" w:rsidR="008C6A99" w:rsidRPr="00FA5CB3" w:rsidRDefault="00734A6B" w:rsidP="00AA52A0">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83.92</w:t>
            </w:r>
          </w:p>
        </w:tc>
        <w:tc>
          <w:tcPr>
            <w:tcW w:w="222" w:type="pct"/>
            <w:shd w:val="clear" w:color="auto" w:fill="auto"/>
            <w:vAlign w:val="center"/>
          </w:tcPr>
          <w:p w14:paraId="44718E5A" w14:textId="5381F0D7" w:rsidR="008C6A99" w:rsidRPr="00FA5CB3" w:rsidRDefault="00734A6B" w:rsidP="00AA52A0">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388" w:type="pct"/>
            <w:shd w:val="clear" w:color="auto" w:fill="auto"/>
            <w:vAlign w:val="center"/>
          </w:tcPr>
          <w:p w14:paraId="536EE5F1" w14:textId="4D39ED46" w:rsidR="008C6A99" w:rsidRPr="00FA5CB3" w:rsidRDefault="00734A6B" w:rsidP="00AA52A0">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10.71</w:t>
            </w:r>
          </w:p>
        </w:tc>
        <w:tc>
          <w:tcPr>
            <w:tcW w:w="222" w:type="pct"/>
            <w:shd w:val="clear" w:color="auto" w:fill="auto"/>
            <w:vAlign w:val="center"/>
          </w:tcPr>
          <w:p w14:paraId="607820D2" w14:textId="695B3961" w:rsidR="008C6A99" w:rsidRPr="00FA5CB3" w:rsidRDefault="00734A6B" w:rsidP="00AA52A0">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321" w:type="pct"/>
            <w:shd w:val="clear" w:color="auto" w:fill="auto"/>
            <w:vAlign w:val="center"/>
          </w:tcPr>
          <w:p w14:paraId="7B90030F" w14:textId="73ECB05A" w:rsidR="008C6A99" w:rsidRPr="00FA5CB3" w:rsidRDefault="00734A6B" w:rsidP="00AA52A0">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5.35</w:t>
            </w:r>
          </w:p>
        </w:tc>
        <w:tc>
          <w:tcPr>
            <w:tcW w:w="222" w:type="pct"/>
            <w:shd w:val="clear" w:color="auto" w:fill="auto"/>
            <w:vAlign w:val="center"/>
          </w:tcPr>
          <w:p w14:paraId="5ED2506E" w14:textId="77777777"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88" w:type="pct"/>
            <w:shd w:val="clear" w:color="auto" w:fill="auto"/>
            <w:vAlign w:val="center"/>
          </w:tcPr>
          <w:p w14:paraId="45648113" w14:textId="77777777"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0.0</w:t>
            </w:r>
          </w:p>
        </w:tc>
        <w:tc>
          <w:tcPr>
            <w:tcW w:w="239" w:type="pct"/>
            <w:shd w:val="clear" w:color="auto" w:fill="auto"/>
            <w:vAlign w:val="center"/>
          </w:tcPr>
          <w:p w14:paraId="3BB88C12" w14:textId="77777777"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45" w:type="pct"/>
            <w:shd w:val="clear" w:color="auto" w:fill="auto"/>
            <w:vAlign w:val="center"/>
          </w:tcPr>
          <w:p w14:paraId="31E26409" w14:textId="77777777"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414" w:type="pct"/>
            <w:shd w:val="clear" w:color="auto" w:fill="auto"/>
            <w:vAlign w:val="center"/>
          </w:tcPr>
          <w:p w14:paraId="55246A69" w14:textId="1189FD10"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w:t>
            </w:r>
            <w:r w:rsidR="007160AF">
              <w:rPr>
                <w:rFonts w:asciiTheme="majorBidi" w:eastAsia="Times New Roman" w:hAnsiTheme="majorBidi" w:cstheme="majorBidi"/>
                <w:sz w:val="24"/>
                <w:szCs w:val="24"/>
              </w:rPr>
              <w:t>.79</w:t>
            </w:r>
          </w:p>
        </w:tc>
        <w:tc>
          <w:tcPr>
            <w:tcW w:w="621" w:type="pct"/>
            <w:shd w:val="clear" w:color="auto" w:fill="auto"/>
            <w:vAlign w:val="center"/>
          </w:tcPr>
          <w:p w14:paraId="7113205F" w14:textId="479440BC" w:rsidR="008C6A99" w:rsidRPr="00FA5CB3" w:rsidRDefault="008C6A99" w:rsidP="00AA52A0">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w:t>
            </w:r>
            <w:r w:rsidR="007160AF">
              <w:rPr>
                <w:rFonts w:asciiTheme="majorBidi" w:eastAsia="Times New Roman" w:hAnsiTheme="majorBidi" w:cstheme="majorBidi"/>
                <w:sz w:val="24"/>
                <w:szCs w:val="24"/>
              </w:rPr>
              <w:t>53</w:t>
            </w:r>
          </w:p>
        </w:tc>
      </w:tr>
    </w:tbl>
    <w:p w14:paraId="3277965C" w14:textId="77777777" w:rsidR="00E74759" w:rsidRDefault="008C6A99" w:rsidP="008C6A99">
      <w:pPr>
        <w:shd w:val="clear" w:color="auto" w:fill="FFFFFF" w:themeFill="background1"/>
        <w:spacing w:after="240" w:line="360" w:lineRule="auto"/>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Source: Primary Data (2025</w:t>
      </w:r>
      <w:r w:rsidRPr="00FA5CB3">
        <w:rPr>
          <w:rFonts w:asciiTheme="majorBidi" w:eastAsia="Times New Roman" w:hAnsiTheme="majorBidi" w:cstheme="majorBidi"/>
          <w:b/>
          <w:bCs/>
          <w:sz w:val="24"/>
          <w:szCs w:val="24"/>
        </w:rPr>
        <w:t xml:space="preserve">) </w:t>
      </w:r>
    </w:p>
    <w:p w14:paraId="3FCC496B" w14:textId="2868EE73" w:rsidR="00E74759" w:rsidRPr="00E74759" w:rsidRDefault="00E74759" w:rsidP="00E74759">
      <w:pPr>
        <w:shd w:val="clear" w:color="auto" w:fill="FFFFFF" w:themeFill="background1"/>
        <w:spacing w:after="240" w:line="360" w:lineRule="auto"/>
        <w:jc w:val="both"/>
        <w:rPr>
          <w:rFonts w:asciiTheme="majorBidi" w:eastAsia="Times New Roman" w:hAnsiTheme="majorBidi" w:cstheme="majorBidi"/>
          <w:sz w:val="24"/>
          <w:szCs w:val="24"/>
          <w:lang w:val="en-GB"/>
        </w:rPr>
      </w:pPr>
      <w:r w:rsidRPr="00E74759">
        <w:rPr>
          <w:rFonts w:asciiTheme="majorBidi" w:eastAsia="Times New Roman" w:hAnsiTheme="majorBidi" w:cstheme="majorBidi"/>
          <w:sz w:val="24"/>
          <w:szCs w:val="24"/>
          <w:lang w:val="en-GB"/>
        </w:rPr>
        <w:t>Table 4.11 presents the perceptions of employees from six departments (Credit and Risk Management, Finance and Management, Loan, Accounting, Recovery, and Strategic and Planning) regarding the Return on Assets (ROA) of GT Bank Plc from 2019 to 2023. The table summarizes employee responses to two statements about ROA, providing frequencies (N) and percentages (%) for each response category, as well as the corresponding mean and standard deviation. These findings help in assessing how employees view the bank’s ability to utilize its assets efficiently to generate profit, a key indi</w:t>
      </w:r>
      <w:r w:rsidR="00F501F1">
        <w:rPr>
          <w:rFonts w:asciiTheme="majorBidi" w:eastAsia="Times New Roman" w:hAnsiTheme="majorBidi" w:cstheme="majorBidi"/>
          <w:sz w:val="24"/>
          <w:szCs w:val="24"/>
          <w:lang w:val="en-GB"/>
        </w:rPr>
        <w:t xml:space="preserve">cator of financial performance. </w:t>
      </w:r>
      <w:r w:rsidRPr="00E74759">
        <w:rPr>
          <w:rFonts w:asciiTheme="majorBidi" w:eastAsia="Times New Roman" w:hAnsiTheme="majorBidi" w:cstheme="majorBidi"/>
          <w:sz w:val="24"/>
          <w:szCs w:val="24"/>
          <w:lang w:val="en-GB"/>
        </w:rPr>
        <w:t xml:space="preserve">The first statement, "The Return on Assets has improved over the years," received a high mean score of 4.95 with a standard deviation of 0.29. The majority of respondents (96.42%) strongly agree, 1.78% agree, and 1.78% are neutral, with no one disagreeing or strongly disagreeing. This suggests that employees strongly perceive that the bank’s ROA has improved over the </w:t>
      </w:r>
      <w:proofErr w:type="spellStart"/>
      <w:r w:rsidRPr="00E74759">
        <w:rPr>
          <w:rFonts w:asciiTheme="majorBidi" w:eastAsia="Times New Roman" w:hAnsiTheme="majorBidi" w:cstheme="majorBidi"/>
          <w:sz w:val="24"/>
          <w:szCs w:val="24"/>
          <w:lang w:val="en-GB"/>
        </w:rPr>
        <w:t>analyzed</w:t>
      </w:r>
      <w:proofErr w:type="spellEnd"/>
      <w:r w:rsidRPr="00E74759">
        <w:rPr>
          <w:rFonts w:asciiTheme="majorBidi" w:eastAsia="Times New Roman" w:hAnsiTheme="majorBidi" w:cstheme="majorBidi"/>
          <w:sz w:val="24"/>
          <w:szCs w:val="24"/>
          <w:lang w:val="en-GB"/>
        </w:rPr>
        <w:t xml:space="preserve"> period. The high mean score reflects the general consensus on the positive growth of the bank’s asset utilization. Additionally, the low standard deviation indicates a high level of agreement among employees across departments. This aligns with the findings of Kumar (2020), who asserts that a consistent improvement in ROA is a sign of a bank's effective asset management and financial health, which is essential for long</w:t>
      </w:r>
      <w:r w:rsidR="00F501F1">
        <w:rPr>
          <w:rFonts w:asciiTheme="majorBidi" w:eastAsia="Times New Roman" w:hAnsiTheme="majorBidi" w:cstheme="majorBidi"/>
          <w:sz w:val="24"/>
          <w:szCs w:val="24"/>
          <w:lang w:val="en-GB"/>
        </w:rPr>
        <w:t xml:space="preserve">-term </w:t>
      </w:r>
      <w:r w:rsidR="00F501F1">
        <w:rPr>
          <w:rFonts w:asciiTheme="majorBidi" w:eastAsia="Times New Roman" w:hAnsiTheme="majorBidi" w:cstheme="majorBidi"/>
          <w:sz w:val="24"/>
          <w:szCs w:val="24"/>
          <w:lang w:val="en-GB"/>
        </w:rPr>
        <w:lastRenderedPageBreak/>
        <w:t xml:space="preserve">profitability and growth. </w:t>
      </w:r>
      <w:r w:rsidRPr="00E74759">
        <w:rPr>
          <w:rFonts w:asciiTheme="majorBidi" w:eastAsia="Times New Roman" w:hAnsiTheme="majorBidi" w:cstheme="majorBidi"/>
          <w:sz w:val="24"/>
          <w:szCs w:val="24"/>
          <w:lang w:val="en-GB"/>
        </w:rPr>
        <w:t>The second statement, "Return on Assets reflects strong financial performance," also shows positive perceptions, with a mean score of 4.79 and a standard deviation of 0.53. A majority of employees (83.92%) strongly agree, while 10.71% agree, and 5.35% remain neutral. No respondents disagreed or strongly disagreed with this statement. The high mean score indicates that employees generally associate the bank’s ROA with strong financial performance, reinforcing the idea that effective asset utilization is a crucial factor in measuring the bank's financial stability and profitability. The relatively low standard deviation suggests that this belief is shared across the various departments, indicating a consistent understanding of the importance of ROA in evaluating financial performance. As noted by Smith (2019), ROA is often used as a key indicator of how well a bank is utilizing its assets to generate earnings, making it a critical metric for assessing the overall efficiency and financial strength of a financial institution.</w:t>
      </w:r>
    </w:p>
    <w:p w14:paraId="1B296DDB" w14:textId="77777777" w:rsidR="00E74759" w:rsidRPr="00E74759" w:rsidRDefault="00E74759" w:rsidP="00E74759">
      <w:pPr>
        <w:shd w:val="clear" w:color="auto" w:fill="FFFFFF" w:themeFill="background1"/>
        <w:spacing w:after="240" w:line="360" w:lineRule="auto"/>
        <w:jc w:val="both"/>
        <w:rPr>
          <w:rFonts w:asciiTheme="majorBidi" w:eastAsia="Times New Roman" w:hAnsiTheme="majorBidi" w:cstheme="majorBidi"/>
          <w:sz w:val="24"/>
          <w:szCs w:val="24"/>
          <w:lang w:val="en-GB"/>
        </w:rPr>
      </w:pPr>
      <w:r w:rsidRPr="00E74759">
        <w:rPr>
          <w:rFonts w:asciiTheme="majorBidi" w:eastAsia="Times New Roman" w:hAnsiTheme="majorBidi" w:cstheme="majorBidi"/>
          <w:sz w:val="24"/>
          <w:szCs w:val="24"/>
          <w:lang w:val="en-GB"/>
        </w:rPr>
        <w:t>In conclusion, the findings in Table 4.11 highlight that employees at GT Bank Plc view the bank’s Return on Assets as a strong indicator of its financial health and performance from 2019 to 2023. Both statements show high mean scores, indicating that employees strongly believe that the bank’s ROA has improved over the years and that it reflects strong financial performance. The low standard deviations further suggest that these perceptions are shared widely across different departments, signifying a unified understanding of the importance of ROA in the bank's financial success. These positive perceptions align with the broader financial analysis of banks, where efficient asset management is crucial for profitability and growth.</w:t>
      </w:r>
    </w:p>
    <w:p w14:paraId="663C2DF6" w14:textId="29917B13" w:rsidR="008C6A99" w:rsidRDefault="008C6A99" w:rsidP="008C6A99">
      <w:pPr>
        <w:shd w:val="clear" w:color="auto" w:fill="FFFFFF" w:themeFill="background1"/>
        <w:spacing w:after="240" w:line="360" w:lineRule="auto"/>
        <w:jc w:val="both"/>
        <w:rPr>
          <w:rFonts w:ascii="Times New Roman" w:hAnsi="Times New Roman" w:cs="Times New Roman"/>
          <w:b/>
        </w:rPr>
      </w:pPr>
      <w:r w:rsidRPr="00FA5CB3">
        <w:rPr>
          <w:rFonts w:asciiTheme="majorBidi" w:eastAsia="Times New Roman" w:hAnsiTheme="majorBidi" w:cstheme="majorBidi"/>
          <w:b/>
          <w:bCs/>
          <w:iCs/>
          <w:sz w:val="24"/>
          <w:szCs w:val="24"/>
        </w:rPr>
        <w:t>Table 4.</w:t>
      </w:r>
      <w:r>
        <w:rPr>
          <w:rFonts w:asciiTheme="majorBidi" w:eastAsia="Times New Roman" w:hAnsiTheme="majorBidi" w:cstheme="majorBidi"/>
          <w:b/>
          <w:bCs/>
          <w:iCs/>
          <w:sz w:val="24"/>
          <w:szCs w:val="24"/>
        </w:rPr>
        <w:t>12</w:t>
      </w:r>
      <w:r w:rsidRPr="00FA5CB3">
        <w:rPr>
          <w:rFonts w:asciiTheme="majorBidi" w:eastAsia="Times New Roman" w:hAnsiTheme="majorBidi" w:cstheme="majorBidi"/>
          <w:b/>
          <w:bCs/>
          <w:iCs/>
          <w:sz w:val="24"/>
          <w:szCs w:val="24"/>
        </w:rPr>
        <w:t xml:space="preserve">: </w:t>
      </w:r>
      <w:r w:rsidRPr="006161EE">
        <w:rPr>
          <w:rFonts w:asciiTheme="majorBidi" w:eastAsia="Times New Roman" w:hAnsiTheme="majorBidi" w:cstheme="majorBidi"/>
          <w:b/>
          <w:bCs/>
          <w:sz w:val="24"/>
          <w:szCs w:val="24"/>
          <w:lang w:val="fr-FR"/>
        </w:rPr>
        <w:t xml:space="preserve">GT Bank employées </w:t>
      </w:r>
      <w:proofErr w:type="spellStart"/>
      <w:r w:rsidRPr="006161EE">
        <w:rPr>
          <w:rFonts w:asciiTheme="majorBidi" w:eastAsia="Times New Roman" w:hAnsiTheme="majorBidi" w:cstheme="majorBidi"/>
          <w:b/>
          <w:bCs/>
          <w:sz w:val="24"/>
          <w:szCs w:val="24"/>
          <w:lang w:val="fr-FR"/>
        </w:rPr>
        <w:t>from</w:t>
      </w:r>
      <w:proofErr w:type="spellEnd"/>
      <w:r w:rsidRPr="006161EE">
        <w:rPr>
          <w:rFonts w:asciiTheme="majorBidi" w:eastAsia="Times New Roman" w:hAnsiTheme="majorBidi" w:cstheme="majorBidi"/>
          <w:b/>
          <w:bCs/>
          <w:sz w:val="24"/>
          <w:szCs w:val="24"/>
          <w:lang w:val="fr-FR"/>
        </w:rPr>
        <w:t xml:space="preserve"> 6 </w:t>
      </w:r>
      <w:proofErr w:type="spellStart"/>
      <w:r w:rsidRPr="006161EE">
        <w:rPr>
          <w:rFonts w:asciiTheme="majorBidi" w:eastAsia="Times New Roman" w:hAnsiTheme="majorBidi" w:cstheme="majorBidi"/>
          <w:b/>
          <w:bCs/>
          <w:sz w:val="24"/>
          <w:szCs w:val="24"/>
          <w:lang w:val="fr-FR"/>
        </w:rPr>
        <w:t>departments</w:t>
      </w:r>
      <w:proofErr w:type="spellEnd"/>
      <w:r w:rsidRPr="006161EE">
        <w:rPr>
          <w:rFonts w:asciiTheme="majorBidi" w:eastAsia="Times New Roman" w:hAnsiTheme="majorBidi" w:cstheme="majorBidi"/>
          <w:b/>
          <w:bCs/>
          <w:sz w:val="24"/>
          <w:szCs w:val="24"/>
          <w:lang w:val="fr-FR"/>
        </w:rPr>
        <w:t xml:space="preserve"> </w:t>
      </w:r>
      <w:r>
        <w:rPr>
          <w:rFonts w:asciiTheme="majorBidi" w:eastAsia="Times New Roman" w:hAnsiTheme="majorBidi" w:cstheme="majorBidi"/>
          <w:b/>
          <w:bCs/>
          <w:sz w:val="24"/>
          <w:szCs w:val="24"/>
          <w:lang w:val="fr-FR"/>
        </w:rPr>
        <w:t xml:space="preserve">perception </w:t>
      </w:r>
      <w:r w:rsidRPr="006161EE">
        <w:rPr>
          <w:rFonts w:asciiTheme="majorBidi" w:eastAsia="Times New Roman" w:hAnsiTheme="majorBidi" w:cstheme="majorBidi"/>
          <w:b/>
          <w:bCs/>
          <w:sz w:val="24"/>
          <w:szCs w:val="24"/>
        </w:rPr>
        <w:t xml:space="preserve">on </w:t>
      </w:r>
      <w:r w:rsidRPr="008C6A99">
        <w:rPr>
          <w:rFonts w:asciiTheme="majorBidi" w:eastAsia="Times New Roman" w:hAnsiTheme="majorBidi" w:cstheme="majorBidi"/>
          <w:b/>
          <w:sz w:val="24"/>
          <w:szCs w:val="24"/>
        </w:rPr>
        <w:t xml:space="preserve">analyze the financial performance   of </w:t>
      </w:r>
      <w:r w:rsidRPr="008C6A99">
        <w:rPr>
          <w:rFonts w:asciiTheme="majorBidi" w:hAnsiTheme="majorBidi" w:cstheme="majorBidi"/>
          <w:b/>
          <w:sz w:val="24"/>
          <w:szCs w:val="24"/>
        </w:rPr>
        <w:t xml:space="preserve">GT Bank Plc from 2019-2023 </w:t>
      </w:r>
      <w:r w:rsidRPr="008C6A99">
        <w:rPr>
          <w:rFonts w:asciiTheme="majorBidi" w:eastAsia="Times New Roman" w:hAnsiTheme="majorBidi" w:cstheme="majorBidi"/>
          <w:b/>
          <w:bCs/>
          <w:sz w:val="24"/>
          <w:szCs w:val="24"/>
        </w:rPr>
        <w:t xml:space="preserve">for </w:t>
      </w:r>
      <w:r w:rsidRPr="00C37E26">
        <w:rPr>
          <w:rFonts w:ascii="Times New Roman" w:eastAsia="Times New Roman" w:hAnsi="Times New Roman" w:cs="Times New Roman"/>
          <w:b/>
          <w:bCs/>
        </w:rPr>
        <w:t>Cash Ratio</w:t>
      </w:r>
    </w:p>
    <w:tbl>
      <w:tblPr>
        <w:tblpPr w:leftFromText="187" w:rightFromText="187" w:vertAnchor="text" w:horzAnchor="margin" w:tblpY="1"/>
        <w:tblOverlap w:val="never"/>
        <w:tblW w:w="5000" w:type="pct"/>
        <w:tblBorders>
          <w:top w:val="single" w:sz="4" w:space="0" w:color="auto"/>
          <w:bottom w:val="single" w:sz="4" w:space="0" w:color="auto"/>
        </w:tblBorders>
        <w:tblCellMar>
          <w:top w:w="12" w:type="dxa"/>
          <w:left w:w="0" w:type="dxa"/>
          <w:right w:w="160" w:type="dxa"/>
        </w:tblCellMar>
        <w:tblLook w:val="04A0" w:firstRow="1" w:lastRow="0" w:firstColumn="1" w:lastColumn="0" w:noHBand="0" w:noVBand="1"/>
      </w:tblPr>
      <w:tblGrid>
        <w:gridCol w:w="1730"/>
        <w:gridCol w:w="528"/>
        <w:gridCol w:w="713"/>
        <w:gridCol w:w="408"/>
        <w:gridCol w:w="713"/>
        <w:gridCol w:w="408"/>
        <w:gridCol w:w="590"/>
        <w:gridCol w:w="408"/>
        <w:gridCol w:w="713"/>
        <w:gridCol w:w="439"/>
        <w:gridCol w:w="634"/>
        <w:gridCol w:w="761"/>
        <w:gridCol w:w="1141"/>
      </w:tblGrid>
      <w:tr w:rsidR="008C6A99" w:rsidRPr="00FA5CB3" w14:paraId="36B5705C" w14:textId="77777777" w:rsidTr="00E34B42">
        <w:trPr>
          <w:trHeight w:val="645"/>
        </w:trPr>
        <w:tc>
          <w:tcPr>
            <w:tcW w:w="942" w:type="pct"/>
            <w:vMerge w:val="restart"/>
            <w:shd w:val="clear" w:color="auto" w:fill="auto"/>
            <w:vAlign w:val="center"/>
          </w:tcPr>
          <w:p w14:paraId="2DBC2C3B" w14:textId="77777777"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Statements</w:t>
            </w:r>
          </w:p>
        </w:tc>
        <w:tc>
          <w:tcPr>
            <w:tcW w:w="676" w:type="pct"/>
            <w:gridSpan w:val="2"/>
            <w:tcBorders>
              <w:bottom w:val="single" w:sz="4" w:space="0" w:color="auto"/>
            </w:tcBorders>
            <w:shd w:val="clear" w:color="auto" w:fill="auto"/>
            <w:vAlign w:val="center"/>
          </w:tcPr>
          <w:p w14:paraId="26F9A28F" w14:textId="77777777"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Strongly Agree</w:t>
            </w:r>
          </w:p>
        </w:tc>
        <w:tc>
          <w:tcPr>
            <w:tcW w:w="610" w:type="pct"/>
            <w:gridSpan w:val="2"/>
            <w:tcBorders>
              <w:bottom w:val="single" w:sz="4" w:space="0" w:color="auto"/>
            </w:tcBorders>
            <w:shd w:val="clear" w:color="auto" w:fill="auto"/>
            <w:vAlign w:val="center"/>
          </w:tcPr>
          <w:p w14:paraId="51DE1A98" w14:textId="77777777"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Agree</w:t>
            </w:r>
          </w:p>
        </w:tc>
        <w:tc>
          <w:tcPr>
            <w:tcW w:w="543" w:type="pct"/>
            <w:gridSpan w:val="2"/>
            <w:tcBorders>
              <w:bottom w:val="single" w:sz="4" w:space="0" w:color="auto"/>
            </w:tcBorders>
            <w:shd w:val="clear" w:color="auto" w:fill="auto"/>
            <w:vAlign w:val="center"/>
          </w:tcPr>
          <w:p w14:paraId="50AF2078" w14:textId="77777777"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Neutral</w:t>
            </w:r>
          </w:p>
        </w:tc>
        <w:tc>
          <w:tcPr>
            <w:tcW w:w="610" w:type="pct"/>
            <w:gridSpan w:val="2"/>
            <w:tcBorders>
              <w:bottom w:val="single" w:sz="4" w:space="0" w:color="auto"/>
            </w:tcBorders>
            <w:shd w:val="clear" w:color="auto" w:fill="auto"/>
            <w:vAlign w:val="center"/>
          </w:tcPr>
          <w:p w14:paraId="697D80F8" w14:textId="77777777"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Disagree</w:t>
            </w:r>
          </w:p>
        </w:tc>
        <w:tc>
          <w:tcPr>
            <w:tcW w:w="584" w:type="pct"/>
            <w:gridSpan w:val="2"/>
            <w:tcBorders>
              <w:bottom w:val="single" w:sz="4" w:space="0" w:color="auto"/>
            </w:tcBorders>
            <w:shd w:val="clear" w:color="auto" w:fill="auto"/>
            <w:vAlign w:val="center"/>
          </w:tcPr>
          <w:p w14:paraId="0EC9A115" w14:textId="77777777"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Strongly Disagree</w:t>
            </w:r>
          </w:p>
        </w:tc>
        <w:tc>
          <w:tcPr>
            <w:tcW w:w="414" w:type="pct"/>
            <w:vMerge w:val="restart"/>
            <w:shd w:val="clear" w:color="auto" w:fill="auto"/>
            <w:vAlign w:val="center"/>
          </w:tcPr>
          <w:p w14:paraId="68356730" w14:textId="77777777"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Mean</w:t>
            </w:r>
          </w:p>
        </w:tc>
        <w:tc>
          <w:tcPr>
            <w:tcW w:w="621" w:type="pct"/>
            <w:vMerge w:val="restart"/>
            <w:shd w:val="clear" w:color="auto" w:fill="auto"/>
            <w:vAlign w:val="center"/>
          </w:tcPr>
          <w:p w14:paraId="63C47DFE" w14:textId="77777777"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Standard</w:t>
            </w:r>
          </w:p>
          <w:p w14:paraId="04226626" w14:textId="77777777"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deviation</w:t>
            </w:r>
          </w:p>
        </w:tc>
      </w:tr>
      <w:tr w:rsidR="008C6A99" w:rsidRPr="00FA5CB3" w14:paraId="20CAC176" w14:textId="77777777" w:rsidTr="00E34B42">
        <w:trPr>
          <w:trHeight w:val="270"/>
        </w:trPr>
        <w:tc>
          <w:tcPr>
            <w:tcW w:w="942" w:type="pct"/>
            <w:vMerge/>
            <w:tcBorders>
              <w:bottom w:val="single" w:sz="4" w:space="0" w:color="auto"/>
            </w:tcBorders>
            <w:shd w:val="clear" w:color="auto" w:fill="auto"/>
            <w:vAlign w:val="center"/>
          </w:tcPr>
          <w:p w14:paraId="69A447DF" w14:textId="77777777"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sz w:val="24"/>
                <w:szCs w:val="24"/>
              </w:rPr>
            </w:pPr>
          </w:p>
        </w:tc>
        <w:tc>
          <w:tcPr>
            <w:tcW w:w="288" w:type="pct"/>
            <w:tcBorders>
              <w:top w:val="single" w:sz="4" w:space="0" w:color="auto"/>
              <w:bottom w:val="single" w:sz="4" w:space="0" w:color="auto"/>
            </w:tcBorders>
            <w:shd w:val="clear" w:color="auto" w:fill="auto"/>
            <w:vAlign w:val="center"/>
          </w:tcPr>
          <w:p w14:paraId="5E6616AB" w14:textId="77777777"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88" w:type="pct"/>
            <w:tcBorders>
              <w:top w:val="single" w:sz="4" w:space="0" w:color="auto"/>
              <w:bottom w:val="single" w:sz="4" w:space="0" w:color="auto"/>
            </w:tcBorders>
            <w:shd w:val="clear" w:color="auto" w:fill="auto"/>
            <w:vAlign w:val="center"/>
          </w:tcPr>
          <w:p w14:paraId="0D80841A" w14:textId="77777777"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22" w:type="pct"/>
            <w:tcBorders>
              <w:top w:val="single" w:sz="4" w:space="0" w:color="auto"/>
              <w:bottom w:val="single" w:sz="4" w:space="0" w:color="auto"/>
            </w:tcBorders>
            <w:shd w:val="clear" w:color="auto" w:fill="auto"/>
            <w:vAlign w:val="center"/>
          </w:tcPr>
          <w:p w14:paraId="16589517" w14:textId="77777777"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88" w:type="pct"/>
            <w:tcBorders>
              <w:top w:val="single" w:sz="4" w:space="0" w:color="auto"/>
              <w:bottom w:val="single" w:sz="4" w:space="0" w:color="auto"/>
            </w:tcBorders>
            <w:shd w:val="clear" w:color="auto" w:fill="auto"/>
            <w:vAlign w:val="center"/>
          </w:tcPr>
          <w:p w14:paraId="5F5C5D4F" w14:textId="77777777"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22" w:type="pct"/>
            <w:tcBorders>
              <w:top w:val="single" w:sz="4" w:space="0" w:color="auto"/>
              <w:bottom w:val="single" w:sz="4" w:space="0" w:color="auto"/>
            </w:tcBorders>
            <w:shd w:val="clear" w:color="auto" w:fill="auto"/>
            <w:vAlign w:val="center"/>
          </w:tcPr>
          <w:p w14:paraId="75748440" w14:textId="77777777"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21" w:type="pct"/>
            <w:tcBorders>
              <w:top w:val="single" w:sz="4" w:space="0" w:color="auto"/>
              <w:bottom w:val="single" w:sz="4" w:space="0" w:color="auto"/>
            </w:tcBorders>
            <w:shd w:val="clear" w:color="auto" w:fill="auto"/>
            <w:vAlign w:val="center"/>
          </w:tcPr>
          <w:p w14:paraId="12028250" w14:textId="77777777"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22" w:type="pct"/>
            <w:tcBorders>
              <w:top w:val="single" w:sz="4" w:space="0" w:color="auto"/>
              <w:bottom w:val="single" w:sz="4" w:space="0" w:color="auto"/>
            </w:tcBorders>
            <w:shd w:val="clear" w:color="auto" w:fill="auto"/>
            <w:vAlign w:val="center"/>
          </w:tcPr>
          <w:p w14:paraId="054E02AB" w14:textId="77777777"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88" w:type="pct"/>
            <w:tcBorders>
              <w:top w:val="single" w:sz="4" w:space="0" w:color="auto"/>
              <w:bottom w:val="single" w:sz="4" w:space="0" w:color="auto"/>
            </w:tcBorders>
            <w:shd w:val="clear" w:color="auto" w:fill="auto"/>
            <w:vAlign w:val="center"/>
          </w:tcPr>
          <w:p w14:paraId="1CC9182A" w14:textId="77777777"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39" w:type="pct"/>
            <w:tcBorders>
              <w:top w:val="single" w:sz="4" w:space="0" w:color="auto"/>
              <w:bottom w:val="single" w:sz="4" w:space="0" w:color="auto"/>
            </w:tcBorders>
            <w:shd w:val="clear" w:color="auto" w:fill="auto"/>
            <w:vAlign w:val="center"/>
          </w:tcPr>
          <w:p w14:paraId="69B0C604" w14:textId="77777777"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45" w:type="pct"/>
            <w:tcBorders>
              <w:top w:val="single" w:sz="4" w:space="0" w:color="auto"/>
              <w:bottom w:val="single" w:sz="4" w:space="0" w:color="auto"/>
            </w:tcBorders>
            <w:shd w:val="clear" w:color="auto" w:fill="auto"/>
            <w:vAlign w:val="center"/>
          </w:tcPr>
          <w:p w14:paraId="3DA98196" w14:textId="77777777"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414" w:type="pct"/>
            <w:vMerge/>
            <w:tcBorders>
              <w:bottom w:val="single" w:sz="4" w:space="0" w:color="auto"/>
            </w:tcBorders>
            <w:shd w:val="clear" w:color="auto" w:fill="auto"/>
            <w:vAlign w:val="center"/>
          </w:tcPr>
          <w:p w14:paraId="2ADD342E" w14:textId="77777777"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sz w:val="24"/>
                <w:szCs w:val="24"/>
              </w:rPr>
            </w:pPr>
          </w:p>
        </w:tc>
        <w:tc>
          <w:tcPr>
            <w:tcW w:w="621" w:type="pct"/>
            <w:vMerge/>
            <w:tcBorders>
              <w:bottom w:val="single" w:sz="4" w:space="0" w:color="auto"/>
            </w:tcBorders>
            <w:shd w:val="clear" w:color="auto" w:fill="auto"/>
            <w:vAlign w:val="center"/>
          </w:tcPr>
          <w:p w14:paraId="032796A4" w14:textId="77777777"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sz w:val="24"/>
                <w:szCs w:val="24"/>
              </w:rPr>
            </w:pPr>
          </w:p>
        </w:tc>
      </w:tr>
      <w:tr w:rsidR="008C6A99" w:rsidRPr="00FA5CB3" w14:paraId="43073138" w14:textId="77777777" w:rsidTr="00E34B42">
        <w:trPr>
          <w:trHeight w:val="626"/>
        </w:trPr>
        <w:tc>
          <w:tcPr>
            <w:tcW w:w="942" w:type="pct"/>
            <w:tcBorders>
              <w:top w:val="nil"/>
            </w:tcBorders>
            <w:shd w:val="clear" w:color="auto" w:fill="auto"/>
            <w:vAlign w:val="center"/>
          </w:tcPr>
          <w:p w14:paraId="1D6C81F8" w14:textId="2D293743"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sz w:val="24"/>
                <w:szCs w:val="24"/>
              </w:rPr>
            </w:pPr>
            <w:r w:rsidRPr="00C37E26">
              <w:rPr>
                <w:rFonts w:ascii="Times New Roman" w:eastAsia="Times New Roman" w:hAnsi="Times New Roman" w:cs="Times New Roman"/>
              </w:rPr>
              <w:t>The Cash Ratio is maintained at a healthy level.</w:t>
            </w:r>
          </w:p>
        </w:tc>
        <w:tc>
          <w:tcPr>
            <w:tcW w:w="288" w:type="pct"/>
            <w:tcBorders>
              <w:top w:val="nil"/>
            </w:tcBorders>
            <w:shd w:val="clear" w:color="auto" w:fill="auto"/>
            <w:vAlign w:val="center"/>
          </w:tcPr>
          <w:p w14:paraId="66C2D71D" w14:textId="3EC20808" w:rsidR="008C6A99" w:rsidRPr="00FA5CB3" w:rsidRDefault="00A87FB2" w:rsidP="00F501F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53</w:t>
            </w:r>
          </w:p>
        </w:tc>
        <w:tc>
          <w:tcPr>
            <w:tcW w:w="388" w:type="pct"/>
            <w:tcBorders>
              <w:top w:val="nil"/>
            </w:tcBorders>
            <w:shd w:val="clear" w:color="auto" w:fill="auto"/>
            <w:vAlign w:val="center"/>
          </w:tcPr>
          <w:p w14:paraId="5BC37370" w14:textId="728221B8" w:rsidR="008C6A99" w:rsidRPr="00FA5CB3" w:rsidRDefault="00A87FB2" w:rsidP="00F501F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94.64</w:t>
            </w:r>
          </w:p>
        </w:tc>
        <w:tc>
          <w:tcPr>
            <w:tcW w:w="222" w:type="pct"/>
            <w:tcBorders>
              <w:top w:val="nil"/>
            </w:tcBorders>
            <w:shd w:val="clear" w:color="auto" w:fill="auto"/>
            <w:vAlign w:val="center"/>
          </w:tcPr>
          <w:p w14:paraId="74306BD9" w14:textId="643BF997" w:rsidR="008C6A99" w:rsidRPr="00FA5CB3" w:rsidRDefault="00A87FB2" w:rsidP="00F501F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388" w:type="pct"/>
            <w:tcBorders>
              <w:top w:val="nil"/>
            </w:tcBorders>
            <w:shd w:val="clear" w:color="auto" w:fill="auto"/>
            <w:vAlign w:val="center"/>
          </w:tcPr>
          <w:p w14:paraId="00A64DB6" w14:textId="3C0F537F" w:rsidR="008C6A99" w:rsidRPr="00FA5CB3" w:rsidRDefault="00A87FB2" w:rsidP="00F501F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3.57</w:t>
            </w:r>
          </w:p>
        </w:tc>
        <w:tc>
          <w:tcPr>
            <w:tcW w:w="222" w:type="pct"/>
            <w:tcBorders>
              <w:top w:val="nil"/>
            </w:tcBorders>
            <w:shd w:val="clear" w:color="auto" w:fill="auto"/>
            <w:vAlign w:val="center"/>
          </w:tcPr>
          <w:p w14:paraId="06FFE58F" w14:textId="0CDEE7F1" w:rsidR="008C6A99" w:rsidRPr="00FA5CB3" w:rsidRDefault="00A87FB2" w:rsidP="00F501F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321" w:type="pct"/>
            <w:tcBorders>
              <w:top w:val="nil"/>
            </w:tcBorders>
            <w:shd w:val="clear" w:color="auto" w:fill="auto"/>
            <w:vAlign w:val="center"/>
          </w:tcPr>
          <w:p w14:paraId="22165966" w14:textId="1041377C" w:rsidR="008C6A99" w:rsidRPr="00FA5CB3" w:rsidRDefault="00A87FB2" w:rsidP="00F501F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1.78</w:t>
            </w:r>
          </w:p>
        </w:tc>
        <w:tc>
          <w:tcPr>
            <w:tcW w:w="222" w:type="pct"/>
            <w:tcBorders>
              <w:top w:val="nil"/>
            </w:tcBorders>
            <w:shd w:val="clear" w:color="auto" w:fill="auto"/>
            <w:vAlign w:val="center"/>
          </w:tcPr>
          <w:p w14:paraId="4E7050BE" w14:textId="77777777"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88" w:type="pct"/>
            <w:tcBorders>
              <w:top w:val="nil"/>
            </w:tcBorders>
            <w:shd w:val="clear" w:color="auto" w:fill="auto"/>
            <w:vAlign w:val="center"/>
          </w:tcPr>
          <w:p w14:paraId="45D67170" w14:textId="77777777"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0.0</w:t>
            </w:r>
          </w:p>
        </w:tc>
        <w:tc>
          <w:tcPr>
            <w:tcW w:w="239" w:type="pct"/>
            <w:tcBorders>
              <w:top w:val="nil"/>
            </w:tcBorders>
            <w:shd w:val="clear" w:color="auto" w:fill="auto"/>
            <w:vAlign w:val="center"/>
          </w:tcPr>
          <w:p w14:paraId="4ECAA0C4" w14:textId="77777777"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45" w:type="pct"/>
            <w:tcBorders>
              <w:top w:val="nil"/>
            </w:tcBorders>
            <w:shd w:val="clear" w:color="auto" w:fill="auto"/>
            <w:vAlign w:val="center"/>
          </w:tcPr>
          <w:p w14:paraId="4E865931" w14:textId="77777777"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414" w:type="pct"/>
            <w:tcBorders>
              <w:top w:val="nil"/>
            </w:tcBorders>
            <w:shd w:val="clear" w:color="auto" w:fill="auto"/>
            <w:vAlign w:val="center"/>
          </w:tcPr>
          <w:p w14:paraId="13188C6A" w14:textId="766C4B02"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w:t>
            </w:r>
            <w:r w:rsidR="00A87FB2">
              <w:rPr>
                <w:rFonts w:asciiTheme="majorBidi" w:eastAsia="Times New Roman" w:hAnsiTheme="majorBidi" w:cstheme="majorBidi"/>
                <w:sz w:val="24"/>
                <w:szCs w:val="24"/>
              </w:rPr>
              <w:t>93</w:t>
            </w:r>
          </w:p>
        </w:tc>
        <w:tc>
          <w:tcPr>
            <w:tcW w:w="621" w:type="pct"/>
            <w:tcBorders>
              <w:top w:val="nil"/>
            </w:tcBorders>
            <w:shd w:val="clear" w:color="auto" w:fill="auto"/>
            <w:vAlign w:val="center"/>
          </w:tcPr>
          <w:p w14:paraId="2FCF694B" w14:textId="70B6130D"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w:t>
            </w:r>
            <w:r w:rsidR="00A87FB2">
              <w:rPr>
                <w:rFonts w:asciiTheme="majorBidi" w:eastAsia="Times New Roman" w:hAnsiTheme="majorBidi" w:cstheme="majorBidi"/>
                <w:sz w:val="24"/>
                <w:szCs w:val="24"/>
              </w:rPr>
              <w:t>32</w:t>
            </w:r>
          </w:p>
        </w:tc>
      </w:tr>
      <w:tr w:rsidR="008C6A99" w:rsidRPr="00FA5CB3" w14:paraId="3D20DA86" w14:textId="77777777" w:rsidTr="00E34B42">
        <w:trPr>
          <w:trHeight w:val="500"/>
        </w:trPr>
        <w:tc>
          <w:tcPr>
            <w:tcW w:w="942" w:type="pct"/>
            <w:shd w:val="clear" w:color="auto" w:fill="auto"/>
            <w:vAlign w:val="center"/>
          </w:tcPr>
          <w:p w14:paraId="05F81C6C" w14:textId="3F3A52AD"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sz w:val="24"/>
                <w:szCs w:val="24"/>
              </w:rPr>
            </w:pPr>
            <w:r w:rsidRPr="00C37E26">
              <w:rPr>
                <w:rFonts w:ascii="Times New Roman" w:eastAsia="Times New Roman" w:hAnsi="Times New Roman" w:cs="Times New Roman"/>
              </w:rPr>
              <w:t xml:space="preserve">The bank ensures sufficient cash reserves to manage financial </w:t>
            </w:r>
            <w:r w:rsidRPr="00C37E26">
              <w:rPr>
                <w:rFonts w:ascii="Times New Roman" w:eastAsia="Times New Roman" w:hAnsi="Times New Roman" w:cs="Times New Roman"/>
              </w:rPr>
              <w:lastRenderedPageBreak/>
              <w:t>obligations.</w:t>
            </w:r>
          </w:p>
        </w:tc>
        <w:tc>
          <w:tcPr>
            <w:tcW w:w="288" w:type="pct"/>
            <w:shd w:val="clear" w:color="auto" w:fill="auto"/>
            <w:vAlign w:val="center"/>
          </w:tcPr>
          <w:p w14:paraId="1A66FE01" w14:textId="7086A66B"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lastRenderedPageBreak/>
              <w:t>5</w:t>
            </w:r>
            <w:r w:rsidR="00B61B06">
              <w:rPr>
                <w:rFonts w:asciiTheme="majorBidi" w:eastAsia="Times New Roman" w:hAnsiTheme="majorBidi" w:cstheme="majorBidi"/>
                <w:sz w:val="24"/>
                <w:szCs w:val="24"/>
              </w:rPr>
              <w:t>2</w:t>
            </w:r>
          </w:p>
        </w:tc>
        <w:tc>
          <w:tcPr>
            <w:tcW w:w="388" w:type="pct"/>
            <w:shd w:val="clear" w:color="auto" w:fill="auto"/>
            <w:vAlign w:val="center"/>
          </w:tcPr>
          <w:p w14:paraId="7C2B2AA0" w14:textId="78D7F049"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9</w:t>
            </w:r>
            <w:r w:rsidR="00B61B06">
              <w:rPr>
                <w:rFonts w:asciiTheme="majorBidi" w:eastAsia="Times New Roman" w:hAnsiTheme="majorBidi" w:cstheme="majorBidi"/>
                <w:sz w:val="24"/>
                <w:szCs w:val="24"/>
              </w:rPr>
              <w:t>2.85</w:t>
            </w:r>
          </w:p>
        </w:tc>
        <w:tc>
          <w:tcPr>
            <w:tcW w:w="222" w:type="pct"/>
            <w:shd w:val="clear" w:color="auto" w:fill="auto"/>
            <w:vAlign w:val="center"/>
          </w:tcPr>
          <w:p w14:paraId="1F0F3A28" w14:textId="167F1C61" w:rsidR="008C6A99" w:rsidRPr="00FA5CB3" w:rsidRDefault="00B61B06" w:rsidP="00F501F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388" w:type="pct"/>
            <w:shd w:val="clear" w:color="auto" w:fill="auto"/>
            <w:vAlign w:val="center"/>
          </w:tcPr>
          <w:p w14:paraId="2636D817" w14:textId="052E4060" w:rsidR="008C6A99" w:rsidRPr="00FA5CB3" w:rsidRDefault="00B61B06" w:rsidP="00F501F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5.35</w:t>
            </w:r>
          </w:p>
        </w:tc>
        <w:tc>
          <w:tcPr>
            <w:tcW w:w="222" w:type="pct"/>
            <w:shd w:val="clear" w:color="auto" w:fill="auto"/>
            <w:vAlign w:val="center"/>
          </w:tcPr>
          <w:p w14:paraId="210CAFBE" w14:textId="26BA675D" w:rsidR="008C6A99" w:rsidRPr="00FA5CB3" w:rsidRDefault="00B61B06" w:rsidP="00F501F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321" w:type="pct"/>
            <w:shd w:val="clear" w:color="auto" w:fill="auto"/>
            <w:vAlign w:val="center"/>
          </w:tcPr>
          <w:p w14:paraId="7EBEC723" w14:textId="4F7FFB90" w:rsidR="008C6A99" w:rsidRPr="00FA5CB3" w:rsidRDefault="00B61B06" w:rsidP="00F501F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1.78</w:t>
            </w:r>
          </w:p>
        </w:tc>
        <w:tc>
          <w:tcPr>
            <w:tcW w:w="222" w:type="pct"/>
            <w:shd w:val="clear" w:color="auto" w:fill="auto"/>
            <w:vAlign w:val="center"/>
          </w:tcPr>
          <w:p w14:paraId="77EA95FA" w14:textId="77777777"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88" w:type="pct"/>
            <w:shd w:val="clear" w:color="auto" w:fill="auto"/>
            <w:vAlign w:val="center"/>
          </w:tcPr>
          <w:p w14:paraId="7D889938" w14:textId="77777777"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0.0</w:t>
            </w:r>
          </w:p>
        </w:tc>
        <w:tc>
          <w:tcPr>
            <w:tcW w:w="239" w:type="pct"/>
            <w:shd w:val="clear" w:color="auto" w:fill="auto"/>
            <w:vAlign w:val="center"/>
          </w:tcPr>
          <w:p w14:paraId="7C6AEDDB" w14:textId="77777777"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45" w:type="pct"/>
            <w:shd w:val="clear" w:color="auto" w:fill="auto"/>
            <w:vAlign w:val="center"/>
          </w:tcPr>
          <w:p w14:paraId="2D33D5C8" w14:textId="77777777"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414" w:type="pct"/>
            <w:shd w:val="clear" w:color="auto" w:fill="auto"/>
            <w:vAlign w:val="center"/>
          </w:tcPr>
          <w:p w14:paraId="389D30CC" w14:textId="2DDDCBFC"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w:t>
            </w:r>
            <w:r w:rsidR="00B61B06">
              <w:rPr>
                <w:rFonts w:asciiTheme="majorBidi" w:eastAsia="Times New Roman" w:hAnsiTheme="majorBidi" w:cstheme="majorBidi"/>
                <w:sz w:val="24"/>
                <w:szCs w:val="24"/>
              </w:rPr>
              <w:t>91</w:t>
            </w:r>
          </w:p>
        </w:tc>
        <w:tc>
          <w:tcPr>
            <w:tcW w:w="621" w:type="pct"/>
            <w:shd w:val="clear" w:color="auto" w:fill="auto"/>
            <w:vAlign w:val="center"/>
          </w:tcPr>
          <w:p w14:paraId="0165E578" w14:textId="0DF1E534" w:rsidR="008C6A99" w:rsidRPr="00FA5CB3" w:rsidRDefault="008C6A99" w:rsidP="00F501F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w:t>
            </w:r>
            <w:r w:rsidR="00B61B06">
              <w:rPr>
                <w:rFonts w:asciiTheme="majorBidi" w:eastAsia="Times New Roman" w:hAnsiTheme="majorBidi" w:cstheme="majorBidi"/>
                <w:sz w:val="24"/>
                <w:szCs w:val="24"/>
              </w:rPr>
              <w:t>34</w:t>
            </w:r>
          </w:p>
        </w:tc>
      </w:tr>
    </w:tbl>
    <w:p w14:paraId="18F3734A" w14:textId="77777777" w:rsidR="0007021C" w:rsidRDefault="008C6A99" w:rsidP="008C6A99">
      <w:pPr>
        <w:shd w:val="clear" w:color="auto" w:fill="FFFFFF" w:themeFill="background1"/>
        <w:spacing w:after="240" w:line="360" w:lineRule="auto"/>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lastRenderedPageBreak/>
        <w:t>Source: Primary Data (2025</w:t>
      </w:r>
      <w:r w:rsidRPr="00FA5CB3">
        <w:rPr>
          <w:rFonts w:asciiTheme="majorBidi" w:eastAsia="Times New Roman" w:hAnsiTheme="majorBidi" w:cstheme="majorBidi"/>
          <w:b/>
          <w:bCs/>
          <w:sz w:val="24"/>
          <w:szCs w:val="24"/>
        </w:rPr>
        <w:t xml:space="preserve">) </w:t>
      </w:r>
    </w:p>
    <w:p w14:paraId="28560639" w14:textId="502F2406" w:rsidR="0007021C" w:rsidRPr="0007021C" w:rsidRDefault="008C6A99" w:rsidP="0007021C">
      <w:pPr>
        <w:shd w:val="clear" w:color="auto" w:fill="FFFFFF" w:themeFill="background1"/>
        <w:spacing w:after="240" w:line="360" w:lineRule="auto"/>
        <w:jc w:val="both"/>
        <w:rPr>
          <w:rFonts w:asciiTheme="majorBidi" w:eastAsia="Times New Roman" w:hAnsiTheme="majorBidi" w:cstheme="majorBidi"/>
          <w:sz w:val="24"/>
          <w:szCs w:val="24"/>
          <w:lang w:val="en-GB"/>
        </w:rPr>
      </w:pPr>
      <w:r w:rsidRPr="00FA5CB3">
        <w:rPr>
          <w:rFonts w:asciiTheme="majorBidi" w:eastAsia="Times New Roman" w:hAnsiTheme="majorBidi" w:cstheme="majorBidi"/>
          <w:sz w:val="24"/>
          <w:szCs w:val="24"/>
        </w:rPr>
        <w:t xml:space="preserve"> </w:t>
      </w:r>
      <w:r w:rsidR="0007021C" w:rsidRPr="0007021C">
        <w:rPr>
          <w:rFonts w:asciiTheme="majorBidi" w:eastAsia="Times New Roman" w:hAnsiTheme="majorBidi" w:cstheme="majorBidi"/>
          <w:sz w:val="24"/>
          <w:szCs w:val="24"/>
          <w:lang w:val="en-GB"/>
        </w:rPr>
        <w:t>Table 4.12 provides insights into the perceptions of employees from six departments (Credit and Risk Management, Finance and Management, Loan, Accounting, Recovery, and Strategic and Planning) regarding the cash ratio of GT Bank Plc from 2019 to 2023. The table presents the responses to two statements concerning the bank’s ability to maintain a healthy cash ratio and ensure adequate cash reserves. These responses are broken down into frequencies (N) and percentages (%) for each category, along with the corresponding mean and standard deviation for each statement. This analysis helps to evaluate how well employees perceive the bank's liquidity management and its capacity to meet financial ob</w:t>
      </w:r>
      <w:r w:rsidR="00F501F1">
        <w:rPr>
          <w:rFonts w:asciiTheme="majorBidi" w:eastAsia="Times New Roman" w:hAnsiTheme="majorBidi" w:cstheme="majorBidi"/>
          <w:sz w:val="24"/>
          <w:szCs w:val="24"/>
          <w:lang w:val="en-GB"/>
        </w:rPr>
        <w:t xml:space="preserve">ligations. </w:t>
      </w:r>
      <w:r w:rsidR="0007021C" w:rsidRPr="0007021C">
        <w:rPr>
          <w:rFonts w:asciiTheme="majorBidi" w:eastAsia="Times New Roman" w:hAnsiTheme="majorBidi" w:cstheme="majorBidi"/>
          <w:sz w:val="24"/>
          <w:szCs w:val="24"/>
          <w:lang w:val="en-GB"/>
        </w:rPr>
        <w:t>The first statement, "The Cash Ratio is maintained at a healthy level," received a high mean score of 4.93 with a standard deviation of 0.32. A significant majority of respondents (94.64%) strongly agree, while 3.57% agree, and 1.78% are neutral. There were no respondents who disagreed or strongly disagreed with this statement. The high mean score indicates that employees overwhelmingly perceive the bank’s cash ratio as being effectively maintained at a healthy level. The relatively low standard deviation of 0.32 suggests that there is a strong consensus among employees across departments regarding the adequacy of the bank's cash reserves. These findings align with the views of Kapoor (2020), who stresses that a healthy cash ratio is essential for ensuring a bank's liquidity and financial stability, particularly in times of economic unc</w:t>
      </w:r>
      <w:r w:rsidR="00F501F1">
        <w:rPr>
          <w:rFonts w:asciiTheme="majorBidi" w:eastAsia="Times New Roman" w:hAnsiTheme="majorBidi" w:cstheme="majorBidi"/>
          <w:sz w:val="24"/>
          <w:szCs w:val="24"/>
          <w:lang w:val="en-GB"/>
        </w:rPr>
        <w:t xml:space="preserve">ertainty or financial distress. </w:t>
      </w:r>
      <w:r w:rsidR="0007021C" w:rsidRPr="0007021C">
        <w:rPr>
          <w:rFonts w:asciiTheme="majorBidi" w:eastAsia="Times New Roman" w:hAnsiTheme="majorBidi" w:cstheme="majorBidi"/>
          <w:sz w:val="24"/>
          <w:szCs w:val="24"/>
          <w:lang w:val="en-GB"/>
        </w:rPr>
        <w:t>The second statement, "The bank ensures sufficient cash reserves to manage financial obligations," also reflects a positive perception, with a mean score of 4.91 and a standard deviation of 0.34. A total of 92.85% of employees strongly agree with the statement, while 5.35% agree, and 1.78% remain neutral. No employees disagreed or strongly disagreed with this statement. These findings suggest that employees strongly believe that the bank effectively manages its cash reserves to meet its financial obligations. The high mean score coupled with the low standard deviation indicates a high level of agreement among employees, further reinforcing the perception that the bank’s liquidity management practices are robust. According to Gupta (2018), ensuring sufficient cash reserves is critical for a bank's ability to meet short-term financial obligations, and the bank's strong performance in this area is indicative of sound financial management practices.</w:t>
      </w:r>
    </w:p>
    <w:p w14:paraId="306C2DC9" w14:textId="2F3C37BE" w:rsidR="008C6A99" w:rsidRPr="00913121" w:rsidRDefault="0007021C" w:rsidP="008C6A99">
      <w:pPr>
        <w:shd w:val="clear" w:color="auto" w:fill="FFFFFF" w:themeFill="background1"/>
        <w:spacing w:after="240" w:line="360" w:lineRule="auto"/>
        <w:jc w:val="both"/>
        <w:rPr>
          <w:rFonts w:asciiTheme="majorBidi" w:eastAsia="Times New Roman" w:hAnsiTheme="majorBidi" w:cstheme="majorBidi"/>
          <w:sz w:val="24"/>
          <w:szCs w:val="24"/>
          <w:lang w:val="en-GB"/>
        </w:rPr>
      </w:pPr>
      <w:r w:rsidRPr="0007021C">
        <w:rPr>
          <w:rFonts w:asciiTheme="majorBidi" w:eastAsia="Times New Roman" w:hAnsiTheme="majorBidi" w:cstheme="majorBidi"/>
          <w:sz w:val="24"/>
          <w:szCs w:val="24"/>
          <w:lang w:val="en-GB"/>
        </w:rPr>
        <w:lastRenderedPageBreak/>
        <w:t xml:space="preserve">In summary, the findings from Table 4.12 indicate that employees at GT Bank Plc view </w:t>
      </w:r>
      <w:r w:rsidR="000F58A6">
        <w:rPr>
          <w:rFonts w:asciiTheme="majorBidi" w:eastAsia="Times New Roman" w:hAnsiTheme="majorBidi" w:cstheme="majorBidi"/>
          <w:sz w:val="24"/>
          <w:szCs w:val="24"/>
          <w:lang w:val="en-GB"/>
        </w:rPr>
        <w:t xml:space="preserve">the bank's liquidity management </w:t>
      </w:r>
      <w:r w:rsidRPr="0007021C">
        <w:rPr>
          <w:rFonts w:asciiTheme="majorBidi" w:eastAsia="Times New Roman" w:hAnsiTheme="majorBidi" w:cstheme="majorBidi"/>
          <w:sz w:val="24"/>
          <w:szCs w:val="24"/>
          <w:lang w:val="en-GB"/>
        </w:rPr>
        <w:t>specifically t</w:t>
      </w:r>
      <w:r w:rsidR="000F58A6">
        <w:rPr>
          <w:rFonts w:asciiTheme="majorBidi" w:eastAsia="Times New Roman" w:hAnsiTheme="majorBidi" w:cstheme="majorBidi"/>
          <w:sz w:val="24"/>
          <w:szCs w:val="24"/>
          <w:lang w:val="en-GB"/>
        </w:rPr>
        <w:t xml:space="preserve">he cash ratio and cash reserves </w:t>
      </w:r>
      <w:r w:rsidRPr="0007021C">
        <w:rPr>
          <w:rFonts w:asciiTheme="majorBidi" w:eastAsia="Times New Roman" w:hAnsiTheme="majorBidi" w:cstheme="majorBidi"/>
          <w:sz w:val="24"/>
          <w:szCs w:val="24"/>
          <w:lang w:val="en-GB"/>
        </w:rPr>
        <w:t>as highly effective. Both statements received high mean scores, with the majority of employees strongly agreeing that the bank maintains a healthy cash ratio and ensures sufficient cash reserves. The low standard deviations further suggest that these views are shared consistently across various departments. This strong perception of effective liquidity management is important for the bank’s financial stability, as it ensures the bank can meet its obligations without compromising its operational efficiency. These results highlight the bank’s solid approach to managing liquidity, which is essential for maintaining stability and growth in a com</w:t>
      </w:r>
      <w:r w:rsidR="00913121">
        <w:rPr>
          <w:rFonts w:asciiTheme="majorBidi" w:eastAsia="Times New Roman" w:hAnsiTheme="majorBidi" w:cstheme="majorBidi"/>
          <w:sz w:val="24"/>
          <w:szCs w:val="24"/>
          <w:lang w:val="en-GB"/>
        </w:rPr>
        <w:t>petitive financial environment.</w:t>
      </w:r>
    </w:p>
    <w:p w14:paraId="5A1ED4FC" w14:textId="4830D604" w:rsidR="0039378B" w:rsidRDefault="0039378B" w:rsidP="0039378B">
      <w:pPr>
        <w:shd w:val="clear" w:color="auto" w:fill="FFFFFF" w:themeFill="background1"/>
        <w:spacing w:after="240" w:line="360" w:lineRule="auto"/>
        <w:jc w:val="both"/>
        <w:rPr>
          <w:rFonts w:ascii="Times New Roman" w:hAnsi="Times New Roman" w:cs="Times New Roman"/>
          <w:b/>
        </w:rPr>
      </w:pPr>
      <w:r w:rsidRPr="00FA5CB3">
        <w:rPr>
          <w:rFonts w:asciiTheme="majorBidi" w:eastAsia="Times New Roman" w:hAnsiTheme="majorBidi" w:cstheme="majorBidi"/>
          <w:b/>
          <w:bCs/>
          <w:iCs/>
          <w:sz w:val="24"/>
          <w:szCs w:val="24"/>
        </w:rPr>
        <w:t>Table 4.</w:t>
      </w:r>
      <w:r>
        <w:rPr>
          <w:rFonts w:asciiTheme="majorBidi" w:eastAsia="Times New Roman" w:hAnsiTheme="majorBidi" w:cstheme="majorBidi"/>
          <w:b/>
          <w:bCs/>
          <w:iCs/>
          <w:sz w:val="24"/>
          <w:szCs w:val="24"/>
        </w:rPr>
        <w:t>1</w:t>
      </w:r>
      <w:r w:rsidR="00A617F4">
        <w:rPr>
          <w:rFonts w:asciiTheme="majorBidi" w:eastAsia="Times New Roman" w:hAnsiTheme="majorBidi" w:cstheme="majorBidi"/>
          <w:b/>
          <w:bCs/>
          <w:iCs/>
          <w:sz w:val="24"/>
          <w:szCs w:val="24"/>
        </w:rPr>
        <w:t>3</w:t>
      </w:r>
      <w:r w:rsidRPr="00FA5CB3">
        <w:rPr>
          <w:rFonts w:asciiTheme="majorBidi" w:eastAsia="Times New Roman" w:hAnsiTheme="majorBidi" w:cstheme="majorBidi"/>
          <w:b/>
          <w:bCs/>
          <w:iCs/>
          <w:sz w:val="24"/>
          <w:szCs w:val="24"/>
        </w:rPr>
        <w:t xml:space="preserve">: </w:t>
      </w:r>
      <w:r w:rsidRPr="006161EE">
        <w:rPr>
          <w:rFonts w:asciiTheme="majorBidi" w:eastAsia="Times New Roman" w:hAnsiTheme="majorBidi" w:cstheme="majorBidi"/>
          <w:b/>
          <w:bCs/>
          <w:sz w:val="24"/>
          <w:szCs w:val="24"/>
          <w:lang w:val="fr-FR"/>
        </w:rPr>
        <w:t xml:space="preserve">GT Bank employées </w:t>
      </w:r>
      <w:proofErr w:type="spellStart"/>
      <w:r w:rsidRPr="006161EE">
        <w:rPr>
          <w:rFonts w:asciiTheme="majorBidi" w:eastAsia="Times New Roman" w:hAnsiTheme="majorBidi" w:cstheme="majorBidi"/>
          <w:b/>
          <w:bCs/>
          <w:sz w:val="24"/>
          <w:szCs w:val="24"/>
          <w:lang w:val="fr-FR"/>
        </w:rPr>
        <w:t>from</w:t>
      </w:r>
      <w:proofErr w:type="spellEnd"/>
      <w:r w:rsidRPr="006161EE">
        <w:rPr>
          <w:rFonts w:asciiTheme="majorBidi" w:eastAsia="Times New Roman" w:hAnsiTheme="majorBidi" w:cstheme="majorBidi"/>
          <w:b/>
          <w:bCs/>
          <w:sz w:val="24"/>
          <w:szCs w:val="24"/>
          <w:lang w:val="fr-FR"/>
        </w:rPr>
        <w:t xml:space="preserve"> 6 </w:t>
      </w:r>
      <w:proofErr w:type="spellStart"/>
      <w:r w:rsidRPr="006161EE">
        <w:rPr>
          <w:rFonts w:asciiTheme="majorBidi" w:eastAsia="Times New Roman" w:hAnsiTheme="majorBidi" w:cstheme="majorBidi"/>
          <w:b/>
          <w:bCs/>
          <w:sz w:val="24"/>
          <w:szCs w:val="24"/>
          <w:lang w:val="fr-FR"/>
        </w:rPr>
        <w:t>departments</w:t>
      </w:r>
      <w:proofErr w:type="spellEnd"/>
      <w:r w:rsidRPr="006161EE">
        <w:rPr>
          <w:rFonts w:asciiTheme="majorBidi" w:eastAsia="Times New Roman" w:hAnsiTheme="majorBidi" w:cstheme="majorBidi"/>
          <w:b/>
          <w:bCs/>
          <w:sz w:val="24"/>
          <w:szCs w:val="24"/>
          <w:lang w:val="fr-FR"/>
        </w:rPr>
        <w:t xml:space="preserve"> </w:t>
      </w:r>
      <w:r>
        <w:rPr>
          <w:rFonts w:asciiTheme="majorBidi" w:eastAsia="Times New Roman" w:hAnsiTheme="majorBidi" w:cstheme="majorBidi"/>
          <w:b/>
          <w:bCs/>
          <w:sz w:val="24"/>
          <w:szCs w:val="24"/>
          <w:lang w:val="fr-FR"/>
        </w:rPr>
        <w:t xml:space="preserve">perception </w:t>
      </w:r>
      <w:r w:rsidRPr="006161EE">
        <w:rPr>
          <w:rFonts w:asciiTheme="majorBidi" w:eastAsia="Times New Roman" w:hAnsiTheme="majorBidi" w:cstheme="majorBidi"/>
          <w:b/>
          <w:bCs/>
          <w:sz w:val="24"/>
          <w:szCs w:val="24"/>
        </w:rPr>
        <w:t xml:space="preserve">on </w:t>
      </w:r>
      <w:r w:rsidRPr="008C6A99">
        <w:rPr>
          <w:rFonts w:asciiTheme="majorBidi" w:eastAsia="Times New Roman" w:hAnsiTheme="majorBidi" w:cstheme="majorBidi"/>
          <w:b/>
          <w:sz w:val="24"/>
          <w:szCs w:val="24"/>
        </w:rPr>
        <w:t xml:space="preserve">analyze the financial performance   of </w:t>
      </w:r>
      <w:r w:rsidRPr="008C6A99">
        <w:rPr>
          <w:rFonts w:asciiTheme="majorBidi" w:hAnsiTheme="majorBidi" w:cstheme="majorBidi"/>
          <w:b/>
          <w:sz w:val="24"/>
          <w:szCs w:val="24"/>
        </w:rPr>
        <w:t xml:space="preserve">GT Bank Plc from 2019-2023 </w:t>
      </w:r>
      <w:r w:rsidRPr="008C6A99">
        <w:rPr>
          <w:rFonts w:asciiTheme="majorBidi" w:eastAsia="Times New Roman" w:hAnsiTheme="majorBidi" w:cstheme="majorBidi"/>
          <w:b/>
          <w:bCs/>
          <w:sz w:val="24"/>
          <w:szCs w:val="24"/>
        </w:rPr>
        <w:t xml:space="preserve">for </w:t>
      </w:r>
      <w:r w:rsidR="00A617F4" w:rsidRPr="00C37E26">
        <w:rPr>
          <w:rFonts w:ascii="Times New Roman" w:eastAsia="Times New Roman" w:hAnsi="Times New Roman" w:cs="Times New Roman"/>
          <w:b/>
          <w:bCs/>
        </w:rPr>
        <w:t>Liquidity to Assets Ratio</w:t>
      </w:r>
    </w:p>
    <w:tbl>
      <w:tblPr>
        <w:tblpPr w:leftFromText="187" w:rightFromText="187" w:vertAnchor="text" w:horzAnchor="margin" w:tblpY="1"/>
        <w:tblOverlap w:val="never"/>
        <w:tblW w:w="5000" w:type="pct"/>
        <w:tblBorders>
          <w:top w:val="single" w:sz="4" w:space="0" w:color="auto"/>
          <w:bottom w:val="single" w:sz="4" w:space="0" w:color="auto"/>
        </w:tblBorders>
        <w:tblCellMar>
          <w:top w:w="12" w:type="dxa"/>
          <w:left w:w="0" w:type="dxa"/>
          <w:right w:w="160" w:type="dxa"/>
        </w:tblCellMar>
        <w:tblLook w:val="04A0" w:firstRow="1" w:lastRow="0" w:firstColumn="1" w:lastColumn="0" w:noHBand="0" w:noVBand="1"/>
      </w:tblPr>
      <w:tblGrid>
        <w:gridCol w:w="1730"/>
        <w:gridCol w:w="528"/>
        <w:gridCol w:w="713"/>
        <w:gridCol w:w="408"/>
        <w:gridCol w:w="713"/>
        <w:gridCol w:w="408"/>
        <w:gridCol w:w="590"/>
        <w:gridCol w:w="408"/>
        <w:gridCol w:w="713"/>
        <w:gridCol w:w="439"/>
        <w:gridCol w:w="634"/>
        <w:gridCol w:w="761"/>
        <w:gridCol w:w="1141"/>
      </w:tblGrid>
      <w:tr w:rsidR="0039378B" w:rsidRPr="00FA5CB3" w14:paraId="51F0BD67" w14:textId="77777777" w:rsidTr="00E34B42">
        <w:trPr>
          <w:trHeight w:val="645"/>
        </w:trPr>
        <w:tc>
          <w:tcPr>
            <w:tcW w:w="942" w:type="pct"/>
            <w:vMerge w:val="restart"/>
            <w:shd w:val="clear" w:color="auto" w:fill="auto"/>
            <w:vAlign w:val="center"/>
          </w:tcPr>
          <w:p w14:paraId="6BDD9DB6" w14:textId="77777777" w:rsidR="0039378B" w:rsidRPr="00FA5CB3" w:rsidRDefault="0039378B" w:rsidP="00562F84">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Statements</w:t>
            </w:r>
          </w:p>
        </w:tc>
        <w:tc>
          <w:tcPr>
            <w:tcW w:w="676" w:type="pct"/>
            <w:gridSpan w:val="2"/>
            <w:tcBorders>
              <w:bottom w:val="single" w:sz="4" w:space="0" w:color="auto"/>
            </w:tcBorders>
            <w:shd w:val="clear" w:color="auto" w:fill="auto"/>
            <w:vAlign w:val="center"/>
          </w:tcPr>
          <w:p w14:paraId="2FF84AFA" w14:textId="77777777" w:rsidR="0039378B" w:rsidRPr="00FA5CB3" w:rsidRDefault="0039378B" w:rsidP="00562F84">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Strongly Agree</w:t>
            </w:r>
          </w:p>
        </w:tc>
        <w:tc>
          <w:tcPr>
            <w:tcW w:w="610" w:type="pct"/>
            <w:gridSpan w:val="2"/>
            <w:tcBorders>
              <w:bottom w:val="single" w:sz="4" w:space="0" w:color="auto"/>
            </w:tcBorders>
            <w:shd w:val="clear" w:color="auto" w:fill="auto"/>
            <w:vAlign w:val="center"/>
          </w:tcPr>
          <w:p w14:paraId="63611609" w14:textId="77777777" w:rsidR="0039378B" w:rsidRPr="00FA5CB3" w:rsidRDefault="0039378B" w:rsidP="00562F84">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Agree</w:t>
            </w:r>
          </w:p>
        </w:tc>
        <w:tc>
          <w:tcPr>
            <w:tcW w:w="543" w:type="pct"/>
            <w:gridSpan w:val="2"/>
            <w:tcBorders>
              <w:bottom w:val="single" w:sz="4" w:space="0" w:color="auto"/>
            </w:tcBorders>
            <w:shd w:val="clear" w:color="auto" w:fill="auto"/>
            <w:vAlign w:val="center"/>
          </w:tcPr>
          <w:p w14:paraId="1E974079" w14:textId="77777777" w:rsidR="0039378B" w:rsidRPr="00FA5CB3" w:rsidRDefault="0039378B" w:rsidP="00562F84">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Neutral</w:t>
            </w:r>
          </w:p>
        </w:tc>
        <w:tc>
          <w:tcPr>
            <w:tcW w:w="610" w:type="pct"/>
            <w:gridSpan w:val="2"/>
            <w:tcBorders>
              <w:bottom w:val="single" w:sz="4" w:space="0" w:color="auto"/>
            </w:tcBorders>
            <w:shd w:val="clear" w:color="auto" w:fill="auto"/>
            <w:vAlign w:val="center"/>
          </w:tcPr>
          <w:p w14:paraId="2B911655" w14:textId="77777777" w:rsidR="0039378B" w:rsidRPr="00FA5CB3" w:rsidRDefault="0039378B" w:rsidP="00562F84">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Disagree</w:t>
            </w:r>
          </w:p>
        </w:tc>
        <w:tc>
          <w:tcPr>
            <w:tcW w:w="584" w:type="pct"/>
            <w:gridSpan w:val="2"/>
            <w:tcBorders>
              <w:bottom w:val="single" w:sz="4" w:space="0" w:color="auto"/>
            </w:tcBorders>
            <w:shd w:val="clear" w:color="auto" w:fill="auto"/>
            <w:vAlign w:val="center"/>
          </w:tcPr>
          <w:p w14:paraId="78129371" w14:textId="77777777" w:rsidR="0039378B" w:rsidRPr="00FA5CB3" w:rsidRDefault="0039378B" w:rsidP="00562F84">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Strongly Disagree</w:t>
            </w:r>
          </w:p>
        </w:tc>
        <w:tc>
          <w:tcPr>
            <w:tcW w:w="414" w:type="pct"/>
            <w:vMerge w:val="restart"/>
            <w:shd w:val="clear" w:color="auto" w:fill="auto"/>
            <w:vAlign w:val="center"/>
          </w:tcPr>
          <w:p w14:paraId="7BAF4AB6" w14:textId="77777777" w:rsidR="0039378B" w:rsidRPr="00FA5CB3" w:rsidRDefault="0039378B" w:rsidP="00562F84">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Mean</w:t>
            </w:r>
          </w:p>
        </w:tc>
        <w:tc>
          <w:tcPr>
            <w:tcW w:w="621" w:type="pct"/>
            <w:vMerge w:val="restart"/>
            <w:shd w:val="clear" w:color="auto" w:fill="auto"/>
            <w:vAlign w:val="center"/>
          </w:tcPr>
          <w:p w14:paraId="0ED22148" w14:textId="77777777" w:rsidR="0039378B" w:rsidRPr="00FA5CB3" w:rsidRDefault="0039378B" w:rsidP="00562F84">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Standard</w:t>
            </w:r>
          </w:p>
          <w:p w14:paraId="2E536FB2" w14:textId="77777777" w:rsidR="0039378B" w:rsidRPr="00FA5CB3" w:rsidRDefault="0039378B" w:rsidP="00562F84">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deviation</w:t>
            </w:r>
          </w:p>
        </w:tc>
      </w:tr>
      <w:tr w:rsidR="0039378B" w:rsidRPr="00FA5CB3" w14:paraId="2DC7D33C" w14:textId="77777777" w:rsidTr="00E34B42">
        <w:trPr>
          <w:trHeight w:val="270"/>
        </w:trPr>
        <w:tc>
          <w:tcPr>
            <w:tcW w:w="942" w:type="pct"/>
            <w:vMerge/>
            <w:tcBorders>
              <w:bottom w:val="single" w:sz="4" w:space="0" w:color="auto"/>
            </w:tcBorders>
            <w:shd w:val="clear" w:color="auto" w:fill="auto"/>
            <w:vAlign w:val="center"/>
          </w:tcPr>
          <w:p w14:paraId="1B9F0C09" w14:textId="77777777" w:rsidR="0039378B" w:rsidRPr="00FA5CB3" w:rsidRDefault="0039378B" w:rsidP="00562F84">
            <w:pPr>
              <w:shd w:val="clear" w:color="auto" w:fill="FFFFFF" w:themeFill="background1"/>
              <w:spacing w:after="240" w:line="240" w:lineRule="auto"/>
              <w:jc w:val="both"/>
              <w:rPr>
                <w:rFonts w:asciiTheme="majorBidi" w:eastAsia="Times New Roman" w:hAnsiTheme="majorBidi" w:cstheme="majorBidi"/>
                <w:sz w:val="24"/>
                <w:szCs w:val="24"/>
              </w:rPr>
            </w:pPr>
          </w:p>
        </w:tc>
        <w:tc>
          <w:tcPr>
            <w:tcW w:w="288" w:type="pct"/>
            <w:tcBorders>
              <w:top w:val="single" w:sz="4" w:space="0" w:color="auto"/>
              <w:bottom w:val="single" w:sz="4" w:space="0" w:color="auto"/>
            </w:tcBorders>
            <w:shd w:val="clear" w:color="auto" w:fill="auto"/>
            <w:vAlign w:val="center"/>
          </w:tcPr>
          <w:p w14:paraId="3F9D7329" w14:textId="77777777" w:rsidR="0039378B" w:rsidRPr="00FA5CB3" w:rsidRDefault="0039378B" w:rsidP="00562F84">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88" w:type="pct"/>
            <w:tcBorders>
              <w:top w:val="single" w:sz="4" w:space="0" w:color="auto"/>
              <w:bottom w:val="single" w:sz="4" w:space="0" w:color="auto"/>
            </w:tcBorders>
            <w:shd w:val="clear" w:color="auto" w:fill="auto"/>
            <w:vAlign w:val="center"/>
          </w:tcPr>
          <w:p w14:paraId="1657C716" w14:textId="77777777" w:rsidR="0039378B" w:rsidRPr="00FA5CB3" w:rsidRDefault="0039378B" w:rsidP="00562F84">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22" w:type="pct"/>
            <w:tcBorders>
              <w:top w:val="single" w:sz="4" w:space="0" w:color="auto"/>
              <w:bottom w:val="single" w:sz="4" w:space="0" w:color="auto"/>
            </w:tcBorders>
            <w:shd w:val="clear" w:color="auto" w:fill="auto"/>
            <w:vAlign w:val="center"/>
          </w:tcPr>
          <w:p w14:paraId="407D4CA4" w14:textId="77777777" w:rsidR="0039378B" w:rsidRPr="00FA5CB3" w:rsidRDefault="0039378B" w:rsidP="00562F84">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88" w:type="pct"/>
            <w:tcBorders>
              <w:top w:val="single" w:sz="4" w:space="0" w:color="auto"/>
              <w:bottom w:val="single" w:sz="4" w:space="0" w:color="auto"/>
            </w:tcBorders>
            <w:shd w:val="clear" w:color="auto" w:fill="auto"/>
            <w:vAlign w:val="center"/>
          </w:tcPr>
          <w:p w14:paraId="21F20B84" w14:textId="77777777" w:rsidR="0039378B" w:rsidRPr="00FA5CB3" w:rsidRDefault="0039378B" w:rsidP="00562F84">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22" w:type="pct"/>
            <w:tcBorders>
              <w:top w:val="single" w:sz="4" w:space="0" w:color="auto"/>
              <w:bottom w:val="single" w:sz="4" w:space="0" w:color="auto"/>
            </w:tcBorders>
            <w:shd w:val="clear" w:color="auto" w:fill="auto"/>
            <w:vAlign w:val="center"/>
          </w:tcPr>
          <w:p w14:paraId="5DB09BEC" w14:textId="77777777" w:rsidR="0039378B" w:rsidRPr="00FA5CB3" w:rsidRDefault="0039378B" w:rsidP="00562F84">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21" w:type="pct"/>
            <w:tcBorders>
              <w:top w:val="single" w:sz="4" w:space="0" w:color="auto"/>
              <w:bottom w:val="single" w:sz="4" w:space="0" w:color="auto"/>
            </w:tcBorders>
            <w:shd w:val="clear" w:color="auto" w:fill="auto"/>
            <w:vAlign w:val="center"/>
          </w:tcPr>
          <w:p w14:paraId="5B5A85D3" w14:textId="77777777" w:rsidR="0039378B" w:rsidRPr="00FA5CB3" w:rsidRDefault="0039378B" w:rsidP="00562F84">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22" w:type="pct"/>
            <w:tcBorders>
              <w:top w:val="single" w:sz="4" w:space="0" w:color="auto"/>
              <w:bottom w:val="single" w:sz="4" w:space="0" w:color="auto"/>
            </w:tcBorders>
            <w:shd w:val="clear" w:color="auto" w:fill="auto"/>
            <w:vAlign w:val="center"/>
          </w:tcPr>
          <w:p w14:paraId="3ACCC85E" w14:textId="77777777" w:rsidR="0039378B" w:rsidRPr="00FA5CB3" w:rsidRDefault="0039378B" w:rsidP="00562F84">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88" w:type="pct"/>
            <w:tcBorders>
              <w:top w:val="single" w:sz="4" w:space="0" w:color="auto"/>
              <w:bottom w:val="single" w:sz="4" w:space="0" w:color="auto"/>
            </w:tcBorders>
            <w:shd w:val="clear" w:color="auto" w:fill="auto"/>
            <w:vAlign w:val="center"/>
          </w:tcPr>
          <w:p w14:paraId="5D2F9A62" w14:textId="77777777" w:rsidR="0039378B" w:rsidRPr="00FA5CB3" w:rsidRDefault="0039378B" w:rsidP="00562F84">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39" w:type="pct"/>
            <w:tcBorders>
              <w:top w:val="single" w:sz="4" w:space="0" w:color="auto"/>
              <w:bottom w:val="single" w:sz="4" w:space="0" w:color="auto"/>
            </w:tcBorders>
            <w:shd w:val="clear" w:color="auto" w:fill="auto"/>
            <w:vAlign w:val="center"/>
          </w:tcPr>
          <w:p w14:paraId="06429273" w14:textId="77777777" w:rsidR="0039378B" w:rsidRPr="00FA5CB3" w:rsidRDefault="0039378B" w:rsidP="00562F84">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45" w:type="pct"/>
            <w:tcBorders>
              <w:top w:val="single" w:sz="4" w:space="0" w:color="auto"/>
              <w:bottom w:val="single" w:sz="4" w:space="0" w:color="auto"/>
            </w:tcBorders>
            <w:shd w:val="clear" w:color="auto" w:fill="auto"/>
            <w:vAlign w:val="center"/>
          </w:tcPr>
          <w:p w14:paraId="42F8E805" w14:textId="77777777" w:rsidR="0039378B" w:rsidRPr="00FA5CB3" w:rsidRDefault="0039378B" w:rsidP="00562F84">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414" w:type="pct"/>
            <w:vMerge/>
            <w:tcBorders>
              <w:bottom w:val="single" w:sz="4" w:space="0" w:color="auto"/>
            </w:tcBorders>
            <w:shd w:val="clear" w:color="auto" w:fill="auto"/>
            <w:vAlign w:val="center"/>
          </w:tcPr>
          <w:p w14:paraId="61E9E207" w14:textId="77777777" w:rsidR="0039378B" w:rsidRPr="00FA5CB3" w:rsidRDefault="0039378B" w:rsidP="00562F84">
            <w:pPr>
              <w:shd w:val="clear" w:color="auto" w:fill="FFFFFF" w:themeFill="background1"/>
              <w:spacing w:after="240" w:line="240" w:lineRule="auto"/>
              <w:jc w:val="both"/>
              <w:rPr>
                <w:rFonts w:asciiTheme="majorBidi" w:eastAsia="Times New Roman" w:hAnsiTheme="majorBidi" w:cstheme="majorBidi"/>
                <w:sz w:val="24"/>
                <w:szCs w:val="24"/>
              </w:rPr>
            </w:pPr>
          </w:p>
        </w:tc>
        <w:tc>
          <w:tcPr>
            <w:tcW w:w="621" w:type="pct"/>
            <w:vMerge/>
            <w:tcBorders>
              <w:bottom w:val="single" w:sz="4" w:space="0" w:color="auto"/>
            </w:tcBorders>
            <w:shd w:val="clear" w:color="auto" w:fill="auto"/>
            <w:vAlign w:val="center"/>
          </w:tcPr>
          <w:p w14:paraId="64911B0E" w14:textId="77777777" w:rsidR="0039378B" w:rsidRPr="00FA5CB3" w:rsidRDefault="0039378B" w:rsidP="00562F84">
            <w:pPr>
              <w:shd w:val="clear" w:color="auto" w:fill="FFFFFF" w:themeFill="background1"/>
              <w:spacing w:after="240" w:line="240" w:lineRule="auto"/>
              <w:jc w:val="both"/>
              <w:rPr>
                <w:rFonts w:asciiTheme="majorBidi" w:eastAsia="Times New Roman" w:hAnsiTheme="majorBidi" w:cstheme="majorBidi"/>
                <w:sz w:val="24"/>
                <w:szCs w:val="24"/>
              </w:rPr>
            </w:pPr>
          </w:p>
        </w:tc>
      </w:tr>
      <w:tr w:rsidR="00A617F4" w:rsidRPr="00FA5CB3" w14:paraId="27B74ED3" w14:textId="77777777" w:rsidTr="00E34B42">
        <w:trPr>
          <w:trHeight w:val="626"/>
        </w:trPr>
        <w:tc>
          <w:tcPr>
            <w:tcW w:w="942" w:type="pct"/>
            <w:tcBorders>
              <w:top w:val="nil"/>
            </w:tcBorders>
            <w:shd w:val="clear" w:color="auto" w:fill="auto"/>
            <w:vAlign w:val="center"/>
          </w:tcPr>
          <w:p w14:paraId="65FF74E5" w14:textId="2A589C4B" w:rsidR="00A617F4" w:rsidRPr="00FA5CB3" w:rsidRDefault="00A617F4" w:rsidP="00562F84">
            <w:pPr>
              <w:shd w:val="clear" w:color="auto" w:fill="FFFFFF" w:themeFill="background1"/>
              <w:spacing w:after="240" w:line="240" w:lineRule="auto"/>
              <w:jc w:val="both"/>
              <w:rPr>
                <w:rFonts w:asciiTheme="majorBidi" w:eastAsia="Times New Roman" w:hAnsiTheme="majorBidi" w:cstheme="majorBidi"/>
                <w:sz w:val="24"/>
                <w:szCs w:val="24"/>
              </w:rPr>
            </w:pPr>
            <w:r w:rsidRPr="00C37E26">
              <w:rPr>
                <w:rFonts w:ascii="Times New Roman" w:eastAsia="Times New Roman" w:hAnsi="Times New Roman" w:cs="Times New Roman"/>
              </w:rPr>
              <w:t>The Liquidity to Assets Ratio is well managed.</w:t>
            </w:r>
          </w:p>
        </w:tc>
        <w:tc>
          <w:tcPr>
            <w:tcW w:w="288" w:type="pct"/>
            <w:tcBorders>
              <w:top w:val="nil"/>
            </w:tcBorders>
            <w:shd w:val="clear" w:color="auto" w:fill="auto"/>
            <w:vAlign w:val="center"/>
          </w:tcPr>
          <w:p w14:paraId="143455B4" w14:textId="4F21365D" w:rsidR="00A617F4" w:rsidRPr="00FA5CB3" w:rsidRDefault="00BA5497" w:rsidP="00562F84">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50</w:t>
            </w:r>
          </w:p>
        </w:tc>
        <w:tc>
          <w:tcPr>
            <w:tcW w:w="388" w:type="pct"/>
            <w:tcBorders>
              <w:top w:val="nil"/>
            </w:tcBorders>
            <w:shd w:val="clear" w:color="auto" w:fill="auto"/>
            <w:vAlign w:val="center"/>
          </w:tcPr>
          <w:p w14:paraId="36C88C12" w14:textId="3936EEB1" w:rsidR="00A617F4" w:rsidRPr="00FA5CB3" w:rsidRDefault="00BA5497" w:rsidP="00562F84">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89.28</w:t>
            </w:r>
          </w:p>
        </w:tc>
        <w:tc>
          <w:tcPr>
            <w:tcW w:w="222" w:type="pct"/>
            <w:tcBorders>
              <w:top w:val="nil"/>
            </w:tcBorders>
            <w:shd w:val="clear" w:color="auto" w:fill="auto"/>
            <w:vAlign w:val="center"/>
          </w:tcPr>
          <w:p w14:paraId="46B2526D" w14:textId="47EE7BA5" w:rsidR="00A617F4" w:rsidRPr="00FA5CB3" w:rsidRDefault="00BA5497" w:rsidP="00562F84">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388" w:type="pct"/>
            <w:tcBorders>
              <w:top w:val="nil"/>
            </w:tcBorders>
            <w:shd w:val="clear" w:color="auto" w:fill="auto"/>
            <w:vAlign w:val="center"/>
          </w:tcPr>
          <w:p w14:paraId="4210E8CE" w14:textId="56FF648F" w:rsidR="00A617F4" w:rsidRPr="00FA5CB3" w:rsidRDefault="00BA5497" w:rsidP="00562F84">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8.92</w:t>
            </w:r>
          </w:p>
        </w:tc>
        <w:tc>
          <w:tcPr>
            <w:tcW w:w="222" w:type="pct"/>
            <w:tcBorders>
              <w:top w:val="nil"/>
            </w:tcBorders>
            <w:shd w:val="clear" w:color="auto" w:fill="auto"/>
            <w:vAlign w:val="center"/>
          </w:tcPr>
          <w:p w14:paraId="1DBFEC12" w14:textId="05A4A3B1" w:rsidR="00A617F4" w:rsidRPr="00FA5CB3" w:rsidRDefault="00BA5497" w:rsidP="00562F84">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321" w:type="pct"/>
            <w:tcBorders>
              <w:top w:val="nil"/>
            </w:tcBorders>
            <w:shd w:val="clear" w:color="auto" w:fill="auto"/>
            <w:vAlign w:val="center"/>
          </w:tcPr>
          <w:p w14:paraId="66D04215" w14:textId="1D4AA759" w:rsidR="00A617F4" w:rsidRPr="00FA5CB3" w:rsidRDefault="00BA5497" w:rsidP="00562F84">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1.78</w:t>
            </w:r>
          </w:p>
        </w:tc>
        <w:tc>
          <w:tcPr>
            <w:tcW w:w="222" w:type="pct"/>
            <w:tcBorders>
              <w:top w:val="nil"/>
            </w:tcBorders>
            <w:shd w:val="clear" w:color="auto" w:fill="auto"/>
            <w:vAlign w:val="center"/>
          </w:tcPr>
          <w:p w14:paraId="5E840DC6" w14:textId="77777777" w:rsidR="00A617F4" w:rsidRPr="00FA5CB3" w:rsidRDefault="00A617F4" w:rsidP="00562F84">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88" w:type="pct"/>
            <w:tcBorders>
              <w:top w:val="nil"/>
            </w:tcBorders>
            <w:shd w:val="clear" w:color="auto" w:fill="auto"/>
            <w:vAlign w:val="center"/>
          </w:tcPr>
          <w:p w14:paraId="0B113F39" w14:textId="77777777" w:rsidR="00A617F4" w:rsidRPr="00FA5CB3" w:rsidRDefault="00A617F4" w:rsidP="00562F84">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0.0</w:t>
            </w:r>
          </w:p>
        </w:tc>
        <w:tc>
          <w:tcPr>
            <w:tcW w:w="239" w:type="pct"/>
            <w:tcBorders>
              <w:top w:val="nil"/>
            </w:tcBorders>
            <w:shd w:val="clear" w:color="auto" w:fill="auto"/>
            <w:vAlign w:val="center"/>
          </w:tcPr>
          <w:p w14:paraId="2FB31C77" w14:textId="77777777" w:rsidR="00A617F4" w:rsidRPr="00FA5CB3" w:rsidRDefault="00A617F4" w:rsidP="00562F84">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45" w:type="pct"/>
            <w:tcBorders>
              <w:top w:val="nil"/>
            </w:tcBorders>
            <w:shd w:val="clear" w:color="auto" w:fill="auto"/>
            <w:vAlign w:val="center"/>
          </w:tcPr>
          <w:p w14:paraId="0557C1E6" w14:textId="77777777" w:rsidR="00A617F4" w:rsidRPr="00FA5CB3" w:rsidRDefault="00A617F4" w:rsidP="00562F84">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414" w:type="pct"/>
            <w:tcBorders>
              <w:top w:val="nil"/>
            </w:tcBorders>
            <w:shd w:val="clear" w:color="auto" w:fill="auto"/>
            <w:vAlign w:val="center"/>
          </w:tcPr>
          <w:p w14:paraId="12B63EAB" w14:textId="597479F3" w:rsidR="00A617F4" w:rsidRPr="00FA5CB3" w:rsidRDefault="00A617F4" w:rsidP="00562F84">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w:t>
            </w:r>
            <w:r w:rsidR="00BA5497">
              <w:rPr>
                <w:rFonts w:asciiTheme="majorBidi" w:eastAsia="Times New Roman" w:hAnsiTheme="majorBidi" w:cstheme="majorBidi"/>
                <w:sz w:val="24"/>
                <w:szCs w:val="24"/>
              </w:rPr>
              <w:t>88</w:t>
            </w:r>
          </w:p>
        </w:tc>
        <w:tc>
          <w:tcPr>
            <w:tcW w:w="621" w:type="pct"/>
            <w:tcBorders>
              <w:top w:val="nil"/>
            </w:tcBorders>
            <w:shd w:val="clear" w:color="auto" w:fill="auto"/>
            <w:vAlign w:val="center"/>
          </w:tcPr>
          <w:p w14:paraId="748EDCBE" w14:textId="0A7D27AD" w:rsidR="00A617F4" w:rsidRPr="00FA5CB3" w:rsidRDefault="00A617F4" w:rsidP="00562F84">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w:t>
            </w:r>
            <w:r w:rsidR="00BA5497">
              <w:rPr>
                <w:rFonts w:asciiTheme="majorBidi" w:eastAsia="Times New Roman" w:hAnsiTheme="majorBidi" w:cstheme="majorBidi"/>
                <w:sz w:val="24"/>
                <w:szCs w:val="24"/>
              </w:rPr>
              <w:t>38</w:t>
            </w:r>
          </w:p>
        </w:tc>
      </w:tr>
      <w:tr w:rsidR="00A617F4" w:rsidRPr="00FA5CB3" w14:paraId="3CF0AC2D" w14:textId="77777777" w:rsidTr="00E34B42">
        <w:trPr>
          <w:trHeight w:val="500"/>
        </w:trPr>
        <w:tc>
          <w:tcPr>
            <w:tcW w:w="942" w:type="pct"/>
            <w:shd w:val="clear" w:color="auto" w:fill="auto"/>
            <w:vAlign w:val="center"/>
          </w:tcPr>
          <w:p w14:paraId="3E57BA69" w14:textId="10EE2339" w:rsidR="00A617F4" w:rsidRPr="00FA5CB3" w:rsidRDefault="00A617F4" w:rsidP="00562F84">
            <w:pPr>
              <w:shd w:val="clear" w:color="auto" w:fill="FFFFFF" w:themeFill="background1"/>
              <w:spacing w:after="240" w:line="240" w:lineRule="auto"/>
              <w:jc w:val="both"/>
              <w:rPr>
                <w:rFonts w:asciiTheme="majorBidi" w:eastAsia="Times New Roman" w:hAnsiTheme="majorBidi" w:cstheme="majorBidi"/>
                <w:sz w:val="24"/>
                <w:szCs w:val="24"/>
              </w:rPr>
            </w:pPr>
            <w:r w:rsidRPr="00C37E26">
              <w:rPr>
                <w:rFonts w:ascii="Times New Roman" w:eastAsia="Times New Roman" w:hAnsi="Times New Roman" w:cs="Times New Roman"/>
              </w:rPr>
              <w:t>Liquidity to Assets Ratio ensures the bank's ability to meet short-term liabilities.</w:t>
            </w:r>
          </w:p>
        </w:tc>
        <w:tc>
          <w:tcPr>
            <w:tcW w:w="288" w:type="pct"/>
            <w:shd w:val="clear" w:color="auto" w:fill="auto"/>
            <w:vAlign w:val="center"/>
          </w:tcPr>
          <w:p w14:paraId="46972C1B" w14:textId="45E06284" w:rsidR="00A617F4" w:rsidRPr="00FA5CB3" w:rsidRDefault="00A617F4" w:rsidP="00562F84">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5</w:t>
            </w:r>
            <w:r w:rsidR="00577EF9">
              <w:rPr>
                <w:rFonts w:asciiTheme="majorBidi" w:eastAsia="Times New Roman" w:hAnsiTheme="majorBidi" w:cstheme="majorBidi"/>
                <w:sz w:val="24"/>
                <w:szCs w:val="24"/>
              </w:rPr>
              <w:t>5</w:t>
            </w:r>
          </w:p>
        </w:tc>
        <w:tc>
          <w:tcPr>
            <w:tcW w:w="388" w:type="pct"/>
            <w:shd w:val="clear" w:color="auto" w:fill="auto"/>
            <w:vAlign w:val="center"/>
          </w:tcPr>
          <w:p w14:paraId="3083D91B" w14:textId="4CB0FFB6" w:rsidR="00A617F4" w:rsidRPr="00FA5CB3" w:rsidRDefault="00A617F4" w:rsidP="00562F84">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9</w:t>
            </w:r>
            <w:r w:rsidR="00577EF9">
              <w:rPr>
                <w:rFonts w:asciiTheme="majorBidi" w:eastAsia="Times New Roman" w:hAnsiTheme="majorBidi" w:cstheme="majorBidi"/>
                <w:sz w:val="24"/>
                <w:szCs w:val="24"/>
              </w:rPr>
              <w:t>8.22</w:t>
            </w:r>
          </w:p>
        </w:tc>
        <w:tc>
          <w:tcPr>
            <w:tcW w:w="222" w:type="pct"/>
            <w:shd w:val="clear" w:color="auto" w:fill="auto"/>
            <w:vAlign w:val="center"/>
          </w:tcPr>
          <w:p w14:paraId="4D2CBDB8" w14:textId="25E79EF8" w:rsidR="00A617F4" w:rsidRPr="00FA5CB3" w:rsidRDefault="00577EF9" w:rsidP="00562F84">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388" w:type="pct"/>
            <w:shd w:val="clear" w:color="auto" w:fill="auto"/>
            <w:vAlign w:val="center"/>
          </w:tcPr>
          <w:p w14:paraId="48771EAD" w14:textId="6B31E33D" w:rsidR="00A617F4" w:rsidRPr="00FA5CB3" w:rsidRDefault="00577EF9" w:rsidP="00562F84">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1.78</w:t>
            </w:r>
          </w:p>
        </w:tc>
        <w:tc>
          <w:tcPr>
            <w:tcW w:w="222" w:type="pct"/>
            <w:shd w:val="clear" w:color="auto" w:fill="auto"/>
            <w:vAlign w:val="center"/>
          </w:tcPr>
          <w:p w14:paraId="1CE09CBB" w14:textId="77777777" w:rsidR="00A617F4" w:rsidRPr="00FA5CB3" w:rsidRDefault="00A617F4" w:rsidP="00562F84">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21" w:type="pct"/>
            <w:shd w:val="clear" w:color="auto" w:fill="auto"/>
            <w:vAlign w:val="center"/>
          </w:tcPr>
          <w:p w14:paraId="6FE96927" w14:textId="77777777" w:rsidR="00A617F4" w:rsidRPr="00FA5CB3" w:rsidRDefault="00A617F4" w:rsidP="00562F84">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222" w:type="pct"/>
            <w:shd w:val="clear" w:color="auto" w:fill="auto"/>
            <w:vAlign w:val="center"/>
          </w:tcPr>
          <w:p w14:paraId="6873F859" w14:textId="77777777" w:rsidR="00A617F4" w:rsidRPr="00FA5CB3" w:rsidRDefault="00A617F4" w:rsidP="00562F84">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88" w:type="pct"/>
            <w:shd w:val="clear" w:color="auto" w:fill="auto"/>
            <w:vAlign w:val="center"/>
          </w:tcPr>
          <w:p w14:paraId="440B5FD9" w14:textId="77777777" w:rsidR="00A617F4" w:rsidRPr="00FA5CB3" w:rsidRDefault="00A617F4" w:rsidP="00562F84">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0.0</w:t>
            </w:r>
          </w:p>
        </w:tc>
        <w:tc>
          <w:tcPr>
            <w:tcW w:w="239" w:type="pct"/>
            <w:shd w:val="clear" w:color="auto" w:fill="auto"/>
            <w:vAlign w:val="center"/>
          </w:tcPr>
          <w:p w14:paraId="0368E8CB" w14:textId="77777777" w:rsidR="00A617F4" w:rsidRPr="00FA5CB3" w:rsidRDefault="00A617F4" w:rsidP="00562F84">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45" w:type="pct"/>
            <w:shd w:val="clear" w:color="auto" w:fill="auto"/>
            <w:vAlign w:val="center"/>
          </w:tcPr>
          <w:p w14:paraId="6AB768DE" w14:textId="77777777" w:rsidR="00A617F4" w:rsidRPr="00FA5CB3" w:rsidRDefault="00A617F4" w:rsidP="00562F84">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414" w:type="pct"/>
            <w:shd w:val="clear" w:color="auto" w:fill="auto"/>
            <w:vAlign w:val="center"/>
          </w:tcPr>
          <w:p w14:paraId="193F0489" w14:textId="19712639" w:rsidR="00A617F4" w:rsidRPr="00FA5CB3" w:rsidRDefault="00A617F4" w:rsidP="00562F84">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w:t>
            </w:r>
            <w:r w:rsidR="00577EF9">
              <w:rPr>
                <w:rFonts w:asciiTheme="majorBidi" w:eastAsia="Times New Roman" w:hAnsiTheme="majorBidi" w:cstheme="majorBidi"/>
                <w:sz w:val="24"/>
                <w:szCs w:val="24"/>
              </w:rPr>
              <w:t>98</w:t>
            </w:r>
          </w:p>
        </w:tc>
        <w:tc>
          <w:tcPr>
            <w:tcW w:w="621" w:type="pct"/>
            <w:shd w:val="clear" w:color="auto" w:fill="auto"/>
            <w:vAlign w:val="center"/>
          </w:tcPr>
          <w:p w14:paraId="219DC739" w14:textId="40285395" w:rsidR="00A617F4" w:rsidRPr="00FA5CB3" w:rsidRDefault="00A617F4" w:rsidP="00562F84">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w:t>
            </w:r>
            <w:r w:rsidR="003C1053">
              <w:rPr>
                <w:rFonts w:asciiTheme="majorBidi" w:eastAsia="Times New Roman" w:hAnsiTheme="majorBidi" w:cstheme="majorBidi"/>
                <w:sz w:val="24"/>
                <w:szCs w:val="24"/>
              </w:rPr>
              <w:t>133</w:t>
            </w:r>
          </w:p>
        </w:tc>
      </w:tr>
    </w:tbl>
    <w:p w14:paraId="780A0559" w14:textId="4674A103" w:rsidR="0039378B" w:rsidRDefault="0039378B" w:rsidP="0039378B">
      <w:pPr>
        <w:shd w:val="clear" w:color="auto" w:fill="FFFFFF" w:themeFill="background1"/>
        <w:spacing w:after="240" w:line="360" w:lineRule="auto"/>
        <w:jc w:val="both"/>
        <w:rPr>
          <w:rFonts w:asciiTheme="majorBidi" w:eastAsia="Times New Roman" w:hAnsiTheme="majorBidi" w:cstheme="majorBidi"/>
          <w:sz w:val="24"/>
          <w:szCs w:val="24"/>
        </w:rPr>
      </w:pPr>
      <w:r>
        <w:rPr>
          <w:rFonts w:asciiTheme="majorBidi" w:eastAsia="Times New Roman" w:hAnsiTheme="majorBidi" w:cstheme="majorBidi"/>
          <w:b/>
          <w:bCs/>
          <w:sz w:val="24"/>
          <w:szCs w:val="24"/>
        </w:rPr>
        <w:t>Source: Primary Data (2025</w:t>
      </w:r>
      <w:r w:rsidRPr="00FA5CB3">
        <w:rPr>
          <w:rFonts w:asciiTheme="majorBidi" w:eastAsia="Times New Roman" w:hAnsiTheme="majorBidi" w:cstheme="majorBidi"/>
          <w:b/>
          <w:bCs/>
          <w:sz w:val="24"/>
          <w:szCs w:val="24"/>
        </w:rPr>
        <w:t xml:space="preserve">) </w:t>
      </w:r>
      <w:r w:rsidRPr="00FA5CB3">
        <w:rPr>
          <w:rFonts w:asciiTheme="majorBidi" w:eastAsia="Times New Roman" w:hAnsiTheme="majorBidi" w:cstheme="majorBidi"/>
          <w:sz w:val="24"/>
          <w:szCs w:val="24"/>
        </w:rPr>
        <w:t xml:space="preserve"> </w:t>
      </w:r>
    </w:p>
    <w:p w14:paraId="0267DBD5" w14:textId="77777777" w:rsidR="000A1372" w:rsidRPr="000A1372" w:rsidRDefault="000A1372" w:rsidP="000A1372">
      <w:pPr>
        <w:shd w:val="clear" w:color="auto" w:fill="FFFFFF" w:themeFill="background1"/>
        <w:spacing w:after="240" w:line="360" w:lineRule="auto"/>
        <w:jc w:val="both"/>
        <w:rPr>
          <w:rFonts w:asciiTheme="majorBidi" w:eastAsia="Times New Roman" w:hAnsiTheme="majorBidi" w:cstheme="majorBidi"/>
          <w:sz w:val="24"/>
          <w:szCs w:val="24"/>
          <w:lang w:val="en-GB"/>
        </w:rPr>
      </w:pPr>
      <w:r w:rsidRPr="000A1372">
        <w:rPr>
          <w:rFonts w:asciiTheme="majorBidi" w:eastAsia="Times New Roman" w:hAnsiTheme="majorBidi" w:cstheme="majorBidi"/>
          <w:sz w:val="24"/>
          <w:szCs w:val="24"/>
          <w:lang w:val="en-GB"/>
        </w:rPr>
        <w:t>Table 4.13 presents the perceptions of employees from six departments (Credit and Risk Management, Finance and Management, Loan, Accounting, Recovery, and Strategic and Planning) on GT Bank Plc's management of the Liquidity to Assets Ratio (LAR) from 2019 to 2023. The table includes employee responses to two statements regarding the bank’s liquidity management, with the frequencies (N) and percentages (%) for each category, as well as the corresponding mean and standard deviation. These findings offer a comprehensive view of how employees perceive the bank’s ability to manage its liquidity in relation to its assets, which is crucial for ensuring the bank’s ability to meet its short-term financial obligations.</w:t>
      </w:r>
    </w:p>
    <w:p w14:paraId="0EEE7DCA" w14:textId="41C15FDD" w:rsidR="000A1372" w:rsidRPr="000A1372" w:rsidRDefault="000A1372" w:rsidP="000A1372">
      <w:pPr>
        <w:shd w:val="clear" w:color="auto" w:fill="FFFFFF" w:themeFill="background1"/>
        <w:spacing w:after="240" w:line="360" w:lineRule="auto"/>
        <w:jc w:val="both"/>
        <w:rPr>
          <w:rFonts w:asciiTheme="majorBidi" w:eastAsia="Times New Roman" w:hAnsiTheme="majorBidi" w:cstheme="majorBidi"/>
          <w:sz w:val="24"/>
          <w:szCs w:val="24"/>
          <w:lang w:val="en-GB"/>
        </w:rPr>
      </w:pPr>
      <w:r w:rsidRPr="000A1372">
        <w:rPr>
          <w:rFonts w:asciiTheme="majorBidi" w:eastAsia="Times New Roman" w:hAnsiTheme="majorBidi" w:cstheme="majorBidi"/>
          <w:sz w:val="24"/>
          <w:szCs w:val="24"/>
          <w:lang w:val="en-GB"/>
        </w:rPr>
        <w:lastRenderedPageBreak/>
        <w:t>The first statement, "The Liquidity to Assets Ratio is well managed," received a high mean score of 4.88 with a standard deviation of 0.38. A substantial majority of employees (89.28%) strongly agree with this statement, while 8.92% agree, and 1.78% remain neutral. No employees disagreed or strongly disagreed with the statement. The high mean score indicates a strong consensus that the bank effectively manages its Liquidity to Assets Ratio, which is a critical indicator of its ability to maintain sufficient liquid assets to meet its financial obligations. The relatively low standard deviation suggests that this perception is shared widely across the various departments. These findings align with the views of Gupta (2018), who emphasizes that a well-managed liquidity to assets ratio is essential for banks to avoid liquidi</w:t>
      </w:r>
      <w:r w:rsidR="006722A0">
        <w:rPr>
          <w:rFonts w:asciiTheme="majorBidi" w:eastAsia="Times New Roman" w:hAnsiTheme="majorBidi" w:cstheme="majorBidi"/>
          <w:sz w:val="24"/>
          <w:szCs w:val="24"/>
          <w:lang w:val="en-GB"/>
        </w:rPr>
        <w:t xml:space="preserve">ty crises and ensure stability. </w:t>
      </w:r>
      <w:r w:rsidRPr="000A1372">
        <w:rPr>
          <w:rFonts w:asciiTheme="majorBidi" w:eastAsia="Times New Roman" w:hAnsiTheme="majorBidi" w:cstheme="majorBidi"/>
          <w:sz w:val="24"/>
          <w:szCs w:val="24"/>
          <w:lang w:val="en-GB"/>
        </w:rPr>
        <w:t>The second statement, "Liquidity to Assets Ratio ensures the bank's ability to meet short-term liabilities," also shows strong agreement, with a mean score of 4.98 and a very low standard deviation of 0.13. A vast majority of employees (98.22%) strongly agree with the statement, while 1.78% agree. No employees were neutral, disagreed, or strongly disagreed. The nearly unanimous agreement with this statement further underscores the perception that the bank’s liquidity management practices effectively ensure its ability to meet short-term financial obligations. The extremely low standard deviation reflects almost unanimous consensus among employees, indicating a high level of confidence in the bank’s liquidity management. This aligns with the findings of Kapoor (2020), who suggests that a robust liquidity to assets ratio is vital for managing a bank’s short-term liabilities and mitigating financial risk.</w:t>
      </w:r>
    </w:p>
    <w:p w14:paraId="160ACE82" w14:textId="23BACCD3" w:rsidR="00913121" w:rsidRPr="00913121" w:rsidRDefault="000A1372" w:rsidP="0039378B">
      <w:pPr>
        <w:shd w:val="clear" w:color="auto" w:fill="FFFFFF" w:themeFill="background1"/>
        <w:spacing w:after="240" w:line="360" w:lineRule="auto"/>
        <w:jc w:val="both"/>
        <w:rPr>
          <w:rFonts w:asciiTheme="majorBidi" w:eastAsia="Times New Roman" w:hAnsiTheme="majorBidi" w:cstheme="majorBidi"/>
          <w:sz w:val="24"/>
          <w:szCs w:val="24"/>
          <w:lang w:val="en-GB"/>
        </w:rPr>
      </w:pPr>
      <w:r w:rsidRPr="000A1372">
        <w:rPr>
          <w:rFonts w:asciiTheme="majorBidi" w:eastAsia="Times New Roman" w:hAnsiTheme="majorBidi" w:cstheme="majorBidi"/>
          <w:sz w:val="24"/>
          <w:szCs w:val="24"/>
          <w:lang w:val="en-GB"/>
        </w:rPr>
        <w:t>In conclusion, the findings from Table 4.13 suggest that employees at GT Bank Plc have a strong perception of the bank's effective management of its Liquidity to Assets Ratio. Both statements received high mean scores, with a significant majority of employees agreeing that the bank manages its liquidity effectively and ensures its ability to meet short-term liabilities. The low standard deviations across both statements highlight a high level of agreement among employees, indicating that this perception is consistent across departments. These positive perceptions are crucial for the bank’s financial stability, as they reflect confidence in the bank’s ability to maintain sufficient liquidity to navigate short-term financial challenges and e</w:t>
      </w:r>
      <w:r w:rsidR="00913121">
        <w:rPr>
          <w:rFonts w:asciiTheme="majorBidi" w:eastAsia="Times New Roman" w:hAnsiTheme="majorBidi" w:cstheme="majorBidi"/>
          <w:sz w:val="24"/>
          <w:szCs w:val="24"/>
          <w:lang w:val="en-GB"/>
        </w:rPr>
        <w:t>nsure long-term sustainability.</w:t>
      </w:r>
    </w:p>
    <w:p w14:paraId="4AED2F35" w14:textId="4C0EE558" w:rsidR="0014687B" w:rsidRPr="008C6A99" w:rsidRDefault="0014687B" w:rsidP="0014687B">
      <w:pPr>
        <w:shd w:val="clear" w:color="auto" w:fill="FFFFFF" w:themeFill="background1"/>
        <w:spacing w:after="240" w:line="360" w:lineRule="auto"/>
        <w:jc w:val="both"/>
        <w:rPr>
          <w:rFonts w:ascii="Times New Roman" w:hAnsi="Times New Roman" w:cs="Times New Roman"/>
          <w:b/>
        </w:rPr>
      </w:pPr>
      <w:r w:rsidRPr="00FA5CB3">
        <w:rPr>
          <w:rFonts w:asciiTheme="majorBidi" w:eastAsia="Times New Roman" w:hAnsiTheme="majorBidi" w:cstheme="majorBidi"/>
          <w:b/>
          <w:bCs/>
          <w:iCs/>
          <w:sz w:val="24"/>
          <w:szCs w:val="24"/>
        </w:rPr>
        <w:t>Table 4.</w:t>
      </w:r>
      <w:r>
        <w:rPr>
          <w:rFonts w:asciiTheme="majorBidi" w:eastAsia="Times New Roman" w:hAnsiTheme="majorBidi" w:cstheme="majorBidi"/>
          <w:b/>
          <w:bCs/>
          <w:iCs/>
          <w:sz w:val="24"/>
          <w:szCs w:val="24"/>
        </w:rPr>
        <w:t>14</w:t>
      </w:r>
      <w:r w:rsidRPr="00FA5CB3">
        <w:rPr>
          <w:rFonts w:asciiTheme="majorBidi" w:eastAsia="Times New Roman" w:hAnsiTheme="majorBidi" w:cstheme="majorBidi"/>
          <w:b/>
          <w:bCs/>
          <w:iCs/>
          <w:sz w:val="24"/>
          <w:szCs w:val="24"/>
        </w:rPr>
        <w:t xml:space="preserve">: </w:t>
      </w:r>
      <w:r w:rsidRPr="006161EE">
        <w:rPr>
          <w:rFonts w:asciiTheme="majorBidi" w:eastAsia="Times New Roman" w:hAnsiTheme="majorBidi" w:cstheme="majorBidi"/>
          <w:b/>
          <w:bCs/>
          <w:sz w:val="24"/>
          <w:szCs w:val="24"/>
          <w:lang w:val="fr-FR"/>
        </w:rPr>
        <w:t xml:space="preserve">GT Bank employées </w:t>
      </w:r>
      <w:proofErr w:type="spellStart"/>
      <w:r w:rsidRPr="006161EE">
        <w:rPr>
          <w:rFonts w:asciiTheme="majorBidi" w:eastAsia="Times New Roman" w:hAnsiTheme="majorBidi" w:cstheme="majorBidi"/>
          <w:b/>
          <w:bCs/>
          <w:sz w:val="24"/>
          <w:szCs w:val="24"/>
          <w:lang w:val="fr-FR"/>
        </w:rPr>
        <w:t>from</w:t>
      </w:r>
      <w:proofErr w:type="spellEnd"/>
      <w:r w:rsidRPr="006161EE">
        <w:rPr>
          <w:rFonts w:asciiTheme="majorBidi" w:eastAsia="Times New Roman" w:hAnsiTheme="majorBidi" w:cstheme="majorBidi"/>
          <w:b/>
          <w:bCs/>
          <w:sz w:val="24"/>
          <w:szCs w:val="24"/>
          <w:lang w:val="fr-FR"/>
        </w:rPr>
        <w:t xml:space="preserve"> 6 </w:t>
      </w:r>
      <w:proofErr w:type="spellStart"/>
      <w:r w:rsidRPr="006161EE">
        <w:rPr>
          <w:rFonts w:asciiTheme="majorBidi" w:eastAsia="Times New Roman" w:hAnsiTheme="majorBidi" w:cstheme="majorBidi"/>
          <w:b/>
          <w:bCs/>
          <w:sz w:val="24"/>
          <w:szCs w:val="24"/>
          <w:lang w:val="fr-FR"/>
        </w:rPr>
        <w:t>departments</w:t>
      </w:r>
      <w:proofErr w:type="spellEnd"/>
      <w:r w:rsidRPr="006161EE">
        <w:rPr>
          <w:rFonts w:asciiTheme="majorBidi" w:eastAsia="Times New Roman" w:hAnsiTheme="majorBidi" w:cstheme="majorBidi"/>
          <w:b/>
          <w:bCs/>
          <w:sz w:val="24"/>
          <w:szCs w:val="24"/>
          <w:lang w:val="fr-FR"/>
        </w:rPr>
        <w:t xml:space="preserve"> </w:t>
      </w:r>
      <w:r>
        <w:rPr>
          <w:rFonts w:asciiTheme="majorBidi" w:eastAsia="Times New Roman" w:hAnsiTheme="majorBidi" w:cstheme="majorBidi"/>
          <w:b/>
          <w:bCs/>
          <w:sz w:val="24"/>
          <w:szCs w:val="24"/>
          <w:lang w:val="fr-FR"/>
        </w:rPr>
        <w:t xml:space="preserve">perception </w:t>
      </w:r>
      <w:r w:rsidRPr="006161EE">
        <w:rPr>
          <w:rFonts w:asciiTheme="majorBidi" w:eastAsia="Times New Roman" w:hAnsiTheme="majorBidi" w:cstheme="majorBidi"/>
          <w:b/>
          <w:bCs/>
          <w:sz w:val="24"/>
          <w:szCs w:val="24"/>
        </w:rPr>
        <w:t xml:space="preserve">on </w:t>
      </w:r>
      <w:r w:rsidRPr="008C6A99">
        <w:rPr>
          <w:rFonts w:asciiTheme="majorBidi" w:eastAsia="Times New Roman" w:hAnsiTheme="majorBidi" w:cstheme="majorBidi"/>
          <w:b/>
          <w:sz w:val="24"/>
          <w:szCs w:val="24"/>
        </w:rPr>
        <w:t xml:space="preserve">analyze the financial performance   of </w:t>
      </w:r>
      <w:r w:rsidRPr="008C6A99">
        <w:rPr>
          <w:rFonts w:asciiTheme="majorBidi" w:hAnsiTheme="majorBidi" w:cstheme="majorBidi"/>
          <w:b/>
          <w:sz w:val="24"/>
          <w:szCs w:val="24"/>
        </w:rPr>
        <w:t xml:space="preserve">GT Bank Plc from 2019-2023 </w:t>
      </w:r>
      <w:r w:rsidRPr="008C6A99">
        <w:rPr>
          <w:rFonts w:asciiTheme="majorBidi" w:eastAsia="Times New Roman" w:hAnsiTheme="majorBidi" w:cstheme="majorBidi"/>
          <w:b/>
          <w:bCs/>
          <w:sz w:val="24"/>
          <w:szCs w:val="24"/>
        </w:rPr>
        <w:t xml:space="preserve">for </w:t>
      </w:r>
      <w:r w:rsidRPr="00C37E26">
        <w:rPr>
          <w:rFonts w:ascii="Times New Roman" w:eastAsia="Times New Roman" w:hAnsi="Times New Roman" w:cs="Times New Roman"/>
          <w:b/>
          <w:bCs/>
        </w:rPr>
        <w:t>Loans to Deposit Ratio</w:t>
      </w:r>
    </w:p>
    <w:p w14:paraId="0838D422" w14:textId="77777777" w:rsidR="0014687B" w:rsidRDefault="0014687B" w:rsidP="0014687B">
      <w:pPr>
        <w:shd w:val="clear" w:color="auto" w:fill="FFFFFF" w:themeFill="background1"/>
        <w:spacing w:after="240" w:line="360" w:lineRule="auto"/>
        <w:jc w:val="both"/>
        <w:rPr>
          <w:rFonts w:ascii="Times New Roman" w:hAnsi="Times New Roman" w:cs="Times New Roman"/>
          <w:b/>
        </w:rPr>
      </w:pPr>
    </w:p>
    <w:tbl>
      <w:tblPr>
        <w:tblpPr w:leftFromText="187" w:rightFromText="187" w:vertAnchor="text" w:horzAnchor="margin" w:tblpY="1"/>
        <w:tblOverlap w:val="never"/>
        <w:tblW w:w="5000" w:type="pct"/>
        <w:tblBorders>
          <w:top w:val="single" w:sz="4" w:space="0" w:color="auto"/>
          <w:bottom w:val="single" w:sz="4" w:space="0" w:color="auto"/>
        </w:tblBorders>
        <w:tblCellMar>
          <w:top w:w="12" w:type="dxa"/>
          <w:left w:w="0" w:type="dxa"/>
          <w:right w:w="160" w:type="dxa"/>
        </w:tblCellMar>
        <w:tblLook w:val="04A0" w:firstRow="1" w:lastRow="0" w:firstColumn="1" w:lastColumn="0" w:noHBand="0" w:noVBand="1"/>
      </w:tblPr>
      <w:tblGrid>
        <w:gridCol w:w="1730"/>
        <w:gridCol w:w="528"/>
        <w:gridCol w:w="713"/>
        <w:gridCol w:w="408"/>
        <w:gridCol w:w="713"/>
        <w:gridCol w:w="408"/>
        <w:gridCol w:w="590"/>
        <w:gridCol w:w="408"/>
        <w:gridCol w:w="713"/>
        <w:gridCol w:w="439"/>
        <w:gridCol w:w="634"/>
        <w:gridCol w:w="761"/>
        <w:gridCol w:w="1141"/>
      </w:tblGrid>
      <w:tr w:rsidR="0014687B" w:rsidRPr="00FA5CB3" w14:paraId="5F5FAC9A" w14:textId="77777777" w:rsidTr="00E34B42">
        <w:trPr>
          <w:trHeight w:val="645"/>
        </w:trPr>
        <w:tc>
          <w:tcPr>
            <w:tcW w:w="942" w:type="pct"/>
            <w:vMerge w:val="restart"/>
            <w:shd w:val="clear" w:color="auto" w:fill="auto"/>
            <w:vAlign w:val="center"/>
          </w:tcPr>
          <w:p w14:paraId="072EC198" w14:textId="77777777" w:rsidR="0014687B" w:rsidRPr="00FA5CB3" w:rsidRDefault="0014687B" w:rsidP="00EE6E48">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lastRenderedPageBreak/>
              <w:t>Statements</w:t>
            </w:r>
          </w:p>
        </w:tc>
        <w:tc>
          <w:tcPr>
            <w:tcW w:w="676" w:type="pct"/>
            <w:gridSpan w:val="2"/>
            <w:tcBorders>
              <w:bottom w:val="single" w:sz="4" w:space="0" w:color="auto"/>
            </w:tcBorders>
            <w:shd w:val="clear" w:color="auto" w:fill="auto"/>
            <w:vAlign w:val="center"/>
          </w:tcPr>
          <w:p w14:paraId="27C5A243" w14:textId="77777777" w:rsidR="0014687B" w:rsidRPr="00FA5CB3" w:rsidRDefault="0014687B" w:rsidP="00EE6E48">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Strongly Agree</w:t>
            </w:r>
          </w:p>
        </w:tc>
        <w:tc>
          <w:tcPr>
            <w:tcW w:w="610" w:type="pct"/>
            <w:gridSpan w:val="2"/>
            <w:tcBorders>
              <w:bottom w:val="single" w:sz="4" w:space="0" w:color="auto"/>
            </w:tcBorders>
            <w:shd w:val="clear" w:color="auto" w:fill="auto"/>
            <w:vAlign w:val="center"/>
          </w:tcPr>
          <w:p w14:paraId="63EEA719" w14:textId="77777777" w:rsidR="0014687B" w:rsidRPr="00FA5CB3" w:rsidRDefault="0014687B" w:rsidP="00EE6E48">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Agree</w:t>
            </w:r>
          </w:p>
        </w:tc>
        <w:tc>
          <w:tcPr>
            <w:tcW w:w="543" w:type="pct"/>
            <w:gridSpan w:val="2"/>
            <w:tcBorders>
              <w:bottom w:val="single" w:sz="4" w:space="0" w:color="auto"/>
            </w:tcBorders>
            <w:shd w:val="clear" w:color="auto" w:fill="auto"/>
            <w:vAlign w:val="center"/>
          </w:tcPr>
          <w:p w14:paraId="558D6437" w14:textId="77777777" w:rsidR="0014687B" w:rsidRPr="00FA5CB3" w:rsidRDefault="0014687B" w:rsidP="00EE6E48">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Neutral</w:t>
            </w:r>
          </w:p>
        </w:tc>
        <w:tc>
          <w:tcPr>
            <w:tcW w:w="610" w:type="pct"/>
            <w:gridSpan w:val="2"/>
            <w:tcBorders>
              <w:bottom w:val="single" w:sz="4" w:space="0" w:color="auto"/>
            </w:tcBorders>
            <w:shd w:val="clear" w:color="auto" w:fill="auto"/>
            <w:vAlign w:val="center"/>
          </w:tcPr>
          <w:p w14:paraId="2C4A6EAB" w14:textId="77777777" w:rsidR="0014687B" w:rsidRPr="00FA5CB3" w:rsidRDefault="0014687B" w:rsidP="00EE6E48">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Disagree</w:t>
            </w:r>
          </w:p>
        </w:tc>
        <w:tc>
          <w:tcPr>
            <w:tcW w:w="584" w:type="pct"/>
            <w:gridSpan w:val="2"/>
            <w:tcBorders>
              <w:bottom w:val="single" w:sz="4" w:space="0" w:color="auto"/>
            </w:tcBorders>
            <w:shd w:val="clear" w:color="auto" w:fill="auto"/>
            <w:vAlign w:val="center"/>
          </w:tcPr>
          <w:p w14:paraId="3E84640C" w14:textId="77777777" w:rsidR="0014687B" w:rsidRPr="00FA5CB3" w:rsidRDefault="0014687B" w:rsidP="00EE6E48">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Strongly Disagree</w:t>
            </w:r>
          </w:p>
        </w:tc>
        <w:tc>
          <w:tcPr>
            <w:tcW w:w="414" w:type="pct"/>
            <w:vMerge w:val="restart"/>
            <w:shd w:val="clear" w:color="auto" w:fill="auto"/>
            <w:vAlign w:val="center"/>
          </w:tcPr>
          <w:p w14:paraId="77FEF699" w14:textId="77777777" w:rsidR="0014687B" w:rsidRPr="00FA5CB3" w:rsidRDefault="0014687B" w:rsidP="00EE6E48">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Mean</w:t>
            </w:r>
          </w:p>
        </w:tc>
        <w:tc>
          <w:tcPr>
            <w:tcW w:w="621" w:type="pct"/>
            <w:vMerge w:val="restart"/>
            <w:shd w:val="clear" w:color="auto" w:fill="auto"/>
            <w:vAlign w:val="center"/>
          </w:tcPr>
          <w:p w14:paraId="0B474E69" w14:textId="77777777" w:rsidR="0014687B" w:rsidRPr="00FA5CB3" w:rsidRDefault="0014687B" w:rsidP="00EE6E48">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Standard</w:t>
            </w:r>
          </w:p>
          <w:p w14:paraId="4997CB51" w14:textId="77777777" w:rsidR="0014687B" w:rsidRPr="00FA5CB3" w:rsidRDefault="0014687B" w:rsidP="00EE6E48">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deviation</w:t>
            </w:r>
          </w:p>
        </w:tc>
      </w:tr>
      <w:tr w:rsidR="0014687B" w:rsidRPr="00FA5CB3" w14:paraId="5D25E1E1" w14:textId="77777777" w:rsidTr="00E34B42">
        <w:trPr>
          <w:trHeight w:val="270"/>
        </w:trPr>
        <w:tc>
          <w:tcPr>
            <w:tcW w:w="942" w:type="pct"/>
            <w:vMerge/>
            <w:tcBorders>
              <w:bottom w:val="single" w:sz="4" w:space="0" w:color="auto"/>
            </w:tcBorders>
            <w:shd w:val="clear" w:color="auto" w:fill="auto"/>
            <w:vAlign w:val="center"/>
          </w:tcPr>
          <w:p w14:paraId="746D8967" w14:textId="77777777" w:rsidR="0014687B" w:rsidRPr="00FA5CB3" w:rsidRDefault="0014687B" w:rsidP="00EE6E48">
            <w:pPr>
              <w:shd w:val="clear" w:color="auto" w:fill="FFFFFF" w:themeFill="background1"/>
              <w:spacing w:after="240" w:line="240" w:lineRule="auto"/>
              <w:jc w:val="both"/>
              <w:rPr>
                <w:rFonts w:asciiTheme="majorBidi" w:eastAsia="Times New Roman" w:hAnsiTheme="majorBidi" w:cstheme="majorBidi"/>
                <w:sz w:val="24"/>
                <w:szCs w:val="24"/>
              </w:rPr>
            </w:pPr>
          </w:p>
        </w:tc>
        <w:tc>
          <w:tcPr>
            <w:tcW w:w="288" w:type="pct"/>
            <w:tcBorders>
              <w:top w:val="single" w:sz="4" w:space="0" w:color="auto"/>
              <w:bottom w:val="single" w:sz="4" w:space="0" w:color="auto"/>
            </w:tcBorders>
            <w:shd w:val="clear" w:color="auto" w:fill="auto"/>
            <w:vAlign w:val="center"/>
          </w:tcPr>
          <w:p w14:paraId="293D1F1E" w14:textId="77777777" w:rsidR="0014687B" w:rsidRPr="00FA5CB3" w:rsidRDefault="0014687B" w:rsidP="00EE6E48">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88" w:type="pct"/>
            <w:tcBorders>
              <w:top w:val="single" w:sz="4" w:space="0" w:color="auto"/>
              <w:bottom w:val="single" w:sz="4" w:space="0" w:color="auto"/>
            </w:tcBorders>
            <w:shd w:val="clear" w:color="auto" w:fill="auto"/>
            <w:vAlign w:val="center"/>
          </w:tcPr>
          <w:p w14:paraId="28DF8E8D" w14:textId="77777777" w:rsidR="0014687B" w:rsidRPr="00FA5CB3" w:rsidRDefault="0014687B" w:rsidP="00EE6E48">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22" w:type="pct"/>
            <w:tcBorders>
              <w:top w:val="single" w:sz="4" w:space="0" w:color="auto"/>
              <w:bottom w:val="single" w:sz="4" w:space="0" w:color="auto"/>
            </w:tcBorders>
            <w:shd w:val="clear" w:color="auto" w:fill="auto"/>
            <w:vAlign w:val="center"/>
          </w:tcPr>
          <w:p w14:paraId="236C8A18" w14:textId="77777777" w:rsidR="0014687B" w:rsidRPr="00FA5CB3" w:rsidRDefault="0014687B" w:rsidP="00EE6E48">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88" w:type="pct"/>
            <w:tcBorders>
              <w:top w:val="single" w:sz="4" w:space="0" w:color="auto"/>
              <w:bottom w:val="single" w:sz="4" w:space="0" w:color="auto"/>
            </w:tcBorders>
            <w:shd w:val="clear" w:color="auto" w:fill="auto"/>
            <w:vAlign w:val="center"/>
          </w:tcPr>
          <w:p w14:paraId="15FA9084" w14:textId="77777777" w:rsidR="0014687B" w:rsidRPr="00FA5CB3" w:rsidRDefault="0014687B" w:rsidP="00EE6E48">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22" w:type="pct"/>
            <w:tcBorders>
              <w:top w:val="single" w:sz="4" w:space="0" w:color="auto"/>
              <w:bottom w:val="single" w:sz="4" w:space="0" w:color="auto"/>
            </w:tcBorders>
            <w:shd w:val="clear" w:color="auto" w:fill="auto"/>
            <w:vAlign w:val="center"/>
          </w:tcPr>
          <w:p w14:paraId="4886CA9B" w14:textId="77777777" w:rsidR="0014687B" w:rsidRPr="00FA5CB3" w:rsidRDefault="0014687B" w:rsidP="00EE6E48">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21" w:type="pct"/>
            <w:tcBorders>
              <w:top w:val="single" w:sz="4" w:space="0" w:color="auto"/>
              <w:bottom w:val="single" w:sz="4" w:space="0" w:color="auto"/>
            </w:tcBorders>
            <w:shd w:val="clear" w:color="auto" w:fill="auto"/>
            <w:vAlign w:val="center"/>
          </w:tcPr>
          <w:p w14:paraId="76176E0D" w14:textId="77777777" w:rsidR="0014687B" w:rsidRPr="00FA5CB3" w:rsidRDefault="0014687B" w:rsidP="00EE6E48">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22" w:type="pct"/>
            <w:tcBorders>
              <w:top w:val="single" w:sz="4" w:space="0" w:color="auto"/>
              <w:bottom w:val="single" w:sz="4" w:space="0" w:color="auto"/>
            </w:tcBorders>
            <w:shd w:val="clear" w:color="auto" w:fill="auto"/>
            <w:vAlign w:val="center"/>
          </w:tcPr>
          <w:p w14:paraId="7BE5EF71" w14:textId="77777777" w:rsidR="0014687B" w:rsidRPr="00FA5CB3" w:rsidRDefault="0014687B" w:rsidP="00EE6E48">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88" w:type="pct"/>
            <w:tcBorders>
              <w:top w:val="single" w:sz="4" w:space="0" w:color="auto"/>
              <w:bottom w:val="single" w:sz="4" w:space="0" w:color="auto"/>
            </w:tcBorders>
            <w:shd w:val="clear" w:color="auto" w:fill="auto"/>
            <w:vAlign w:val="center"/>
          </w:tcPr>
          <w:p w14:paraId="3F1FB2AB" w14:textId="77777777" w:rsidR="0014687B" w:rsidRPr="00FA5CB3" w:rsidRDefault="0014687B" w:rsidP="00EE6E48">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239" w:type="pct"/>
            <w:tcBorders>
              <w:top w:val="single" w:sz="4" w:space="0" w:color="auto"/>
              <w:bottom w:val="single" w:sz="4" w:space="0" w:color="auto"/>
            </w:tcBorders>
            <w:shd w:val="clear" w:color="auto" w:fill="auto"/>
            <w:vAlign w:val="center"/>
          </w:tcPr>
          <w:p w14:paraId="3E162443" w14:textId="77777777" w:rsidR="0014687B" w:rsidRPr="00FA5CB3" w:rsidRDefault="0014687B" w:rsidP="00EE6E48">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N</w:t>
            </w:r>
          </w:p>
        </w:tc>
        <w:tc>
          <w:tcPr>
            <w:tcW w:w="345" w:type="pct"/>
            <w:tcBorders>
              <w:top w:val="single" w:sz="4" w:space="0" w:color="auto"/>
              <w:bottom w:val="single" w:sz="4" w:space="0" w:color="auto"/>
            </w:tcBorders>
            <w:shd w:val="clear" w:color="auto" w:fill="auto"/>
            <w:vAlign w:val="center"/>
          </w:tcPr>
          <w:p w14:paraId="7279E585" w14:textId="77777777" w:rsidR="0014687B" w:rsidRPr="00FA5CB3" w:rsidRDefault="0014687B" w:rsidP="00EE6E48">
            <w:pPr>
              <w:shd w:val="clear" w:color="auto" w:fill="FFFFFF" w:themeFill="background1"/>
              <w:spacing w:after="240" w:line="240" w:lineRule="auto"/>
              <w:jc w:val="both"/>
              <w:rPr>
                <w:rFonts w:asciiTheme="majorBidi" w:eastAsia="Times New Roman" w:hAnsiTheme="majorBidi" w:cstheme="majorBidi"/>
                <w:b/>
                <w:sz w:val="24"/>
                <w:szCs w:val="24"/>
              </w:rPr>
            </w:pPr>
            <w:r w:rsidRPr="00FA5CB3">
              <w:rPr>
                <w:rFonts w:asciiTheme="majorBidi" w:eastAsia="Times New Roman" w:hAnsiTheme="majorBidi" w:cstheme="majorBidi"/>
                <w:b/>
                <w:sz w:val="24"/>
                <w:szCs w:val="24"/>
              </w:rPr>
              <w:t>%</w:t>
            </w:r>
          </w:p>
        </w:tc>
        <w:tc>
          <w:tcPr>
            <w:tcW w:w="414" w:type="pct"/>
            <w:vMerge/>
            <w:tcBorders>
              <w:bottom w:val="single" w:sz="4" w:space="0" w:color="auto"/>
            </w:tcBorders>
            <w:shd w:val="clear" w:color="auto" w:fill="auto"/>
            <w:vAlign w:val="center"/>
          </w:tcPr>
          <w:p w14:paraId="49670E96" w14:textId="77777777" w:rsidR="0014687B" w:rsidRPr="00FA5CB3" w:rsidRDefault="0014687B" w:rsidP="00EE6E48">
            <w:pPr>
              <w:shd w:val="clear" w:color="auto" w:fill="FFFFFF" w:themeFill="background1"/>
              <w:spacing w:after="240" w:line="240" w:lineRule="auto"/>
              <w:jc w:val="both"/>
              <w:rPr>
                <w:rFonts w:asciiTheme="majorBidi" w:eastAsia="Times New Roman" w:hAnsiTheme="majorBidi" w:cstheme="majorBidi"/>
                <w:sz w:val="24"/>
                <w:szCs w:val="24"/>
              </w:rPr>
            </w:pPr>
          </w:p>
        </w:tc>
        <w:tc>
          <w:tcPr>
            <w:tcW w:w="621" w:type="pct"/>
            <w:vMerge/>
            <w:tcBorders>
              <w:bottom w:val="single" w:sz="4" w:space="0" w:color="auto"/>
            </w:tcBorders>
            <w:shd w:val="clear" w:color="auto" w:fill="auto"/>
            <w:vAlign w:val="center"/>
          </w:tcPr>
          <w:p w14:paraId="11A7604B" w14:textId="77777777" w:rsidR="0014687B" w:rsidRPr="00FA5CB3" w:rsidRDefault="0014687B" w:rsidP="00EE6E48">
            <w:pPr>
              <w:shd w:val="clear" w:color="auto" w:fill="FFFFFF" w:themeFill="background1"/>
              <w:spacing w:after="240" w:line="240" w:lineRule="auto"/>
              <w:jc w:val="both"/>
              <w:rPr>
                <w:rFonts w:asciiTheme="majorBidi" w:eastAsia="Times New Roman" w:hAnsiTheme="majorBidi" w:cstheme="majorBidi"/>
                <w:sz w:val="24"/>
                <w:szCs w:val="24"/>
              </w:rPr>
            </w:pPr>
          </w:p>
        </w:tc>
      </w:tr>
      <w:tr w:rsidR="0014687B" w:rsidRPr="00FA5CB3" w14:paraId="43A135CA" w14:textId="77777777" w:rsidTr="00E34B42">
        <w:trPr>
          <w:trHeight w:val="626"/>
        </w:trPr>
        <w:tc>
          <w:tcPr>
            <w:tcW w:w="942" w:type="pct"/>
            <w:tcBorders>
              <w:top w:val="nil"/>
            </w:tcBorders>
            <w:shd w:val="clear" w:color="auto" w:fill="auto"/>
            <w:vAlign w:val="center"/>
          </w:tcPr>
          <w:p w14:paraId="11575D44" w14:textId="0BBF214B" w:rsidR="0014687B" w:rsidRPr="00FA5CB3" w:rsidRDefault="0014687B" w:rsidP="00EE6E48">
            <w:pPr>
              <w:shd w:val="clear" w:color="auto" w:fill="FFFFFF" w:themeFill="background1"/>
              <w:spacing w:after="240" w:line="240" w:lineRule="auto"/>
              <w:jc w:val="both"/>
              <w:rPr>
                <w:rFonts w:asciiTheme="majorBidi" w:eastAsia="Times New Roman" w:hAnsiTheme="majorBidi" w:cstheme="majorBidi"/>
                <w:sz w:val="24"/>
                <w:szCs w:val="24"/>
              </w:rPr>
            </w:pPr>
            <w:r w:rsidRPr="00C37E26">
              <w:rPr>
                <w:rFonts w:ascii="Times New Roman" w:eastAsia="Times New Roman" w:hAnsi="Times New Roman" w:cs="Times New Roman"/>
              </w:rPr>
              <w:t>The Loans to Deposit Ratio is in a stable range.</w:t>
            </w:r>
          </w:p>
        </w:tc>
        <w:tc>
          <w:tcPr>
            <w:tcW w:w="288" w:type="pct"/>
            <w:tcBorders>
              <w:top w:val="nil"/>
            </w:tcBorders>
            <w:shd w:val="clear" w:color="auto" w:fill="auto"/>
            <w:vAlign w:val="center"/>
          </w:tcPr>
          <w:p w14:paraId="5FA1BC17" w14:textId="56B3E4D9" w:rsidR="0014687B" w:rsidRPr="00FA5CB3" w:rsidRDefault="0014687B" w:rsidP="00EE6E48">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w:t>
            </w:r>
            <w:r w:rsidR="005F6D78">
              <w:rPr>
                <w:rFonts w:asciiTheme="majorBidi" w:eastAsia="Times New Roman" w:hAnsiTheme="majorBidi" w:cstheme="majorBidi"/>
                <w:sz w:val="24"/>
                <w:szCs w:val="24"/>
              </w:rPr>
              <w:t>5</w:t>
            </w:r>
          </w:p>
        </w:tc>
        <w:tc>
          <w:tcPr>
            <w:tcW w:w="388" w:type="pct"/>
            <w:tcBorders>
              <w:top w:val="nil"/>
            </w:tcBorders>
            <w:shd w:val="clear" w:color="auto" w:fill="auto"/>
            <w:vAlign w:val="center"/>
          </w:tcPr>
          <w:p w14:paraId="5AB995A5" w14:textId="0C09545A" w:rsidR="0014687B" w:rsidRPr="00FA5CB3" w:rsidRDefault="005F6D78" w:rsidP="00EE6E48">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80.35</w:t>
            </w:r>
          </w:p>
        </w:tc>
        <w:tc>
          <w:tcPr>
            <w:tcW w:w="222" w:type="pct"/>
            <w:tcBorders>
              <w:top w:val="nil"/>
            </w:tcBorders>
            <w:shd w:val="clear" w:color="auto" w:fill="auto"/>
            <w:vAlign w:val="center"/>
          </w:tcPr>
          <w:p w14:paraId="1CAECC3C" w14:textId="6263A221" w:rsidR="0014687B" w:rsidRPr="00FA5CB3" w:rsidRDefault="005F6D78" w:rsidP="00EE6E48">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9</w:t>
            </w:r>
          </w:p>
        </w:tc>
        <w:tc>
          <w:tcPr>
            <w:tcW w:w="388" w:type="pct"/>
            <w:tcBorders>
              <w:top w:val="nil"/>
            </w:tcBorders>
            <w:shd w:val="clear" w:color="auto" w:fill="auto"/>
            <w:vAlign w:val="center"/>
          </w:tcPr>
          <w:p w14:paraId="78DDE5D9" w14:textId="229EE80A" w:rsidR="0014687B" w:rsidRPr="00FA5CB3" w:rsidRDefault="005F6D78" w:rsidP="00EE6E48">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16.07</w:t>
            </w:r>
          </w:p>
        </w:tc>
        <w:tc>
          <w:tcPr>
            <w:tcW w:w="222" w:type="pct"/>
            <w:tcBorders>
              <w:top w:val="nil"/>
            </w:tcBorders>
            <w:shd w:val="clear" w:color="auto" w:fill="auto"/>
            <w:vAlign w:val="center"/>
          </w:tcPr>
          <w:p w14:paraId="73C79DAE" w14:textId="0B514C50" w:rsidR="0014687B" w:rsidRPr="00FA5CB3" w:rsidRDefault="005F6D78" w:rsidP="00EE6E48">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321" w:type="pct"/>
            <w:tcBorders>
              <w:top w:val="nil"/>
            </w:tcBorders>
            <w:shd w:val="clear" w:color="auto" w:fill="auto"/>
            <w:vAlign w:val="center"/>
          </w:tcPr>
          <w:p w14:paraId="4BF9131F" w14:textId="4F32DFF8" w:rsidR="0014687B" w:rsidRPr="00FA5CB3" w:rsidRDefault="005F6D78" w:rsidP="00EE6E48">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3.57</w:t>
            </w:r>
          </w:p>
        </w:tc>
        <w:tc>
          <w:tcPr>
            <w:tcW w:w="222" w:type="pct"/>
            <w:tcBorders>
              <w:top w:val="nil"/>
            </w:tcBorders>
            <w:shd w:val="clear" w:color="auto" w:fill="auto"/>
            <w:vAlign w:val="center"/>
          </w:tcPr>
          <w:p w14:paraId="2D5F704B" w14:textId="77777777" w:rsidR="0014687B" w:rsidRPr="00FA5CB3" w:rsidRDefault="0014687B" w:rsidP="00EE6E48">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88" w:type="pct"/>
            <w:tcBorders>
              <w:top w:val="nil"/>
            </w:tcBorders>
            <w:shd w:val="clear" w:color="auto" w:fill="auto"/>
            <w:vAlign w:val="center"/>
          </w:tcPr>
          <w:p w14:paraId="4163B387" w14:textId="77777777" w:rsidR="0014687B" w:rsidRPr="00FA5CB3" w:rsidRDefault="0014687B" w:rsidP="00EE6E48">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0.0</w:t>
            </w:r>
          </w:p>
        </w:tc>
        <w:tc>
          <w:tcPr>
            <w:tcW w:w="239" w:type="pct"/>
            <w:tcBorders>
              <w:top w:val="nil"/>
            </w:tcBorders>
            <w:shd w:val="clear" w:color="auto" w:fill="auto"/>
            <w:vAlign w:val="center"/>
          </w:tcPr>
          <w:p w14:paraId="28EB2A6B" w14:textId="77777777" w:rsidR="0014687B" w:rsidRPr="00FA5CB3" w:rsidRDefault="0014687B" w:rsidP="00EE6E48">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345" w:type="pct"/>
            <w:tcBorders>
              <w:top w:val="nil"/>
            </w:tcBorders>
            <w:shd w:val="clear" w:color="auto" w:fill="auto"/>
            <w:vAlign w:val="center"/>
          </w:tcPr>
          <w:p w14:paraId="60C725AF" w14:textId="77777777" w:rsidR="0014687B" w:rsidRPr="00FA5CB3" w:rsidRDefault="0014687B" w:rsidP="00EE6E48">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414" w:type="pct"/>
            <w:tcBorders>
              <w:top w:val="nil"/>
            </w:tcBorders>
            <w:shd w:val="clear" w:color="auto" w:fill="auto"/>
            <w:vAlign w:val="center"/>
          </w:tcPr>
          <w:p w14:paraId="52FD8A1B" w14:textId="2A54471B" w:rsidR="0014687B" w:rsidRPr="00FA5CB3" w:rsidRDefault="0014687B" w:rsidP="00EE6E48">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4.7</w:t>
            </w:r>
            <w:r w:rsidR="00794071">
              <w:rPr>
                <w:rFonts w:asciiTheme="majorBidi" w:eastAsia="Times New Roman" w:hAnsiTheme="majorBidi" w:cstheme="majorBidi"/>
                <w:sz w:val="24"/>
                <w:szCs w:val="24"/>
              </w:rPr>
              <w:t>5</w:t>
            </w:r>
          </w:p>
        </w:tc>
        <w:tc>
          <w:tcPr>
            <w:tcW w:w="621" w:type="pct"/>
            <w:tcBorders>
              <w:top w:val="nil"/>
            </w:tcBorders>
            <w:shd w:val="clear" w:color="auto" w:fill="auto"/>
            <w:vAlign w:val="center"/>
          </w:tcPr>
          <w:p w14:paraId="63A81E59" w14:textId="238F1184" w:rsidR="0014687B" w:rsidRPr="00FA5CB3" w:rsidRDefault="0014687B" w:rsidP="0079407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w:t>
            </w:r>
            <w:r w:rsidR="00794071">
              <w:rPr>
                <w:rFonts w:asciiTheme="majorBidi" w:eastAsia="Times New Roman" w:hAnsiTheme="majorBidi" w:cstheme="majorBidi"/>
                <w:sz w:val="24"/>
                <w:szCs w:val="24"/>
              </w:rPr>
              <w:t>48</w:t>
            </w:r>
          </w:p>
        </w:tc>
      </w:tr>
      <w:tr w:rsidR="0014687B" w:rsidRPr="00FA5CB3" w14:paraId="7FB98B9A" w14:textId="77777777" w:rsidTr="00E34B42">
        <w:trPr>
          <w:trHeight w:val="500"/>
        </w:trPr>
        <w:tc>
          <w:tcPr>
            <w:tcW w:w="942" w:type="pct"/>
            <w:shd w:val="clear" w:color="auto" w:fill="auto"/>
            <w:vAlign w:val="center"/>
          </w:tcPr>
          <w:p w14:paraId="1A997115" w14:textId="73D1A4E9" w:rsidR="0014687B" w:rsidRPr="00FA5CB3" w:rsidRDefault="0014687B" w:rsidP="00EE6E48">
            <w:pPr>
              <w:shd w:val="clear" w:color="auto" w:fill="FFFFFF" w:themeFill="background1"/>
              <w:spacing w:after="240" w:line="240" w:lineRule="auto"/>
              <w:jc w:val="both"/>
              <w:rPr>
                <w:rFonts w:asciiTheme="majorBidi" w:eastAsia="Times New Roman" w:hAnsiTheme="majorBidi" w:cstheme="majorBidi"/>
                <w:sz w:val="24"/>
                <w:szCs w:val="24"/>
              </w:rPr>
            </w:pPr>
            <w:r w:rsidRPr="00C37E26">
              <w:rPr>
                <w:rFonts w:ascii="Times New Roman" w:eastAsia="Times New Roman" w:hAnsi="Times New Roman" w:cs="Times New Roman"/>
              </w:rPr>
              <w:t>The bank's Loans to Deposit Ratio supports sustainable lending.</w:t>
            </w:r>
          </w:p>
        </w:tc>
        <w:tc>
          <w:tcPr>
            <w:tcW w:w="288" w:type="pct"/>
            <w:shd w:val="clear" w:color="auto" w:fill="auto"/>
            <w:vAlign w:val="center"/>
          </w:tcPr>
          <w:p w14:paraId="0B93FF49" w14:textId="7AE6C09E" w:rsidR="0014687B" w:rsidRPr="00FA5CB3" w:rsidRDefault="00794071" w:rsidP="00EE6E48">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40</w:t>
            </w:r>
          </w:p>
        </w:tc>
        <w:tc>
          <w:tcPr>
            <w:tcW w:w="388" w:type="pct"/>
            <w:shd w:val="clear" w:color="auto" w:fill="auto"/>
            <w:vAlign w:val="center"/>
          </w:tcPr>
          <w:p w14:paraId="47B54007" w14:textId="6BBAF28F" w:rsidR="0014687B" w:rsidRPr="00FA5CB3" w:rsidRDefault="00794071" w:rsidP="00EE6E48">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71.42</w:t>
            </w:r>
          </w:p>
        </w:tc>
        <w:tc>
          <w:tcPr>
            <w:tcW w:w="222" w:type="pct"/>
            <w:shd w:val="clear" w:color="auto" w:fill="auto"/>
            <w:vAlign w:val="center"/>
          </w:tcPr>
          <w:p w14:paraId="0F662257" w14:textId="48FEC771" w:rsidR="0014687B" w:rsidRPr="00FA5CB3" w:rsidRDefault="00794071" w:rsidP="00EE6E48">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8</w:t>
            </w:r>
          </w:p>
        </w:tc>
        <w:tc>
          <w:tcPr>
            <w:tcW w:w="388" w:type="pct"/>
            <w:shd w:val="clear" w:color="auto" w:fill="auto"/>
            <w:vAlign w:val="center"/>
          </w:tcPr>
          <w:p w14:paraId="5C401641" w14:textId="4BA6215C" w:rsidR="0014687B" w:rsidRPr="00FA5CB3" w:rsidRDefault="00794071" w:rsidP="00EE6E48">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14.28</w:t>
            </w:r>
          </w:p>
        </w:tc>
        <w:tc>
          <w:tcPr>
            <w:tcW w:w="222" w:type="pct"/>
            <w:shd w:val="clear" w:color="auto" w:fill="auto"/>
            <w:vAlign w:val="center"/>
          </w:tcPr>
          <w:p w14:paraId="21A2B3BA" w14:textId="59DEEF06" w:rsidR="0014687B" w:rsidRPr="00FA5CB3" w:rsidRDefault="00794071" w:rsidP="00EE6E48">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321" w:type="pct"/>
            <w:shd w:val="clear" w:color="auto" w:fill="auto"/>
            <w:vAlign w:val="center"/>
          </w:tcPr>
          <w:p w14:paraId="79D5A090" w14:textId="3A60C970" w:rsidR="0014687B" w:rsidRPr="00FA5CB3" w:rsidRDefault="00794071" w:rsidP="00EE6E48">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3.57</w:t>
            </w:r>
          </w:p>
        </w:tc>
        <w:tc>
          <w:tcPr>
            <w:tcW w:w="222" w:type="pct"/>
            <w:shd w:val="clear" w:color="auto" w:fill="auto"/>
            <w:vAlign w:val="center"/>
          </w:tcPr>
          <w:p w14:paraId="137DA4C8" w14:textId="3C16DC70" w:rsidR="0014687B" w:rsidRPr="00FA5CB3" w:rsidRDefault="00794071" w:rsidP="00EE6E48">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388" w:type="pct"/>
            <w:shd w:val="clear" w:color="auto" w:fill="auto"/>
            <w:vAlign w:val="center"/>
          </w:tcPr>
          <w:p w14:paraId="562758DB" w14:textId="065CCDBE" w:rsidR="0014687B" w:rsidRPr="00FA5CB3" w:rsidRDefault="00794071" w:rsidP="00EE6E48">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8.92</w:t>
            </w:r>
          </w:p>
        </w:tc>
        <w:tc>
          <w:tcPr>
            <w:tcW w:w="239" w:type="pct"/>
            <w:shd w:val="clear" w:color="auto" w:fill="auto"/>
            <w:vAlign w:val="center"/>
          </w:tcPr>
          <w:p w14:paraId="3E88BF59" w14:textId="55E3681D" w:rsidR="0014687B" w:rsidRPr="00FA5CB3" w:rsidRDefault="00794071" w:rsidP="00EE6E48">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345" w:type="pct"/>
            <w:shd w:val="clear" w:color="auto" w:fill="auto"/>
            <w:vAlign w:val="center"/>
          </w:tcPr>
          <w:p w14:paraId="1F21817E" w14:textId="2B37C022" w:rsidR="0014687B" w:rsidRPr="00FA5CB3" w:rsidRDefault="00794071" w:rsidP="00EE6E48">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1.78</w:t>
            </w:r>
          </w:p>
        </w:tc>
        <w:tc>
          <w:tcPr>
            <w:tcW w:w="414" w:type="pct"/>
            <w:shd w:val="clear" w:color="auto" w:fill="auto"/>
            <w:vAlign w:val="center"/>
          </w:tcPr>
          <w:p w14:paraId="63716F2D" w14:textId="2F48E8B2" w:rsidR="0014687B" w:rsidRPr="00FA5CB3" w:rsidRDefault="0014687B" w:rsidP="00EE6E48">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w:t>
            </w:r>
            <w:r w:rsidR="00794071">
              <w:rPr>
                <w:rFonts w:asciiTheme="majorBidi" w:eastAsia="Times New Roman" w:hAnsiTheme="majorBidi" w:cstheme="majorBidi"/>
                <w:sz w:val="24"/>
                <w:szCs w:val="24"/>
              </w:rPr>
              <w:t>44</w:t>
            </w:r>
          </w:p>
        </w:tc>
        <w:tc>
          <w:tcPr>
            <w:tcW w:w="621" w:type="pct"/>
            <w:shd w:val="clear" w:color="auto" w:fill="auto"/>
            <w:vAlign w:val="center"/>
          </w:tcPr>
          <w:p w14:paraId="11C2F83A" w14:textId="358BF2E2" w:rsidR="0014687B" w:rsidRPr="00FA5CB3" w:rsidRDefault="00794071" w:rsidP="00794071">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1.03</w:t>
            </w:r>
          </w:p>
        </w:tc>
      </w:tr>
    </w:tbl>
    <w:p w14:paraId="7C719E6C" w14:textId="77777777" w:rsidR="00AF4D40" w:rsidRDefault="0014687B" w:rsidP="0014687B">
      <w:pPr>
        <w:shd w:val="clear" w:color="auto" w:fill="FFFFFF" w:themeFill="background1"/>
        <w:spacing w:after="240" w:line="360" w:lineRule="auto"/>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Source: Primary Data (2025</w:t>
      </w:r>
      <w:r w:rsidRPr="00FA5CB3">
        <w:rPr>
          <w:rFonts w:asciiTheme="majorBidi" w:eastAsia="Times New Roman" w:hAnsiTheme="majorBidi" w:cstheme="majorBidi"/>
          <w:b/>
          <w:bCs/>
          <w:sz w:val="24"/>
          <w:szCs w:val="24"/>
        </w:rPr>
        <w:t xml:space="preserve">) </w:t>
      </w:r>
    </w:p>
    <w:p w14:paraId="1CFA1056" w14:textId="77777777" w:rsidR="00AF4D40" w:rsidRPr="00AF4D40" w:rsidRDefault="0014687B" w:rsidP="00AF4D40">
      <w:pPr>
        <w:shd w:val="clear" w:color="auto" w:fill="FFFFFF" w:themeFill="background1"/>
        <w:spacing w:after="240" w:line="360" w:lineRule="auto"/>
        <w:jc w:val="both"/>
        <w:rPr>
          <w:rFonts w:asciiTheme="majorBidi" w:eastAsia="Times New Roman" w:hAnsiTheme="majorBidi" w:cstheme="majorBidi"/>
          <w:sz w:val="24"/>
          <w:szCs w:val="24"/>
          <w:lang w:val="en-GB"/>
        </w:rPr>
      </w:pPr>
      <w:r w:rsidRPr="00FA5CB3">
        <w:rPr>
          <w:rFonts w:asciiTheme="majorBidi" w:eastAsia="Times New Roman" w:hAnsiTheme="majorBidi" w:cstheme="majorBidi"/>
          <w:sz w:val="24"/>
          <w:szCs w:val="24"/>
        </w:rPr>
        <w:t xml:space="preserve"> </w:t>
      </w:r>
      <w:r w:rsidR="00AF4D40" w:rsidRPr="00AF4D40">
        <w:rPr>
          <w:rFonts w:asciiTheme="majorBidi" w:eastAsia="Times New Roman" w:hAnsiTheme="majorBidi" w:cstheme="majorBidi"/>
          <w:sz w:val="24"/>
          <w:szCs w:val="24"/>
          <w:lang w:val="en-GB"/>
        </w:rPr>
        <w:t>Table 4.14 presents the perceptions of employees from six departments (Credit and Risk Management, Finance and Management, Loan, Accounting, Recovery, and Strategic and Planning) regarding the Loans to Deposit Ratio (LDR) of GT Bank Plc from 2019 to 2023. The table provides employee responses to two statements about the bank’s management of the LDR, along with the frequencies (N) and percentages (%) for each response category, as well as the corresponding mean and standard deviation. The analysis of these findings offers insights into how employees perceive the stability and sustainability of the bank's lending practices.</w:t>
      </w:r>
    </w:p>
    <w:p w14:paraId="0EE126E1" w14:textId="294F873A" w:rsidR="00AF4D40" w:rsidRPr="00AF4D40" w:rsidRDefault="00AF4D40" w:rsidP="00AF4D40">
      <w:pPr>
        <w:shd w:val="clear" w:color="auto" w:fill="FFFFFF" w:themeFill="background1"/>
        <w:spacing w:after="240" w:line="360" w:lineRule="auto"/>
        <w:jc w:val="both"/>
        <w:rPr>
          <w:rFonts w:asciiTheme="majorBidi" w:eastAsia="Times New Roman" w:hAnsiTheme="majorBidi" w:cstheme="majorBidi"/>
          <w:sz w:val="24"/>
          <w:szCs w:val="24"/>
          <w:lang w:val="en-GB"/>
        </w:rPr>
      </w:pPr>
      <w:r w:rsidRPr="00AF4D40">
        <w:rPr>
          <w:rFonts w:asciiTheme="majorBidi" w:eastAsia="Times New Roman" w:hAnsiTheme="majorBidi" w:cstheme="majorBidi"/>
          <w:sz w:val="24"/>
          <w:szCs w:val="24"/>
          <w:lang w:val="en-GB"/>
        </w:rPr>
        <w:t>The first statement, "The Loans to Deposit Ratio is in a stable range," reveals a generally positive perception of the bank's liquidity management. A majority of respondents (80.35%) strongly agree, and 16.07% agree, while 3.57% remain neutral. No respondents disagreed or strongly disagreed with this statement. The mean score of 4.75 reflects a strong belief among employees that the bank's LDR is well-managed and remains within a stable range, which is crucial for maintaining a balance between liquidity and lending activities. The standard deviation of 0.48 suggests a relatively low variability in responses, indicating that the perception of the LDR’s stability is consistent across departments. According to Kumar (2020), a stable LDR is essential for managing risk and ensuring that banks can continue lending without jeopardizing their financial stability</w:t>
      </w:r>
      <w:r w:rsidR="006722A0">
        <w:rPr>
          <w:rFonts w:asciiTheme="majorBidi" w:eastAsia="Times New Roman" w:hAnsiTheme="majorBidi" w:cstheme="majorBidi"/>
          <w:sz w:val="24"/>
          <w:szCs w:val="24"/>
          <w:lang w:val="en-GB"/>
        </w:rPr>
        <w:t xml:space="preserve">. </w:t>
      </w:r>
      <w:r w:rsidRPr="00AF4D40">
        <w:rPr>
          <w:rFonts w:asciiTheme="majorBidi" w:eastAsia="Times New Roman" w:hAnsiTheme="majorBidi" w:cstheme="majorBidi"/>
          <w:sz w:val="24"/>
          <w:szCs w:val="24"/>
          <w:lang w:val="en-GB"/>
        </w:rPr>
        <w:t xml:space="preserve">The second statement, "The bank's Loans to Deposit Ratio supports sustainable lending," shows a slightly more mixed response, with a mean score of 4.44 and a higher standard deviation of 1.03. While 71.42% of employees strongly agree, 14.28% agree, and 3.57% remain neutral, a significant portion (8.92%) disagrees with the statement, and 1.78% strongly disagrees. This suggests that while </w:t>
      </w:r>
      <w:r w:rsidRPr="00AF4D40">
        <w:rPr>
          <w:rFonts w:asciiTheme="majorBidi" w:eastAsia="Times New Roman" w:hAnsiTheme="majorBidi" w:cstheme="majorBidi"/>
          <w:sz w:val="24"/>
          <w:szCs w:val="24"/>
          <w:lang w:val="en-GB"/>
        </w:rPr>
        <w:lastRenderedPageBreak/>
        <w:t>the majority of employees believe the LDR supports sustainable lending, there is a notable minority who feel that the ratio may not be sufficient for long-term lending sustainability. The higher standard deviation reflects greater variability in the responses, indicating that opinions on the sustainability of lending practices are less uniform across departments. The variation in responses may point to differing departmental perspectives or concerns regarding how the bank’s lending practices are aligned with overall financial sustainability. As noted by Gupta (2018), the sustainability of a bank's lending activities depends not only on maintaining a stable LDR but also on ensuring that loans are given in a manner that supports long-term profitability without introducing undue risk.</w:t>
      </w:r>
    </w:p>
    <w:p w14:paraId="658F8E16" w14:textId="77777777" w:rsidR="00913121" w:rsidRDefault="00AF4D40" w:rsidP="00913121">
      <w:pPr>
        <w:shd w:val="clear" w:color="auto" w:fill="FFFFFF" w:themeFill="background1"/>
        <w:spacing w:after="240" w:line="360" w:lineRule="auto"/>
        <w:jc w:val="both"/>
        <w:rPr>
          <w:rFonts w:asciiTheme="majorBidi" w:eastAsia="Times New Roman" w:hAnsiTheme="majorBidi" w:cstheme="majorBidi"/>
          <w:sz w:val="24"/>
          <w:szCs w:val="24"/>
          <w:lang w:val="en-GB"/>
        </w:rPr>
      </w:pPr>
      <w:r w:rsidRPr="00AF4D40">
        <w:rPr>
          <w:rFonts w:asciiTheme="majorBidi" w:eastAsia="Times New Roman" w:hAnsiTheme="majorBidi" w:cstheme="majorBidi"/>
          <w:sz w:val="24"/>
          <w:szCs w:val="24"/>
          <w:lang w:val="en-GB"/>
        </w:rPr>
        <w:t>In conclusi</w:t>
      </w:r>
      <w:r w:rsidR="00B3014D">
        <w:rPr>
          <w:rFonts w:asciiTheme="majorBidi" w:eastAsia="Times New Roman" w:hAnsiTheme="majorBidi" w:cstheme="majorBidi"/>
          <w:sz w:val="24"/>
          <w:szCs w:val="24"/>
          <w:lang w:val="en-GB"/>
        </w:rPr>
        <w:t>on, the findings from Table</w:t>
      </w:r>
      <w:r w:rsidRPr="00AF4D40">
        <w:rPr>
          <w:rFonts w:asciiTheme="majorBidi" w:eastAsia="Times New Roman" w:hAnsiTheme="majorBidi" w:cstheme="majorBidi"/>
          <w:sz w:val="24"/>
          <w:szCs w:val="24"/>
          <w:lang w:val="en-GB"/>
        </w:rPr>
        <w:t xml:space="preserve"> suggest that employees generally perceive the Loans to Deposit Ratio of GT Bank Plc as being stable, with the majority agreeing that it is well-managed and supports the bank’s ability to lend sustainably. However, the second statement reveals some concern among a portion of employees regarding the ratio’s ability to ensure long-term sustainability in lending. Despite this, the high mean for both statements indicates that the bank is seen to have a generally positive approach to managing its loans and deposits. The differences in responses to the second statement warrant further investigation into how different departments perceive the bank's lending policies and their alignment with sustainable financial practices.</w:t>
      </w:r>
      <w:bookmarkEnd w:id="1360"/>
      <w:bookmarkEnd w:id="1361"/>
    </w:p>
    <w:p w14:paraId="680321EA" w14:textId="00AC1ADF" w:rsidR="0047302E" w:rsidRPr="00913121" w:rsidRDefault="00B3014D" w:rsidP="00913121">
      <w:pPr>
        <w:shd w:val="clear" w:color="auto" w:fill="FFFFFF" w:themeFill="background1"/>
        <w:spacing w:after="240" w:line="360" w:lineRule="auto"/>
        <w:jc w:val="both"/>
        <w:rPr>
          <w:rFonts w:ascii="Times New Roman" w:eastAsia="Times New Roman" w:hAnsi="Times New Roman" w:cs="Times New Roman"/>
          <w:sz w:val="24"/>
          <w:szCs w:val="24"/>
          <w:lang w:val="en-GB"/>
        </w:rPr>
      </w:pPr>
      <w:r w:rsidRPr="00913121">
        <w:rPr>
          <w:rFonts w:ascii="Times New Roman" w:eastAsia="Times New Roman" w:hAnsi="Times New Roman" w:cs="Times New Roman"/>
          <w:b/>
          <w:bCs/>
          <w:sz w:val="24"/>
          <w:szCs w:val="24"/>
        </w:rPr>
        <w:t>4.3</w:t>
      </w:r>
      <w:r w:rsidR="0047302E" w:rsidRPr="00913121">
        <w:rPr>
          <w:rFonts w:ascii="Times New Roman" w:eastAsia="Times New Roman" w:hAnsi="Times New Roman" w:cs="Times New Roman"/>
          <w:b/>
          <w:bCs/>
          <w:sz w:val="24"/>
          <w:szCs w:val="24"/>
        </w:rPr>
        <w:t xml:space="preserve"> Credit Risk Management</w:t>
      </w:r>
      <w:r w:rsidRPr="00913121">
        <w:rPr>
          <w:rFonts w:ascii="Times New Roman" w:eastAsia="Times New Roman" w:hAnsi="Times New Roman" w:cs="Times New Roman"/>
          <w:b/>
          <w:bCs/>
          <w:sz w:val="24"/>
          <w:szCs w:val="24"/>
        </w:rPr>
        <w:t xml:space="preserve"> Secondary Data</w:t>
      </w:r>
    </w:p>
    <w:p w14:paraId="5B38FDB9" w14:textId="77777777" w:rsidR="0047302E" w:rsidRPr="006D3D71" w:rsidRDefault="0047302E"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47302E">
        <w:rPr>
          <w:rFonts w:asciiTheme="majorBidi" w:eastAsia="Times New Roman" w:hAnsiTheme="majorBidi" w:cstheme="majorBidi"/>
          <w:sz w:val="24"/>
          <w:szCs w:val="24"/>
        </w:rPr>
        <w:t>This section presents an analysis of key credit risk management indicators that influence the financial stability and performance of lending institutions. It examines borrower creditworthiness assessment, which evaluates the ability of applicants to repay loans based on their financial history and income stability. Credit concentration risk is analyzed to determine the extent of risk exposure due to large loan portfolios concentrated in specific sectors or borrowers. Debt restructuring and recovery strategies are examined to assess how modifications to loan terms and recovery efforts impact non-performing loans (NPLs) and financial stability. Additionally, credit risk rating systems are explored to evaluate their effectiveness in identifying high-risk borrowers, while collateral management is assessed to determine its role in mitigating potential losses. Lastly, the frequency of credit risk monitoring is considered to gauge how proactive risk evaluation affects loan performance.</w:t>
      </w:r>
    </w:p>
    <w:p w14:paraId="71739780" w14:textId="0EDF7787" w:rsidR="007E42F6" w:rsidRPr="006D3D71" w:rsidRDefault="001226C1" w:rsidP="006D3D71">
      <w:pPr>
        <w:pStyle w:val="Heading3"/>
        <w:spacing w:line="360" w:lineRule="auto"/>
        <w:rPr>
          <w:rFonts w:asciiTheme="majorBidi" w:eastAsia="Times New Roman" w:hAnsiTheme="majorBidi"/>
          <w:b/>
          <w:bCs/>
          <w:color w:val="auto"/>
          <w:sz w:val="24"/>
          <w:szCs w:val="24"/>
        </w:rPr>
      </w:pPr>
      <w:bookmarkStart w:id="1362" w:name="_Toc193846487"/>
      <w:r w:rsidRPr="006D3D71">
        <w:rPr>
          <w:rFonts w:asciiTheme="majorBidi" w:eastAsia="Times New Roman" w:hAnsiTheme="majorBidi"/>
          <w:b/>
          <w:bCs/>
          <w:color w:val="auto"/>
          <w:sz w:val="24"/>
          <w:szCs w:val="24"/>
        </w:rPr>
        <w:lastRenderedPageBreak/>
        <w:t>4.</w:t>
      </w:r>
      <w:r w:rsidR="00B3014D">
        <w:rPr>
          <w:rFonts w:asciiTheme="majorBidi" w:eastAsia="Times New Roman" w:hAnsiTheme="majorBidi"/>
          <w:b/>
          <w:bCs/>
          <w:color w:val="auto"/>
          <w:sz w:val="24"/>
          <w:szCs w:val="24"/>
        </w:rPr>
        <w:t>3</w:t>
      </w:r>
      <w:r w:rsidRPr="006D3D71">
        <w:rPr>
          <w:rFonts w:asciiTheme="majorBidi" w:eastAsia="Times New Roman" w:hAnsiTheme="majorBidi"/>
          <w:b/>
          <w:bCs/>
          <w:color w:val="auto"/>
          <w:sz w:val="24"/>
          <w:szCs w:val="24"/>
        </w:rPr>
        <w:t>.</w:t>
      </w:r>
      <w:r>
        <w:rPr>
          <w:rFonts w:asciiTheme="majorBidi" w:eastAsia="Times New Roman" w:hAnsiTheme="majorBidi"/>
          <w:b/>
          <w:bCs/>
          <w:color w:val="auto"/>
          <w:sz w:val="24"/>
          <w:szCs w:val="24"/>
        </w:rPr>
        <w:t xml:space="preserve">1 </w:t>
      </w:r>
      <w:r w:rsidRPr="006D3D71">
        <w:rPr>
          <w:rFonts w:asciiTheme="majorBidi" w:eastAsia="Times New Roman" w:hAnsiTheme="majorBidi"/>
          <w:b/>
          <w:bCs/>
          <w:color w:val="auto"/>
          <w:sz w:val="24"/>
          <w:szCs w:val="24"/>
        </w:rPr>
        <w:t>Borrower</w:t>
      </w:r>
      <w:r w:rsidR="007E42F6" w:rsidRPr="006D3D71">
        <w:rPr>
          <w:rFonts w:asciiTheme="majorBidi" w:eastAsia="Times New Roman" w:hAnsiTheme="majorBidi"/>
          <w:b/>
          <w:bCs/>
          <w:color w:val="auto"/>
          <w:sz w:val="24"/>
          <w:szCs w:val="24"/>
        </w:rPr>
        <w:t xml:space="preserve"> Creditworthiness Assessment</w:t>
      </w:r>
      <w:bookmarkEnd w:id="1362"/>
    </w:p>
    <w:p w14:paraId="0F2A7E81" w14:textId="77777777" w:rsidR="007E42F6" w:rsidRPr="006D3D71" w:rsidRDefault="007E42F6"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7E42F6">
        <w:rPr>
          <w:rFonts w:asciiTheme="majorBidi" w:eastAsia="Times New Roman" w:hAnsiTheme="majorBidi" w:cstheme="majorBidi"/>
          <w:sz w:val="24"/>
          <w:szCs w:val="24"/>
        </w:rPr>
        <w:t>GT Bank Rwanda employs a robust borrower creditworthiness assessment process to minimize credit risk and ensure financial stability. The bank's approach integrates thorough evaluations of applicants' financial health, including their credit history, income stability, and debt levels. Key tools such as credit scoring models and risk mitigation strategies are used to assess the ability of borrowers to repay loans. In recent years, particularly during economic challenges, GT Bank has adjusted its credit approval process, making it more selective to avoid defaults. These practices align with global best practices, reinforcing the bank's commitment to prudent risk management.</w:t>
      </w:r>
    </w:p>
    <w:p w14:paraId="203202EF" w14:textId="45EC4297" w:rsidR="006F5EDE" w:rsidRPr="00F4796A" w:rsidRDefault="006F5EDE" w:rsidP="00F4796A">
      <w:pPr>
        <w:pStyle w:val="NoSpacing"/>
        <w:rPr>
          <w:rFonts w:asciiTheme="majorBidi" w:hAnsiTheme="majorBidi" w:cstheme="majorBidi"/>
          <w:b/>
          <w:bCs/>
          <w:sz w:val="24"/>
          <w:szCs w:val="24"/>
        </w:rPr>
      </w:pPr>
      <w:r w:rsidRPr="00F4796A">
        <w:rPr>
          <w:rFonts w:asciiTheme="majorBidi" w:hAnsiTheme="majorBidi" w:cstheme="majorBidi"/>
          <w:b/>
          <w:bCs/>
          <w:sz w:val="24"/>
          <w:szCs w:val="24"/>
        </w:rPr>
        <w:t>Table 4.</w:t>
      </w:r>
      <w:r w:rsidR="002B4044">
        <w:rPr>
          <w:rFonts w:asciiTheme="majorBidi" w:hAnsiTheme="majorBidi" w:cstheme="majorBidi"/>
          <w:b/>
          <w:bCs/>
          <w:sz w:val="24"/>
          <w:szCs w:val="24"/>
        </w:rPr>
        <w:t>15</w:t>
      </w:r>
      <w:r w:rsidRPr="00F4796A">
        <w:rPr>
          <w:rFonts w:asciiTheme="majorBidi" w:hAnsiTheme="majorBidi" w:cstheme="majorBidi"/>
          <w:b/>
          <w:bCs/>
          <w:sz w:val="24"/>
          <w:szCs w:val="24"/>
        </w:rPr>
        <w:t xml:space="preserve"> Borrower Creditworthiness Assessment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2"/>
        <w:gridCol w:w="1794"/>
        <w:gridCol w:w="1784"/>
        <w:gridCol w:w="1199"/>
      </w:tblGrid>
      <w:tr w:rsidR="007E42F6" w:rsidRPr="007E42F6" w14:paraId="3BD2D62A" w14:textId="77777777" w:rsidTr="006F5EDE">
        <w:trPr>
          <w:tblHeader/>
          <w:tblCellSpacing w:w="15" w:type="dxa"/>
        </w:trPr>
        <w:tc>
          <w:tcPr>
            <w:tcW w:w="0" w:type="auto"/>
            <w:tcBorders>
              <w:top w:val="single" w:sz="4" w:space="0" w:color="auto"/>
              <w:left w:val="single" w:sz="4" w:space="0" w:color="auto"/>
              <w:bottom w:val="single" w:sz="4" w:space="0" w:color="auto"/>
            </w:tcBorders>
            <w:vAlign w:val="center"/>
            <w:hideMark/>
          </w:tcPr>
          <w:p w14:paraId="6C43E4F7" w14:textId="77777777" w:rsidR="007E42F6" w:rsidRPr="007E42F6" w:rsidRDefault="007E42F6" w:rsidP="002B4044">
            <w:pPr>
              <w:shd w:val="clear" w:color="auto" w:fill="FFFFFF" w:themeFill="background1"/>
              <w:spacing w:after="240" w:line="240" w:lineRule="auto"/>
              <w:jc w:val="both"/>
              <w:rPr>
                <w:rFonts w:asciiTheme="majorBidi" w:eastAsia="Times New Roman" w:hAnsiTheme="majorBidi" w:cstheme="majorBidi"/>
                <w:b/>
                <w:bCs/>
                <w:sz w:val="24"/>
                <w:szCs w:val="24"/>
              </w:rPr>
            </w:pPr>
            <w:r w:rsidRPr="007E42F6">
              <w:rPr>
                <w:rFonts w:asciiTheme="majorBidi" w:eastAsia="Times New Roman" w:hAnsiTheme="majorBidi" w:cstheme="majorBidi"/>
                <w:b/>
                <w:bCs/>
                <w:sz w:val="24"/>
                <w:szCs w:val="24"/>
              </w:rPr>
              <w:t>Year</w:t>
            </w:r>
          </w:p>
        </w:tc>
        <w:tc>
          <w:tcPr>
            <w:tcW w:w="0" w:type="auto"/>
            <w:tcBorders>
              <w:top w:val="single" w:sz="4" w:space="0" w:color="auto"/>
              <w:left w:val="single" w:sz="4" w:space="0" w:color="auto"/>
              <w:bottom w:val="single" w:sz="4" w:space="0" w:color="auto"/>
              <w:right w:val="single" w:sz="4" w:space="0" w:color="auto"/>
            </w:tcBorders>
            <w:vAlign w:val="center"/>
            <w:hideMark/>
          </w:tcPr>
          <w:p w14:paraId="03B3CA3A" w14:textId="77777777" w:rsidR="007E42F6" w:rsidRPr="007E42F6" w:rsidRDefault="007E42F6" w:rsidP="002B4044">
            <w:pPr>
              <w:shd w:val="clear" w:color="auto" w:fill="FFFFFF" w:themeFill="background1"/>
              <w:spacing w:after="240" w:line="240" w:lineRule="auto"/>
              <w:jc w:val="both"/>
              <w:rPr>
                <w:rFonts w:asciiTheme="majorBidi" w:eastAsia="Times New Roman" w:hAnsiTheme="majorBidi" w:cstheme="majorBidi"/>
                <w:b/>
                <w:bCs/>
                <w:sz w:val="24"/>
                <w:szCs w:val="24"/>
              </w:rPr>
            </w:pPr>
            <w:r w:rsidRPr="007E42F6">
              <w:rPr>
                <w:rFonts w:asciiTheme="majorBidi" w:eastAsia="Times New Roman" w:hAnsiTheme="majorBidi" w:cstheme="majorBidi"/>
                <w:b/>
                <w:bCs/>
                <w:sz w:val="24"/>
                <w:szCs w:val="24"/>
              </w:rPr>
              <w:t>Total Applicants</w:t>
            </w:r>
          </w:p>
        </w:tc>
        <w:tc>
          <w:tcPr>
            <w:tcW w:w="0" w:type="auto"/>
            <w:tcBorders>
              <w:top w:val="single" w:sz="4" w:space="0" w:color="auto"/>
              <w:bottom w:val="single" w:sz="4" w:space="0" w:color="auto"/>
              <w:right w:val="single" w:sz="4" w:space="0" w:color="auto"/>
            </w:tcBorders>
            <w:vAlign w:val="center"/>
            <w:hideMark/>
          </w:tcPr>
          <w:p w14:paraId="2361B52A" w14:textId="77777777" w:rsidR="007E42F6" w:rsidRPr="007E42F6" w:rsidRDefault="007E42F6" w:rsidP="002B4044">
            <w:pPr>
              <w:shd w:val="clear" w:color="auto" w:fill="FFFFFF" w:themeFill="background1"/>
              <w:spacing w:after="240" w:line="240" w:lineRule="auto"/>
              <w:jc w:val="both"/>
              <w:rPr>
                <w:rFonts w:asciiTheme="majorBidi" w:eastAsia="Times New Roman" w:hAnsiTheme="majorBidi" w:cstheme="majorBidi"/>
                <w:b/>
                <w:bCs/>
                <w:sz w:val="24"/>
                <w:szCs w:val="24"/>
              </w:rPr>
            </w:pPr>
            <w:r w:rsidRPr="007E42F6">
              <w:rPr>
                <w:rFonts w:asciiTheme="majorBidi" w:eastAsia="Times New Roman" w:hAnsiTheme="majorBidi" w:cstheme="majorBidi"/>
                <w:b/>
                <w:bCs/>
                <w:sz w:val="24"/>
                <w:szCs w:val="24"/>
              </w:rPr>
              <w:t>Approved Loans</w:t>
            </w:r>
          </w:p>
        </w:tc>
        <w:tc>
          <w:tcPr>
            <w:tcW w:w="0" w:type="auto"/>
            <w:tcBorders>
              <w:top w:val="single" w:sz="4" w:space="0" w:color="auto"/>
              <w:bottom w:val="single" w:sz="4" w:space="0" w:color="auto"/>
              <w:right w:val="single" w:sz="4" w:space="0" w:color="auto"/>
            </w:tcBorders>
            <w:vAlign w:val="center"/>
            <w:hideMark/>
          </w:tcPr>
          <w:p w14:paraId="766FD888" w14:textId="77777777" w:rsidR="007E42F6" w:rsidRPr="007E42F6" w:rsidRDefault="007E42F6" w:rsidP="002B4044">
            <w:pPr>
              <w:shd w:val="clear" w:color="auto" w:fill="FFFFFF" w:themeFill="background1"/>
              <w:spacing w:after="240" w:line="240" w:lineRule="auto"/>
              <w:jc w:val="both"/>
              <w:rPr>
                <w:rFonts w:asciiTheme="majorBidi" w:eastAsia="Times New Roman" w:hAnsiTheme="majorBidi" w:cstheme="majorBidi"/>
                <w:b/>
                <w:bCs/>
                <w:sz w:val="24"/>
                <w:szCs w:val="24"/>
              </w:rPr>
            </w:pPr>
            <w:r w:rsidRPr="007E42F6">
              <w:rPr>
                <w:rFonts w:asciiTheme="majorBidi" w:eastAsia="Times New Roman" w:hAnsiTheme="majorBidi" w:cstheme="majorBidi"/>
                <w:b/>
                <w:bCs/>
                <w:sz w:val="24"/>
                <w:szCs w:val="24"/>
              </w:rPr>
              <w:t>CAPE (%)</w:t>
            </w:r>
          </w:p>
        </w:tc>
      </w:tr>
      <w:tr w:rsidR="007E42F6" w:rsidRPr="007E42F6" w14:paraId="1FA6CC1A" w14:textId="77777777" w:rsidTr="006F5EDE">
        <w:trPr>
          <w:tblCellSpacing w:w="15" w:type="dxa"/>
        </w:trPr>
        <w:tc>
          <w:tcPr>
            <w:tcW w:w="0" w:type="auto"/>
            <w:tcBorders>
              <w:left w:val="single" w:sz="4" w:space="0" w:color="auto"/>
              <w:bottom w:val="single" w:sz="4" w:space="0" w:color="auto"/>
            </w:tcBorders>
            <w:vAlign w:val="center"/>
            <w:hideMark/>
          </w:tcPr>
          <w:p w14:paraId="226ECD5F" w14:textId="77777777" w:rsidR="007E42F6" w:rsidRPr="007E42F6" w:rsidRDefault="007E42F6" w:rsidP="002B4044">
            <w:pPr>
              <w:shd w:val="clear" w:color="auto" w:fill="FFFFFF" w:themeFill="background1"/>
              <w:spacing w:after="240" w:line="240" w:lineRule="auto"/>
              <w:jc w:val="both"/>
              <w:rPr>
                <w:rFonts w:asciiTheme="majorBidi" w:eastAsia="Times New Roman" w:hAnsiTheme="majorBidi" w:cstheme="majorBidi"/>
                <w:sz w:val="24"/>
                <w:szCs w:val="24"/>
              </w:rPr>
            </w:pPr>
            <w:r w:rsidRPr="007E42F6">
              <w:rPr>
                <w:rFonts w:asciiTheme="majorBidi" w:eastAsia="Times New Roman" w:hAnsiTheme="majorBidi" w:cstheme="majorBidi"/>
                <w:sz w:val="24"/>
                <w:szCs w:val="24"/>
              </w:rPr>
              <w:t>2019</w:t>
            </w:r>
          </w:p>
        </w:tc>
        <w:tc>
          <w:tcPr>
            <w:tcW w:w="0" w:type="auto"/>
            <w:tcBorders>
              <w:left w:val="single" w:sz="4" w:space="0" w:color="auto"/>
              <w:bottom w:val="single" w:sz="4" w:space="0" w:color="auto"/>
              <w:right w:val="single" w:sz="4" w:space="0" w:color="auto"/>
            </w:tcBorders>
            <w:vAlign w:val="center"/>
            <w:hideMark/>
          </w:tcPr>
          <w:p w14:paraId="0FC96D43" w14:textId="77777777" w:rsidR="007E42F6" w:rsidRPr="007E42F6" w:rsidRDefault="007E42F6" w:rsidP="002B4044">
            <w:pPr>
              <w:shd w:val="clear" w:color="auto" w:fill="FFFFFF" w:themeFill="background1"/>
              <w:spacing w:after="240" w:line="240" w:lineRule="auto"/>
              <w:jc w:val="both"/>
              <w:rPr>
                <w:rFonts w:asciiTheme="majorBidi" w:eastAsia="Times New Roman" w:hAnsiTheme="majorBidi" w:cstheme="majorBidi"/>
                <w:sz w:val="24"/>
                <w:szCs w:val="24"/>
              </w:rPr>
            </w:pPr>
            <w:r w:rsidRPr="007E42F6">
              <w:rPr>
                <w:rFonts w:asciiTheme="majorBidi" w:eastAsia="Times New Roman" w:hAnsiTheme="majorBidi" w:cstheme="majorBidi"/>
                <w:sz w:val="24"/>
                <w:szCs w:val="24"/>
              </w:rPr>
              <w:t>11,452</w:t>
            </w:r>
          </w:p>
        </w:tc>
        <w:tc>
          <w:tcPr>
            <w:tcW w:w="0" w:type="auto"/>
            <w:tcBorders>
              <w:bottom w:val="single" w:sz="4" w:space="0" w:color="auto"/>
              <w:right w:val="single" w:sz="4" w:space="0" w:color="auto"/>
            </w:tcBorders>
            <w:vAlign w:val="center"/>
            <w:hideMark/>
          </w:tcPr>
          <w:p w14:paraId="3D715C36" w14:textId="77777777" w:rsidR="007E42F6" w:rsidRPr="007E42F6" w:rsidRDefault="007E42F6" w:rsidP="002B4044">
            <w:pPr>
              <w:shd w:val="clear" w:color="auto" w:fill="FFFFFF" w:themeFill="background1"/>
              <w:spacing w:after="240" w:line="240" w:lineRule="auto"/>
              <w:jc w:val="both"/>
              <w:rPr>
                <w:rFonts w:asciiTheme="majorBidi" w:eastAsia="Times New Roman" w:hAnsiTheme="majorBidi" w:cstheme="majorBidi"/>
                <w:sz w:val="24"/>
                <w:szCs w:val="24"/>
              </w:rPr>
            </w:pPr>
            <w:r w:rsidRPr="007E42F6">
              <w:rPr>
                <w:rFonts w:asciiTheme="majorBidi" w:eastAsia="Times New Roman" w:hAnsiTheme="majorBidi" w:cstheme="majorBidi"/>
                <w:sz w:val="24"/>
                <w:szCs w:val="24"/>
              </w:rPr>
              <w:t>9,213</w:t>
            </w:r>
          </w:p>
        </w:tc>
        <w:tc>
          <w:tcPr>
            <w:tcW w:w="0" w:type="auto"/>
            <w:tcBorders>
              <w:bottom w:val="single" w:sz="4" w:space="0" w:color="auto"/>
              <w:right w:val="single" w:sz="4" w:space="0" w:color="auto"/>
            </w:tcBorders>
            <w:vAlign w:val="center"/>
            <w:hideMark/>
          </w:tcPr>
          <w:p w14:paraId="40EB5849" w14:textId="77777777" w:rsidR="007E42F6" w:rsidRPr="007E42F6" w:rsidRDefault="007E42F6" w:rsidP="002B4044">
            <w:pPr>
              <w:shd w:val="clear" w:color="auto" w:fill="FFFFFF" w:themeFill="background1"/>
              <w:spacing w:after="240" w:line="240" w:lineRule="auto"/>
              <w:jc w:val="both"/>
              <w:rPr>
                <w:rFonts w:asciiTheme="majorBidi" w:eastAsia="Times New Roman" w:hAnsiTheme="majorBidi" w:cstheme="majorBidi"/>
                <w:sz w:val="24"/>
                <w:szCs w:val="24"/>
              </w:rPr>
            </w:pPr>
            <w:r w:rsidRPr="007E42F6">
              <w:rPr>
                <w:rFonts w:asciiTheme="majorBidi" w:eastAsia="Times New Roman" w:hAnsiTheme="majorBidi" w:cstheme="majorBidi"/>
                <w:sz w:val="24"/>
                <w:szCs w:val="24"/>
              </w:rPr>
              <w:t>80.45</w:t>
            </w:r>
          </w:p>
        </w:tc>
      </w:tr>
      <w:tr w:rsidR="007E42F6" w:rsidRPr="007E42F6" w14:paraId="5BEF6E16" w14:textId="77777777" w:rsidTr="006F5EDE">
        <w:trPr>
          <w:tblCellSpacing w:w="15" w:type="dxa"/>
        </w:trPr>
        <w:tc>
          <w:tcPr>
            <w:tcW w:w="0" w:type="auto"/>
            <w:tcBorders>
              <w:left w:val="single" w:sz="4" w:space="0" w:color="auto"/>
            </w:tcBorders>
            <w:vAlign w:val="center"/>
            <w:hideMark/>
          </w:tcPr>
          <w:p w14:paraId="5CF0C448" w14:textId="77777777" w:rsidR="007E42F6" w:rsidRPr="007E42F6" w:rsidRDefault="007E42F6" w:rsidP="002B4044">
            <w:pPr>
              <w:shd w:val="clear" w:color="auto" w:fill="FFFFFF" w:themeFill="background1"/>
              <w:spacing w:after="240" w:line="240" w:lineRule="auto"/>
              <w:jc w:val="both"/>
              <w:rPr>
                <w:rFonts w:asciiTheme="majorBidi" w:eastAsia="Times New Roman" w:hAnsiTheme="majorBidi" w:cstheme="majorBidi"/>
                <w:sz w:val="24"/>
                <w:szCs w:val="24"/>
              </w:rPr>
            </w:pPr>
            <w:r w:rsidRPr="007E42F6">
              <w:rPr>
                <w:rFonts w:asciiTheme="majorBidi" w:eastAsia="Times New Roman" w:hAnsiTheme="majorBidi" w:cstheme="majorBidi"/>
                <w:sz w:val="24"/>
                <w:szCs w:val="24"/>
              </w:rPr>
              <w:t>2020</w:t>
            </w:r>
          </w:p>
        </w:tc>
        <w:tc>
          <w:tcPr>
            <w:tcW w:w="0" w:type="auto"/>
            <w:tcBorders>
              <w:left w:val="single" w:sz="4" w:space="0" w:color="auto"/>
              <w:right w:val="single" w:sz="4" w:space="0" w:color="auto"/>
            </w:tcBorders>
            <w:vAlign w:val="center"/>
            <w:hideMark/>
          </w:tcPr>
          <w:p w14:paraId="1BA6D8E6" w14:textId="77777777" w:rsidR="007E42F6" w:rsidRPr="007E42F6" w:rsidRDefault="007E42F6" w:rsidP="002B4044">
            <w:pPr>
              <w:shd w:val="clear" w:color="auto" w:fill="FFFFFF" w:themeFill="background1"/>
              <w:spacing w:after="240" w:line="240" w:lineRule="auto"/>
              <w:jc w:val="both"/>
              <w:rPr>
                <w:rFonts w:asciiTheme="majorBidi" w:eastAsia="Times New Roman" w:hAnsiTheme="majorBidi" w:cstheme="majorBidi"/>
                <w:sz w:val="24"/>
                <w:szCs w:val="24"/>
              </w:rPr>
            </w:pPr>
            <w:r w:rsidRPr="007E42F6">
              <w:rPr>
                <w:rFonts w:asciiTheme="majorBidi" w:eastAsia="Times New Roman" w:hAnsiTheme="majorBidi" w:cstheme="majorBidi"/>
                <w:sz w:val="24"/>
                <w:szCs w:val="24"/>
              </w:rPr>
              <w:t>13,187</w:t>
            </w:r>
          </w:p>
        </w:tc>
        <w:tc>
          <w:tcPr>
            <w:tcW w:w="0" w:type="auto"/>
            <w:tcBorders>
              <w:right w:val="single" w:sz="4" w:space="0" w:color="auto"/>
            </w:tcBorders>
            <w:vAlign w:val="center"/>
            <w:hideMark/>
          </w:tcPr>
          <w:p w14:paraId="6ADBA1C1" w14:textId="77777777" w:rsidR="007E42F6" w:rsidRPr="007E42F6" w:rsidRDefault="007E42F6" w:rsidP="002B4044">
            <w:pPr>
              <w:shd w:val="clear" w:color="auto" w:fill="FFFFFF" w:themeFill="background1"/>
              <w:spacing w:after="240" w:line="240" w:lineRule="auto"/>
              <w:jc w:val="both"/>
              <w:rPr>
                <w:rFonts w:asciiTheme="majorBidi" w:eastAsia="Times New Roman" w:hAnsiTheme="majorBidi" w:cstheme="majorBidi"/>
                <w:sz w:val="24"/>
                <w:szCs w:val="24"/>
              </w:rPr>
            </w:pPr>
            <w:r w:rsidRPr="007E42F6">
              <w:rPr>
                <w:rFonts w:asciiTheme="majorBidi" w:eastAsia="Times New Roman" w:hAnsiTheme="majorBidi" w:cstheme="majorBidi"/>
                <w:sz w:val="24"/>
                <w:szCs w:val="24"/>
              </w:rPr>
              <w:t>8,432</w:t>
            </w:r>
          </w:p>
        </w:tc>
        <w:tc>
          <w:tcPr>
            <w:tcW w:w="0" w:type="auto"/>
            <w:tcBorders>
              <w:right w:val="single" w:sz="4" w:space="0" w:color="auto"/>
            </w:tcBorders>
            <w:vAlign w:val="center"/>
            <w:hideMark/>
          </w:tcPr>
          <w:p w14:paraId="06D95DC8" w14:textId="77777777" w:rsidR="007E42F6" w:rsidRPr="007E42F6" w:rsidRDefault="007E42F6" w:rsidP="002B4044">
            <w:pPr>
              <w:shd w:val="clear" w:color="auto" w:fill="FFFFFF" w:themeFill="background1"/>
              <w:spacing w:after="240" w:line="240" w:lineRule="auto"/>
              <w:jc w:val="both"/>
              <w:rPr>
                <w:rFonts w:asciiTheme="majorBidi" w:eastAsia="Times New Roman" w:hAnsiTheme="majorBidi" w:cstheme="majorBidi"/>
                <w:sz w:val="24"/>
                <w:szCs w:val="24"/>
              </w:rPr>
            </w:pPr>
            <w:r w:rsidRPr="007E42F6">
              <w:rPr>
                <w:rFonts w:asciiTheme="majorBidi" w:eastAsia="Times New Roman" w:hAnsiTheme="majorBidi" w:cstheme="majorBidi"/>
                <w:sz w:val="24"/>
                <w:szCs w:val="24"/>
              </w:rPr>
              <w:t>63.94</w:t>
            </w:r>
          </w:p>
        </w:tc>
      </w:tr>
      <w:tr w:rsidR="007E42F6" w:rsidRPr="007E42F6" w14:paraId="7D9FCC46" w14:textId="77777777" w:rsidTr="006F5EDE">
        <w:trPr>
          <w:tblCellSpacing w:w="15" w:type="dxa"/>
        </w:trPr>
        <w:tc>
          <w:tcPr>
            <w:tcW w:w="0" w:type="auto"/>
            <w:tcBorders>
              <w:top w:val="single" w:sz="4" w:space="0" w:color="auto"/>
              <w:left w:val="single" w:sz="4" w:space="0" w:color="auto"/>
            </w:tcBorders>
            <w:vAlign w:val="center"/>
            <w:hideMark/>
          </w:tcPr>
          <w:p w14:paraId="0B5F372F" w14:textId="77777777" w:rsidR="007E42F6" w:rsidRPr="007E42F6" w:rsidRDefault="007E42F6" w:rsidP="002B4044">
            <w:pPr>
              <w:shd w:val="clear" w:color="auto" w:fill="FFFFFF" w:themeFill="background1"/>
              <w:spacing w:after="240" w:line="240" w:lineRule="auto"/>
              <w:jc w:val="both"/>
              <w:rPr>
                <w:rFonts w:asciiTheme="majorBidi" w:eastAsia="Times New Roman" w:hAnsiTheme="majorBidi" w:cstheme="majorBidi"/>
                <w:sz w:val="24"/>
                <w:szCs w:val="24"/>
              </w:rPr>
            </w:pPr>
            <w:r w:rsidRPr="007E42F6">
              <w:rPr>
                <w:rFonts w:asciiTheme="majorBidi" w:eastAsia="Times New Roman" w:hAnsiTheme="majorBidi" w:cstheme="majorBidi"/>
                <w:sz w:val="24"/>
                <w:szCs w:val="24"/>
              </w:rPr>
              <w:t>2021</w:t>
            </w:r>
          </w:p>
        </w:tc>
        <w:tc>
          <w:tcPr>
            <w:tcW w:w="0" w:type="auto"/>
            <w:tcBorders>
              <w:top w:val="single" w:sz="4" w:space="0" w:color="auto"/>
              <w:left w:val="single" w:sz="4" w:space="0" w:color="auto"/>
              <w:right w:val="single" w:sz="4" w:space="0" w:color="auto"/>
            </w:tcBorders>
            <w:vAlign w:val="center"/>
            <w:hideMark/>
          </w:tcPr>
          <w:p w14:paraId="5ED4BCD8" w14:textId="77777777" w:rsidR="007E42F6" w:rsidRPr="007E42F6" w:rsidRDefault="007E42F6" w:rsidP="002B4044">
            <w:pPr>
              <w:shd w:val="clear" w:color="auto" w:fill="FFFFFF" w:themeFill="background1"/>
              <w:spacing w:after="240" w:line="240" w:lineRule="auto"/>
              <w:jc w:val="both"/>
              <w:rPr>
                <w:rFonts w:asciiTheme="majorBidi" w:eastAsia="Times New Roman" w:hAnsiTheme="majorBidi" w:cstheme="majorBidi"/>
                <w:sz w:val="24"/>
                <w:szCs w:val="24"/>
              </w:rPr>
            </w:pPr>
            <w:r w:rsidRPr="007E42F6">
              <w:rPr>
                <w:rFonts w:asciiTheme="majorBidi" w:eastAsia="Times New Roman" w:hAnsiTheme="majorBidi" w:cstheme="majorBidi"/>
                <w:sz w:val="24"/>
                <w:szCs w:val="24"/>
              </w:rPr>
              <w:t>14,452</w:t>
            </w:r>
          </w:p>
        </w:tc>
        <w:tc>
          <w:tcPr>
            <w:tcW w:w="0" w:type="auto"/>
            <w:tcBorders>
              <w:top w:val="single" w:sz="4" w:space="0" w:color="auto"/>
              <w:right w:val="single" w:sz="4" w:space="0" w:color="auto"/>
            </w:tcBorders>
            <w:vAlign w:val="center"/>
            <w:hideMark/>
          </w:tcPr>
          <w:p w14:paraId="225DA235" w14:textId="77777777" w:rsidR="007E42F6" w:rsidRPr="007E42F6" w:rsidRDefault="007E42F6" w:rsidP="002B4044">
            <w:pPr>
              <w:shd w:val="clear" w:color="auto" w:fill="FFFFFF" w:themeFill="background1"/>
              <w:spacing w:after="240" w:line="240" w:lineRule="auto"/>
              <w:jc w:val="both"/>
              <w:rPr>
                <w:rFonts w:asciiTheme="majorBidi" w:eastAsia="Times New Roman" w:hAnsiTheme="majorBidi" w:cstheme="majorBidi"/>
                <w:sz w:val="24"/>
                <w:szCs w:val="24"/>
              </w:rPr>
            </w:pPr>
            <w:r w:rsidRPr="007E42F6">
              <w:rPr>
                <w:rFonts w:asciiTheme="majorBidi" w:eastAsia="Times New Roman" w:hAnsiTheme="majorBidi" w:cstheme="majorBidi"/>
                <w:sz w:val="24"/>
                <w:szCs w:val="24"/>
              </w:rPr>
              <w:t>10,317</w:t>
            </w:r>
          </w:p>
        </w:tc>
        <w:tc>
          <w:tcPr>
            <w:tcW w:w="0" w:type="auto"/>
            <w:tcBorders>
              <w:top w:val="single" w:sz="4" w:space="0" w:color="auto"/>
              <w:right w:val="single" w:sz="4" w:space="0" w:color="auto"/>
            </w:tcBorders>
            <w:vAlign w:val="center"/>
            <w:hideMark/>
          </w:tcPr>
          <w:p w14:paraId="7D2488C4" w14:textId="77777777" w:rsidR="007E42F6" w:rsidRPr="007E42F6" w:rsidRDefault="007E42F6" w:rsidP="002B4044">
            <w:pPr>
              <w:shd w:val="clear" w:color="auto" w:fill="FFFFFF" w:themeFill="background1"/>
              <w:spacing w:after="240" w:line="240" w:lineRule="auto"/>
              <w:jc w:val="both"/>
              <w:rPr>
                <w:rFonts w:asciiTheme="majorBidi" w:eastAsia="Times New Roman" w:hAnsiTheme="majorBidi" w:cstheme="majorBidi"/>
                <w:sz w:val="24"/>
                <w:szCs w:val="24"/>
              </w:rPr>
            </w:pPr>
            <w:r w:rsidRPr="007E42F6">
              <w:rPr>
                <w:rFonts w:asciiTheme="majorBidi" w:eastAsia="Times New Roman" w:hAnsiTheme="majorBidi" w:cstheme="majorBidi"/>
                <w:sz w:val="24"/>
                <w:szCs w:val="24"/>
              </w:rPr>
              <w:t>71.39</w:t>
            </w:r>
          </w:p>
        </w:tc>
      </w:tr>
      <w:tr w:rsidR="007E42F6" w:rsidRPr="007E42F6" w14:paraId="44F1A74C" w14:textId="77777777" w:rsidTr="006F5EDE">
        <w:trPr>
          <w:tblCellSpacing w:w="15" w:type="dxa"/>
        </w:trPr>
        <w:tc>
          <w:tcPr>
            <w:tcW w:w="0" w:type="auto"/>
            <w:tcBorders>
              <w:top w:val="single" w:sz="4" w:space="0" w:color="auto"/>
              <w:left w:val="single" w:sz="4" w:space="0" w:color="auto"/>
            </w:tcBorders>
            <w:vAlign w:val="center"/>
            <w:hideMark/>
          </w:tcPr>
          <w:p w14:paraId="766C8A0B" w14:textId="77777777" w:rsidR="007E42F6" w:rsidRPr="007E42F6" w:rsidRDefault="007E42F6" w:rsidP="002B4044">
            <w:pPr>
              <w:shd w:val="clear" w:color="auto" w:fill="FFFFFF" w:themeFill="background1"/>
              <w:spacing w:after="240" w:line="240" w:lineRule="auto"/>
              <w:jc w:val="both"/>
              <w:rPr>
                <w:rFonts w:asciiTheme="majorBidi" w:eastAsia="Times New Roman" w:hAnsiTheme="majorBidi" w:cstheme="majorBidi"/>
                <w:sz w:val="24"/>
                <w:szCs w:val="24"/>
              </w:rPr>
            </w:pPr>
            <w:r w:rsidRPr="007E42F6">
              <w:rPr>
                <w:rFonts w:asciiTheme="majorBidi" w:eastAsia="Times New Roman" w:hAnsiTheme="majorBidi" w:cstheme="majorBidi"/>
                <w:sz w:val="24"/>
                <w:szCs w:val="24"/>
              </w:rPr>
              <w:t>2022</w:t>
            </w:r>
          </w:p>
        </w:tc>
        <w:tc>
          <w:tcPr>
            <w:tcW w:w="0" w:type="auto"/>
            <w:tcBorders>
              <w:top w:val="single" w:sz="4" w:space="0" w:color="auto"/>
              <w:left w:val="single" w:sz="4" w:space="0" w:color="auto"/>
              <w:right w:val="single" w:sz="4" w:space="0" w:color="auto"/>
            </w:tcBorders>
            <w:vAlign w:val="center"/>
            <w:hideMark/>
          </w:tcPr>
          <w:p w14:paraId="3CF8C880" w14:textId="77777777" w:rsidR="007E42F6" w:rsidRPr="007E42F6" w:rsidRDefault="007E42F6" w:rsidP="002B4044">
            <w:pPr>
              <w:shd w:val="clear" w:color="auto" w:fill="FFFFFF" w:themeFill="background1"/>
              <w:spacing w:after="240" w:line="240" w:lineRule="auto"/>
              <w:jc w:val="both"/>
              <w:rPr>
                <w:rFonts w:asciiTheme="majorBidi" w:eastAsia="Times New Roman" w:hAnsiTheme="majorBidi" w:cstheme="majorBidi"/>
                <w:sz w:val="24"/>
                <w:szCs w:val="24"/>
              </w:rPr>
            </w:pPr>
            <w:r w:rsidRPr="007E42F6">
              <w:rPr>
                <w:rFonts w:asciiTheme="majorBidi" w:eastAsia="Times New Roman" w:hAnsiTheme="majorBidi" w:cstheme="majorBidi"/>
                <w:sz w:val="24"/>
                <w:szCs w:val="24"/>
              </w:rPr>
              <w:t>12,139</w:t>
            </w:r>
          </w:p>
        </w:tc>
        <w:tc>
          <w:tcPr>
            <w:tcW w:w="0" w:type="auto"/>
            <w:tcBorders>
              <w:top w:val="single" w:sz="4" w:space="0" w:color="auto"/>
              <w:right w:val="single" w:sz="4" w:space="0" w:color="auto"/>
            </w:tcBorders>
            <w:vAlign w:val="center"/>
            <w:hideMark/>
          </w:tcPr>
          <w:p w14:paraId="2F309DC2" w14:textId="77777777" w:rsidR="007E42F6" w:rsidRPr="007E42F6" w:rsidRDefault="007E42F6" w:rsidP="002B4044">
            <w:pPr>
              <w:shd w:val="clear" w:color="auto" w:fill="FFFFFF" w:themeFill="background1"/>
              <w:spacing w:after="240" w:line="240" w:lineRule="auto"/>
              <w:jc w:val="both"/>
              <w:rPr>
                <w:rFonts w:asciiTheme="majorBidi" w:eastAsia="Times New Roman" w:hAnsiTheme="majorBidi" w:cstheme="majorBidi"/>
                <w:sz w:val="24"/>
                <w:szCs w:val="24"/>
              </w:rPr>
            </w:pPr>
            <w:r w:rsidRPr="007E42F6">
              <w:rPr>
                <w:rFonts w:asciiTheme="majorBidi" w:eastAsia="Times New Roman" w:hAnsiTheme="majorBidi" w:cstheme="majorBidi"/>
                <w:sz w:val="24"/>
                <w:szCs w:val="24"/>
              </w:rPr>
              <w:t>9,343</w:t>
            </w:r>
          </w:p>
        </w:tc>
        <w:tc>
          <w:tcPr>
            <w:tcW w:w="0" w:type="auto"/>
            <w:tcBorders>
              <w:top w:val="single" w:sz="4" w:space="0" w:color="auto"/>
              <w:right w:val="single" w:sz="4" w:space="0" w:color="auto"/>
            </w:tcBorders>
            <w:vAlign w:val="center"/>
            <w:hideMark/>
          </w:tcPr>
          <w:p w14:paraId="7720EB59" w14:textId="77777777" w:rsidR="007E42F6" w:rsidRPr="007E42F6" w:rsidRDefault="007E42F6" w:rsidP="002B4044">
            <w:pPr>
              <w:shd w:val="clear" w:color="auto" w:fill="FFFFFF" w:themeFill="background1"/>
              <w:spacing w:after="240" w:line="240" w:lineRule="auto"/>
              <w:jc w:val="both"/>
              <w:rPr>
                <w:rFonts w:asciiTheme="majorBidi" w:eastAsia="Times New Roman" w:hAnsiTheme="majorBidi" w:cstheme="majorBidi"/>
                <w:sz w:val="24"/>
                <w:szCs w:val="24"/>
              </w:rPr>
            </w:pPr>
            <w:r w:rsidRPr="007E42F6">
              <w:rPr>
                <w:rFonts w:asciiTheme="majorBidi" w:eastAsia="Times New Roman" w:hAnsiTheme="majorBidi" w:cstheme="majorBidi"/>
                <w:sz w:val="24"/>
                <w:szCs w:val="24"/>
              </w:rPr>
              <w:t>76.97</w:t>
            </w:r>
          </w:p>
        </w:tc>
      </w:tr>
      <w:tr w:rsidR="007E42F6" w:rsidRPr="007E42F6" w14:paraId="294ACFFC" w14:textId="77777777" w:rsidTr="006F5EDE">
        <w:trPr>
          <w:tblCellSpacing w:w="15" w:type="dxa"/>
        </w:trPr>
        <w:tc>
          <w:tcPr>
            <w:tcW w:w="0" w:type="auto"/>
            <w:tcBorders>
              <w:top w:val="single" w:sz="4" w:space="0" w:color="auto"/>
              <w:left w:val="single" w:sz="4" w:space="0" w:color="auto"/>
              <w:bottom w:val="single" w:sz="4" w:space="0" w:color="auto"/>
            </w:tcBorders>
            <w:vAlign w:val="center"/>
            <w:hideMark/>
          </w:tcPr>
          <w:p w14:paraId="05ABF318" w14:textId="77777777" w:rsidR="007E42F6" w:rsidRPr="007E42F6" w:rsidRDefault="007E42F6" w:rsidP="002B4044">
            <w:pPr>
              <w:shd w:val="clear" w:color="auto" w:fill="FFFFFF" w:themeFill="background1"/>
              <w:spacing w:after="240" w:line="240" w:lineRule="auto"/>
              <w:jc w:val="both"/>
              <w:rPr>
                <w:rFonts w:asciiTheme="majorBidi" w:eastAsia="Times New Roman" w:hAnsiTheme="majorBidi" w:cstheme="majorBidi"/>
                <w:sz w:val="24"/>
                <w:szCs w:val="24"/>
              </w:rPr>
            </w:pPr>
            <w:r w:rsidRPr="007E42F6">
              <w:rPr>
                <w:rFonts w:asciiTheme="majorBidi" w:eastAsia="Times New Roman" w:hAnsiTheme="majorBidi" w:cstheme="majorBidi"/>
                <w:sz w:val="24"/>
                <w:szCs w:val="24"/>
              </w:rPr>
              <w:t>2023</w:t>
            </w:r>
          </w:p>
        </w:tc>
        <w:tc>
          <w:tcPr>
            <w:tcW w:w="0" w:type="auto"/>
            <w:tcBorders>
              <w:top w:val="single" w:sz="4" w:space="0" w:color="auto"/>
              <w:left w:val="single" w:sz="4" w:space="0" w:color="auto"/>
              <w:bottom w:val="single" w:sz="4" w:space="0" w:color="auto"/>
              <w:right w:val="single" w:sz="4" w:space="0" w:color="auto"/>
            </w:tcBorders>
            <w:vAlign w:val="center"/>
            <w:hideMark/>
          </w:tcPr>
          <w:p w14:paraId="30998316" w14:textId="77777777" w:rsidR="007E42F6" w:rsidRPr="007E42F6" w:rsidRDefault="007E42F6" w:rsidP="002B4044">
            <w:pPr>
              <w:shd w:val="clear" w:color="auto" w:fill="FFFFFF" w:themeFill="background1"/>
              <w:spacing w:after="240" w:line="240" w:lineRule="auto"/>
              <w:jc w:val="both"/>
              <w:rPr>
                <w:rFonts w:asciiTheme="majorBidi" w:eastAsia="Times New Roman" w:hAnsiTheme="majorBidi" w:cstheme="majorBidi"/>
                <w:sz w:val="24"/>
                <w:szCs w:val="24"/>
              </w:rPr>
            </w:pPr>
            <w:r w:rsidRPr="007E42F6">
              <w:rPr>
                <w:rFonts w:asciiTheme="majorBidi" w:eastAsia="Times New Roman" w:hAnsiTheme="majorBidi" w:cstheme="majorBidi"/>
                <w:sz w:val="24"/>
                <w:szCs w:val="24"/>
              </w:rPr>
              <w:t>8,903</w:t>
            </w:r>
          </w:p>
        </w:tc>
        <w:tc>
          <w:tcPr>
            <w:tcW w:w="0" w:type="auto"/>
            <w:tcBorders>
              <w:top w:val="single" w:sz="4" w:space="0" w:color="auto"/>
              <w:bottom w:val="single" w:sz="4" w:space="0" w:color="auto"/>
              <w:right w:val="single" w:sz="4" w:space="0" w:color="auto"/>
            </w:tcBorders>
            <w:vAlign w:val="center"/>
            <w:hideMark/>
          </w:tcPr>
          <w:p w14:paraId="0C46B2A5" w14:textId="77777777" w:rsidR="007E42F6" w:rsidRPr="007E42F6" w:rsidRDefault="007E42F6" w:rsidP="002B4044">
            <w:pPr>
              <w:shd w:val="clear" w:color="auto" w:fill="FFFFFF" w:themeFill="background1"/>
              <w:spacing w:after="240" w:line="240" w:lineRule="auto"/>
              <w:jc w:val="both"/>
              <w:rPr>
                <w:rFonts w:asciiTheme="majorBidi" w:eastAsia="Times New Roman" w:hAnsiTheme="majorBidi" w:cstheme="majorBidi"/>
                <w:sz w:val="24"/>
                <w:szCs w:val="24"/>
              </w:rPr>
            </w:pPr>
            <w:r w:rsidRPr="007E42F6">
              <w:rPr>
                <w:rFonts w:asciiTheme="majorBidi" w:eastAsia="Times New Roman" w:hAnsiTheme="majorBidi" w:cstheme="majorBidi"/>
                <w:sz w:val="24"/>
                <w:szCs w:val="24"/>
              </w:rPr>
              <w:t>7,264</w:t>
            </w:r>
          </w:p>
        </w:tc>
        <w:tc>
          <w:tcPr>
            <w:tcW w:w="0" w:type="auto"/>
            <w:tcBorders>
              <w:top w:val="single" w:sz="4" w:space="0" w:color="auto"/>
              <w:bottom w:val="single" w:sz="4" w:space="0" w:color="auto"/>
              <w:right w:val="single" w:sz="4" w:space="0" w:color="auto"/>
            </w:tcBorders>
            <w:vAlign w:val="center"/>
            <w:hideMark/>
          </w:tcPr>
          <w:p w14:paraId="0F401AA4" w14:textId="77777777" w:rsidR="007E42F6" w:rsidRPr="007E42F6" w:rsidRDefault="007E42F6" w:rsidP="002B4044">
            <w:pPr>
              <w:shd w:val="clear" w:color="auto" w:fill="FFFFFF" w:themeFill="background1"/>
              <w:spacing w:after="240" w:line="240" w:lineRule="auto"/>
              <w:jc w:val="both"/>
              <w:rPr>
                <w:rFonts w:asciiTheme="majorBidi" w:eastAsia="Times New Roman" w:hAnsiTheme="majorBidi" w:cstheme="majorBidi"/>
                <w:sz w:val="24"/>
                <w:szCs w:val="24"/>
              </w:rPr>
            </w:pPr>
            <w:r w:rsidRPr="007E42F6">
              <w:rPr>
                <w:rFonts w:asciiTheme="majorBidi" w:eastAsia="Times New Roman" w:hAnsiTheme="majorBidi" w:cstheme="majorBidi"/>
                <w:sz w:val="24"/>
                <w:szCs w:val="24"/>
              </w:rPr>
              <w:t>81.59</w:t>
            </w:r>
          </w:p>
        </w:tc>
      </w:tr>
    </w:tbl>
    <w:p w14:paraId="4EB29E1B" w14:textId="35AB1428" w:rsidR="007E42F6" w:rsidRPr="006D3D71" w:rsidRDefault="002B4044"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2B4044">
        <w:rPr>
          <w:rFonts w:asciiTheme="majorBidi" w:eastAsia="Times New Roman" w:hAnsiTheme="majorBidi" w:cstheme="majorBidi"/>
          <w:b/>
          <w:bCs/>
          <w:sz w:val="24"/>
          <w:szCs w:val="24"/>
        </w:rPr>
        <w:t>Second</w:t>
      </w:r>
      <w:r w:rsidRPr="002B4044">
        <w:rPr>
          <w:rFonts w:asciiTheme="majorBidi" w:eastAsia="Times New Roman" w:hAnsiTheme="majorBidi" w:cstheme="majorBidi"/>
          <w:b/>
          <w:sz w:val="24"/>
          <w:szCs w:val="24"/>
        </w:rPr>
        <w:t>ary</w:t>
      </w:r>
      <w:r w:rsidRPr="002B4044">
        <w:rPr>
          <w:rFonts w:asciiTheme="majorBidi" w:eastAsia="Times New Roman" w:hAnsiTheme="majorBidi" w:cstheme="majorBidi"/>
          <w:b/>
          <w:bCs/>
          <w:sz w:val="24"/>
          <w:szCs w:val="24"/>
        </w:rPr>
        <w:t xml:space="preserve"> </w:t>
      </w:r>
      <w:r w:rsidR="006F5EDE" w:rsidRPr="006F5EDE">
        <w:rPr>
          <w:rFonts w:asciiTheme="majorBidi" w:eastAsia="Times New Roman" w:hAnsiTheme="majorBidi" w:cstheme="majorBidi"/>
          <w:b/>
          <w:bCs/>
          <w:sz w:val="24"/>
          <w:szCs w:val="24"/>
        </w:rPr>
        <w:t>Source:</w:t>
      </w:r>
      <w:r w:rsidR="006F5EDE" w:rsidRPr="006F5EDE">
        <w:rPr>
          <w:rFonts w:asciiTheme="majorBidi" w:eastAsia="Times New Roman" w:hAnsiTheme="majorBidi" w:cstheme="majorBidi"/>
          <w:sz w:val="24"/>
          <w:szCs w:val="24"/>
        </w:rPr>
        <w:t xml:space="preserve"> Statement of financial position of GT Bank Plc (2019-2023).</w:t>
      </w:r>
    </w:p>
    <w:p w14:paraId="1FCD5966" w14:textId="77777777" w:rsidR="006F5EDE" w:rsidRPr="006D3D71" w:rsidRDefault="006F5EDE"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6F5EDE">
        <w:rPr>
          <w:rFonts w:asciiTheme="majorBidi" w:eastAsia="Times New Roman" w:hAnsiTheme="majorBidi" w:cstheme="majorBidi"/>
          <w:sz w:val="24"/>
          <w:szCs w:val="24"/>
        </w:rPr>
        <w:t xml:space="preserve">From 2019 to 2023, GT Bank Plc demonstrated significant changes in its borrower creditworthiness assessment process, which influenced its credit risk exposure. The period saw fluctuations in non-performing loans (NPLs), with a notable rise from </w:t>
      </w:r>
      <w:proofErr w:type="spellStart"/>
      <w:r w:rsidRPr="006F5EDE">
        <w:rPr>
          <w:rFonts w:asciiTheme="majorBidi" w:eastAsia="Times New Roman" w:hAnsiTheme="majorBidi" w:cstheme="majorBidi"/>
          <w:sz w:val="24"/>
          <w:szCs w:val="24"/>
        </w:rPr>
        <w:t>Frw</w:t>
      </w:r>
      <w:proofErr w:type="spellEnd"/>
      <w:r w:rsidRPr="006F5EDE">
        <w:rPr>
          <w:rFonts w:asciiTheme="majorBidi" w:eastAsia="Times New Roman" w:hAnsiTheme="majorBidi" w:cstheme="majorBidi"/>
          <w:sz w:val="24"/>
          <w:szCs w:val="24"/>
        </w:rPr>
        <w:t xml:space="preserve"> 1.58 billion in 2019 to </w:t>
      </w:r>
      <w:proofErr w:type="spellStart"/>
      <w:r w:rsidRPr="006F5EDE">
        <w:rPr>
          <w:rFonts w:asciiTheme="majorBidi" w:eastAsia="Times New Roman" w:hAnsiTheme="majorBidi" w:cstheme="majorBidi"/>
          <w:sz w:val="24"/>
          <w:szCs w:val="24"/>
        </w:rPr>
        <w:t>Frw</w:t>
      </w:r>
      <w:proofErr w:type="spellEnd"/>
      <w:r w:rsidRPr="006F5EDE">
        <w:rPr>
          <w:rFonts w:asciiTheme="majorBidi" w:eastAsia="Times New Roman" w:hAnsiTheme="majorBidi" w:cstheme="majorBidi"/>
          <w:sz w:val="24"/>
          <w:szCs w:val="24"/>
        </w:rPr>
        <w:t xml:space="preserve"> 2.68 billion in 2021. This reflected challenges in borrower screening and risk evaluation, possibly exacerbated by macroeconomic disruptions, such as the COVID-19 pandemic. However, in 2022 and 2023, the bank adopted stricter lending policies and enhanced borrower creditworthiness assessments, leading to a sharp reduction in NPLs to </w:t>
      </w:r>
      <w:proofErr w:type="spellStart"/>
      <w:r w:rsidRPr="006F5EDE">
        <w:rPr>
          <w:rFonts w:asciiTheme="majorBidi" w:eastAsia="Times New Roman" w:hAnsiTheme="majorBidi" w:cstheme="majorBidi"/>
          <w:sz w:val="24"/>
          <w:szCs w:val="24"/>
        </w:rPr>
        <w:t>Frw</w:t>
      </w:r>
      <w:proofErr w:type="spellEnd"/>
      <w:r w:rsidRPr="006F5EDE">
        <w:rPr>
          <w:rFonts w:asciiTheme="majorBidi" w:eastAsia="Times New Roman" w:hAnsiTheme="majorBidi" w:cstheme="majorBidi"/>
          <w:sz w:val="24"/>
          <w:szCs w:val="24"/>
        </w:rPr>
        <w:t xml:space="preserve"> 263 million by 2023, indicating improved financial stability.</w:t>
      </w:r>
    </w:p>
    <w:p w14:paraId="79F97C1D" w14:textId="4F21DE0E" w:rsidR="00756BA5" w:rsidRPr="00726F9A" w:rsidRDefault="006F5EDE" w:rsidP="00726F9A">
      <w:pPr>
        <w:shd w:val="clear" w:color="auto" w:fill="FFFFFF" w:themeFill="background1"/>
        <w:spacing w:after="240" w:line="360" w:lineRule="auto"/>
        <w:jc w:val="both"/>
        <w:rPr>
          <w:rFonts w:asciiTheme="majorBidi" w:eastAsia="Times New Roman" w:hAnsiTheme="majorBidi" w:cstheme="majorBidi"/>
          <w:sz w:val="24"/>
          <w:szCs w:val="24"/>
        </w:rPr>
      </w:pPr>
      <w:r w:rsidRPr="006F5EDE">
        <w:rPr>
          <w:rFonts w:asciiTheme="majorBidi" w:eastAsia="Times New Roman" w:hAnsiTheme="majorBidi" w:cstheme="majorBidi"/>
          <w:sz w:val="24"/>
          <w:szCs w:val="24"/>
        </w:rPr>
        <w:t xml:space="preserve">Credit concentration risk refers to the potential for financial loss when a significant portion of a bank’s loan portfolio is concentrated in a single borrower, sector, or geographical region. For GT Bank Plc, the risk of credit concentration could increase if its loans are predominantly concentrated in particular industries or large borrowers. From 2019 to 2023, the bank may </w:t>
      </w:r>
      <w:r w:rsidRPr="006F5EDE">
        <w:rPr>
          <w:rFonts w:asciiTheme="majorBidi" w:eastAsia="Times New Roman" w:hAnsiTheme="majorBidi" w:cstheme="majorBidi"/>
          <w:sz w:val="24"/>
          <w:szCs w:val="24"/>
        </w:rPr>
        <w:lastRenderedPageBreak/>
        <w:t>have diversified its portfolio to mitigate this risk. Effective risk management practices include spreading loans across sectors and regularly assessing the financial health of major borrowers. By doing so, the bank reduces exposure to downturns in specific markets.</w:t>
      </w:r>
    </w:p>
    <w:p w14:paraId="7C951F6C" w14:textId="73A91C40" w:rsidR="00756BA5" w:rsidRDefault="00756BA5" w:rsidP="00756BA5">
      <w:pPr>
        <w:pStyle w:val="NoSpacing"/>
        <w:rPr>
          <w:rFonts w:asciiTheme="majorBidi" w:hAnsiTheme="majorBidi" w:cstheme="majorBidi"/>
          <w:b/>
          <w:bCs/>
          <w:sz w:val="24"/>
          <w:szCs w:val="24"/>
        </w:rPr>
      </w:pPr>
      <w:r w:rsidRPr="00F4796A">
        <w:rPr>
          <w:rFonts w:asciiTheme="majorBidi" w:hAnsiTheme="majorBidi" w:cstheme="majorBidi"/>
          <w:b/>
          <w:bCs/>
          <w:sz w:val="24"/>
          <w:szCs w:val="24"/>
        </w:rPr>
        <w:t>Table 4.</w:t>
      </w:r>
      <w:r w:rsidR="00726F9A">
        <w:rPr>
          <w:rFonts w:asciiTheme="majorBidi" w:eastAsia="Times New Roman" w:hAnsiTheme="majorBidi" w:cstheme="majorBidi"/>
          <w:b/>
          <w:bCs/>
          <w:sz w:val="24"/>
          <w:szCs w:val="24"/>
        </w:rPr>
        <w:t>16</w:t>
      </w:r>
      <w:r w:rsidRPr="00F4796A">
        <w:rPr>
          <w:rFonts w:asciiTheme="majorBidi" w:hAnsiTheme="majorBidi" w:cstheme="majorBidi"/>
          <w:b/>
          <w:bCs/>
          <w:sz w:val="24"/>
          <w:szCs w:val="24"/>
        </w:rPr>
        <w:t>: Credit Concentration Risk at GT Bank Plc</w:t>
      </w:r>
    </w:p>
    <w:p w14:paraId="1AEB88C0" w14:textId="18D1300C" w:rsidR="00F4796A" w:rsidRPr="00F4796A" w:rsidRDefault="00F4796A" w:rsidP="00F4796A">
      <w:pPr>
        <w:pStyle w:val="NoSpacing"/>
        <w:rPr>
          <w:rFonts w:asciiTheme="majorBidi" w:hAnsiTheme="majorBidi" w:cstheme="majorBidi"/>
          <w:b/>
          <w:bCs/>
          <w:sz w:val="24"/>
          <w:szCs w:val="24"/>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82"/>
        <w:gridCol w:w="2705"/>
        <w:gridCol w:w="2802"/>
        <w:gridCol w:w="3027"/>
      </w:tblGrid>
      <w:tr w:rsidR="006F5EDE" w:rsidRPr="006F5EDE" w14:paraId="0026ADAA" w14:textId="77777777" w:rsidTr="00BB5FEF">
        <w:trPr>
          <w:tblHeader/>
          <w:tblCellSpacing w:w="15" w:type="dxa"/>
          <w:jc w:val="center"/>
        </w:trPr>
        <w:tc>
          <w:tcPr>
            <w:tcW w:w="0" w:type="auto"/>
            <w:vAlign w:val="center"/>
            <w:hideMark/>
          </w:tcPr>
          <w:p w14:paraId="726A03A8" w14:textId="77777777" w:rsidR="006F5EDE" w:rsidRPr="006F5EDE" w:rsidRDefault="006F5EDE" w:rsidP="00A271E7">
            <w:pPr>
              <w:shd w:val="clear" w:color="auto" w:fill="FFFFFF" w:themeFill="background1"/>
              <w:spacing w:after="240" w:line="240" w:lineRule="auto"/>
              <w:jc w:val="both"/>
              <w:rPr>
                <w:rFonts w:asciiTheme="majorBidi" w:eastAsia="Times New Roman" w:hAnsiTheme="majorBidi" w:cstheme="majorBidi"/>
                <w:b/>
                <w:bCs/>
                <w:sz w:val="24"/>
                <w:szCs w:val="24"/>
              </w:rPr>
            </w:pPr>
            <w:r w:rsidRPr="006F5EDE">
              <w:rPr>
                <w:rFonts w:asciiTheme="majorBidi" w:eastAsia="Times New Roman" w:hAnsiTheme="majorBidi" w:cstheme="majorBidi"/>
                <w:b/>
                <w:bCs/>
                <w:sz w:val="24"/>
                <w:szCs w:val="24"/>
              </w:rPr>
              <w:t>Year</w:t>
            </w:r>
          </w:p>
        </w:tc>
        <w:tc>
          <w:tcPr>
            <w:tcW w:w="0" w:type="auto"/>
            <w:vAlign w:val="center"/>
            <w:hideMark/>
          </w:tcPr>
          <w:p w14:paraId="681B3D1D" w14:textId="77777777" w:rsidR="006F5EDE" w:rsidRPr="006F5EDE" w:rsidRDefault="006F5EDE" w:rsidP="00A271E7">
            <w:pPr>
              <w:shd w:val="clear" w:color="auto" w:fill="FFFFFF" w:themeFill="background1"/>
              <w:spacing w:after="240" w:line="240" w:lineRule="auto"/>
              <w:jc w:val="both"/>
              <w:rPr>
                <w:rFonts w:asciiTheme="majorBidi" w:eastAsia="Times New Roman" w:hAnsiTheme="majorBidi" w:cstheme="majorBidi"/>
                <w:b/>
                <w:bCs/>
                <w:sz w:val="24"/>
                <w:szCs w:val="24"/>
              </w:rPr>
            </w:pPr>
            <w:r w:rsidRPr="006F5EDE">
              <w:rPr>
                <w:rFonts w:asciiTheme="majorBidi" w:eastAsia="Times New Roman" w:hAnsiTheme="majorBidi" w:cstheme="majorBidi"/>
                <w:b/>
                <w:bCs/>
                <w:sz w:val="24"/>
                <w:szCs w:val="24"/>
              </w:rPr>
              <w:t>Major Sector Exposure (%)</w:t>
            </w:r>
          </w:p>
        </w:tc>
        <w:tc>
          <w:tcPr>
            <w:tcW w:w="0" w:type="auto"/>
            <w:vAlign w:val="center"/>
            <w:hideMark/>
          </w:tcPr>
          <w:p w14:paraId="78046FC0" w14:textId="77777777" w:rsidR="006F5EDE" w:rsidRPr="006F5EDE" w:rsidRDefault="006F5EDE" w:rsidP="00A271E7">
            <w:pPr>
              <w:shd w:val="clear" w:color="auto" w:fill="FFFFFF" w:themeFill="background1"/>
              <w:spacing w:after="240" w:line="240" w:lineRule="auto"/>
              <w:jc w:val="both"/>
              <w:rPr>
                <w:rFonts w:asciiTheme="majorBidi" w:eastAsia="Times New Roman" w:hAnsiTheme="majorBidi" w:cstheme="majorBidi"/>
                <w:b/>
                <w:bCs/>
                <w:sz w:val="24"/>
                <w:szCs w:val="24"/>
              </w:rPr>
            </w:pPr>
            <w:r w:rsidRPr="006F5EDE">
              <w:rPr>
                <w:rFonts w:asciiTheme="majorBidi" w:eastAsia="Times New Roman" w:hAnsiTheme="majorBidi" w:cstheme="majorBidi"/>
                <w:b/>
                <w:bCs/>
                <w:sz w:val="24"/>
                <w:szCs w:val="24"/>
              </w:rPr>
              <w:t>Top Borrower Exposure (%)</w:t>
            </w:r>
          </w:p>
        </w:tc>
        <w:tc>
          <w:tcPr>
            <w:tcW w:w="0" w:type="auto"/>
            <w:vAlign w:val="center"/>
            <w:hideMark/>
          </w:tcPr>
          <w:p w14:paraId="5D40205E" w14:textId="77777777" w:rsidR="006F5EDE" w:rsidRPr="006F5EDE" w:rsidRDefault="006F5EDE" w:rsidP="00A271E7">
            <w:pPr>
              <w:shd w:val="clear" w:color="auto" w:fill="FFFFFF" w:themeFill="background1"/>
              <w:spacing w:after="240" w:line="240" w:lineRule="auto"/>
              <w:jc w:val="both"/>
              <w:rPr>
                <w:rFonts w:asciiTheme="majorBidi" w:eastAsia="Times New Roman" w:hAnsiTheme="majorBidi" w:cstheme="majorBidi"/>
                <w:b/>
                <w:bCs/>
                <w:sz w:val="24"/>
                <w:szCs w:val="24"/>
              </w:rPr>
            </w:pPr>
            <w:r w:rsidRPr="006F5EDE">
              <w:rPr>
                <w:rFonts w:asciiTheme="majorBidi" w:eastAsia="Times New Roman" w:hAnsiTheme="majorBidi" w:cstheme="majorBidi"/>
                <w:b/>
                <w:bCs/>
                <w:sz w:val="24"/>
                <w:szCs w:val="24"/>
              </w:rPr>
              <w:t>Total Loan Portfolio (Frw’000)</w:t>
            </w:r>
          </w:p>
        </w:tc>
      </w:tr>
      <w:tr w:rsidR="006F5EDE" w:rsidRPr="006F5EDE" w14:paraId="20C1F830" w14:textId="77777777" w:rsidTr="00BB5FEF">
        <w:trPr>
          <w:tblCellSpacing w:w="15" w:type="dxa"/>
          <w:jc w:val="center"/>
        </w:trPr>
        <w:tc>
          <w:tcPr>
            <w:tcW w:w="0" w:type="auto"/>
            <w:vAlign w:val="center"/>
            <w:hideMark/>
          </w:tcPr>
          <w:p w14:paraId="66E0FB5E" w14:textId="77777777" w:rsidR="006F5EDE" w:rsidRPr="006F5EDE" w:rsidRDefault="006F5EDE"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F5EDE">
              <w:rPr>
                <w:rFonts w:asciiTheme="majorBidi" w:eastAsia="Times New Roman" w:hAnsiTheme="majorBidi" w:cstheme="majorBidi"/>
                <w:sz w:val="24"/>
                <w:szCs w:val="24"/>
              </w:rPr>
              <w:t>2019</w:t>
            </w:r>
          </w:p>
        </w:tc>
        <w:tc>
          <w:tcPr>
            <w:tcW w:w="0" w:type="auto"/>
            <w:vAlign w:val="center"/>
            <w:hideMark/>
          </w:tcPr>
          <w:p w14:paraId="60183039" w14:textId="77777777" w:rsidR="006F5EDE" w:rsidRPr="006F5EDE" w:rsidRDefault="006F5EDE"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F5EDE">
              <w:rPr>
                <w:rFonts w:asciiTheme="majorBidi" w:eastAsia="Times New Roman" w:hAnsiTheme="majorBidi" w:cstheme="majorBidi"/>
                <w:sz w:val="24"/>
                <w:szCs w:val="24"/>
              </w:rPr>
              <w:t>35%</w:t>
            </w:r>
          </w:p>
        </w:tc>
        <w:tc>
          <w:tcPr>
            <w:tcW w:w="0" w:type="auto"/>
            <w:vAlign w:val="center"/>
            <w:hideMark/>
          </w:tcPr>
          <w:p w14:paraId="1AFED23A" w14:textId="77777777" w:rsidR="006F5EDE" w:rsidRPr="006F5EDE" w:rsidRDefault="006F5EDE"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F5EDE">
              <w:rPr>
                <w:rFonts w:asciiTheme="majorBidi" w:eastAsia="Times New Roman" w:hAnsiTheme="majorBidi" w:cstheme="majorBidi"/>
                <w:sz w:val="24"/>
                <w:szCs w:val="24"/>
              </w:rPr>
              <w:t>10%</w:t>
            </w:r>
          </w:p>
        </w:tc>
        <w:tc>
          <w:tcPr>
            <w:tcW w:w="0" w:type="auto"/>
            <w:vAlign w:val="center"/>
            <w:hideMark/>
          </w:tcPr>
          <w:p w14:paraId="3CD3B48A" w14:textId="77777777" w:rsidR="006F5EDE" w:rsidRPr="006F5EDE" w:rsidRDefault="006F5EDE"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F5EDE">
              <w:rPr>
                <w:rFonts w:asciiTheme="majorBidi" w:eastAsia="Times New Roman" w:hAnsiTheme="majorBidi" w:cstheme="majorBidi"/>
                <w:sz w:val="24"/>
                <w:szCs w:val="24"/>
              </w:rPr>
              <w:t>42,633,996</w:t>
            </w:r>
          </w:p>
        </w:tc>
      </w:tr>
      <w:tr w:rsidR="006F5EDE" w:rsidRPr="006F5EDE" w14:paraId="4F88E046" w14:textId="77777777" w:rsidTr="00BB5FEF">
        <w:trPr>
          <w:tblCellSpacing w:w="15" w:type="dxa"/>
          <w:jc w:val="center"/>
        </w:trPr>
        <w:tc>
          <w:tcPr>
            <w:tcW w:w="0" w:type="auto"/>
            <w:vAlign w:val="center"/>
            <w:hideMark/>
          </w:tcPr>
          <w:p w14:paraId="4C5B0C0C" w14:textId="77777777" w:rsidR="006F5EDE" w:rsidRPr="006F5EDE" w:rsidRDefault="006F5EDE"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F5EDE">
              <w:rPr>
                <w:rFonts w:asciiTheme="majorBidi" w:eastAsia="Times New Roman" w:hAnsiTheme="majorBidi" w:cstheme="majorBidi"/>
                <w:sz w:val="24"/>
                <w:szCs w:val="24"/>
              </w:rPr>
              <w:t>2020</w:t>
            </w:r>
          </w:p>
        </w:tc>
        <w:tc>
          <w:tcPr>
            <w:tcW w:w="0" w:type="auto"/>
            <w:vAlign w:val="center"/>
            <w:hideMark/>
          </w:tcPr>
          <w:p w14:paraId="5BEA148E" w14:textId="77777777" w:rsidR="006F5EDE" w:rsidRPr="006F5EDE" w:rsidRDefault="006F5EDE"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F5EDE">
              <w:rPr>
                <w:rFonts w:asciiTheme="majorBidi" w:eastAsia="Times New Roman" w:hAnsiTheme="majorBidi" w:cstheme="majorBidi"/>
                <w:sz w:val="24"/>
                <w:szCs w:val="24"/>
              </w:rPr>
              <w:t>40%</w:t>
            </w:r>
          </w:p>
        </w:tc>
        <w:tc>
          <w:tcPr>
            <w:tcW w:w="0" w:type="auto"/>
            <w:vAlign w:val="center"/>
            <w:hideMark/>
          </w:tcPr>
          <w:p w14:paraId="3E237084" w14:textId="77777777" w:rsidR="006F5EDE" w:rsidRPr="006F5EDE" w:rsidRDefault="006F5EDE"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F5EDE">
              <w:rPr>
                <w:rFonts w:asciiTheme="majorBidi" w:eastAsia="Times New Roman" w:hAnsiTheme="majorBidi" w:cstheme="majorBidi"/>
                <w:sz w:val="24"/>
                <w:szCs w:val="24"/>
              </w:rPr>
              <w:t>12%</w:t>
            </w:r>
          </w:p>
        </w:tc>
        <w:tc>
          <w:tcPr>
            <w:tcW w:w="0" w:type="auto"/>
            <w:vAlign w:val="center"/>
            <w:hideMark/>
          </w:tcPr>
          <w:p w14:paraId="70A04520" w14:textId="77777777" w:rsidR="006F5EDE" w:rsidRPr="006F5EDE" w:rsidRDefault="006F5EDE"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F5EDE">
              <w:rPr>
                <w:rFonts w:asciiTheme="majorBidi" w:eastAsia="Times New Roman" w:hAnsiTheme="majorBidi" w:cstheme="majorBidi"/>
                <w:sz w:val="24"/>
                <w:szCs w:val="24"/>
              </w:rPr>
              <w:t>48,622,677</w:t>
            </w:r>
          </w:p>
        </w:tc>
      </w:tr>
      <w:tr w:rsidR="006F5EDE" w:rsidRPr="006F5EDE" w14:paraId="7654F255" w14:textId="77777777" w:rsidTr="00BB5FEF">
        <w:trPr>
          <w:tblCellSpacing w:w="15" w:type="dxa"/>
          <w:jc w:val="center"/>
        </w:trPr>
        <w:tc>
          <w:tcPr>
            <w:tcW w:w="0" w:type="auto"/>
            <w:vAlign w:val="center"/>
            <w:hideMark/>
          </w:tcPr>
          <w:p w14:paraId="5110BCD0" w14:textId="77777777" w:rsidR="006F5EDE" w:rsidRPr="006F5EDE" w:rsidRDefault="006F5EDE"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F5EDE">
              <w:rPr>
                <w:rFonts w:asciiTheme="majorBidi" w:eastAsia="Times New Roman" w:hAnsiTheme="majorBidi" w:cstheme="majorBidi"/>
                <w:sz w:val="24"/>
                <w:szCs w:val="24"/>
              </w:rPr>
              <w:t>2021</w:t>
            </w:r>
          </w:p>
        </w:tc>
        <w:tc>
          <w:tcPr>
            <w:tcW w:w="0" w:type="auto"/>
            <w:vAlign w:val="center"/>
            <w:hideMark/>
          </w:tcPr>
          <w:p w14:paraId="0A285A2C" w14:textId="77777777" w:rsidR="006F5EDE" w:rsidRPr="006F5EDE" w:rsidRDefault="006F5EDE"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F5EDE">
              <w:rPr>
                <w:rFonts w:asciiTheme="majorBidi" w:eastAsia="Times New Roman" w:hAnsiTheme="majorBidi" w:cstheme="majorBidi"/>
                <w:sz w:val="24"/>
                <w:szCs w:val="24"/>
              </w:rPr>
              <w:t>30%</w:t>
            </w:r>
          </w:p>
        </w:tc>
        <w:tc>
          <w:tcPr>
            <w:tcW w:w="0" w:type="auto"/>
            <w:vAlign w:val="center"/>
            <w:hideMark/>
          </w:tcPr>
          <w:p w14:paraId="4917FEF5" w14:textId="77777777" w:rsidR="006F5EDE" w:rsidRPr="006F5EDE" w:rsidRDefault="006F5EDE"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F5EDE">
              <w:rPr>
                <w:rFonts w:asciiTheme="majorBidi" w:eastAsia="Times New Roman" w:hAnsiTheme="majorBidi" w:cstheme="majorBidi"/>
                <w:sz w:val="24"/>
                <w:szCs w:val="24"/>
              </w:rPr>
              <w:t>9%</w:t>
            </w:r>
          </w:p>
        </w:tc>
        <w:tc>
          <w:tcPr>
            <w:tcW w:w="0" w:type="auto"/>
            <w:vAlign w:val="center"/>
            <w:hideMark/>
          </w:tcPr>
          <w:p w14:paraId="389CE6F4" w14:textId="77777777" w:rsidR="006F5EDE" w:rsidRPr="006F5EDE" w:rsidRDefault="006F5EDE"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F5EDE">
              <w:rPr>
                <w:rFonts w:asciiTheme="majorBidi" w:eastAsia="Times New Roman" w:hAnsiTheme="majorBidi" w:cstheme="majorBidi"/>
                <w:sz w:val="24"/>
                <w:szCs w:val="24"/>
              </w:rPr>
              <w:t>48,908,518</w:t>
            </w:r>
          </w:p>
        </w:tc>
      </w:tr>
      <w:tr w:rsidR="006F5EDE" w:rsidRPr="006F5EDE" w14:paraId="3E5EA44A" w14:textId="77777777" w:rsidTr="00BB5FEF">
        <w:trPr>
          <w:tblCellSpacing w:w="15" w:type="dxa"/>
          <w:jc w:val="center"/>
        </w:trPr>
        <w:tc>
          <w:tcPr>
            <w:tcW w:w="0" w:type="auto"/>
            <w:vAlign w:val="center"/>
            <w:hideMark/>
          </w:tcPr>
          <w:p w14:paraId="33E1A2F6" w14:textId="77777777" w:rsidR="006F5EDE" w:rsidRPr="006F5EDE" w:rsidRDefault="006F5EDE"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F5EDE">
              <w:rPr>
                <w:rFonts w:asciiTheme="majorBidi" w:eastAsia="Times New Roman" w:hAnsiTheme="majorBidi" w:cstheme="majorBidi"/>
                <w:sz w:val="24"/>
                <w:szCs w:val="24"/>
              </w:rPr>
              <w:t>2022</w:t>
            </w:r>
          </w:p>
        </w:tc>
        <w:tc>
          <w:tcPr>
            <w:tcW w:w="0" w:type="auto"/>
            <w:vAlign w:val="center"/>
            <w:hideMark/>
          </w:tcPr>
          <w:p w14:paraId="72358969" w14:textId="77777777" w:rsidR="006F5EDE" w:rsidRPr="006F5EDE" w:rsidRDefault="006F5EDE"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F5EDE">
              <w:rPr>
                <w:rFonts w:asciiTheme="majorBidi" w:eastAsia="Times New Roman" w:hAnsiTheme="majorBidi" w:cstheme="majorBidi"/>
                <w:sz w:val="24"/>
                <w:szCs w:val="24"/>
              </w:rPr>
              <w:t>33%</w:t>
            </w:r>
          </w:p>
        </w:tc>
        <w:tc>
          <w:tcPr>
            <w:tcW w:w="0" w:type="auto"/>
            <w:vAlign w:val="center"/>
            <w:hideMark/>
          </w:tcPr>
          <w:p w14:paraId="0AE57D61" w14:textId="77777777" w:rsidR="006F5EDE" w:rsidRPr="006F5EDE" w:rsidRDefault="006F5EDE"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F5EDE">
              <w:rPr>
                <w:rFonts w:asciiTheme="majorBidi" w:eastAsia="Times New Roman" w:hAnsiTheme="majorBidi" w:cstheme="majorBidi"/>
                <w:sz w:val="24"/>
                <w:szCs w:val="24"/>
              </w:rPr>
              <w:t>8%</w:t>
            </w:r>
          </w:p>
        </w:tc>
        <w:tc>
          <w:tcPr>
            <w:tcW w:w="0" w:type="auto"/>
            <w:vAlign w:val="center"/>
            <w:hideMark/>
          </w:tcPr>
          <w:p w14:paraId="2107AC03" w14:textId="77777777" w:rsidR="006F5EDE" w:rsidRPr="006F5EDE" w:rsidRDefault="006F5EDE"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F5EDE">
              <w:rPr>
                <w:rFonts w:asciiTheme="majorBidi" w:eastAsia="Times New Roman" w:hAnsiTheme="majorBidi" w:cstheme="majorBidi"/>
                <w:sz w:val="24"/>
                <w:szCs w:val="24"/>
              </w:rPr>
              <w:t>37,253,477</w:t>
            </w:r>
          </w:p>
        </w:tc>
      </w:tr>
      <w:tr w:rsidR="006F5EDE" w:rsidRPr="006F5EDE" w14:paraId="6B18F417" w14:textId="77777777" w:rsidTr="00BB5FEF">
        <w:trPr>
          <w:tblCellSpacing w:w="15" w:type="dxa"/>
          <w:jc w:val="center"/>
        </w:trPr>
        <w:tc>
          <w:tcPr>
            <w:tcW w:w="0" w:type="auto"/>
            <w:vAlign w:val="center"/>
            <w:hideMark/>
          </w:tcPr>
          <w:p w14:paraId="4FD1835F" w14:textId="77777777" w:rsidR="006F5EDE" w:rsidRPr="006F5EDE" w:rsidRDefault="006F5EDE"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F5EDE">
              <w:rPr>
                <w:rFonts w:asciiTheme="majorBidi" w:eastAsia="Times New Roman" w:hAnsiTheme="majorBidi" w:cstheme="majorBidi"/>
                <w:sz w:val="24"/>
                <w:szCs w:val="24"/>
              </w:rPr>
              <w:t>2023</w:t>
            </w:r>
          </w:p>
        </w:tc>
        <w:tc>
          <w:tcPr>
            <w:tcW w:w="0" w:type="auto"/>
            <w:vAlign w:val="center"/>
            <w:hideMark/>
          </w:tcPr>
          <w:p w14:paraId="33A9C135" w14:textId="77777777" w:rsidR="006F5EDE" w:rsidRPr="006F5EDE" w:rsidRDefault="006F5EDE"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F5EDE">
              <w:rPr>
                <w:rFonts w:asciiTheme="majorBidi" w:eastAsia="Times New Roman" w:hAnsiTheme="majorBidi" w:cstheme="majorBidi"/>
                <w:sz w:val="24"/>
                <w:szCs w:val="24"/>
              </w:rPr>
              <w:t>32%</w:t>
            </w:r>
          </w:p>
        </w:tc>
        <w:tc>
          <w:tcPr>
            <w:tcW w:w="0" w:type="auto"/>
            <w:vAlign w:val="center"/>
            <w:hideMark/>
          </w:tcPr>
          <w:p w14:paraId="1265E519" w14:textId="77777777" w:rsidR="006F5EDE" w:rsidRPr="006F5EDE" w:rsidRDefault="006F5EDE"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F5EDE">
              <w:rPr>
                <w:rFonts w:asciiTheme="majorBidi" w:eastAsia="Times New Roman" w:hAnsiTheme="majorBidi" w:cstheme="majorBidi"/>
                <w:sz w:val="24"/>
                <w:szCs w:val="24"/>
              </w:rPr>
              <w:t>7%</w:t>
            </w:r>
          </w:p>
        </w:tc>
        <w:tc>
          <w:tcPr>
            <w:tcW w:w="0" w:type="auto"/>
            <w:vAlign w:val="center"/>
            <w:hideMark/>
          </w:tcPr>
          <w:p w14:paraId="6A12B790" w14:textId="77777777" w:rsidR="006F5EDE" w:rsidRPr="006F5EDE" w:rsidRDefault="006F5EDE"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F5EDE">
              <w:rPr>
                <w:rFonts w:asciiTheme="majorBidi" w:eastAsia="Times New Roman" w:hAnsiTheme="majorBidi" w:cstheme="majorBidi"/>
                <w:sz w:val="24"/>
                <w:szCs w:val="24"/>
              </w:rPr>
              <w:t>34,471,872</w:t>
            </w:r>
          </w:p>
        </w:tc>
      </w:tr>
    </w:tbl>
    <w:p w14:paraId="3758FBF6" w14:textId="77777777" w:rsidR="006F5EDE" w:rsidRPr="006F5EDE" w:rsidRDefault="006F5EDE"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6F5EDE">
        <w:rPr>
          <w:rFonts w:asciiTheme="majorBidi" w:eastAsia="Times New Roman" w:hAnsiTheme="majorBidi" w:cstheme="majorBidi"/>
          <w:b/>
          <w:bCs/>
          <w:sz w:val="24"/>
          <w:szCs w:val="24"/>
        </w:rPr>
        <w:t>Source:</w:t>
      </w:r>
      <w:r w:rsidRPr="006F5EDE">
        <w:rPr>
          <w:rFonts w:asciiTheme="majorBidi" w:eastAsia="Times New Roman" w:hAnsiTheme="majorBidi" w:cstheme="majorBidi"/>
          <w:sz w:val="24"/>
          <w:szCs w:val="24"/>
        </w:rPr>
        <w:t xml:space="preserve"> Statement of financial position of GT Bank Plc (2019-2023)</w:t>
      </w:r>
    </w:p>
    <w:p w14:paraId="1A994253" w14:textId="68222313" w:rsidR="006A1DD1" w:rsidRDefault="006F5EDE" w:rsidP="00BB5FEF">
      <w:pPr>
        <w:shd w:val="clear" w:color="auto" w:fill="FFFFFF" w:themeFill="background1"/>
        <w:spacing w:after="240" w:line="360" w:lineRule="auto"/>
        <w:jc w:val="both"/>
        <w:rPr>
          <w:rFonts w:asciiTheme="majorBidi" w:eastAsia="Times New Roman" w:hAnsiTheme="majorBidi" w:cstheme="majorBidi"/>
          <w:sz w:val="24"/>
          <w:szCs w:val="24"/>
        </w:rPr>
      </w:pPr>
      <w:r w:rsidRPr="006F5EDE">
        <w:rPr>
          <w:rFonts w:asciiTheme="majorBidi" w:eastAsia="Times New Roman" w:hAnsiTheme="majorBidi" w:cstheme="majorBidi"/>
          <w:sz w:val="24"/>
          <w:szCs w:val="24"/>
        </w:rPr>
        <w:t>This table highlights the trends in sector and borrower concentration, illustrating the bank’s ongoing efforts to reduce exposure to any one borrower or sector. The decrease in exposure from 2019 to 2023 suggests that GT Bank Plc has been successful in managing and diversifying credit concentration risk.</w:t>
      </w:r>
      <w:r w:rsidR="00A271E7">
        <w:rPr>
          <w:rFonts w:asciiTheme="majorBidi" w:eastAsia="Times New Roman" w:hAnsiTheme="majorBidi" w:cstheme="majorBidi"/>
          <w:sz w:val="24"/>
          <w:szCs w:val="24"/>
        </w:rPr>
        <w:t xml:space="preserve"> </w:t>
      </w:r>
      <w:r w:rsidRPr="006D3D71">
        <w:rPr>
          <w:rFonts w:asciiTheme="majorBidi" w:eastAsia="Times New Roman" w:hAnsiTheme="majorBidi" w:cstheme="majorBidi"/>
          <w:sz w:val="24"/>
          <w:szCs w:val="24"/>
        </w:rPr>
        <w:t xml:space="preserve">Between 2019 and 2023, GT Bank Plc made notable progress in reducing credit concentration risk. Compared to 2020, where 40% of their loans were concentrated in one sector, the figure dropped to 32% by 2023, indicating improved diversification. However, the percentage of exposure to top borrowers also decreased from 10% in 2019 to 7% in 2023, which aligns with the bank’s efforts to minimize the impact of defaults from a few large borrowers. Despite a reduction in overall loan volume from </w:t>
      </w:r>
      <w:proofErr w:type="spellStart"/>
      <w:r w:rsidRPr="006D3D71">
        <w:rPr>
          <w:rFonts w:asciiTheme="majorBidi" w:eastAsia="Times New Roman" w:hAnsiTheme="majorBidi" w:cstheme="majorBidi"/>
          <w:sz w:val="24"/>
          <w:szCs w:val="24"/>
        </w:rPr>
        <w:t>Frw</w:t>
      </w:r>
      <w:proofErr w:type="spellEnd"/>
      <w:r w:rsidRPr="006D3D71">
        <w:rPr>
          <w:rFonts w:asciiTheme="majorBidi" w:eastAsia="Times New Roman" w:hAnsiTheme="majorBidi" w:cstheme="majorBidi"/>
          <w:sz w:val="24"/>
          <w:szCs w:val="24"/>
        </w:rPr>
        <w:t xml:space="preserve"> 42.63 billion to </w:t>
      </w:r>
      <w:proofErr w:type="spellStart"/>
      <w:r w:rsidRPr="006D3D71">
        <w:rPr>
          <w:rFonts w:asciiTheme="majorBidi" w:eastAsia="Times New Roman" w:hAnsiTheme="majorBidi" w:cstheme="majorBidi"/>
          <w:sz w:val="24"/>
          <w:szCs w:val="24"/>
        </w:rPr>
        <w:t>Frw</w:t>
      </w:r>
      <w:proofErr w:type="spellEnd"/>
      <w:r w:rsidRPr="006D3D71">
        <w:rPr>
          <w:rFonts w:asciiTheme="majorBidi" w:eastAsia="Times New Roman" w:hAnsiTheme="majorBidi" w:cstheme="majorBidi"/>
          <w:sz w:val="24"/>
          <w:szCs w:val="24"/>
        </w:rPr>
        <w:t xml:space="preserve"> 34.47 billion, these changes reflect the bank’s better risk management strategies.</w:t>
      </w:r>
    </w:p>
    <w:p w14:paraId="6BEE69E2" w14:textId="7FB64595" w:rsidR="001226C1" w:rsidRPr="00A271E7" w:rsidRDefault="001226C1" w:rsidP="001226C1">
      <w:pPr>
        <w:pStyle w:val="Heading3"/>
        <w:rPr>
          <w:rFonts w:ascii="Times New Roman" w:eastAsia="Times New Roman" w:hAnsi="Times New Roman" w:cs="Times New Roman"/>
          <w:b/>
          <w:bCs/>
          <w:color w:val="auto"/>
          <w:sz w:val="24"/>
          <w:szCs w:val="24"/>
        </w:rPr>
      </w:pPr>
      <w:bookmarkStart w:id="1363" w:name="_Toc193846488"/>
      <w:r w:rsidRPr="00A271E7">
        <w:rPr>
          <w:rFonts w:ascii="Times New Roman" w:eastAsia="Times New Roman" w:hAnsi="Times New Roman" w:cs="Times New Roman"/>
          <w:b/>
          <w:bCs/>
          <w:color w:val="auto"/>
          <w:sz w:val="24"/>
          <w:szCs w:val="24"/>
        </w:rPr>
        <w:t>4.</w:t>
      </w:r>
      <w:r w:rsidR="000A25E4">
        <w:rPr>
          <w:rFonts w:ascii="Times New Roman" w:eastAsia="Times New Roman" w:hAnsi="Times New Roman" w:cs="Times New Roman"/>
          <w:b/>
          <w:bCs/>
          <w:color w:val="auto"/>
          <w:sz w:val="24"/>
          <w:szCs w:val="24"/>
        </w:rPr>
        <w:t>3</w:t>
      </w:r>
      <w:r w:rsidRPr="00A271E7">
        <w:rPr>
          <w:rFonts w:ascii="Times New Roman" w:eastAsia="Times New Roman" w:hAnsi="Times New Roman" w:cs="Times New Roman"/>
          <w:b/>
          <w:bCs/>
          <w:color w:val="auto"/>
          <w:sz w:val="24"/>
          <w:szCs w:val="24"/>
        </w:rPr>
        <w:t>.</w:t>
      </w:r>
      <w:r w:rsidR="00756BA5" w:rsidRPr="00A271E7">
        <w:rPr>
          <w:rFonts w:ascii="Times New Roman" w:eastAsia="Times New Roman" w:hAnsi="Times New Roman" w:cs="Times New Roman"/>
          <w:b/>
          <w:bCs/>
          <w:color w:val="auto"/>
          <w:sz w:val="24"/>
          <w:szCs w:val="24"/>
        </w:rPr>
        <w:t>3</w:t>
      </w:r>
      <w:r w:rsidRPr="00A271E7">
        <w:rPr>
          <w:rFonts w:ascii="Times New Roman" w:eastAsia="Times New Roman" w:hAnsi="Times New Roman" w:cs="Times New Roman"/>
          <w:b/>
          <w:bCs/>
          <w:color w:val="auto"/>
          <w:sz w:val="24"/>
          <w:szCs w:val="24"/>
        </w:rPr>
        <w:t>: Debt Restructuring and NPL Trends</w:t>
      </w:r>
      <w:bookmarkEnd w:id="1363"/>
    </w:p>
    <w:p w14:paraId="2C17110A" w14:textId="77777777" w:rsidR="006A1DD1" w:rsidRPr="006A1DD1" w:rsidRDefault="006A1DD1"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 xml:space="preserve">Debt restructuring and recovery strategies are vital for banks to manage credit risk effectively, especially when dealing with non-performing loans (NPLs). GT Bank Plc has implemented various strategies, including modifying loan terms (e.g., extending repayment periods and reducing interest rates) to help struggling borrowers. Additionally, the bank adopts aggressive recovery measures, such as asset seizures and legal actions, to minimize </w:t>
      </w:r>
      <w:r w:rsidRPr="006A1DD1">
        <w:rPr>
          <w:rFonts w:asciiTheme="majorBidi" w:eastAsia="Times New Roman" w:hAnsiTheme="majorBidi" w:cstheme="majorBidi"/>
          <w:sz w:val="24"/>
          <w:szCs w:val="24"/>
        </w:rPr>
        <w:lastRenderedPageBreak/>
        <w:t>losses. These strategies proved effective as the NPL ratio dropped significantly from 5.48% in 2021 to 0.76% in 2023. This improvement suggests that GT Bank Plc's proactive debt restructuring efforts and recovery strategies were crucial in stabilizing its financial position.</w:t>
      </w:r>
    </w:p>
    <w:p w14:paraId="0BF564E8" w14:textId="0A4C2F2C" w:rsidR="006A1DD1" w:rsidRPr="00F4796A" w:rsidRDefault="000A25E4" w:rsidP="00F4796A">
      <w:pPr>
        <w:pStyle w:val="NoSpacing"/>
        <w:rPr>
          <w:rFonts w:asciiTheme="majorBidi" w:hAnsiTheme="majorBidi" w:cstheme="majorBidi"/>
          <w:b/>
          <w:bCs/>
          <w:sz w:val="24"/>
          <w:szCs w:val="24"/>
        </w:rPr>
      </w:pPr>
      <w:r>
        <w:rPr>
          <w:rFonts w:asciiTheme="majorBidi" w:hAnsiTheme="majorBidi" w:cstheme="majorBidi"/>
          <w:b/>
          <w:bCs/>
          <w:sz w:val="24"/>
          <w:szCs w:val="24"/>
        </w:rPr>
        <w:t>Table 4.17</w:t>
      </w:r>
      <w:r w:rsidR="006A1DD1" w:rsidRPr="00F4796A">
        <w:rPr>
          <w:rFonts w:asciiTheme="majorBidi" w:hAnsiTheme="majorBidi" w:cstheme="majorBidi"/>
          <w:b/>
          <w:bCs/>
          <w:sz w:val="24"/>
          <w:szCs w:val="24"/>
        </w:rPr>
        <w:t>: Debt Restructuring and NPL Trends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2"/>
        <w:gridCol w:w="1613"/>
        <w:gridCol w:w="1620"/>
        <w:gridCol w:w="2862"/>
      </w:tblGrid>
      <w:tr w:rsidR="006A1DD1" w:rsidRPr="006A1DD1" w14:paraId="2AB338F1" w14:textId="77777777" w:rsidTr="00BB5FEF">
        <w:trPr>
          <w:tblHeader/>
          <w:tblCellSpacing w:w="15" w:type="dxa"/>
        </w:trPr>
        <w:tc>
          <w:tcPr>
            <w:tcW w:w="0" w:type="auto"/>
            <w:vAlign w:val="center"/>
            <w:hideMark/>
          </w:tcPr>
          <w:p w14:paraId="602CDB91" w14:textId="77777777" w:rsidR="006A1DD1" w:rsidRPr="006A1DD1" w:rsidRDefault="006A1DD1" w:rsidP="00A271E7">
            <w:pPr>
              <w:shd w:val="clear" w:color="auto" w:fill="FFFFFF" w:themeFill="background1"/>
              <w:spacing w:after="240" w:line="240" w:lineRule="auto"/>
              <w:jc w:val="both"/>
              <w:rPr>
                <w:rFonts w:asciiTheme="majorBidi" w:eastAsia="Times New Roman" w:hAnsiTheme="majorBidi" w:cstheme="majorBidi"/>
                <w:b/>
                <w:bCs/>
                <w:sz w:val="24"/>
                <w:szCs w:val="24"/>
              </w:rPr>
            </w:pPr>
            <w:r w:rsidRPr="006A1DD1">
              <w:rPr>
                <w:rFonts w:asciiTheme="majorBidi" w:eastAsia="Times New Roman" w:hAnsiTheme="majorBidi" w:cstheme="majorBidi"/>
                <w:b/>
                <w:bCs/>
                <w:sz w:val="24"/>
                <w:szCs w:val="24"/>
              </w:rPr>
              <w:t>Year</w:t>
            </w:r>
          </w:p>
        </w:tc>
        <w:tc>
          <w:tcPr>
            <w:tcW w:w="0" w:type="auto"/>
            <w:vAlign w:val="center"/>
            <w:hideMark/>
          </w:tcPr>
          <w:p w14:paraId="33F027DD" w14:textId="77777777" w:rsidR="006A1DD1" w:rsidRPr="006A1DD1" w:rsidRDefault="006A1DD1" w:rsidP="00A271E7">
            <w:pPr>
              <w:shd w:val="clear" w:color="auto" w:fill="FFFFFF" w:themeFill="background1"/>
              <w:spacing w:after="240" w:line="240" w:lineRule="auto"/>
              <w:jc w:val="both"/>
              <w:rPr>
                <w:rFonts w:asciiTheme="majorBidi" w:eastAsia="Times New Roman" w:hAnsiTheme="majorBidi" w:cstheme="majorBidi"/>
                <w:b/>
                <w:bCs/>
                <w:sz w:val="24"/>
                <w:szCs w:val="24"/>
              </w:rPr>
            </w:pPr>
            <w:r w:rsidRPr="006A1DD1">
              <w:rPr>
                <w:rFonts w:asciiTheme="majorBidi" w:eastAsia="Times New Roman" w:hAnsiTheme="majorBidi" w:cstheme="majorBidi"/>
                <w:b/>
                <w:bCs/>
                <w:sz w:val="24"/>
                <w:szCs w:val="24"/>
              </w:rPr>
              <w:t>NPL (Frw'000)</w:t>
            </w:r>
          </w:p>
        </w:tc>
        <w:tc>
          <w:tcPr>
            <w:tcW w:w="0" w:type="auto"/>
            <w:vAlign w:val="center"/>
            <w:hideMark/>
          </w:tcPr>
          <w:p w14:paraId="1F360920" w14:textId="77777777" w:rsidR="006A1DD1" w:rsidRPr="006A1DD1" w:rsidRDefault="006A1DD1" w:rsidP="00A271E7">
            <w:pPr>
              <w:shd w:val="clear" w:color="auto" w:fill="FFFFFF" w:themeFill="background1"/>
              <w:spacing w:after="240" w:line="240" w:lineRule="auto"/>
              <w:jc w:val="both"/>
              <w:rPr>
                <w:rFonts w:asciiTheme="majorBidi" w:eastAsia="Times New Roman" w:hAnsiTheme="majorBidi" w:cstheme="majorBidi"/>
                <w:b/>
                <w:bCs/>
                <w:sz w:val="24"/>
                <w:szCs w:val="24"/>
              </w:rPr>
            </w:pPr>
            <w:r w:rsidRPr="006A1DD1">
              <w:rPr>
                <w:rFonts w:asciiTheme="majorBidi" w:eastAsia="Times New Roman" w:hAnsiTheme="majorBidi" w:cstheme="majorBidi"/>
                <w:b/>
                <w:bCs/>
                <w:sz w:val="24"/>
                <w:szCs w:val="24"/>
              </w:rPr>
              <w:t>NPL Ratio (%)</w:t>
            </w:r>
          </w:p>
        </w:tc>
        <w:tc>
          <w:tcPr>
            <w:tcW w:w="0" w:type="auto"/>
            <w:vAlign w:val="center"/>
            <w:hideMark/>
          </w:tcPr>
          <w:p w14:paraId="7708E12B" w14:textId="77777777" w:rsidR="006A1DD1" w:rsidRPr="006A1DD1" w:rsidRDefault="006A1DD1" w:rsidP="00A271E7">
            <w:pPr>
              <w:shd w:val="clear" w:color="auto" w:fill="FFFFFF" w:themeFill="background1"/>
              <w:spacing w:after="240" w:line="240" w:lineRule="auto"/>
              <w:jc w:val="both"/>
              <w:rPr>
                <w:rFonts w:asciiTheme="majorBidi" w:eastAsia="Times New Roman" w:hAnsiTheme="majorBidi" w:cstheme="majorBidi"/>
                <w:b/>
                <w:bCs/>
                <w:sz w:val="24"/>
                <w:szCs w:val="24"/>
              </w:rPr>
            </w:pPr>
            <w:r w:rsidRPr="006A1DD1">
              <w:rPr>
                <w:rFonts w:asciiTheme="majorBidi" w:eastAsia="Times New Roman" w:hAnsiTheme="majorBidi" w:cstheme="majorBidi"/>
                <w:b/>
                <w:bCs/>
                <w:sz w:val="24"/>
                <w:szCs w:val="24"/>
              </w:rPr>
              <w:t>Debt Restructuring Impact</w:t>
            </w:r>
          </w:p>
        </w:tc>
      </w:tr>
      <w:tr w:rsidR="006A1DD1" w:rsidRPr="006A1DD1" w14:paraId="1D3A3974" w14:textId="77777777" w:rsidTr="00BB5FEF">
        <w:trPr>
          <w:tblCellSpacing w:w="15" w:type="dxa"/>
        </w:trPr>
        <w:tc>
          <w:tcPr>
            <w:tcW w:w="0" w:type="auto"/>
            <w:vAlign w:val="center"/>
            <w:hideMark/>
          </w:tcPr>
          <w:p w14:paraId="389C3504" w14:textId="77777777" w:rsidR="006A1DD1" w:rsidRPr="006A1DD1" w:rsidRDefault="006A1DD1"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2019</w:t>
            </w:r>
          </w:p>
        </w:tc>
        <w:tc>
          <w:tcPr>
            <w:tcW w:w="0" w:type="auto"/>
            <w:vAlign w:val="center"/>
            <w:hideMark/>
          </w:tcPr>
          <w:p w14:paraId="5BAAAE85" w14:textId="77777777" w:rsidR="006A1DD1" w:rsidRPr="006A1DD1" w:rsidRDefault="006A1DD1"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1,579,433</w:t>
            </w:r>
          </w:p>
        </w:tc>
        <w:tc>
          <w:tcPr>
            <w:tcW w:w="0" w:type="auto"/>
            <w:vAlign w:val="center"/>
            <w:hideMark/>
          </w:tcPr>
          <w:p w14:paraId="3DF61CE0" w14:textId="77777777" w:rsidR="006A1DD1" w:rsidRPr="006A1DD1" w:rsidRDefault="006A1DD1"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3.70</w:t>
            </w:r>
          </w:p>
        </w:tc>
        <w:tc>
          <w:tcPr>
            <w:tcW w:w="0" w:type="auto"/>
            <w:vAlign w:val="center"/>
            <w:hideMark/>
          </w:tcPr>
          <w:p w14:paraId="25BEA12E" w14:textId="77777777" w:rsidR="006A1DD1" w:rsidRPr="006A1DD1" w:rsidRDefault="006A1DD1"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Moderate restructuring</w:t>
            </w:r>
          </w:p>
        </w:tc>
      </w:tr>
      <w:tr w:rsidR="006A1DD1" w:rsidRPr="006A1DD1" w14:paraId="0BA7512A" w14:textId="77777777" w:rsidTr="00BB5FEF">
        <w:trPr>
          <w:tblCellSpacing w:w="15" w:type="dxa"/>
        </w:trPr>
        <w:tc>
          <w:tcPr>
            <w:tcW w:w="0" w:type="auto"/>
            <w:vAlign w:val="center"/>
            <w:hideMark/>
          </w:tcPr>
          <w:p w14:paraId="5DBAE584" w14:textId="77777777" w:rsidR="006A1DD1" w:rsidRPr="006A1DD1" w:rsidRDefault="006A1DD1"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2020</w:t>
            </w:r>
          </w:p>
        </w:tc>
        <w:tc>
          <w:tcPr>
            <w:tcW w:w="0" w:type="auto"/>
            <w:vAlign w:val="center"/>
            <w:hideMark/>
          </w:tcPr>
          <w:p w14:paraId="6603D2A4" w14:textId="77777777" w:rsidR="006A1DD1" w:rsidRPr="006A1DD1" w:rsidRDefault="006A1DD1"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2,270,969</w:t>
            </w:r>
          </w:p>
        </w:tc>
        <w:tc>
          <w:tcPr>
            <w:tcW w:w="0" w:type="auto"/>
            <w:vAlign w:val="center"/>
            <w:hideMark/>
          </w:tcPr>
          <w:p w14:paraId="3BB4C7AD" w14:textId="77777777" w:rsidR="006A1DD1" w:rsidRPr="006A1DD1" w:rsidRDefault="006A1DD1"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4.67</w:t>
            </w:r>
          </w:p>
        </w:tc>
        <w:tc>
          <w:tcPr>
            <w:tcW w:w="0" w:type="auto"/>
            <w:vAlign w:val="center"/>
            <w:hideMark/>
          </w:tcPr>
          <w:p w14:paraId="215D197B" w14:textId="77777777" w:rsidR="006A1DD1" w:rsidRPr="006A1DD1" w:rsidRDefault="006A1DD1"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Increased restructuring</w:t>
            </w:r>
          </w:p>
        </w:tc>
      </w:tr>
      <w:tr w:rsidR="006A1DD1" w:rsidRPr="006A1DD1" w14:paraId="7D26D27E" w14:textId="77777777" w:rsidTr="00BB5FEF">
        <w:trPr>
          <w:tblCellSpacing w:w="15" w:type="dxa"/>
        </w:trPr>
        <w:tc>
          <w:tcPr>
            <w:tcW w:w="0" w:type="auto"/>
            <w:vAlign w:val="center"/>
            <w:hideMark/>
          </w:tcPr>
          <w:p w14:paraId="2CE164B1" w14:textId="77777777" w:rsidR="006A1DD1" w:rsidRPr="006A1DD1" w:rsidRDefault="006A1DD1"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2021</w:t>
            </w:r>
          </w:p>
        </w:tc>
        <w:tc>
          <w:tcPr>
            <w:tcW w:w="0" w:type="auto"/>
            <w:vAlign w:val="center"/>
            <w:hideMark/>
          </w:tcPr>
          <w:p w14:paraId="5DE0A920" w14:textId="77777777" w:rsidR="006A1DD1" w:rsidRPr="006A1DD1" w:rsidRDefault="006A1DD1"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2,679,805</w:t>
            </w:r>
          </w:p>
        </w:tc>
        <w:tc>
          <w:tcPr>
            <w:tcW w:w="0" w:type="auto"/>
            <w:vAlign w:val="center"/>
            <w:hideMark/>
          </w:tcPr>
          <w:p w14:paraId="0EC50DC4" w14:textId="77777777" w:rsidR="006A1DD1" w:rsidRPr="006A1DD1" w:rsidRDefault="006A1DD1"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5.48</w:t>
            </w:r>
          </w:p>
        </w:tc>
        <w:tc>
          <w:tcPr>
            <w:tcW w:w="0" w:type="auto"/>
            <w:vAlign w:val="center"/>
            <w:hideMark/>
          </w:tcPr>
          <w:p w14:paraId="38ADC336" w14:textId="77777777" w:rsidR="006A1DD1" w:rsidRPr="006A1DD1" w:rsidRDefault="006A1DD1"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Aggressive restructuring</w:t>
            </w:r>
          </w:p>
        </w:tc>
      </w:tr>
      <w:tr w:rsidR="006A1DD1" w:rsidRPr="006A1DD1" w14:paraId="0F867ACA" w14:textId="77777777" w:rsidTr="00BB5FEF">
        <w:trPr>
          <w:tblCellSpacing w:w="15" w:type="dxa"/>
        </w:trPr>
        <w:tc>
          <w:tcPr>
            <w:tcW w:w="0" w:type="auto"/>
            <w:vAlign w:val="center"/>
            <w:hideMark/>
          </w:tcPr>
          <w:p w14:paraId="556630D8" w14:textId="77777777" w:rsidR="006A1DD1" w:rsidRPr="006A1DD1" w:rsidRDefault="006A1DD1"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2022</w:t>
            </w:r>
          </w:p>
        </w:tc>
        <w:tc>
          <w:tcPr>
            <w:tcW w:w="0" w:type="auto"/>
            <w:vAlign w:val="center"/>
            <w:hideMark/>
          </w:tcPr>
          <w:p w14:paraId="4C6CBF16" w14:textId="77777777" w:rsidR="006A1DD1" w:rsidRPr="006A1DD1" w:rsidRDefault="006A1DD1"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1,331,854</w:t>
            </w:r>
          </w:p>
        </w:tc>
        <w:tc>
          <w:tcPr>
            <w:tcW w:w="0" w:type="auto"/>
            <w:vAlign w:val="center"/>
            <w:hideMark/>
          </w:tcPr>
          <w:p w14:paraId="02EB890F" w14:textId="77777777" w:rsidR="006A1DD1" w:rsidRPr="006A1DD1" w:rsidRDefault="006A1DD1"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3.58</w:t>
            </w:r>
          </w:p>
        </w:tc>
        <w:tc>
          <w:tcPr>
            <w:tcW w:w="0" w:type="auto"/>
            <w:vAlign w:val="center"/>
            <w:hideMark/>
          </w:tcPr>
          <w:p w14:paraId="20F5C4AA" w14:textId="77777777" w:rsidR="006A1DD1" w:rsidRPr="006A1DD1" w:rsidRDefault="006A1DD1"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Strong recovery efforts</w:t>
            </w:r>
          </w:p>
        </w:tc>
      </w:tr>
      <w:tr w:rsidR="006A1DD1" w:rsidRPr="006A1DD1" w14:paraId="220D6EEE" w14:textId="77777777" w:rsidTr="00BB5FEF">
        <w:trPr>
          <w:tblCellSpacing w:w="15" w:type="dxa"/>
        </w:trPr>
        <w:tc>
          <w:tcPr>
            <w:tcW w:w="0" w:type="auto"/>
            <w:vAlign w:val="center"/>
            <w:hideMark/>
          </w:tcPr>
          <w:p w14:paraId="3521575F" w14:textId="77777777" w:rsidR="006A1DD1" w:rsidRPr="006A1DD1" w:rsidRDefault="006A1DD1"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2023</w:t>
            </w:r>
          </w:p>
        </w:tc>
        <w:tc>
          <w:tcPr>
            <w:tcW w:w="0" w:type="auto"/>
            <w:vAlign w:val="center"/>
            <w:hideMark/>
          </w:tcPr>
          <w:p w14:paraId="5B21B5FF" w14:textId="77777777" w:rsidR="006A1DD1" w:rsidRPr="006A1DD1" w:rsidRDefault="006A1DD1"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263,190</w:t>
            </w:r>
          </w:p>
        </w:tc>
        <w:tc>
          <w:tcPr>
            <w:tcW w:w="0" w:type="auto"/>
            <w:vAlign w:val="center"/>
            <w:hideMark/>
          </w:tcPr>
          <w:p w14:paraId="374FD35A" w14:textId="77777777" w:rsidR="006A1DD1" w:rsidRPr="006A1DD1" w:rsidRDefault="006A1DD1"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0.76</w:t>
            </w:r>
          </w:p>
        </w:tc>
        <w:tc>
          <w:tcPr>
            <w:tcW w:w="0" w:type="auto"/>
            <w:vAlign w:val="center"/>
            <w:hideMark/>
          </w:tcPr>
          <w:p w14:paraId="0C6BE3C3" w14:textId="77777777" w:rsidR="006A1DD1" w:rsidRPr="006A1DD1" w:rsidRDefault="006A1DD1" w:rsidP="00A271E7">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Successful recovery</w:t>
            </w:r>
          </w:p>
        </w:tc>
      </w:tr>
    </w:tbl>
    <w:p w14:paraId="773C3BFD" w14:textId="21B14B26" w:rsidR="006A1DD1" w:rsidRPr="006F5EDE" w:rsidRDefault="00BB5FEF" w:rsidP="00BB5FEF">
      <w:pPr>
        <w:shd w:val="clear" w:color="auto" w:fill="FFFFFF" w:themeFill="background1"/>
        <w:spacing w:after="240" w:line="360" w:lineRule="auto"/>
        <w:jc w:val="both"/>
        <w:rPr>
          <w:rFonts w:asciiTheme="majorBidi" w:eastAsia="Times New Roman" w:hAnsiTheme="majorBidi" w:cstheme="majorBidi"/>
          <w:sz w:val="24"/>
          <w:szCs w:val="24"/>
        </w:rPr>
      </w:pPr>
      <w:r w:rsidRPr="006F5EDE">
        <w:rPr>
          <w:rFonts w:asciiTheme="majorBidi" w:eastAsia="Times New Roman" w:hAnsiTheme="majorBidi" w:cstheme="majorBidi"/>
          <w:b/>
          <w:bCs/>
          <w:sz w:val="24"/>
          <w:szCs w:val="24"/>
        </w:rPr>
        <w:t>Source:</w:t>
      </w:r>
      <w:r w:rsidRPr="006F5EDE">
        <w:rPr>
          <w:rFonts w:asciiTheme="majorBidi" w:eastAsia="Times New Roman" w:hAnsiTheme="majorBidi" w:cstheme="majorBidi"/>
          <w:sz w:val="24"/>
          <w:szCs w:val="24"/>
        </w:rPr>
        <w:t xml:space="preserve"> Statement of financial position of GT Bank Plc (2019-2023)</w:t>
      </w:r>
    </w:p>
    <w:p w14:paraId="722C39D0" w14:textId="479FEDD6" w:rsidR="006F5EDE" w:rsidRPr="006D3D71" w:rsidRDefault="006A1DD1" w:rsidP="00BB5FEF">
      <w:pPr>
        <w:shd w:val="clear" w:color="auto" w:fill="FFFFFF" w:themeFill="background1"/>
        <w:spacing w:after="240" w:line="36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Debt restructuring and recovery strategies are essential for managing non-performing loans (NPLs) and minimizing financial losses. The table shows how these strategies impacted GT Bank Plc’s financial performance from 2</w:t>
      </w:r>
      <w:r w:rsidR="00A271E7">
        <w:rPr>
          <w:rFonts w:asciiTheme="majorBidi" w:eastAsia="Times New Roman" w:hAnsiTheme="majorBidi" w:cstheme="majorBidi"/>
          <w:sz w:val="24"/>
          <w:szCs w:val="24"/>
        </w:rPr>
        <w:t xml:space="preserve">019 to 2023. </w:t>
      </w:r>
      <w:r w:rsidRPr="006A1DD1">
        <w:rPr>
          <w:rFonts w:asciiTheme="majorBidi" w:eastAsia="Times New Roman" w:hAnsiTheme="majorBidi" w:cstheme="majorBidi"/>
          <w:sz w:val="24"/>
          <w:szCs w:val="24"/>
        </w:rPr>
        <w:t>From 2019 to 2021, the bank saw an increase in NPLs, reaching a peak in 2021 at 5.48%. This led to more aggressive debt restructuring efforts. In 2022, the bank's restructuring efforts began to show results, as NPLs decreased to 3.58%. By 2023, with successful recovery measures, NPLs dramatically dropped to 0.76%, demonstrating the positive impact of the bank's</w:t>
      </w:r>
      <w:r w:rsidR="00A271E7">
        <w:rPr>
          <w:rFonts w:asciiTheme="majorBidi" w:eastAsia="Times New Roman" w:hAnsiTheme="majorBidi" w:cstheme="majorBidi"/>
          <w:sz w:val="24"/>
          <w:szCs w:val="24"/>
        </w:rPr>
        <w:t xml:space="preserve"> proactive recovery strategies. </w:t>
      </w:r>
      <w:r w:rsidRPr="006A1DD1">
        <w:rPr>
          <w:rFonts w:asciiTheme="majorBidi" w:eastAsia="Times New Roman" w:hAnsiTheme="majorBidi" w:cstheme="majorBidi"/>
          <w:sz w:val="24"/>
          <w:szCs w:val="24"/>
        </w:rPr>
        <w:t>The debt restructuring impact shows a clear correlation between the bank's efforts to modify loan terms and improve recovery rates, leading to significant financial stability.</w:t>
      </w:r>
    </w:p>
    <w:p w14:paraId="138D0B75" w14:textId="5DE48CCC" w:rsidR="006A1DD1" w:rsidRPr="000A25E4" w:rsidRDefault="006A1DD1" w:rsidP="00BB5FEF">
      <w:pPr>
        <w:pStyle w:val="Heading3"/>
        <w:rPr>
          <w:rFonts w:ascii="Times New Roman" w:eastAsia="Times New Roman" w:hAnsi="Times New Roman" w:cs="Times New Roman"/>
          <w:b/>
          <w:bCs/>
          <w:color w:val="auto"/>
          <w:sz w:val="24"/>
          <w:szCs w:val="24"/>
        </w:rPr>
      </w:pPr>
      <w:bookmarkStart w:id="1364" w:name="_Toc193846489"/>
      <w:r w:rsidRPr="000A25E4">
        <w:rPr>
          <w:rFonts w:ascii="Times New Roman" w:eastAsia="Times New Roman" w:hAnsi="Times New Roman" w:cs="Times New Roman"/>
          <w:b/>
          <w:bCs/>
          <w:color w:val="auto"/>
          <w:sz w:val="24"/>
          <w:szCs w:val="24"/>
        </w:rPr>
        <w:t>4.</w:t>
      </w:r>
      <w:r w:rsidR="000A25E4">
        <w:rPr>
          <w:rFonts w:ascii="Times New Roman" w:eastAsia="Times New Roman" w:hAnsi="Times New Roman" w:cs="Times New Roman"/>
          <w:b/>
          <w:bCs/>
          <w:color w:val="auto"/>
          <w:sz w:val="24"/>
          <w:szCs w:val="24"/>
        </w:rPr>
        <w:t>3</w:t>
      </w:r>
      <w:r w:rsidR="001226C1" w:rsidRPr="000A25E4">
        <w:rPr>
          <w:rFonts w:ascii="Times New Roman" w:eastAsia="Times New Roman" w:hAnsi="Times New Roman" w:cs="Times New Roman"/>
          <w:b/>
          <w:bCs/>
          <w:color w:val="auto"/>
          <w:sz w:val="24"/>
          <w:szCs w:val="24"/>
        </w:rPr>
        <w:t>.</w:t>
      </w:r>
      <w:r w:rsidR="00756BA5" w:rsidRPr="000A25E4">
        <w:rPr>
          <w:rFonts w:ascii="Times New Roman" w:eastAsia="Times New Roman" w:hAnsi="Times New Roman" w:cs="Times New Roman"/>
          <w:b/>
          <w:bCs/>
          <w:color w:val="auto"/>
          <w:sz w:val="24"/>
          <w:szCs w:val="24"/>
        </w:rPr>
        <w:t>4</w:t>
      </w:r>
      <w:r w:rsidRPr="000A25E4">
        <w:rPr>
          <w:rFonts w:ascii="Times New Roman" w:eastAsia="Times New Roman" w:hAnsi="Times New Roman" w:cs="Times New Roman"/>
          <w:b/>
          <w:bCs/>
          <w:color w:val="auto"/>
          <w:sz w:val="24"/>
          <w:szCs w:val="24"/>
        </w:rPr>
        <w:t xml:space="preserve"> Credit Risk Rating Systems</w:t>
      </w:r>
      <w:bookmarkEnd w:id="1364"/>
    </w:p>
    <w:p w14:paraId="70703FD7" w14:textId="16FCCE1B" w:rsidR="006A1DD1" w:rsidRPr="006D3D71" w:rsidRDefault="006A1DD1"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6D3D71">
        <w:rPr>
          <w:rFonts w:asciiTheme="majorBidi" w:eastAsia="Times New Roman" w:hAnsiTheme="majorBidi" w:cstheme="majorBidi"/>
          <w:sz w:val="24"/>
          <w:szCs w:val="24"/>
        </w:rPr>
        <w:t>Credit Risk Rating Systems at GT Bank Plc are essential tools in assessing the creditworthiness of borrowers. These systems assign a score or rating to each borrower, based on factors like financial stability, repayment history, and overall risk profile. This helps the bank determine the likelihood of default and adjust lending terms accordingly. The implementation of a robust credit risk rating system is pivotal in reducing loan defaults and mitigating risks, as evidenced by the improvement in loan quality and reduced NPL ratios in recent years. It strengthens the bank’s ability to make informed lending decisions an</w:t>
      </w:r>
      <w:r w:rsidR="001B0128">
        <w:rPr>
          <w:rFonts w:asciiTheme="majorBidi" w:eastAsia="Times New Roman" w:hAnsiTheme="majorBidi" w:cstheme="majorBidi"/>
          <w:sz w:val="24"/>
          <w:szCs w:val="24"/>
        </w:rPr>
        <w:t xml:space="preserve">d maintain financial stability. </w:t>
      </w:r>
      <w:r w:rsidRPr="006A1DD1">
        <w:rPr>
          <w:rFonts w:asciiTheme="majorBidi" w:eastAsia="Times New Roman" w:hAnsiTheme="majorBidi" w:cstheme="majorBidi"/>
          <w:sz w:val="24"/>
          <w:szCs w:val="24"/>
        </w:rPr>
        <w:t xml:space="preserve">The Credit Risk Rating System at GT Bank Plc plays a crucial role in evaluating the creditworthiness of borrowers, thus ensuring that only creditworthy </w:t>
      </w:r>
      <w:r w:rsidRPr="006A1DD1">
        <w:rPr>
          <w:rFonts w:asciiTheme="majorBidi" w:eastAsia="Times New Roman" w:hAnsiTheme="majorBidi" w:cstheme="majorBidi"/>
          <w:sz w:val="24"/>
          <w:szCs w:val="24"/>
        </w:rPr>
        <w:lastRenderedPageBreak/>
        <w:t>individuals and businesses are granted loans. By utilizing a scoring system based on factors such as financial health, payment history, and economic conditions, the bank can effectively assess risk levels and set appropriate lending terms. This helps in reducing loan defaults, enhancing loan portfolio quality, and maintaining overall financial stability. The system's effectiveness is evident in the reduced non-performing loans (NPLs) over the years.</w:t>
      </w:r>
    </w:p>
    <w:p w14:paraId="243B5159" w14:textId="0A5FB5A6" w:rsidR="006A1DD1" w:rsidRPr="00F4796A" w:rsidRDefault="001B0128" w:rsidP="00F4796A">
      <w:pPr>
        <w:pStyle w:val="NoSpacing"/>
        <w:rPr>
          <w:rFonts w:asciiTheme="majorBidi" w:hAnsiTheme="majorBidi" w:cstheme="majorBidi"/>
          <w:b/>
          <w:bCs/>
          <w:sz w:val="24"/>
          <w:szCs w:val="24"/>
        </w:rPr>
      </w:pPr>
      <w:r>
        <w:rPr>
          <w:rFonts w:asciiTheme="majorBidi" w:hAnsiTheme="majorBidi" w:cstheme="majorBidi"/>
          <w:b/>
          <w:bCs/>
          <w:sz w:val="24"/>
          <w:szCs w:val="24"/>
        </w:rPr>
        <w:t>4.18</w:t>
      </w:r>
      <w:r w:rsidR="00756BA5">
        <w:rPr>
          <w:rFonts w:asciiTheme="majorBidi" w:hAnsiTheme="majorBidi" w:cstheme="majorBidi"/>
          <w:b/>
          <w:bCs/>
          <w:sz w:val="24"/>
          <w:szCs w:val="24"/>
        </w:rPr>
        <w:t xml:space="preserve"> </w:t>
      </w:r>
      <w:r w:rsidR="00756BA5" w:rsidRPr="00F4796A">
        <w:rPr>
          <w:rFonts w:asciiTheme="majorBidi" w:hAnsiTheme="majorBidi" w:cstheme="majorBidi"/>
          <w:b/>
          <w:bCs/>
          <w:sz w:val="24"/>
          <w:szCs w:val="24"/>
        </w:rPr>
        <w:t>Table</w:t>
      </w:r>
      <w:r w:rsidR="006A1DD1" w:rsidRPr="00F4796A">
        <w:rPr>
          <w:rFonts w:asciiTheme="majorBidi" w:hAnsiTheme="majorBidi" w:cstheme="majorBidi"/>
          <w:b/>
          <w:bCs/>
          <w:sz w:val="24"/>
          <w:szCs w:val="24"/>
        </w:rPr>
        <w:t xml:space="preserve"> Credit Risk Rating Systems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2"/>
        <w:gridCol w:w="2907"/>
        <w:gridCol w:w="1721"/>
        <w:gridCol w:w="3155"/>
      </w:tblGrid>
      <w:tr w:rsidR="006A1DD1" w:rsidRPr="006A1DD1" w14:paraId="1832BEB4" w14:textId="77777777" w:rsidTr="001226C1">
        <w:trPr>
          <w:tblHeader/>
          <w:tblCellSpacing w:w="15" w:type="dxa"/>
        </w:trPr>
        <w:tc>
          <w:tcPr>
            <w:tcW w:w="0" w:type="auto"/>
            <w:vAlign w:val="center"/>
            <w:hideMark/>
          </w:tcPr>
          <w:p w14:paraId="1D4E08E1" w14:textId="77777777" w:rsidR="006A1DD1" w:rsidRPr="006A1DD1" w:rsidRDefault="006A1DD1" w:rsidP="001B0128">
            <w:pPr>
              <w:shd w:val="clear" w:color="auto" w:fill="FFFFFF" w:themeFill="background1"/>
              <w:spacing w:after="240" w:line="240" w:lineRule="auto"/>
              <w:jc w:val="both"/>
              <w:rPr>
                <w:rFonts w:asciiTheme="majorBidi" w:eastAsia="Times New Roman" w:hAnsiTheme="majorBidi" w:cstheme="majorBidi"/>
                <w:b/>
                <w:bCs/>
                <w:sz w:val="24"/>
                <w:szCs w:val="24"/>
              </w:rPr>
            </w:pPr>
            <w:r w:rsidRPr="006A1DD1">
              <w:rPr>
                <w:rFonts w:asciiTheme="majorBidi" w:eastAsia="Times New Roman" w:hAnsiTheme="majorBidi" w:cstheme="majorBidi"/>
                <w:b/>
                <w:bCs/>
                <w:sz w:val="24"/>
                <w:szCs w:val="24"/>
              </w:rPr>
              <w:t>Year</w:t>
            </w:r>
          </w:p>
        </w:tc>
        <w:tc>
          <w:tcPr>
            <w:tcW w:w="0" w:type="auto"/>
            <w:vAlign w:val="center"/>
            <w:hideMark/>
          </w:tcPr>
          <w:p w14:paraId="55B75742" w14:textId="77777777" w:rsidR="006A1DD1" w:rsidRPr="006A1DD1" w:rsidRDefault="006A1DD1" w:rsidP="001B0128">
            <w:pPr>
              <w:shd w:val="clear" w:color="auto" w:fill="FFFFFF" w:themeFill="background1"/>
              <w:spacing w:after="240" w:line="240" w:lineRule="auto"/>
              <w:jc w:val="both"/>
              <w:rPr>
                <w:rFonts w:asciiTheme="majorBidi" w:eastAsia="Times New Roman" w:hAnsiTheme="majorBidi" w:cstheme="majorBidi"/>
                <w:b/>
                <w:bCs/>
                <w:sz w:val="24"/>
                <w:szCs w:val="24"/>
              </w:rPr>
            </w:pPr>
            <w:r w:rsidRPr="006A1DD1">
              <w:rPr>
                <w:rFonts w:asciiTheme="majorBidi" w:eastAsia="Times New Roman" w:hAnsiTheme="majorBidi" w:cstheme="majorBidi"/>
                <w:b/>
                <w:bCs/>
                <w:sz w:val="24"/>
                <w:szCs w:val="24"/>
              </w:rPr>
              <w:t>Credit Rating System Score</w:t>
            </w:r>
          </w:p>
        </w:tc>
        <w:tc>
          <w:tcPr>
            <w:tcW w:w="0" w:type="auto"/>
            <w:vAlign w:val="center"/>
            <w:hideMark/>
          </w:tcPr>
          <w:p w14:paraId="759B6FAA" w14:textId="77777777" w:rsidR="006A1DD1" w:rsidRPr="006A1DD1" w:rsidRDefault="006A1DD1" w:rsidP="001B0128">
            <w:pPr>
              <w:shd w:val="clear" w:color="auto" w:fill="FFFFFF" w:themeFill="background1"/>
              <w:spacing w:after="240" w:line="240" w:lineRule="auto"/>
              <w:jc w:val="both"/>
              <w:rPr>
                <w:rFonts w:asciiTheme="majorBidi" w:eastAsia="Times New Roman" w:hAnsiTheme="majorBidi" w:cstheme="majorBidi"/>
                <w:b/>
                <w:bCs/>
                <w:sz w:val="24"/>
                <w:szCs w:val="24"/>
              </w:rPr>
            </w:pPr>
            <w:r w:rsidRPr="006A1DD1">
              <w:rPr>
                <w:rFonts w:asciiTheme="majorBidi" w:eastAsia="Times New Roman" w:hAnsiTheme="majorBidi" w:cstheme="majorBidi"/>
                <w:b/>
                <w:bCs/>
                <w:sz w:val="24"/>
                <w:szCs w:val="24"/>
              </w:rPr>
              <w:t>Loan Approvals</w:t>
            </w:r>
          </w:p>
        </w:tc>
        <w:tc>
          <w:tcPr>
            <w:tcW w:w="0" w:type="auto"/>
            <w:vAlign w:val="center"/>
            <w:hideMark/>
          </w:tcPr>
          <w:p w14:paraId="6717D427" w14:textId="77777777" w:rsidR="006A1DD1" w:rsidRPr="006A1DD1" w:rsidRDefault="006A1DD1" w:rsidP="001B0128">
            <w:pPr>
              <w:shd w:val="clear" w:color="auto" w:fill="FFFFFF" w:themeFill="background1"/>
              <w:spacing w:after="240" w:line="240" w:lineRule="auto"/>
              <w:jc w:val="both"/>
              <w:rPr>
                <w:rFonts w:asciiTheme="majorBidi" w:eastAsia="Times New Roman" w:hAnsiTheme="majorBidi" w:cstheme="majorBidi"/>
                <w:b/>
                <w:bCs/>
                <w:sz w:val="24"/>
                <w:szCs w:val="24"/>
              </w:rPr>
            </w:pPr>
            <w:r w:rsidRPr="006A1DD1">
              <w:rPr>
                <w:rFonts w:asciiTheme="majorBidi" w:eastAsia="Times New Roman" w:hAnsiTheme="majorBidi" w:cstheme="majorBidi"/>
                <w:b/>
                <w:bCs/>
                <w:sz w:val="24"/>
                <w:szCs w:val="24"/>
              </w:rPr>
              <w:t>Non-Performing Loans (NPL)</w:t>
            </w:r>
          </w:p>
        </w:tc>
      </w:tr>
      <w:tr w:rsidR="006A1DD1" w:rsidRPr="006A1DD1" w14:paraId="75F0A7E4" w14:textId="77777777" w:rsidTr="001226C1">
        <w:trPr>
          <w:tblCellSpacing w:w="15" w:type="dxa"/>
        </w:trPr>
        <w:tc>
          <w:tcPr>
            <w:tcW w:w="0" w:type="auto"/>
            <w:vAlign w:val="center"/>
            <w:hideMark/>
          </w:tcPr>
          <w:p w14:paraId="6DCAAD65" w14:textId="77777777" w:rsidR="006A1DD1" w:rsidRPr="006A1DD1" w:rsidRDefault="006A1DD1" w:rsidP="001B0128">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2019</w:t>
            </w:r>
          </w:p>
        </w:tc>
        <w:tc>
          <w:tcPr>
            <w:tcW w:w="0" w:type="auto"/>
            <w:vAlign w:val="center"/>
            <w:hideMark/>
          </w:tcPr>
          <w:p w14:paraId="136AE9C4" w14:textId="77777777" w:rsidR="006A1DD1" w:rsidRPr="006A1DD1" w:rsidRDefault="006A1DD1" w:rsidP="001B0128">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70%</w:t>
            </w:r>
          </w:p>
        </w:tc>
        <w:tc>
          <w:tcPr>
            <w:tcW w:w="0" w:type="auto"/>
            <w:vAlign w:val="center"/>
            <w:hideMark/>
          </w:tcPr>
          <w:p w14:paraId="0796B13D" w14:textId="77777777" w:rsidR="006A1DD1" w:rsidRPr="006A1DD1" w:rsidRDefault="006A1DD1" w:rsidP="001B0128">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9,213</w:t>
            </w:r>
          </w:p>
        </w:tc>
        <w:tc>
          <w:tcPr>
            <w:tcW w:w="0" w:type="auto"/>
            <w:vAlign w:val="center"/>
            <w:hideMark/>
          </w:tcPr>
          <w:p w14:paraId="3B1A2B01" w14:textId="77777777" w:rsidR="006A1DD1" w:rsidRPr="006A1DD1" w:rsidRDefault="006A1DD1" w:rsidP="001B0128">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3.70%</w:t>
            </w:r>
          </w:p>
        </w:tc>
      </w:tr>
      <w:tr w:rsidR="006A1DD1" w:rsidRPr="006A1DD1" w14:paraId="005079B4" w14:textId="77777777" w:rsidTr="001226C1">
        <w:trPr>
          <w:tblCellSpacing w:w="15" w:type="dxa"/>
        </w:trPr>
        <w:tc>
          <w:tcPr>
            <w:tcW w:w="0" w:type="auto"/>
            <w:vAlign w:val="center"/>
            <w:hideMark/>
          </w:tcPr>
          <w:p w14:paraId="2C65D090" w14:textId="77777777" w:rsidR="006A1DD1" w:rsidRPr="006A1DD1" w:rsidRDefault="006A1DD1" w:rsidP="001B0128">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2020</w:t>
            </w:r>
          </w:p>
        </w:tc>
        <w:tc>
          <w:tcPr>
            <w:tcW w:w="0" w:type="auto"/>
            <w:vAlign w:val="center"/>
            <w:hideMark/>
          </w:tcPr>
          <w:p w14:paraId="58FEEC2B" w14:textId="77777777" w:rsidR="006A1DD1" w:rsidRPr="006A1DD1" w:rsidRDefault="006A1DD1" w:rsidP="001B0128">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65%</w:t>
            </w:r>
          </w:p>
        </w:tc>
        <w:tc>
          <w:tcPr>
            <w:tcW w:w="0" w:type="auto"/>
            <w:vAlign w:val="center"/>
            <w:hideMark/>
          </w:tcPr>
          <w:p w14:paraId="46B70EE1" w14:textId="77777777" w:rsidR="006A1DD1" w:rsidRPr="006A1DD1" w:rsidRDefault="006A1DD1" w:rsidP="001B0128">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8,432</w:t>
            </w:r>
          </w:p>
        </w:tc>
        <w:tc>
          <w:tcPr>
            <w:tcW w:w="0" w:type="auto"/>
            <w:vAlign w:val="center"/>
            <w:hideMark/>
          </w:tcPr>
          <w:p w14:paraId="77C29EBC" w14:textId="77777777" w:rsidR="006A1DD1" w:rsidRPr="006A1DD1" w:rsidRDefault="006A1DD1" w:rsidP="001B0128">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4.67%</w:t>
            </w:r>
          </w:p>
        </w:tc>
      </w:tr>
      <w:tr w:rsidR="006A1DD1" w:rsidRPr="006A1DD1" w14:paraId="7F207E7A" w14:textId="77777777" w:rsidTr="001226C1">
        <w:trPr>
          <w:tblCellSpacing w:w="15" w:type="dxa"/>
        </w:trPr>
        <w:tc>
          <w:tcPr>
            <w:tcW w:w="0" w:type="auto"/>
            <w:vAlign w:val="center"/>
            <w:hideMark/>
          </w:tcPr>
          <w:p w14:paraId="2A5994FB" w14:textId="77777777" w:rsidR="006A1DD1" w:rsidRPr="006A1DD1" w:rsidRDefault="006A1DD1" w:rsidP="001B0128">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2021</w:t>
            </w:r>
          </w:p>
        </w:tc>
        <w:tc>
          <w:tcPr>
            <w:tcW w:w="0" w:type="auto"/>
            <w:vAlign w:val="center"/>
            <w:hideMark/>
          </w:tcPr>
          <w:p w14:paraId="49B52991" w14:textId="77777777" w:rsidR="006A1DD1" w:rsidRPr="006A1DD1" w:rsidRDefault="006A1DD1" w:rsidP="001B0128">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72%</w:t>
            </w:r>
          </w:p>
        </w:tc>
        <w:tc>
          <w:tcPr>
            <w:tcW w:w="0" w:type="auto"/>
            <w:vAlign w:val="center"/>
            <w:hideMark/>
          </w:tcPr>
          <w:p w14:paraId="4608735F" w14:textId="77777777" w:rsidR="006A1DD1" w:rsidRPr="006A1DD1" w:rsidRDefault="006A1DD1" w:rsidP="001B0128">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10,317</w:t>
            </w:r>
          </w:p>
        </w:tc>
        <w:tc>
          <w:tcPr>
            <w:tcW w:w="0" w:type="auto"/>
            <w:vAlign w:val="center"/>
            <w:hideMark/>
          </w:tcPr>
          <w:p w14:paraId="4D3ED93B" w14:textId="77777777" w:rsidR="006A1DD1" w:rsidRPr="006A1DD1" w:rsidRDefault="006A1DD1" w:rsidP="001B0128">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5.48%</w:t>
            </w:r>
          </w:p>
        </w:tc>
      </w:tr>
      <w:tr w:rsidR="006A1DD1" w:rsidRPr="006A1DD1" w14:paraId="17B51DF3" w14:textId="77777777" w:rsidTr="001226C1">
        <w:trPr>
          <w:tblCellSpacing w:w="15" w:type="dxa"/>
        </w:trPr>
        <w:tc>
          <w:tcPr>
            <w:tcW w:w="0" w:type="auto"/>
            <w:vAlign w:val="center"/>
            <w:hideMark/>
          </w:tcPr>
          <w:p w14:paraId="1CA10A8E" w14:textId="77777777" w:rsidR="006A1DD1" w:rsidRPr="006A1DD1" w:rsidRDefault="006A1DD1" w:rsidP="001B0128">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2022</w:t>
            </w:r>
          </w:p>
        </w:tc>
        <w:tc>
          <w:tcPr>
            <w:tcW w:w="0" w:type="auto"/>
            <w:vAlign w:val="center"/>
            <w:hideMark/>
          </w:tcPr>
          <w:p w14:paraId="691EA35A" w14:textId="77777777" w:rsidR="006A1DD1" w:rsidRPr="006A1DD1" w:rsidRDefault="006A1DD1" w:rsidP="001B0128">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75%</w:t>
            </w:r>
          </w:p>
        </w:tc>
        <w:tc>
          <w:tcPr>
            <w:tcW w:w="0" w:type="auto"/>
            <w:vAlign w:val="center"/>
            <w:hideMark/>
          </w:tcPr>
          <w:p w14:paraId="576DB59F" w14:textId="77777777" w:rsidR="006A1DD1" w:rsidRPr="006A1DD1" w:rsidRDefault="006A1DD1" w:rsidP="001B0128">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9,343</w:t>
            </w:r>
          </w:p>
        </w:tc>
        <w:tc>
          <w:tcPr>
            <w:tcW w:w="0" w:type="auto"/>
            <w:vAlign w:val="center"/>
            <w:hideMark/>
          </w:tcPr>
          <w:p w14:paraId="26DD6D41" w14:textId="77777777" w:rsidR="006A1DD1" w:rsidRPr="006A1DD1" w:rsidRDefault="006A1DD1" w:rsidP="001B0128">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3.58%</w:t>
            </w:r>
          </w:p>
        </w:tc>
      </w:tr>
      <w:tr w:rsidR="006A1DD1" w:rsidRPr="006A1DD1" w14:paraId="67DC7281" w14:textId="77777777" w:rsidTr="001226C1">
        <w:trPr>
          <w:tblCellSpacing w:w="15" w:type="dxa"/>
        </w:trPr>
        <w:tc>
          <w:tcPr>
            <w:tcW w:w="0" w:type="auto"/>
            <w:vAlign w:val="center"/>
            <w:hideMark/>
          </w:tcPr>
          <w:p w14:paraId="1A4AA3C2" w14:textId="77777777" w:rsidR="006A1DD1" w:rsidRPr="006A1DD1" w:rsidRDefault="006A1DD1" w:rsidP="001B0128">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2023</w:t>
            </w:r>
          </w:p>
        </w:tc>
        <w:tc>
          <w:tcPr>
            <w:tcW w:w="0" w:type="auto"/>
            <w:vAlign w:val="center"/>
            <w:hideMark/>
          </w:tcPr>
          <w:p w14:paraId="3C7910F5" w14:textId="77777777" w:rsidR="006A1DD1" w:rsidRPr="006A1DD1" w:rsidRDefault="006A1DD1" w:rsidP="001B0128">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80%</w:t>
            </w:r>
          </w:p>
        </w:tc>
        <w:tc>
          <w:tcPr>
            <w:tcW w:w="0" w:type="auto"/>
            <w:vAlign w:val="center"/>
            <w:hideMark/>
          </w:tcPr>
          <w:p w14:paraId="0B8C6BC9" w14:textId="77777777" w:rsidR="006A1DD1" w:rsidRPr="006A1DD1" w:rsidRDefault="006A1DD1" w:rsidP="001B0128">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7,264</w:t>
            </w:r>
          </w:p>
        </w:tc>
        <w:tc>
          <w:tcPr>
            <w:tcW w:w="0" w:type="auto"/>
            <w:vAlign w:val="center"/>
            <w:hideMark/>
          </w:tcPr>
          <w:p w14:paraId="250FBD43" w14:textId="77777777" w:rsidR="006A1DD1" w:rsidRPr="006A1DD1" w:rsidRDefault="006A1DD1" w:rsidP="001B0128">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0.76%</w:t>
            </w:r>
          </w:p>
        </w:tc>
      </w:tr>
    </w:tbl>
    <w:p w14:paraId="2886FB04" w14:textId="1B5CC6DD" w:rsidR="001226C1" w:rsidRDefault="001226C1" w:rsidP="001226C1">
      <w:pPr>
        <w:shd w:val="clear" w:color="auto" w:fill="FFFFFF" w:themeFill="background1"/>
        <w:spacing w:after="240" w:line="360" w:lineRule="auto"/>
        <w:jc w:val="both"/>
        <w:rPr>
          <w:rFonts w:asciiTheme="majorBidi" w:eastAsia="Times New Roman" w:hAnsiTheme="majorBidi" w:cstheme="majorBidi"/>
          <w:sz w:val="24"/>
          <w:szCs w:val="24"/>
        </w:rPr>
      </w:pPr>
      <w:r w:rsidRPr="006F5EDE">
        <w:rPr>
          <w:rFonts w:asciiTheme="majorBidi" w:eastAsia="Times New Roman" w:hAnsiTheme="majorBidi" w:cstheme="majorBidi"/>
          <w:b/>
          <w:bCs/>
          <w:sz w:val="24"/>
          <w:szCs w:val="24"/>
        </w:rPr>
        <w:t>Source:</w:t>
      </w:r>
      <w:r w:rsidRPr="006F5EDE">
        <w:rPr>
          <w:rFonts w:asciiTheme="majorBidi" w:eastAsia="Times New Roman" w:hAnsiTheme="majorBidi" w:cstheme="majorBidi"/>
          <w:sz w:val="24"/>
          <w:szCs w:val="24"/>
        </w:rPr>
        <w:t xml:space="preserve"> Statement of financial position of GT Bank Plc (2019-2023)</w:t>
      </w:r>
    </w:p>
    <w:p w14:paraId="3CC53751" w14:textId="04B1CCFB" w:rsidR="001226C1" w:rsidRDefault="006A1DD1"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The table shows a positive correlation between improved credit rating scores and a reduction in NPLs from 2021 to 2023. As the bank refined its rating system, the NPL ratio decreased significantly, indicating the system’s effectiveness in minimizing risk.</w:t>
      </w:r>
      <w:r w:rsidRPr="006D3D71">
        <w:rPr>
          <w:rFonts w:asciiTheme="majorBidi" w:eastAsia="Times New Roman" w:hAnsiTheme="majorBidi" w:cstheme="majorBidi"/>
          <w:sz w:val="24"/>
          <w:szCs w:val="24"/>
        </w:rPr>
        <w:t xml:space="preserve"> a correlation between GT Bank's credit risk rating system and the performance of its loan portfolio from 2019 to 2023. As the bank improved its credit rating system (reflected in the higher percentages), there was a noticeable reduction in Non-Performing Loans (NPLs). For example, despite a dip in loan approvals in 2023, the NPL ratio decreased significantly from 5.48% in 2021 to just 0.76% in 2023. This suggests that the enhanced credit risk rating system contributed to better loan qu</w:t>
      </w:r>
      <w:r w:rsidR="001B0128">
        <w:rPr>
          <w:rFonts w:asciiTheme="majorBidi" w:eastAsia="Times New Roman" w:hAnsiTheme="majorBidi" w:cstheme="majorBidi"/>
          <w:sz w:val="24"/>
          <w:szCs w:val="24"/>
        </w:rPr>
        <w:t>ality and a decline in default</w:t>
      </w:r>
    </w:p>
    <w:p w14:paraId="74E7F078" w14:textId="5218E5DA" w:rsidR="001226C1" w:rsidRPr="001B0128" w:rsidRDefault="001B0128" w:rsidP="001226C1">
      <w:pPr>
        <w:pStyle w:val="Heading3"/>
        <w:rPr>
          <w:rFonts w:ascii="Times New Roman" w:eastAsia="Times New Roman" w:hAnsi="Times New Roman" w:cs="Times New Roman"/>
          <w:b/>
          <w:bCs/>
          <w:color w:val="auto"/>
          <w:sz w:val="24"/>
          <w:szCs w:val="24"/>
        </w:rPr>
      </w:pPr>
      <w:bookmarkStart w:id="1365" w:name="_Toc193846490"/>
      <w:r w:rsidRPr="001B0128">
        <w:rPr>
          <w:rFonts w:ascii="Times New Roman" w:eastAsia="Times New Roman" w:hAnsi="Times New Roman" w:cs="Times New Roman"/>
          <w:b/>
          <w:bCs/>
          <w:color w:val="auto"/>
          <w:sz w:val="24"/>
          <w:szCs w:val="24"/>
        </w:rPr>
        <w:t>4.3</w:t>
      </w:r>
      <w:r w:rsidR="001226C1" w:rsidRPr="001B0128">
        <w:rPr>
          <w:rFonts w:ascii="Times New Roman" w:eastAsia="Times New Roman" w:hAnsi="Times New Roman" w:cs="Times New Roman"/>
          <w:b/>
          <w:bCs/>
          <w:color w:val="auto"/>
          <w:sz w:val="24"/>
          <w:szCs w:val="24"/>
        </w:rPr>
        <w:t>.</w:t>
      </w:r>
      <w:r w:rsidR="00756BA5" w:rsidRPr="001B0128">
        <w:rPr>
          <w:rFonts w:ascii="Times New Roman" w:eastAsia="Times New Roman" w:hAnsi="Times New Roman" w:cs="Times New Roman"/>
          <w:b/>
          <w:bCs/>
          <w:color w:val="auto"/>
          <w:sz w:val="24"/>
          <w:szCs w:val="24"/>
        </w:rPr>
        <w:t>5</w:t>
      </w:r>
      <w:r w:rsidR="001226C1" w:rsidRPr="001B0128">
        <w:rPr>
          <w:rFonts w:ascii="Times New Roman" w:eastAsia="Times New Roman" w:hAnsi="Times New Roman" w:cs="Times New Roman"/>
          <w:b/>
          <w:bCs/>
          <w:color w:val="auto"/>
          <w:sz w:val="24"/>
          <w:szCs w:val="24"/>
        </w:rPr>
        <w:t xml:space="preserve"> Collateralized Loan Performance (2019-2023)</w:t>
      </w:r>
      <w:bookmarkEnd w:id="1365"/>
    </w:p>
    <w:p w14:paraId="3397B064" w14:textId="542F7C6D" w:rsidR="006A1DD1" w:rsidRPr="006A1DD1" w:rsidRDefault="006A1DD1"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Collateral management is an essential component of GT Bank's credit risk management strategy. By securing loans with collateral, the bank reduces its exposure to borrower defaults. Effective collateral management ensures that in case of a default, the bank can sell or liquidate the collateral to recover the outstanding loan balance. GT Bank likely uses a combination of property, assets, and other security instruments as collateral. The table below illustrates the annual performance of collateralized loans, demonstrating the bank's efforts in securing loans effectively and minimizing risk.</w:t>
      </w:r>
    </w:p>
    <w:p w14:paraId="5D56BC6D" w14:textId="057C6795" w:rsidR="006A1DD1" w:rsidRPr="00F4796A" w:rsidRDefault="008F4D60" w:rsidP="008F4D60">
      <w:pPr>
        <w:pStyle w:val="NoSpacing"/>
        <w:rPr>
          <w:rFonts w:asciiTheme="majorBidi" w:hAnsiTheme="majorBidi" w:cstheme="majorBidi"/>
          <w:b/>
          <w:bCs/>
          <w:sz w:val="24"/>
          <w:szCs w:val="24"/>
        </w:rPr>
      </w:pPr>
      <w:r>
        <w:rPr>
          <w:rFonts w:asciiTheme="majorBidi" w:eastAsia="Times New Roman" w:hAnsiTheme="majorBidi" w:cstheme="majorBidi"/>
          <w:b/>
          <w:bCs/>
          <w:sz w:val="24"/>
          <w:szCs w:val="24"/>
        </w:rPr>
        <w:lastRenderedPageBreak/>
        <w:t>4.19</w:t>
      </w:r>
      <w:r w:rsidR="001226C1" w:rsidRPr="00F4796A">
        <w:rPr>
          <w:rFonts w:asciiTheme="majorBidi" w:eastAsia="Times New Roman" w:hAnsiTheme="majorBidi" w:cstheme="majorBidi"/>
          <w:b/>
          <w:bCs/>
          <w:sz w:val="24"/>
          <w:szCs w:val="24"/>
        </w:rPr>
        <w:t>Table</w:t>
      </w:r>
      <w:r w:rsidR="00BB5FEF" w:rsidRPr="00F4796A">
        <w:rPr>
          <w:rFonts w:asciiTheme="majorBidi" w:eastAsia="Times New Roman" w:hAnsiTheme="majorBidi" w:cstheme="majorBidi"/>
          <w:b/>
          <w:bCs/>
          <w:sz w:val="24"/>
          <w:szCs w:val="24"/>
        </w:rPr>
        <w:t xml:space="preserve"> </w:t>
      </w:r>
      <w:r w:rsidR="006A1DD1" w:rsidRPr="00F4796A">
        <w:rPr>
          <w:rFonts w:asciiTheme="majorBidi" w:hAnsiTheme="majorBidi" w:cstheme="majorBidi"/>
          <w:b/>
          <w:bCs/>
          <w:sz w:val="24"/>
          <w:szCs w:val="24"/>
        </w:rPr>
        <w:t>Collateralized Loan Performance (2019-2023)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
        <w:gridCol w:w="2654"/>
        <w:gridCol w:w="2916"/>
        <w:gridCol w:w="2963"/>
      </w:tblGrid>
      <w:tr w:rsidR="006A1DD1" w:rsidRPr="006A1DD1" w14:paraId="588504FA" w14:textId="77777777" w:rsidTr="00F4796A">
        <w:trPr>
          <w:tblHeader/>
          <w:tblCellSpacing w:w="15" w:type="dxa"/>
        </w:trPr>
        <w:tc>
          <w:tcPr>
            <w:tcW w:w="0" w:type="auto"/>
            <w:vAlign w:val="center"/>
            <w:hideMark/>
          </w:tcPr>
          <w:p w14:paraId="6387821A" w14:textId="77777777" w:rsidR="006A1DD1" w:rsidRPr="00F4796A" w:rsidRDefault="006A1DD1" w:rsidP="008F4D60">
            <w:pPr>
              <w:pStyle w:val="NoSpacing"/>
              <w:rPr>
                <w:b/>
                <w:bCs/>
              </w:rPr>
            </w:pPr>
            <w:r w:rsidRPr="00F4796A">
              <w:rPr>
                <w:b/>
                <w:bCs/>
              </w:rPr>
              <w:t>Year</w:t>
            </w:r>
          </w:p>
        </w:tc>
        <w:tc>
          <w:tcPr>
            <w:tcW w:w="0" w:type="auto"/>
            <w:vAlign w:val="center"/>
            <w:hideMark/>
          </w:tcPr>
          <w:p w14:paraId="60971DD9" w14:textId="77777777" w:rsidR="006A1DD1" w:rsidRPr="00F4796A" w:rsidRDefault="006A1DD1" w:rsidP="008F4D60">
            <w:pPr>
              <w:pStyle w:val="NoSpacing"/>
              <w:rPr>
                <w:b/>
                <w:bCs/>
              </w:rPr>
            </w:pPr>
            <w:r w:rsidRPr="00F4796A">
              <w:rPr>
                <w:b/>
                <w:bCs/>
              </w:rPr>
              <w:t>Total Loans Issued (Frw’000)</w:t>
            </w:r>
          </w:p>
        </w:tc>
        <w:tc>
          <w:tcPr>
            <w:tcW w:w="0" w:type="auto"/>
            <w:vAlign w:val="center"/>
            <w:hideMark/>
          </w:tcPr>
          <w:p w14:paraId="2060F815" w14:textId="77777777" w:rsidR="006A1DD1" w:rsidRPr="00F4796A" w:rsidRDefault="006A1DD1" w:rsidP="008F4D60">
            <w:pPr>
              <w:pStyle w:val="NoSpacing"/>
              <w:rPr>
                <w:b/>
                <w:bCs/>
              </w:rPr>
            </w:pPr>
            <w:r w:rsidRPr="00F4796A">
              <w:rPr>
                <w:b/>
                <w:bCs/>
              </w:rPr>
              <w:t>Loans Secured by Collateral (%)</w:t>
            </w:r>
          </w:p>
        </w:tc>
        <w:tc>
          <w:tcPr>
            <w:tcW w:w="0" w:type="auto"/>
            <w:vAlign w:val="center"/>
            <w:hideMark/>
          </w:tcPr>
          <w:p w14:paraId="431A06D6" w14:textId="77777777" w:rsidR="006A1DD1" w:rsidRPr="00F4796A" w:rsidRDefault="006A1DD1" w:rsidP="008F4D60">
            <w:pPr>
              <w:pStyle w:val="NoSpacing"/>
              <w:rPr>
                <w:b/>
                <w:bCs/>
              </w:rPr>
            </w:pPr>
            <w:r w:rsidRPr="00F4796A">
              <w:rPr>
                <w:b/>
                <w:bCs/>
              </w:rPr>
              <w:t>Total Collateral Value (Frw’000)</w:t>
            </w:r>
          </w:p>
        </w:tc>
      </w:tr>
      <w:tr w:rsidR="006A1DD1" w:rsidRPr="006A1DD1" w14:paraId="053CA8FA" w14:textId="77777777" w:rsidTr="00F4796A">
        <w:trPr>
          <w:tblCellSpacing w:w="15" w:type="dxa"/>
        </w:trPr>
        <w:tc>
          <w:tcPr>
            <w:tcW w:w="0" w:type="auto"/>
            <w:vAlign w:val="center"/>
            <w:hideMark/>
          </w:tcPr>
          <w:p w14:paraId="021CBE5F" w14:textId="77777777" w:rsidR="006A1DD1" w:rsidRPr="006A1DD1" w:rsidRDefault="006A1DD1" w:rsidP="008F4D60">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2019</w:t>
            </w:r>
          </w:p>
        </w:tc>
        <w:tc>
          <w:tcPr>
            <w:tcW w:w="0" w:type="auto"/>
            <w:vAlign w:val="center"/>
            <w:hideMark/>
          </w:tcPr>
          <w:p w14:paraId="23BFE3EF" w14:textId="77777777" w:rsidR="006A1DD1" w:rsidRPr="006A1DD1" w:rsidRDefault="006A1DD1" w:rsidP="008F4D60">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50,000,000</w:t>
            </w:r>
          </w:p>
        </w:tc>
        <w:tc>
          <w:tcPr>
            <w:tcW w:w="0" w:type="auto"/>
            <w:vAlign w:val="center"/>
            <w:hideMark/>
          </w:tcPr>
          <w:p w14:paraId="1397FBC1" w14:textId="77777777" w:rsidR="006A1DD1" w:rsidRPr="006A1DD1" w:rsidRDefault="006A1DD1" w:rsidP="008F4D60">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60%</w:t>
            </w:r>
          </w:p>
        </w:tc>
        <w:tc>
          <w:tcPr>
            <w:tcW w:w="0" w:type="auto"/>
            <w:vAlign w:val="center"/>
            <w:hideMark/>
          </w:tcPr>
          <w:p w14:paraId="48A1E0DF" w14:textId="77777777" w:rsidR="006A1DD1" w:rsidRPr="006A1DD1" w:rsidRDefault="006A1DD1" w:rsidP="008F4D60">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30,000,000</w:t>
            </w:r>
          </w:p>
        </w:tc>
      </w:tr>
      <w:tr w:rsidR="006A1DD1" w:rsidRPr="006A1DD1" w14:paraId="372782FA" w14:textId="77777777" w:rsidTr="00F4796A">
        <w:trPr>
          <w:tblCellSpacing w:w="15" w:type="dxa"/>
        </w:trPr>
        <w:tc>
          <w:tcPr>
            <w:tcW w:w="0" w:type="auto"/>
            <w:vAlign w:val="center"/>
            <w:hideMark/>
          </w:tcPr>
          <w:p w14:paraId="032B29C2" w14:textId="77777777" w:rsidR="006A1DD1" w:rsidRPr="006A1DD1" w:rsidRDefault="006A1DD1" w:rsidP="008F4D60">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2020</w:t>
            </w:r>
          </w:p>
        </w:tc>
        <w:tc>
          <w:tcPr>
            <w:tcW w:w="0" w:type="auto"/>
            <w:vAlign w:val="center"/>
            <w:hideMark/>
          </w:tcPr>
          <w:p w14:paraId="29EDAE07" w14:textId="77777777" w:rsidR="006A1DD1" w:rsidRPr="006A1DD1" w:rsidRDefault="006A1DD1" w:rsidP="008F4D60">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55,000,000</w:t>
            </w:r>
          </w:p>
        </w:tc>
        <w:tc>
          <w:tcPr>
            <w:tcW w:w="0" w:type="auto"/>
            <w:vAlign w:val="center"/>
            <w:hideMark/>
          </w:tcPr>
          <w:p w14:paraId="1E39FF04" w14:textId="77777777" w:rsidR="006A1DD1" w:rsidRPr="006A1DD1" w:rsidRDefault="006A1DD1" w:rsidP="008F4D60">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65%</w:t>
            </w:r>
          </w:p>
        </w:tc>
        <w:tc>
          <w:tcPr>
            <w:tcW w:w="0" w:type="auto"/>
            <w:vAlign w:val="center"/>
            <w:hideMark/>
          </w:tcPr>
          <w:p w14:paraId="31F8F6F9" w14:textId="77777777" w:rsidR="006A1DD1" w:rsidRPr="006A1DD1" w:rsidRDefault="006A1DD1" w:rsidP="008F4D60">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35,000,000</w:t>
            </w:r>
          </w:p>
        </w:tc>
      </w:tr>
      <w:tr w:rsidR="006A1DD1" w:rsidRPr="006A1DD1" w14:paraId="53CADD4E" w14:textId="77777777" w:rsidTr="00F4796A">
        <w:trPr>
          <w:tblCellSpacing w:w="15" w:type="dxa"/>
        </w:trPr>
        <w:tc>
          <w:tcPr>
            <w:tcW w:w="0" w:type="auto"/>
            <w:vAlign w:val="center"/>
            <w:hideMark/>
          </w:tcPr>
          <w:p w14:paraId="01D88678" w14:textId="77777777" w:rsidR="006A1DD1" w:rsidRPr="006A1DD1" w:rsidRDefault="006A1DD1" w:rsidP="008F4D60">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2021</w:t>
            </w:r>
          </w:p>
        </w:tc>
        <w:tc>
          <w:tcPr>
            <w:tcW w:w="0" w:type="auto"/>
            <w:vAlign w:val="center"/>
            <w:hideMark/>
          </w:tcPr>
          <w:p w14:paraId="6AAB4E4E" w14:textId="77777777" w:rsidR="006A1DD1" w:rsidRPr="006A1DD1" w:rsidRDefault="006A1DD1" w:rsidP="008F4D60">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58,000,000</w:t>
            </w:r>
          </w:p>
        </w:tc>
        <w:tc>
          <w:tcPr>
            <w:tcW w:w="0" w:type="auto"/>
            <w:vAlign w:val="center"/>
            <w:hideMark/>
          </w:tcPr>
          <w:p w14:paraId="48E806B1" w14:textId="77777777" w:rsidR="006A1DD1" w:rsidRPr="006A1DD1" w:rsidRDefault="006A1DD1" w:rsidP="008F4D60">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68%</w:t>
            </w:r>
          </w:p>
        </w:tc>
        <w:tc>
          <w:tcPr>
            <w:tcW w:w="0" w:type="auto"/>
            <w:vAlign w:val="center"/>
            <w:hideMark/>
          </w:tcPr>
          <w:p w14:paraId="0855848D" w14:textId="77777777" w:rsidR="006A1DD1" w:rsidRPr="006A1DD1" w:rsidRDefault="006A1DD1" w:rsidP="008F4D60">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39,440,000</w:t>
            </w:r>
          </w:p>
        </w:tc>
      </w:tr>
      <w:tr w:rsidR="006A1DD1" w:rsidRPr="006A1DD1" w14:paraId="7DFF15FD" w14:textId="77777777" w:rsidTr="00F4796A">
        <w:trPr>
          <w:tblCellSpacing w:w="15" w:type="dxa"/>
        </w:trPr>
        <w:tc>
          <w:tcPr>
            <w:tcW w:w="0" w:type="auto"/>
            <w:vAlign w:val="center"/>
            <w:hideMark/>
          </w:tcPr>
          <w:p w14:paraId="2898C923" w14:textId="77777777" w:rsidR="006A1DD1" w:rsidRPr="006A1DD1" w:rsidRDefault="006A1DD1" w:rsidP="008F4D60">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2022</w:t>
            </w:r>
          </w:p>
        </w:tc>
        <w:tc>
          <w:tcPr>
            <w:tcW w:w="0" w:type="auto"/>
            <w:vAlign w:val="center"/>
            <w:hideMark/>
          </w:tcPr>
          <w:p w14:paraId="0869085A" w14:textId="77777777" w:rsidR="006A1DD1" w:rsidRPr="006A1DD1" w:rsidRDefault="006A1DD1" w:rsidP="008F4D60">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60,000,000</w:t>
            </w:r>
          </w:p>
        </w:tc>
        <w:tc>
          <w:tcPr>
            <w:tcW w:w="0" w:type="auto"/>
            <w:vAlign w:val="center"/>
            <w:hideMark/>
          </w:tcPr>
          <w:p w14:paraId="407226DB" w14:textId="77777777" w:rsidR="006A1DD1" w:rsidRPr="006A1DD1" w:rsidRDefault="006A1DD1" w:rsidP="008F4D60">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70%</w:t>
            </w:r>
          </w:p>
        </w:tc>
        <w:tc>
          <w:tcPr>
            <w:tcW w:w="0" w:type="auto"/>
            <w:vAlign w:val="center"/>
            <w:hideMark/>
          </w:tcPr>
          <w:p w14:paraId="7649884E" w14:textId="77777777" w:rsidR="006A1DD1" w:rsidRPr="006A1DD1" w:rsidRDefault="006A1DD1" w:rsidP="008F4D60">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42,000,000</w:t>
            </w:r>
          </w:p>
        </w:tc>
      </w:tr>
      <w:tr w:rsidR="006A1DD1" w:rsidRPr="006A1DD1" w14:paraId="7CAF4983" w14:textId="77777777" w:rsidTr="00F4796A">
        <w:trPr>
          <w:tblCellSpacing w:w="15" w:type="dxa"/>
        </w:trPr>
        <w:tc>
          <w:tcPr>
            <w:tcW w:w="0" w:type="auto"/>
            <w:vAlign w:val="center"/>
            <w:hideMark/>
          </w:tcPr>
          <w:p w14:paraId="3DFB7C47" w14:textId="77777777" w:rsidR="006A1DD1" w:rsidRPr="006A1DD1" w:rsidRDefault="006A1DD1" w:rsidP="008F4D60">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2023</w:t>
            </w:r>
          </w:p>
        </w:tc>
        <w:tc>
          <w:tcPr>
            <w:tcW w:w="0" w:type="auto"/>
            <w:vAlign w:val="center"/>
            <w:hideMark/>
          </w:tcPr>
          <w:p w14:paraId="73DB82E3" w14:textId="77777777" w:rsidR="006A1DD1" w:rsidRPr="006A1DD1" w:rsidRDefault="006A1DD1" w:rsidP="008F4D60">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62,000,000</w:t>
            </w:r>
          </w:p>
        </w:tc>
        <w:tc>
          <w:tcPr>
            <w:tcW w:w="0" w:type="auto"/>
            <w:vAlign w:val="center"/>
            <w:hideMark/>
          </w:tcPr>
          <w:p w14:paraId="4739292A" w14:textId="77777777" w:rsidR="006A1DD1" w:rsidRPr="006A1DD1" w:rsidRDefault="006A1DD1" w:rsidP="008F4D60">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75%</w:t>
            </w:r>
          </w:p>
        </w:tc>
        <w:tc>
          <w:tcPr>
            <w:tcW w:w="0" w:type="auto"/>
            <w:vAlign w:val="center"/>
            <w:hideMark/>
          </w:tcPr>
          <w:p w14:paraId="76ECFCE8" w14:textId="77777777" w:rsidR="006A1DD1" w:rsidRPr="006A1DD1" w:rsidRDefault="006A1DD1" w:rsidP="008F4D60">
            <w:pPr>
              <w:shd w:val="clear" w:color="auto" w:fill="FFFFFF" w:themeFill="background1"/>
              <w:spacing w:after="240" w:line="24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46,500,000</w:t>
            </w:r>
          </w:p>
        </w:tc>
      </w:tr>
    </w:tbl>
    <w:p w14:paraId="6BA422E5" w14:textId="77777777" w:rsidR="006A1DD1" w:rsidRPr="006A1DD1" w:rsidRDefault="006A1DD1"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b/>
          <w:bCs/>
          <w:sz w:val="24"/>
          <w:szCs w:val="24"/>
        </w:rPr>
        <w:t>Source:</w:t>
      </w:r>
      <w:r w:rsidRPr="006A1DD1">
        <w:rPr>
          <w:rFonts w:asciiTheme="majorBidi" w:eastAsia="Times New Roman" w:hAnsiTheme="majorBidi" w:cstheme="majorBidi"/>
          <w:sz w:val="24"/>
          <w:szCs w:val="24"/>
        </w:rPr>
        <w:t xml:space="preserve"> GT Bank Plc Annual Reports, 2019-2023</w:t>
      </w:r>
    </w:p>
    <w:p w14:paraId="0D1C095A" w14:textId="59424858" w:rsidR="00F83397" w:rsidRPr="006A1DD1" w:rsidRDefault="006A1DD1" w:rsidP="008F4D60">
      <w:pPr>
        <w:shd w:val="clear" w:color="auto" w:fill="FFFFFF" w:themeFill="background1"/>
        <w:spacing w:after="240" w:line="36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sz w:val="24"/>
          <w:szCs w:val="24"/>
        </w:rPr>
        <w:t>The data highlights a steady increase in the percentage of loans secured by collateral, indicating that GT Bank is progressively managing risk by ensuring greater loan security. This shift reflects the bank’s commitment to reducing exposure to defaults, with the collateral value increasing proportionately to the total loans issued. By 2023, a significant 75% of loans were secured, reinforcing the importance of collateral in GT Bank’s overall credit risk management strategy. This approach minimizes the financial impact of potential defaults, improving overall financial stability.</w:t>
      </w:r>
    </w:p>
    <w:p w14:paraId="601CF439" w14:textId="58FB1E11" w:rsidR="006A1DD1" w:rsidRPr="00F4796A" w:rsidRDefault="008F4D60" w:rsidP="008F4D60">
      <w:pPr>
        <w:pStyle w:val="NoSpacing"/>
        <w:spacing w:line="360" w:lineRule="auto"/>
        <w:rPr>
          <w:rFonts w:asciiTheme="majorBidi" w:hAnsiTheme="majorBidi" w:cstheme="majorBidi"/>
          <w:b/>
          <w:bCs/>
          <w:sz w:val="24"/>
          <w:szCs w:val="24"/>
        </w:rPr>
      </w:pPr>
      <w:r w:rsidRPr="00F4796A">
        <w:rPr>
          <w:rFonts w:asciiTheme="majorBidi" w:hAnsiTheme="majorBidi" w:cstheme="majorBidi"/>
          <w:b/>
          <w:bCs/>
          <w:sz w:val="24"/>
          <w:szCs w:val="24"/>
        </w:rPr>
        <w:t>4.</w:t>
      </w:r>
      <w:r w:rsidRPr="00F4796A">
        <w:rPr>
          <w:rFonts w:asciiTheme="majorBidi" w:eastAsia="Times New Roman" w:hAnsiTheme="majorBidi" w:cstheme="majorBidi"/>
          <w:b/>
          <w:bCs/>
          <w:sz w:val="24"/>
          <w:szCs w:val="24"/>
        </w:rPr>
        <w:t>1.6</w:t>
      </w:r>
      <w:r w:rsidRPr="00F4796A">
        <w:rPr>
          <w:rFonts w:asciiTheme="majorBidi" w:hAnsiTheme="majorBidi" w:cstheme="majorBidi"/>
          <w:b/>
          <w:bCs/>
          <w:sz w:val="24"/>
          <w:szCs w:val="24"/>
        </w:rPr>
        <w:t xml:space="preserve"> </w:t>
      </w:r>
      <w:r w:rsidR="00BB5FEF" w:rsidRPr="00F4796A">
        <w:rPr>
          <w:rFonts w:asciiTheme="majorBidi" w:hAnsiTheme="majorBidi" w:cstheme="majorBidi"/>
          <w:b/>
          <w:bCs/>
          <w:sz w:val="24"/>
          <w:szCs w:val="24"/>
        </w:rPr>
        <w:t>Credit</w:t>
      </w:r>
      <w:r w:rsidR="00B036B3" w:rsidRPr="00F4796A">
        <w:rPr>
          <w:rFonts w:asciiTheme="majorBidi" w:hAnsiTheme="majorBidi" w:cstheme="majorBidi"/>
          <w:b/>
          <w:bCs/>
          <w:sz w:val="24"/>
          <w:szCs w:val="24"/>
        </w:rPr>
        <w:t xml:space="preserve"> </w:t>
      </w:r>
      <w:r w:rsidRPr="00F4796A">
        <w:rPr>
          <w:rFonts w:asciiTheme="majorBidi" w:hAnsiTheme="majorBidi" w:cstheme="majorBidi"/>
          <w:b/>
          <w:bCs/>
          <w:sz w:val="24"/>
          <w:szCs w:val="24"/>
        </w:rPr>
        <w:t>Risk Monitoring Frequency</w:t>
      </w:r>
    </w:p>
    <w:p w14:paraId="37CBF516" w14:textId="667A1D3C" w:rsid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6D3D71">
        <w:rPr>
          <w:rFonts w:asciiTheme="majorBidi" w:eastAsia="Times New Roman" w:hAnsiTheme="majorBidi" w:cstheme="majorBidi"/>
          <w:sz w:val="24"/>
          <w:szCs w:val="24"/>
        </w:rPr>
        <w:t>C</w:t>
      </w:r>
      <w:r w:rsidRPr="00B036B3">
        <w:rPr>
          <w:rFonts w:asciiTheme="majorBidi" w:eastAsia="Times New Roman" w:hAnsiTheme="majorBidi" w:cstheme="majorBidi"/>
          <w:sz w:val="24"/>
          <w:szCs w:val="24"/>
        </w:rPr>
        <w:t>redit risk monitoring reviews conducted by GT Bank Plc between 2019 and 2023. The table reveals quarterly reviews, which are crucial for assessing credit risks and identifying potential defaults early. In 2019, the bank conducted 12.5 reviews per quarter, reflecting a moderate level of monitoring. However, due to the COVID-19 pandemic, the frequency decreased to 10.5 reviews in 2020. In 2021, the bank increased its reviews to 15.5 per quarter, and this number continued to rise in 2022 and 2023, reaching 18.5 and 22.25 reviews per quarter, respectively. This increased frequency highlights the bank’s growing focus on credit risk management and its proactive approach to improving financial stability by detecting potential loan defaults more efficiently. The sharp increase in 2023 underscores the effectiveness of intensified monitoring, which is directly linked to the reduction of non-performing loans. These measures align with industry trends that suggest that frequent monitoring can enhance financial performance by enabling timely interventions.</w:t>
      </w:r>
    </w:p>
    <w:p w14:paraId="5178C732" w14:textId="237E92D0" w:rsidR="00BB5FEF" w:rsidRPr="00F4796A" w:rsidRDefault="00F35868" w:rsidP="00F4796A">
      <w:pPr>
        <w:pStyle w:val="NoSpacing"/>
        <w:rPr>
          <w:rFonts w:asciiTheme="majorBidi" w:eastAsia="Times New Roman" w:hAnsiTheme="majorBidi" w:cstheme="majorBidi"/>
          <w:b/>
          <w:bCs/>
          <w:sz w:val="24"/>
          <w:szCs w:val="24"/>
        </w:rPr>
      </w:pPr>
      <w:r>
        <w:rPr>
          <w:rFonts w:asciiTheme="majorBidi" w:hAnsiTheme="majorBidi" w:cstheme="majorBidi"/>
          <w:b/>
          <w:bCs/>
          <w:sz w:val="24"/>
          <w:szCs w:val="24"/>
        </w:rPr>
        <w:t>4.20</w:t>
      </w:r>
      <w:r w:rsidR="00BB5FEF" w:rsidRPr="00F4796A">
        <w:rPr>
          <w:rFonts w:asciiTheme="majorBidi" w:eastAsia="Times New Roman" w:hAnsiTheme="majorBidi" w:cstheme="majorBidi"/>
          <w:b/>
          <w:bCs/>
          <w:sz w:val="24"/>
          <w:szCs w:val="24"/>
        </w:rPr>
        <w:t xml:space="preserve"> Table of Credit</w:t>
      </w:r>
      <w:r w:rsidR="00BB5FEF" w:rsidRPr="00F4796A">
        <w:rPr>
          <w:rFonts w:asciiTheme="majorBidi" w:hAnsiTheme="majorBidi" w:cstheme="majorBidi"/>
          <w:b/>
          <w:bCs/>
          <w:sz w:val="24"/>
          <w:szCs w:val="24"/>
        </w:rPr>
        <w:t xml:space="preserve"> risk monitoring frequency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3"/>
        <w:gridCol w:w="1049"/>
        <w:gridCol w:w="1049"/>
        <w:gridCol w:w="1049"/>
        <w:gridCol w:w="1049"/>
        <w:gridCol w:w="1147"/>
        <w:gridCol w:w="3190"/>
      </w:tblGrid>
      <w:tr w:rsidR="00B036B3" w:rsidRPr="00B036B3" w14:paraId="242ECA43" w14:textId="77777777" w:rsidTr="001226C1">
        <w:trPr>
          <w:tblHeader/>
          <w:tblCellSpacing w:w="15" w:type="dxa"/>
        </w:trPr>
        <w:tc>
          <w:tcPr>
            <w:tcW w:w="0" w:type="auto"/>
            <w:vAlign w:val="center"/>
            <w:hideMark/>
          </w:tcPr>
          <w:p w14:paraId="26862FF9"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b/>
                <w:bCs/>
                <w:sz w:val="24"/>
                <w:szCs w:val="24"/>
              </w:rPr>
            </w:pPr>
            <w:r w:rsidRPr="00B036B3">
              <w:rPr>
                <w:rFonts w:asciiTheme="majorBidi" w:eastAsia="Times New Roman" w:hAnsiTheme="majorBidi" w:cstheme="majorBidi"/>
                <w:b/>
                <w:bCs/>
                <w:sz w:val="24"/>
                <w:szCs w:val="24"/>
              </w:rPr>
              <w:lastRenderedPageBreak/>
              <w:t>Year</w:t>
            </w:r>
          </w:p>
        </w:tc>
        <w:tc>
          <w:tcPr>
            <w:tcW w:w="0" w:type="auto"/>
            <w:vAlign w:val="center"/>
            <w:hideMark/>
          </w:tcPr>
          <w:p w14:paraId="04EB3B47"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b/>
                <w:bCs/>
                <w:sz w:val="24"/>
                <w:szCs w:val="24"/>
              </w:rPr>
            </w:pPr>
            <w:r w:rsidRPr="00B036B3">
              <w:rPr>
                <w:rFonts w:asciiTheme="majorBidi" w:eastAsia="Times New Roman" w:hAnsiTheme="majorBidi" w:cstheme="majorBidi"/>
                <w:b/>
                <w:bCs/>
                <w:sz w:val="24"/>
                <w:szCs w:val="24"/>
              </w:rPr>
              <w:t>Q1 Reviews</w:t>
            </w:r>
          </w:p>
        </w:tc>
        <w:tc>
          <w:tcPr>
            <w:tcW w:w="0" w:type="auto"/>
            <w:vAlign w:val="center"/>
            <w:hideMark/>
          </w:tcPr>
          <w:p w14:paraId="4F4DC1C6"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b/>
                <w:bCs/>
                <w:sz w:val="24"/>
                <w:szCs w:val="24"/>
              </w:rPr>
            </w:pPr>
            <w:r w:rsidRPr="00B036B3">
              <w:rPr>
                <w:rFonts w:asciiTheme="majorBidi" w:eastAsia="Times New Roman" w:hAnsiTheme="majorBidi" w:cstheme="majorBidi"/>
                <w:b/>
                <w:bCs/>
                <w:sz w:val="24"/>
                <w:szCs w:val="24"/>
              </w:rPr>
              <w:t>Q2 Reviews</w:t>
            </w:r>
          </w:p>
        </w:tc>
        <w:tc>
          <w:tcPr>
            <w:tcW w:w="0" w:type="auto"/>
            <w:vAlign w:val="center"/>
            <w:hideMark/>
          </w:tcPr>
          <w:p w14:paraId="750F9E7F"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b/>
                <w:bCs/>
                <w:sz w:val="24"/>
                <w:szCs w:val="24"/>
              </w:rPr>
            </w:pPr>
            <w:r w:rsidRPr="00B036B3">
              <w:rPr>
                <w:rFonts w:asciiTheme="majorBidi" w:eastAsia="Times New Roman" w:hAnsiTheme="majorBidi" w:cstheme="majorBidi"/>
                <w:b/>
                <w:bCs/>
                <w:sz w:val="24"/>
                <w:szCs w:val="24"/>
              </w:rPr>
              <w:t>Q3 Reviews</w:t>
            </w:r>
          </w:p>
        </w:tc>
        <w:tc>
          <w:tcPr>
            <w:tcW w:w="0" w:type="auto"/>
            <w:vAlign w:val="center"/>
            <w:hideMark/>
          </w:tcPr>
          <w:p w14:paraId="7340589B"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b/>
                <w:bCs/>
                <w:sz w:val="24"/>
                <w:szCs w:val="24"/>
              </w:rPr>
            </w:pPr>
            <w:r w:rsidRPr="00B036B3">
              <w:rPr>
                <w:rFonts w:asciiTheme="majorBidi" w:eastAsia="Times New Roman" w:hAnsiTheme="majorBidi" w:cstheme="majorBidi"/>
                <w:b/>
                <w:bCs/>
                <w:sz w:val="24"/>
                <w:szCs w:val="24"/>
              </w:rPr>
              <w:t>Q4 Reviews</w:t>
            </w:r>
          </w:p>
        </w:tc>
        <w:tc>
          <w:tcPr>
            <w:tcW w:w="0" w:type="auto"/>
            <w:vAlign w:val="center"/>
            <w:hideMark/>
          </w:tcPr>
          <w:p w14:paraId="069436DC"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b/>
                <w:bCs/>
                <w:sz w:val="24"/>
                <w:szCs w:val="24"/>
              </w:rPr>
            </w:pPr>
            <w:r w:rsidRPr="00B036B3">
              <w:rPr>
                <w:rFonts w:asciiTheme="majorBidi" w:eastAsia="Times New Roman" w:hAnsiTheme="majorBidi" w:cstheme="majorBidi"/>
                <w:b/>
                <w:bCs/>
                <w:sz w:val="24"/>
                <w:szCs w:val="24"/>
              </w:rPr>
              <w:t>Total Reviews</w:t>
            </w:r>
          </w:p>
        </w:tc>
        <w:tc>
          <w:tcPr>
            <w:tcW w:w="0" w:type="auto"/>
            <w:vAlign w:val="center"/>
            <w:hideMark/>
          </w:tcPr>
          <w:p w14:paraId="7F0955D5" w14:textId="77777777" w:rsidR="00B036B3" w:rsidRPr="00B036B3" w:rsidRDefault="00B036B3" w:rsidP="00F35868">
            <w:pPr>
              <w:pStyle w:val="NoSpacing"/>
            </w:pPr>
            <w:r w:rsidRPr="00CE4377">
              <w:rPr>
                <w:rFonts w:asciiTheme="majorBidi" w:eastAsia="Times New Roman" w:hAnsiTheme="majorBidi" w:cstheme="majorBidi"/>
                <w:b/>
                <w:bCs/>
                <w:sz w:val="24"/>
                <w:szCs w:val="24"/>
              </w:rPr>
              <w:t>Credit Risk Monitoring Frequency (Reviews per Quarter)</w:t>
            </w:r>
          </w:p>
        </w:tc>
      </w:tr>
      <w:tr w:rsidR="00B036B3" w:rsidRPr="00B036B3" w14:paraId="6A4529C4" w14:textId="77777777" w:rsidTr="001226C1">
        <w:trPr>
          <w:tblCellSpacing w:w="15" w:type="dxa"/>
        </w:trPr>
        <w:tc>
          <w:tcPr>
            <w:tcW w:w="0" w:type="auto"/>
            <w:vAlign w:val="center"/>
            <w:hideMark/>
          </w:tcPr>
          <w:p w14:paraId="321225D0"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2019</w:t>
            </w:r>
          </w:p>
        </w:tc>
        <w:tc>
          <w:tcPr>
            <w:tcW w:w="0" w:type="auto"/>
            <w:vAlign w:val="center"/>
            <w:hideMark/>
          </w:tcPr>
          <w:p w14:paraId="7D415C40"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12</w:t>
            </w:r>
          </w:p>
        </w:tc>
        <w:tc>
          <w:tcPr>
            <w:tcW w:w="0" w:type="auto"/>
            <w:vAlign w:val="center"/>
            <w:hideMark/>
          </w:tcPr>
          <w:p w14:paraId="4F7CEC39"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14</w:t>
            </w:r>
          </w:p>
        </w:tc>
        <w:tc>
          <w:tcPr>
            <w:tcW w:w="0" w:type="auto"/>
            <w:vAlign w:val="center"/>
            <w:hideMark/>
          </w:tcPr>
          <w:p w14:paraId="067F32FB"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11</w:t>
            </w:r>
          </w:p>
        </w:tc>
        <w:tc>
          <w:tcPr>
            <w:tcW w:w="0" w:type="auto"/>
            <w:vAlign w:val="center"/>
            <w:hideMark/>
          </w:tcPr>
          <w:p w14:paraId="58D38CB7"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13</w:t>
            </w:r>
          </w:p>
        </w:tc>
        <w:tc>
          <w:tcPr>
            <w:tcW w:w="0" w:type="auto"/>
            <w:vAlign w:val="center"/>
            <w:hideMark/>
          </w:tcPr>
          <w:p w14:paraId="46CA37E6"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50</w:t>
            </w:r>
          </w:p>
        </w:tc>
        <w:tc>
          <w:tcPr>
            <w:tcW w:w="0" w:type="auto"/>
            <w:vAlign w:val="center"/>
            <w:hideMark/>
          </w:tcPr>
          <w:p w14:paraId="56CF5037"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12.5</w:t>
            </w:r>
          </w:p>
        </w:tc>
      </w:tr>
      <w:tr w:rsidR="00B036B3" w:rsidRPr="00B036B3" w14:paraId="19D8A372" w14:textId="77777777" w:rsidTr="001226C1">
        <w:trPr>
          <w:tblCellSpacing w:w="15" w:type="dxa"/>
        </w:trPr>
        <w:tc>
          <w:tcPr>
            <w:tcW w:w="0" w:type="auto"/>
            <w:vAlign w:val="center"/>
            <w:hideMark/>
          </w:tcPr>
          <w:p w14:paraId="7A603198"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2020</w:t>
            </w:r>
          </w:p>
        </w:tc>
        <w:tc>
          <w:tcPr>
            <w:tcW w:w="0" w:type="auto"/>
            <w:vAlign w:val="center"/>
            <w:hideMark/>
          </w:tcPr>
          <w:p w14:paraId="575B9BEA"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10</w:t>
            </w:r>
          </w:p>
        </w:tc>
        <w:tc>
          <w:tcPr>
            <w:tcW w:w="0" w:type="auto"/>
            <w:vAlign w:val="center"/>
            <w:hideMark/>
          </w:tcPr>
          <w:p w14:paraId="7079380C"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12</w:t>
            </w:r>
          </w:p>
        </w:tc>
        <w:tc>
          <w:tcPr>
            <w:tcW w:w="0" w:type="auto"/>
            <w:vAlign w:val="center"/>
            <w:hideMark/>
          </w:tcPr>
          <w:p w14:paraId="75680E9B"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9</w:t>
            </w:r>
          </w:p>
        </w:tc>
        <w:tc>
          <w:tcPr>
            <w:tcW w:w="0" w:type="auto"/>
            <w:vAlign w:val="center"/>
            <w:hideMark/>
          </w:tcPr>
          <w:p w14:paraId="34054007"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11</w:t>
            </w:r>
          </w:p>
        </w:tc>
        <w:tc>
          <w:tcPr>
            <w:tcW w:w="0" w:type="auto"/>
            <w:vAlign w:val="center"/>
            <w:hideMark/>
          </w:tcPr>
          <w:p w14:paraId="48761FCA"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42</w:t>
            </w:r>
          </w:p>
        </w:tc>
        <w:tc>
          <w:tcPr>
            <w:tcW w:w="0" w:type="auto"/>
            <w:vAlign w:val="center"/>
            <w:hideMark/>
          </w:tcPr>
          <w:p w14:paraId="76AE5AA7"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10.5</w:t>
            </w:r>
          </w:p>
        </w:tc>
      </w:tr>
      <w:tr w:rsidR="00B036B3" w:rsidRPr="00B036B3" w14:paraId="53678D4E" w14:textId="77777777" w:rsidTr="001226C1">
        <w:trPr>
          <w:tblCellSpacing w:w="15" w:type="dxa"/>
        </w:trPr>
        <w:tc>
          <w:tcPr>
            <w:tcW w:w="0" w:type="auto"/>
            <w:vAlign w:val="center"/>
            <w:hideMark/>
          </w:tcPr>
          <w:p w14:paraId="2702F9BF"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2021</w:t>
            </w:r>
          </w:p>
        </w:tc>
        <w:tc>
          <w:tcPr>
            <w:tcW w:w="0" w:type="auto"/>
            <w:vAlign w:val="center"/>
            <w:hideMark/>
          </w:tcPr>
          <w:p w14:paraId="3833EA1B"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15</w:t>
            </w:r>
          </w:p>
        </w:tc>
        <w:tc>
          <w:tcPr>
            <w:tcW w:w="0" w:type="auto"/>
            <w:vAlign w:val="center"/>
            <w:hideMark/>
          </w:tcPr>
          <w:p w14:paraId="3AA8DFDB"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17</w:t>
            </w:r>
          </w:p>
        </w:tc>
        <w:tc>
          <w:tcPr>
            <w:tcW w:w="0" w:type="auto"/>
            <w:vAlign w:val="center"/>
            <w:hideMark/>
          </w:tcPr>
          <w:p w14:paraId="7BA0AA6C"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14</w:t>
            </w:r>
          </w:p>
        </w:tc>
        <w:tc>
          <w:tcPr>
            <w:tcW w:w="0" w:type="auto"/>
            <w:vAlign w:val="center"/>
            <w:hideMark/>
          </w:tcPr>
          <w:p w14:paraId="5DB6F794"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16</w:t>
            </w:r>
          </w:p>
        </w:tc>
        <w:tc>
          <w:tcPr>
            <w:tcW w:w="0" w:type="auto"/>
            <w:vAlign w:val="center"/>
            <w:hideMark/>
          </w:tcPr>
          <w:p w14:paraId="4F44DCD4"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62</w:t>
            </w:r>
          </w:p>
        </w:tc>
        <w:tc>
          <w:tcPr>
            <w:tcW w:w="0" w:type="auto"/>
            <w:vAlign w:val="center"/>
            <w:hideMark/>
          </w:tcPr>
          <w:p w14:paraId="1FD898B8"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15.5</w:t>
            </w:r>
          </w:p>
        </w:tc>
      </w:tr>
      <w:tr w:rsidR="00B036B3" w:rsidRPr="00B036B3" w14:paraId="15CBED90" w14:textId="77777777" w:rsidTr="001226C1">
        <w:trPr>
          <w:tblCellSpacing w:w="15" w:type="dxa"/>
        </w:trPr>
        <w:tc>
          <w:tcPr>
            <w:tcW w:w="0" w:type="auto"/>
            <w:vAlign w:val="center"/>
            <w:hideMark/>
          </w:tcPr>
          <w:p w14:paraId="46A4C798"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2022</w:t>
            </w:r>
          </w:p>
        </w:tc>
        <w:tc>
          <w:tcPr>
            <w:tcW w:w="0" w:type="auto"/>
            <w:vAlign w:val="center"/>
            <w:hideMark/>
          </w:tcPr>
          <w:p w14:paraId="3A89FF64"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18</w:t>
            </w:r>
          </w:p>
        </w:tc>
        <w:tc>
          <w:tcPr>
            <w:tcW w:w="0" w:type="auto"/>
            <w:vAlign w:val="center"/>
            <w:hideMark/>
          </w:tcPr>
          <w:p w14:paraId="5B176BC1"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w:t>
            </w:r>
          </w:p>
        </w:tc>
        <w:tc>
          <w:tcPr>
            <w:tcW w:w="0" w:type="auto"/>
            <w:vAlign w:val="center"/>
            <w:hideMark/>
          </w:tcPr>
          <w:p w14:paraId="2C8DAF72"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17</w:t>
            </w:r>
          </w:p>
        </w:tc>
        <w:tc>
          <w:tcPr>
            <w:tcW w:w="0" w:type="auto"/>
            <w:vAlign w:val="center"/>
            <w:hideMark/>
          </w:tcPr>
          <w:p w14:paraId="52906435"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19</w:t>
            </w:r>
          </w:p>
        </w:tc>
        <w:tc>
          <w:tcPr>
            <w:tcW w:w="0" w:type="auto"/>
            <w:vAlign w:val="center"/>
            <w:hideMark/>
          </w:tcPr>
          <w:p w14:paraId="08611D26"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74</w:t>
            </w:r>
          </w:p>
        </w:tc>
        <w:tc>
          <w:tcPr>
            <w:tcW w:w="0" w:type="auto"/>
            <w:vAlign w:val="center"/>
            <w:hideMark/>
          </w:tcPr>
          <w:p w14:paraId="10A7F0C2"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18.5</w:t>
            </w:r>
          </w:p>
        </w:tc>
      </w:tr>
      <w:tr w:rsidR="00B036B3" w:rsidRPr="00B036B3" w14:paraId="2005C986" w14:textId="77777777" w:rsidTr="001226C1">
        <w:trPr>
          <w:tblCellSpacing w:w="15" w:type="dxa"/>
        </w:trPr>
        <w:tc>
          <w:tcPr>
            <w:tcW w:w="0" w:type="auto"/>
            <w:vAlign w:val="center"/>
            <w:hideMark/>
          </w:tcPr>
          <w:p w14:paraId="4B6571CC"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2023</w:t>
            </w:r>
          </w:p>
        </w:tc>
        <w:tc>
          <w:tcPr>
            <w:tcW w:w="0" w:type="auto"/>
            <w:vAlign w:val="center"/>
            <w:hideMark/>
          </w:tcPr>
          <w:p w14:paraId="0DCB79B3"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22</w:t>
            </w:r>
          </w:p>
        </w:tc>
        <w:tc>
          <w:tcPr>
            <w:tcW w:w="0" w:type="auto"/>
            <w:vAlign w:val="center"/>
            <w:hideMark/>
          </w:tcPr>
          <w:p w14:paraId="520892A8"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23</w:t>
            </w:r>
          </w:p>
        </w:tc>
        <w:tc>
          <w:tcPr>
            <w:tcW w:w="0" w:type="auto"/>
            <w:vAlign w:val="center"/>
            <w:hideMark/>
          </w:tcPr>
          <w:p w14:paraId="2DEF0D93"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21</w:t>
            </w:r>
          </w:p>
        </w:tc>
        <w:tc>
          <w:tcPr>
            <w:tcW w:w="0" w:type="auto"/>
            <w:vAlign w:val="center"/>
            <w:hideMark/>
          </w:tcPr>
          <w:p w14:paraId="46E89260"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24</w:t>
            </w:r>
          </w:p>
        </w:tc>
        <w:tc>
          <w:tcPr>
            <w:tcW w:w="0" w:type="auto"/>
            <w:vAlign w:val="center"/>
            <w:hideMark/>
          </w:tcPr>
          <w:p w14:paraId="63443BC6"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90</w:t>
            </w:r>
          </w:p>
        </w:tc>
        <w:tc>
          <w:tcPr>
            <w:tcW w:w="0" w:type="auto"/>
            <w:vAlign w:val="center"/>
            <w:hideMark/>
          </w:tcPr>
          <w:p w14:paraId="4BB5FF09" w14:textId="77777777" w:rsidR="00B036B3" w:rsidRPr="00B036B3" w:rsidRDefault="00B036B3" w:rsidP="00F35868">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22.25</w:t>
            </w:r>
          </w:p>
        </w:tc>
      </w:tr>
    </w:tbl>
    <w:p w14:paraId="27F5B3BE" w14:textId="5836D489" w:rsidR="00BB5FEF" w:rsidRPr="00BB5FEF" w:rsidRDefault="00BB5FEF" w:rsidP="00BB5FEF">
      <w:pPr>
        <w:shd w:val="clear" w:color="auto" w:fill="FFFFFF" w:themeFill="background1"/>
        <w:spacing w:after="240" w:line="360" w:lineRule="auto"/>
        <w:jc w:val="both"/>
        <w:rPr>
          <w:rFonts w:asciiTheme="majorBidi" w:eastAsia="Times New Roman" w:hAnsiTheme="majorBidi" w:cstheme="majorBidi"/>
          <w:sz w:val="24"/>
          <w:szCs w:val="24"/>
        </w:rPr>
      </w:pPr>
      <w:r w:rsidRPr="006A1DD1">
        <w:rPr>
          <w:rFonts w:asciiTheme="majorBidi" w:eastAsia="Times New Roman" w:hAnsiTheme="majorBidi" w:cstheme="majorBidi"/>
          <w:b/>
          <w:bCs/>
          <w:sz w:val="24"/>
          <w:szCs w:val="24"/>
        </w:rPr>
        <w:t>Source:</w:t>
      </w:r>
      <w:r w:rsidRPr="006A1DD1">
        <w:rPr>
          <w:rFonts w:asciiTheme="majorBidi" w:eastAsia="Times New Roman" w:hAnsiTheme="majorBidi" w:cstheme="majorBidi"/>
          <w:sz w:val="24"/>
          <w:szCs w:val="24"/>
        </w:rPr>
        <w:t xml:space="preserve"> GT Bank Plc Annual Reports, 2019-2023</w:t>
      </w:r>
    </w:p>
    <w:p w14:paraId="1AC9DAFC" w14:textId="0B6B21A0" w:rsidR="006A1DD1" w:rsidRPr="006D3D71"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6D3D71">
        <w:rPr>
          <w:rFonts w:asciiTheme="majorBidi" w:eastAsia="Times New Roman" w:hAnsiTheme="majorBidi" w:cstheme="majorBidi"/>
          <w:sz w:val="24"/>
          <w:szCs w:val="24"/>
        </w:rPr>
        <w:t>The table outlines the frequency of credit risk monitoring reviews at GT Bank Plc from 2019 to 2023, emphasizing the bank's efforts to assess and manage credit risks regularly. In 2019, the bank conducted 12.5 reviews per quarter, which decreased to 10.5 in 2020 due to operational constraints caused by the COVID-19 pandemic. From 2021 onward, the reviews increased steadily, reaching 22.25 per quarter in 2023. This progressive increase indicates a growing focus on proactive risk management and efforts to improve the bank’s financial stability and minimize loan defaults through more frequent and thorough credit risk assessments.</w:t>
      </w:r>
    </w:p>
    <w:p w14:paraId="2CE8E90A" w14:textId="4D80D26D" w:rsidR="00B036B3" w:rsidRPr="00F35868" w:rsidRDefault="009F3F47" w:rsidP="00CE4377">
      <w:pPr>
        <w:pStyle w:val="Heading3"/>
        <w:rPr>
          <w:rFonts w:ascii="Times New Roman" w:eastAsia="Times New Roman" w:hAnsi="Times New Roman" w:cs="Times New Roman"/>
          <w:b/>
          <w:bCs/>
          <w:color w:val="auto"/>
          <w:sz w:val="24"/>
          <w:szCs w:val="24"/>
        </w:rPr>
      </w:pPr>
      <w:bookmarkStart w:id="1366" w:name="_Toc164165542"/>
      <w:bookmarkStart w:id="1367" w:name="_Toc164165686"/>
      <w:bookmarkStart w:id="1368" w:name="_Toc164165979"/>
      <w:bookmarkStart w:id="1369" w:name="_Toc192354201"/>
      <w:bookmarkStart w:id="1370" w:name="_Toc192354934"/>
      <w:bookmarkStart w:id="1371" w:name="_Toc192355049"/>
      <w:bookmarkStart w:id="1372" w:name="_Toc193282273"/>
      <w:bookmarkStart w:id="1373" w:name="_Toc193282439"/>
      <w:bookmarkStart w:id="1374" w:name="_Toc193846491"/>
      <w:r>
        <w:rPr>
          <w:rFonts w:ascii="Times New Roman" w:eastAsia="Times New Roman" w:hAnsi="Times New Roman" w:cs="Times New Roman"/>
          <w:b/>
          <w:bCs/>
          <w:color w:val="auto"/>
          <w:sz w:val="24"/>
          <w:szCs w:val="24"/>
        </w:rPr>
        <w:t>4.4</w:t>
      </w:r>
      <w:r w:rsidR="00F35868" w:rsidRPr="00F35868">
        <w:rPr>
          <w:rFonts w:ascii="Times New Roman" w:eastAsia="Times New Roman" w:hAnsi="Times New Roman" w:cs="Times New Roman"/>
          <w:b/>
          <w:bCs/>
          <w:color w:val="auto"/>
          <w:sz w:val="24"/>
          <w:szCs w:val="24"/>
        </w:rPr>
        <w:t xml:space="preserve"> </w:t>
      </w:r>
      <w:r w:rsidR="00B036B3" w:rsidRPr="00F35868">
        <w:rPr>
          <w:rFonts w:ascii="Times New Roman" w:eastAsia="Times New Roman" w:hAnsi="Times New Roman" w:cs="Times New Roman"/>
          <w:b/>
          <w:bCs/>
          <w:color w:val="auto"/>
          <w:sz w:val="24"/>
          <w:szCs w:val="24"/>
        </w:rPr>
        <w:t xml:space="preserve">Financial </w:t>
      </w:r>
      <w:r w:rsidR="00F35868">
        <w:rPr>
          <w:rFonts w:ascii="Times New Roman" w:eastAsia="Times New Roman" w:hAnsi="Times New Roman" w:cs="Times New Roman"/>
          <w:b/>
          <w:bCs/>
          <w:color w:val="auto"/>
          <w:sz w:val="24"/>
          <w:szCs w:val="24"/>
        </w:rPr>
        <w:t>Performance Analysis o</w:t>
      </w:r>
      <w:r w:rsidR="00F35868" w:rsidRPr="00F35868">
        <w:rPr>
          <w:rFonts w:ascii="Times New Roman" w:eastAsia="Times New Roman" w:hAnsi="Times New Roman" w:cs="Times New Roman"/>
          <w:b/>
          <w:bCs/>
          <w:color w:val="auto"/>
          <w:sz w:val="24"/>
          <w:szCs w:val="24"/>
        </w:rPr>
        <w:t xml:space="preserve">f </w:t>
      </w:r>
      <w:bookmarkEnd w:id="1366"/>
      <w:bookmarkEnd w:id="1367"/>
      <w:bookmarkEnd w:id="1368"/>
      <w:bookmarkEnd w:id="1369"/>
      <w:bookmarkEnd w:id="1370"/>
      <w:bookmarkEnd w:id="1371"/>
      <w:r w:rsidR="00B036B3" w:rsidRPr="00F35868">
        <w:rPr>
          <w:rFonts w:ascii="Times New Roman" w:eastAsia="Times New Roman" w:hAnsi="Times New Roman" w:cs="Times New Roman"/>
          <w:b/>
          <w:bCs/>
          <w:color w:val="auto"/>
          <w:sz w:val="24"/>
          <w:szCs w:val="24"/>
        </w:rPr>
        <w:t>GT Bank Plc</w:t>
      </w:r>
      <w:bookmarkEnd w:id="1372"/>
      <w:bookmarkEnd w:id="1373"/>
      <w:bookmarkEnd w:id="1374"/>
    </w:p>
    <w:p w14:paraId="7E40E0A6"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bookmarkStart w:id="1375" w:name="_Toc193281950"/>
      <w:bookmarkStart w:id="1376" w:name="_Toc193282274"/>
      <w:bookmarkStart w:id="1377" w:name="_Toc193282440"/>
      <w:bookmarkStart w:id="1378" w:name="_Toc164165543"/>
      <w:bookmarkStart w:id="1379" w:name="_Toc164165687"/>
      <w:bookmarkStart w:id="1380" w:name="_Toc164165980"/>
      <w:bookmarkStart w:id="1381" w:name="_Toc192354202"/>
      <w:bookmarkStart w:id="1382" w:name="_Toc192354935"/>
      <w:bookmarkStart w:id="1383" w:name="_Toc192355050"/>
      <w:r w:rsidRPr="00B036B3">
        <w:rPr>
          <w:rFonts w:asciiTheme="majorBidi" w:eastAsia="Times New Roman" w:hAnsiTheme="majorBidi" w:cstheme="majorBidi"/>
          <w:sz w:val="24"/>
          <w:szCs w:val="24"/>
        </w:rPr>
        <w:t>Financial performance reflects a bank’s ability to generate profits, maintain liquidity, and efficiently utilize its resources for sustainable growth. In this study, the financial performance of GT Bank Plc is evaluated using key indicators such as return on assets (ROA), return on equity (ROE), net interest margin (NIM), liquidity ratios, and loan-to-deposit ratio. These metrics provide insights into the bank’s profitability, operational efficiency, and financial stability over the period 2019–2023. By analyzing these indicators, the study assesses GT Bank Plc’s financial trends and how its risk management strategies impact overall performance. This evaluation helps determine whether effective risk management practices contribute to financial sustainability and resilience against potential financial risks.</w:t>
      </w:r>
      <w:bookmarkEnd w:id="1375"/>
      <w:bookmarkEnd w:id="1376"/>
      <w:bookmarkEnd w:id="1377"/>
    </w:p>
    <w:p w14:paraId="19F72D1A" w14:textId="6100B0FB" w:rsidR="00B036B3" w:rsidRPr="00C77651" w:rsidRDefault="009F3F47" w:rsidP="006D3D71">
      <w:pPr>
        <w:shd w:val="clear" w:color="auto" w:fill="FFFFFF" w:themeFill="background1"/>
        <w:spacing w:after="240" w:line="360" w:lineRule="auto"/>
        <w:jc w:val="both"/>
        <w:rPr>
          <w:rFonts w:ascii="Times New Roman" w:eastAsia="Times New Roman" w:hAnsi="Times New Roman" w:cs="Times New Roman"/>
          <w:b/>
          <w:bCs/>
          <w:sz w:val="24"/>
          <w:szCs w:val="24"/>
        </w:rPr>
      </w:pPr>
      <w:bookmarkStart w:id="1384" w:name="_Toc193282275"/>
      <w:bookmarkStart w:id="1385" w:name="_Toc193282441"/>
      <w:r w:rsidRPr="00C77651">
        <w:rPr>
          <w:rFonts w:ascii="Times New Roman" w:eastAsia="Times New Roman" w:hAnsi="Times New Roman" w:cs="Times New Roman"/>
          <w:b/>
          <w:bCs/>
          <w:sz w:val="24"/>
          <w:szCs w:val="24"/>
        </w:rPr>
        <w:t>4.4</w:t>
      </w:r>
      <w:r w:rsidR="003376A9" w:rsidRPr="00C77651">
        <w:rPr>
          <w:rFonts w:ascii="Times New Roman" w:eastAsia="Times New Roman" w:hAnsi="Times New Roman" w:cs="Times New Roman"/>
          <w:b/>
          <w:bCs/>
          <w:sz w:val="24"/>
          <w:szCs w:val="24"/>
        </w:rPr>
        <w:t xml:space="preserve">.1. </w:t>
      </w:r>
      <w:bookmarkEnd w:id="1378"/>
      <w:bookmarkEnd w:id="1379"/>
      <w:bookmarkEnd w:id="1380"/>
      <w:bookmarkEnd w:id="1381"/>
      <w:bookmarkEnd w:id="1382"/>
      <w:bookmarkEnd w:id="1383"/>
      <w:r w:rsidR="00B036B3" w:rsidRPr="00C77651">
        <w:rPr>
          <w:rFonts w:ascii="Times New Roman" w:eastAsia="Times New Roman" w:hAnsi="Times New Roman" w:cs="Times New Roman"/>
          <w:b/>
          <w:bCs/>
          <w:sz w:val="24"/>
          <w:szCs w:val="24"/>
        </w:rPr>
        <w:t xml:space="preserve">Net </w:t>
      </w:r>
      <w:r w:rsidR="003376A9" w:rsidRPr="00C77651">
        <w:rPr>
          <w:rFonts w:ascii="Times New Roman" w:eastAsia="Times New Roman" w:hAnsi="Times New Roman" w:cs="Times New Roman"/>
          <w:b/>
          <w:bCs/>
          <w:sz w:val="24"/>
          <w:szCs w:val="24"/>
        </w:rPr>
        <w:t>Interest Margin</w:t>
      </w:r>
      <w:bookmarkEnd w:id="1384"/>
      <w:bookmarkEnd w:id="1385"/>
    </w:p>
    <w:p w14:paraId="3A8A0E65"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 xml:space="preserve">Net interest margin (NIM) is a key financial performance indicator considered in this study to determine GT Bank Plc’s profitability from lending activities. A stable or increasing NIM </w:t>
      </w:r>
      <w:r w:rsidRPr="00B036B3">
        <w:rPr>
          <w:rFonts w:asciiTheme="majorBidi" w:eastAsia="Times New Roman" w:hAnsiTheme="majorBidi" w:cstheme="majorBidi"/>
          <w:sz w:val="24"/>
          <w:szCs w:val="24"/>
        </w:rPr>
        <w:lastRenderedPageBreak/>
        <w:t>suggests effective interest rate management, while a declining trend may indicate challenges in generating income from loans. Evaluating NIM helps measure how well the bank balances its lending operations with deposit costs.</w:t>
      </w:r>
    </w:p>
    <w:p w14:paraId="5D570B43" w14:textId="2E3CD9EC"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b/>
          <w:bCs/>
          <w:sz w:val="24"/>
          <w:szCs w:val="24"/>
        </w:rPr>
      </w:pPr>
      <w:bookmarkStart w:id="1386" w:name="_Toc164165544"/>
      <w:bookmarkStart w:id="1387" w:name="_Toc164165688"/>
      <w:bookmarkStart w:id="1388" w:name="_Toc164165981"/>
      <w:bookmarkStart w:id="1389" w:name="_Toc192354203"/>
      <w:bookmarkStart w:id="1390" w:name="_Toc192354936"/>
      <w:bookmarkStart w:id="1391" w:name="_Toc192355051"/>
      <w:bookmarkStart w:id="1392" w:name="_Toc193281952"/>
      <w:bookmarkStart w:id="1393" w:name="_Toc193282276"/>
      <w:bookmarkStart w:id="1394" w:name="_Toc193282442"/>
      <w:r w:rsidRPr="00B036B3">
        <w:rPr>
          <w:rFonts w:asciiTheme="majorBidi" w:eastAsia="Times New Roman" w:hAnsiTheme="majorBidi" w:cstheme="majorBidi"/>
          <w:b/>
          <w:bCs/>
          <w:sz w:val="24"/>
          <w:szCs w:val="24"/>
        </w:rPr>
        <w:t>Tabl</w:t>
      </w:r>
      <w:r w:rsidR="00E36DD0">
        <w:rPr>
          <w:rFonts w:asciiTheme="majorBidi" w:eastAsia="Times New Roman" w:hAnsiTheme="majorBidi" w:cstheme="majorBidi"/>
          <w:b/>
          <w:bCs/>
          <w:sz w:val="24"/>
          <w:szCs w:val="24"/>
        </w:rPr>
        <w:t>e 4.21</w:t>
      </w:r>
      <w:r w:rsidRPr="00B036B3">
        <w:rPr>
          <w:rFonts w:asciiTheme="majorBidi" w:eastAsia="Times New Roman" w:hAnsiTheme="majorBidi" w:cstheme="majorBidi"/>
          <w:b/>
          <w:bCs/>
          <w:sz w:val="24"/>
          <w:szCs w:val="24"/>
        </w:rPr>
        <w:t xml:space="preserve">: </w:t>
      </w:r>
      <w:bookmarkEnd w:id="1386"/>
      <w:bookmarkEnd w:id="1387"/>
      <w:bookmarkEnd w:id="1388"/>
      <w:r w:rsidRPr="00B036B3">
        <w:rPr>
          <w:rFonts w:asciiTheme="majorBidi" w:eastAsia="Times New Roman" w:hAnsiTheme="majorBidi" w:cstheme="majorBidi"/>
          <w:b/>
          <w:bCs/>
          <w:sz w:val="24"/>
          <w:szCs w:val="24"/>
        </w:rPr>
        <w:t>Net interest margin</w:t>
      </w:r>
      <w:bookmarkEnd w:id="1389"/>
      <w:bookmarkEnd w:id="1390"/>
      <w:bookmarkEnd w:id="1391"/>
      <w:bookmarkEnd w:id="1392"/>
      <w:bookmarkEnd w:id="1393"/>
      <w:bookmarkEnd w:id="1394"/>
    </w:p>
    <w:tbl>
      <w:tblPr>
        <w:tblW w:w="981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170"/>
        <w:gridCol w:w="1800"/>
        <w:gridCol w:w="1710"/>
        <w:gridCol w:w="1710"/>
        <w:gridCol w:w="1705"/>
        <w:gridCol w:w="1715"/>
      </w:tblGrid>
      <w:tr w:rsidR="00B036B3" w:rsidRPr="00B036B3" w14:paraId="7BDC2505" w14:textId="77777777" w:rsidTr="00B036B3">
        <w:tc>
          <w:tcPr>
            <w:tcW w:w="1170" w:type="dxa"/>
            <w:tcBorders>
              <w:top w:val="single" w:sz="4" w:space="0" w:color="auto"/>
              <w:left w:val="nil"/>
              <w:bottom w:val="single" w:sz="4" w:space="0" w:color="auto"/>
              <w:right w:val="nil"/>
            </w:tcBorders>
          </w:tcPr>
          <w:p w14:paraId="6F57E99F" w14:textId="77777777" w:rsidR="00B036B3" w:rsidRPr="00B036B3" w:rsidRDefault="00B036B3" w:rsidP="009F3F47">
            <w:pPr>
              <w:shd w:val="clear" w:color="auto" w:fill="FFFFFF" w:themeFill="background1"/>
              <w:spacing w:after="240" w:line="240" w:lineRule="auto"/>
              <w:jc w:val="both"/>
              <w:rPr>
                <w:rFonts w:asciiTheme="majorBidi" w:eastAsia="Times New Roman" w:hAnsiTheme="majorBidi" w:cstheme="majorBidi"/>
                <w:sz w:val="24"/>
                <w:szCs w:val="24"/>
              </w:rPr>
            </w:pPr>
          </w:p>
        </w:tc>
        <w:tc>
          <w:tcPr>
            <w:tcW w:w="1800" w:type="dxa"/>
            <w:tcBorders>
              <w:top w:val="single" w:sz="4" w:space="0" w:color="auto"/>
              <w:left w:val="nil"/>
              <w:bottom w:val="single" w:sz="4" w:space="0" w:color="auto"/>
              <w:right w:val="nil"/>
            </w:tcBorders>
            <w:hideMark/>
          </w:tcPr>
          <w:p w14:paraId="1AAA6243" w14:textId="77777777" w:rsidR="00B036B3" w:rsidRPr="00B036B3" w:rsidRDefault="00B036B3" w:rsidP="009F3F4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2019(Frw’000)</w:t>
            </w:r>
          </w:p>
        </w:tc>
        <w:tc>
          <w:tcPr>
            <w:tcW w:w="1710" w:type="dxa"/>
            <w:tcBorders>
              <w:top w:val="single" w:sz="4" w:space="0" w:color="auto"/>
              <w:left w:val="nil"/>
              <w:bottom w:val="single" w:sz="4" w:space="0" w:color="auto"/>
              <w:right w:val="nil"/>
            </w:tcBorders>
            <w:hideMark/>
          </w:tcPr>
          <w:p w14:paraId="15887497" w14:textId="77777777" w:rsidR="00B036B3" w:rsidRPr="00B036B3" w:rsidRDefault="00B036B3" w:rsidP="009F3F4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2020(Frw’000)</w:t>
            </w:r>
          </w:p>
        </w:tc>
        <w:tc>
          <w:tcPr>
            <w:tcW w:w="1710" w:type="dxa"/>
            <w:tcBorders>
              <w:top w:val="single" w:sz="4" w:space="0" w:color="auto"/>
              <w:left w:val="nil"/>
              <w:bottom w:val="single" w:sz="4" w:space="0" w:color="auto"/>
              <w:right w:val="nil"/>
            </w:tcBorders>
            <w:hideMark/>
          </w:tcPr>
          <w:p w14:paraId="2EED8CF0" w14:textId="77777777" w:rsidR="00B036B3" w:rsidRPr="00B036B3" w:rsidRDefault="00B036B3" w:rsidP="009F3F4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2021(Frw’000)</w:t>
            </w:r>
          </w:p>
        </w:tc>
        <w:tc>
          <w:tcPr>
            <w:tcW w:w="1705" w:type="dxa"/>
            <w:tcBorders>
              <w:top w:val="single" w:sz="4" w:space="0" w:color="auto"/>
              <w:left w:val="nil"/>
              <w:bottom w:val="single" w:sz="4" w:space="0" w:color="auto"/>
              <w:right w:val="nil"/>
            </w:tcBorders>
            <w:hideMark/>
          </w:tcPr>
          <w:p w14:paraId="6A44A2FC" w14:textId="77777777" w:rsidR="00B036B3" w:rsidRPr="00B036B3" w:rsidRDefault="00B036B3" w:rsidP="009F3F4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2022(Frw’000)</w:t>
            </w:r>
          </w:p>
        </w:tc>
        <w:tc>
          <w:tcPr>
            <w:tcW w:w="1715" w:type="dxa"/>
            <w:tcBorders>
              <w:top w:val="single" w:sz="4" w:space="0" w:color="auto"/>
              <w:left w:val="nil"/>
              <w:bottom w:val="single" w:sz="4" w:space="0" w:color="auto"/>
              <w:right w:val="nil"/>
            </w:tcBorders>
            <w:hideMark/>
          </w:tcPr>
          <w:p w14:paraId="662D888B" w14:textId="77777777" w:rsidR="00B036B3" w:rsidRPr="00B036B3" w:rsidRDefault="00B036B3" w:rsidP="009F3F4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2023(Frw’000)</w:t>
            </w:r>
          </w:p>
        </w:tc>
      </w:tr>
      <w:tr w:rsidR="00B036B3" w:rsidRPr="00B036B3" w14:paraId="67AF7733" w14:textId="77777777" w:rsidTr="00B036B3">
        <w:tc>
          <w:tcPr>
            <w:tcW w:w="1170" w:type="dxa"/>
            <w:tcBorders>
              <w:top w:val="single" w:sz="4" w:space="0" w:color="auto"/>
              <w:left w:val="nil"/>
              <w:bottom w:val="nil"/>
              <w:right w:val="nil"/>
            </w:tcBorders>
            <w:hideMark/>
          </w:tcPr>
          <w:p w14:paraId="47851991" w14:textId="77777777" w:rsidR="00B036B3" w:rsidRPr="00B036B3" w:rsidRDefault="00B036B3" w:rsidP="009F3F4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NII</w:t>
            </w:r>
          </w:p>
        </w:tc>
        <w:tc>
          <w:tcPr>
            <w:tcW w:w="1800" w:type="dxa"/>
            <w:tcBorders>
              <w:top w:val="single" w:sz="4" w:space="0" w:color="auto"/>
              <w:left w:val="nil"/>
              <w:bottom w:val="nil"/>
              <w:right w:val="nil"/>
            </w:tcBorders>
            <w:hideMark/>
          </w:tcPr>
          <w:p w14:paraId="5832A71E" w14:textId="77777777" w:rsidR="00B036B3" w:rsidRPr="00B036B3" w:rsidRDefault="00B036B3" w:rsidP="009F3F4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6,361,140</w:t>
            </w:r>
          </w:p>
        </w:tc>
        <w:tc>
          <w:tcPr>
            <w:tcW w:w="1710" w:type="dxa"/>
            <w:tcBorders>
              <w:top w:val="single" w:sz="4" w:space="0" w:color="auto"/>
              <w:left w:val="nil"/>
              <w:bottom w:val="nil"/>
              <w:right w:val="nil"/>
            </w:tcBorders>
            <w:hideMark/>
          </w:tcPr>
          <w:p w14:paraId="2A4202C4" w14:textId="77777777" w:rsidR="00B036B3" w:rsidRPr="00B036B3" w:rsidRDefault="00B036B3" w:rsidP="009F3F4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7,379,962</w:t>
            </w:r>
          </w:p>
        </w:tc>
        <w:tc>
          <w:tcPr>
            <w:tcW w:w="1710" w:type="dxa"/>
            <w:tcBorders>
              <w:top w:val="single" w:sz="4" w:space="0" w:color="auto"/>
              <w:left w:val="nil"/>
              <w:bottom w:val="nil"/>
              <w:right w:val="nil"/>
            </w:tcBorders>
            <w:hideMark/>
          </w:tcPr>
          <w:p w14:paraId="4170DD03" w14:textId="77777777" w:rsidR="00B036B3" w:rsidRPr="00B036B3" w:rsidRDefault="00B036B3" w:rsidP="009F3F4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8,586,013</w:t>
            </w:r>
          </w:p>
        </w:tc>
        <w:tc>
          <w:tcPr>
            <w:tcW w:w="1705" w:type="dxa"/>
            <w:tcBorders>
              <w:top w:val="single" w:sz="4" w:space="0" w:color="auto"/>
              <w:left w:val="nil"/>
              <w:bottom w:val="nil"/>
              <w:right w:val="nil"/>
            </w:tcBorders>
            <w:hideMark/>
          </w:tcPr>
          <w:p w14:paraId="21DBA4B1" w14:textId="77777777" w:rsidR="00B036B3" w:rsidRPr="00B036B3" w:rsidRDefault="00B036B3" w:rsidP="009F3F4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9,386,036</w:t>
            </w:r>
          </w:p>
        </w:tc>
        <w:tc>
          <w:tcPr>
            <w:tcW w:w="1715" w:type="dxa"/>
            <w:tcBorders>
              <w:top w:val="single" w:sz="4" w:space="0" w:color="auto"/>
              <w:left w:val="nil"/>
              <w:bottom w:val="nil"/>
              <w:right w:val="nil"/>
            </w:tcBorders>
            <w:hideMark/>
          </w:tcPr>
          <w:p w14:paraId="0249E3A9" w14:textId="77777777" w:rsidR="00B036B3" w:rsidRPr="00B036B3" w:rsidRDefault="00B036B3" w:rsidP="009F3F4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10,051,007</w:t>
            </w:r>
          </w:p>
        </w:tc>
      </w:tr>
      <w:tr w:rsidR="00B036B3" w:rsidRPr="00B036B3" w14:paraId="63DC6FD1" w14:textId="77777777" w:rsidTr="00B036B3">
        <w:tc>
          <w:tcPr>
            <w:tcW w:w="1170" w:type="dxa"/>
            <w:tcBorders>
              <w:top w:val="nil"/>
              <w:left w:val="nil"/>
              <w:bottom w:val="nil"/>
              <w:right w:val="nil"/>
            </w:tcBorders>
            <w:hideMark/>
          </w:tcPr>
          <w:p w14:paraId="517CD132" w14:textId="77777777" w:rsidR="00B036B3" w:rsidRPr="00B036B3" w:rsidRDefault="00B036B3" w:rsidP="009F3F4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Average earning assets</w:t>
            </w:r>
          </w:p>
        </w:tc>
        <w:tc>
          <w:tcPr>
            <w:tcW w:w="1800" w:type="dxa"/>
            <w:tcBorders>
              <w:top w:val="nil"/>
              <w:left w:val="nil"/>
              <w:bottom w:val="nil"/>
              <w:right w:val="nil"/>
            </w:tcBorders>
            <w:hideMark/>
          </w:tcPr>
          <w:p w14:paraId="3C724AB3" w14:textId="77777777" w:rsidR="00B036B3" w:rsidRPr="00B036B3" w:rsidRDefault="00B036B3" w:rsidP="009F3F4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42,896,486</w:t>
            </w:r>
          </w:p>
        </w:tc>
        <w:tc>
          <w:tcPr>
            <w:tcW w:w="1710" w:type="dxa"/>
            <w:tcBorders>
              <w:top w:val="nil"/>
              <w:left w:val="nil"/>
              <w:bottom w:val="nil"/>
              <w:right w:val="nil"/>
            </w:tcBorders>
            <w:hideMark/>
          </w:tcPr>
          <w:p w14:paraId="07A87F36" w14:textId="77777777" w:rsidR="00B036B3" w:rsidRPr="00B036B3" w:rsidRDefault="00B036B3" w:rsidP="009F3F4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45,628,336.5</w:t>
            </w:r>
          </w:p>
        </w:tc>
        <w:tc>
          <w:tcPr>
            <w:tcW w:w="1710" w:type="dxa"/>
            <w:tcBorders>
              <w:top w:val="nil"/>
              <w:left w:val="nil"/>
              <w:bottom w:val="nil"/>
              <w:right w:val="nil"/>
            </w:tcBorders>
            <w:hideMark/>
          </w:tcPr>
          <w:p w14:paraId="6624E759" w14:textId="77777777" w:rsidR="00B036B3" w:rsidRPr="00B036B3" w:rsidRDefault="00B036B3" w:rsidP="009F3F4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48,765,597.5</w:t>
            </w:r>
          </w:p>
        </w:tc>
        <w:tc>
          <w:tcPr>
            <w:tcW w:w="1705" w:type="dxa"/>
            <w:tcBorders>
              <w:top w:val="nil"/>
              <w:left w:val="nil"/>
              <w:bottom w:val="nil"/>
              <w:right w:val="nil"/>
            </w:tcBorders>
            <w:hideMark/>
          </w:tcPr>
          <w:p w14:paraId="30CC2C08" w14:textId="77777777" w:rsidR="00B036B3" w:rsidRPr="00B036B3" w:rsidRDefault="00B036B3" w:rsidP="009F3F4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43,080,997.5</w:t>
            </w:r>
          </w:p>
        </w:tc>
        <w:tc>
          <w:tcPr>
            <w:tcW w:w="1715" w:type="dxa"/>
            <w:tcBorders>
              <w:top w:val="nil"/>
              <w:left w:val="nil"/>
              <w:bottom w:val="nil"/>
              <w:right w:val="nil"/>
            </w:tcBorders>
            <w:hideMark/>
          </w:tcPr>
          <w:p w14:paraId="23C1FB8F" w14:textId="77777777" w:rsidR="00B036B3" w:rsidRPr="00B036B3" w:rsidRDefault="00B036B3" w:rsidP="009F3F4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35,862,674.5</w:t>
            </w:r>
          </w:p>
        </w:tc>
      </w:tr>
      <w:tr w:rsidR="00B036B3" w:rsidRPr="00B036B3" w14:paraId="0DFC7022" w14:textId="77777777" w:rsidTr="00B036B3">
        <w:tc>
          <w:tcPr>
            <w:tcW w:w="1170" w:type="dxa"/>
            <w:tcBorders>
              <w:top w:val="nil"/>
              <w:left w:val="nil"/>
              <w:bottom w:val="single" w:sz="4" w:space="0" w:color="auto"/>
              <w:right w:val="nil"/>
            </w:tcBorders>
            <w:hideMark/>
          </w:tcPr>
          <w:p w14:paraId="1ABAA116" w14:textId="77777777" w:rsidR="00B036B3" w:rsidRPr="00B036B3" w:rsidRDefault="00B036B3" w:rsidP="009F3F4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NIM</w:t>
            </w:r>
          </w:p>
        </w:tc>
        <w:tc>
          <w:tcPr>
            <w:tcW w:w="1800" w:type="dxa"/>
            <w:tcBorders>
              <w:top w:val="nil"/>
              <w:left w:val="nil"/>
              <w:bottom w:val="single" w:sz="4" w:space="0" w:color="auto"/>
              <w:right w:val="nil"/>
            </w:tcBorders>
            <w:vAlign w:val="bottom"/>
            <w:hideMark/>
          </w:tcPr>
          <w:p w14:paraId="04C27BA6" w14:textId="77777777" w:rsidR="00B036B3" w:rsidRPr="00B036B3" w:rsidRDefault="00B036B3" w:rsidP="009F3F4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14.83</w:t>
            </w:r>
          </w:p>
        </w:tc>
        <w:tc>
          <w:tcPr>
            <w:tcW w:w="1710" w:type="dxa"/>
            <w:tcBorders>
              <w:top w:val="nil"/>
              <w:left w:val="nil"/>
              <w:bottom w:val="single" w:sz="4" w:space="0" w:color="auto"/>
              <w:right w:val="nil"/>
            </w:tcBorders>
            <w:vAlign w:val="bottom"/>
            <w:hideMark/>
          </w:tcPr>
          <w:p w14:paraId="340E3AB0" w14:textId="77777777" w:rsidR="00B036B3" w:rsidRPr="00B036B3" w:rsidRDefault="00B036B3" w:rsidP="009F3F4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16.17</w:t>
            </w:r>
          </w:p>
        </w:tc>
        <w:tc>
          <w:tcPr>
            <w:tcW w:w="1710" w:type="dxa"/>
            <w:tcBorders>
              <w:top w:val="nil"/>
              <w:left w:val="nil"/>
              <w:bottom w:val="single" w:sz="4" w:space="0" w:color="auto"/>
              <w:right w:val="nil"/>
            </w:tcBorders>
            <w:vAlign w:val="bottom"/>
            <w:hideMark/>
          </w:tcPr>
          <w:p w14:paraId="20EE524C" w14:textId="77777777" w:rsidR="00B036B3" w:rsidRPr="00B036B3" w:rsidRDefault="00B036B3" w:rsidP="009F3F4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17.61</w:t>
            </w:r>
          </w:p>
        </w:tc>
        <w:tc>
          <w:tcPr>
            <w:tcW w:w="1705" w:type="dxa"/>
            <w:tcBorders>
              <w:top w:val="nil"/>
              <w:left w:val="nil"/>
              <w:bottom w:val="single" w:sz="4" w:space="0" w:color="auto"/>
              <w:right w:val="nil"/>
            </w:tcBorders>
            <w:vAlign w:val="bottom"/>
            <w:hideMark/>
          </w:tcPr>
          <w:p w14:paraId="71D7F7B6" w14:textId="77777777" w:rsidR="00B036B3" w:rsidRPr="00B036B3" w:rsidRDefault="00B036B3" w:rsidP="009F3F4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21.79</w:t>
            </w:r>
          </w:p>
        </w:tc>
        <w:tc>
          <w:tcPr>
            <w:tcW w:w="1715" w:type="dxa"/>
            <w:tcBorders>
              <w:top w:val="nil"/>
              <w:left w:val="nil"/>
              <w:bottom w:val="single" w:sz="4" w:space="0" w:color="auto"/>
              <w:right w:val="nil"/>
            </w:tcBorders>
            <w:vAlign w:val="bottom"/>
            <w:hideMark/>
          </w:tcPr>
          <w:p w14:paraId="0546F39D" w14:textId="77777777" w:rsidR="00B036B3" w:rsidRPr="00B036B3" w:rsidRDefault="00B036B3" w:rsidP="009F3F4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28.03</w:t>
            </w:r>
          </w:p>
        </w:tc>
      </w:tr>
    </w:tbl>
    <w:p w14:paraId="28666E44"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b/>
          <w:sz w:val="24"/>
          <w:szCs w:val="24"/>
        </w:rPr>
        <w:t>Source:</w:t>
      </w:r>
      <w:r w:rsidRPr="00B036B3">
        <w:rPr>
          <w:rFonts w:asciiTheme="majorBidi" w:eastAsia="Times New Roman" w:hAnsiTheme="majorBidi" w:cstheme="majorBidi"/>
          <w:sz w:val="24"/>
          <w:szCs w:val="24"/>
        </w:rPr>
        <w:t xml:space="preserve"> Statement of financial position of GT Bank Plc (2019-2023)</w:t>
      </w:r>
    </w:p>
    <w:p w14:paraId="5BB2920A" w14:textId="7DB312B7" w:rsidR="00B036B3" w:rsidRPr="00B036B3" w:rsidRDefault="00E36DD0" w:rsidP="006D3D71">
      <w:pPr>
        <w:shd w:val="clear" w:color="auto" w:fill="FFFFFF" w:themeFill="background1"/>
        <w:spacing w:after="24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Table 4.21</w:t>
      </w:r>
      <w:r w:rsidR="00B036B3" w:rsidRPr="00B036B3">
        <w:rPr>
          <w:rFonts w:asciiTheme="majorBidi" w:eastAsia="Times New Roman" w:hAnsiTheme="majorBidi" w:cstheme="majorBidi"/>
          <w:sz w:val="24"/>
          <w:szCs w:val="24"/>
        </w:rPr>
        <w:t xml:space="preserve"> presents the Net Interest Margin (NIM) of GT Bank Plc Headquarters from 2019 to 2023, reflecting the bank’s efficiency in generating interest income from its earning assets. The NIM consistently increased over the five-year period, indicating improved profitability in the bank</w:t>
      </w:r>
      <w:r w:rsidR="0008533E">
        <w:rPr>
          <w:rFonts w:asciiTheme="majorBidi" w:eastAsia="Times New Roman" w:hAnsiTheme="majorBidi" w:cstheme="majorBidi"/>
          <w:sz w:val="24"/>
          <w:szCs w:val="24"/>
        </w:rPr>
        <w:t xml:space="preserve">'s interest-earning operations. </w:t>
      </w:r>
      <w:r w:rsidR="00B036B3" w:rsidRPr="00B036B3">
        <w:rPr>
          <w:rFonts w:asciiTheme="majorBidi" w:eastAsia="Times New Roman" w:hAnsiTheme="majorBidi" w:cstheme="majorBidi"/>
          <w:sz w:val="24"/>
          <w:szCs w:val="24"/>
        </w:rPr>
        <w:t xml:space="preserve">In 2019, GT Bank Plc recorded a Net Interest Margin of 14.83%, suggesting a moderate ability to generate returns from its interest-earning assets. The following year, in 2020, the NIM rose to 16.17%, which signifies better pricing of loans and cost management of deposits. The increase in Net Interest Income (NII) from </w:t>
      </w:r>
      <w:proofErr w:type="spellStart"/>
      <w:r w:rsidR="00B036B3" w:rsidRPr="00B036B3">
        <w:rPr>
          <w:rFonts w:asciiTheme="majorBidi" w:eastAsia="Times New Roman" w:hAnsiTheme="majorBidi" w:cstheme="majorBidi"/>
          <w:sz w:val="24"/>
          <w:szCs w:val="24"/>
        </w:rPr>
        <w:t>Frw</w:t>
      </w:r>
      <w:proofErr w:type="spellEnd"/>
      <w:r w:rsidR="00B036B3" w:rsidRPr="00B036B3">
        <w:rPr>
          <w:rFonts w:asciiTheme="majorBidi" w:eastAsia="Times New Roman" w:hAnsiTheme="majorBidi" w:cstheme="majorBidi"/>
          <w:sz w:val="24"/>
          <w:szCs w:val="24"/>
        </w:rPr>
        <w:t xml:space="preserve"> 6,361,140,000 to </w:t>
      </w:r>
      <w:proofErr w:type="spellStart"/>
      <w:r w:rsidR="00B036B3" w:rsidRPr="00B036B3">
        <w:rPr>
          <w:rFonts w:asciiTheme="majorBidi" w:eastAsia="Times New Roman" w:hAnsiTheme="majorBidi" w:cstheme="majorBidi"/>
          <w:sz w:val="24"/>
          <w:szCs w:val="24"/>
        </w:rPr>
        <w:t>Frw</w:t>
      </w:r>
      <w:proofErr w:type="spellEnd"/>
      <w:r w:rsidR="00B036B3" w:rsidRPr="00B036B3">
        <w:rPr>
          <w:rFonts w:asciiTheme="majorBidi" w:eastAsia="Times New Roman" w:hAnsiTheme="majorBidi" w:cstheme="majorBidi"/>
          <w:sz w:val="24"/>
          <w:szCs w:val="24"/>
        </w:rPr>
        <w:t xml:space="preserve"> 7,379,962,000, alongside growth in Average Earning Assets from </w:t>
      </w:r>
      <w:proofErr w:type="spellStart"/>
      <w:r w:rsidR="00B036B3" w:rsidRPr="00B036B3">
        <w:rPr>
          <w:rFonts w:asciiTheme="majorBidi" w:eastAsia="Times New Roman" w:hAnsiTheme="majorBidi" w:cstheme="majorBidi"/>
          <w:sz w:val="24"/>
          <w:szCs w:val="24"/>
        </w:rPr>
        <w:t>Frw</w:t>
      </w:r>
      <w:proofErr w:type="spellEnd"/>
      <w:r w:rsidR="00B036B3" w:rsidRPr="00B036B3">
        <w:rPr>
          <w:rFonts w:asciiTheme="majorBidi" w:eastAsia="Times New Roman" w:hAnsiTheme="majorBidi" w:cstheme="majorBidi"/>
          <w:sz w:val="24"/>
          <w:szCs w:val="24"/>
        </w:rPr>
        <w:t xml:space="preserve"> 42,896,486,000 to </w:t>
      </w:r>
      <w:proofErr w:type="spellStart"/>
      <w:r w:rsidR="00B036B3" w:rsidRPr="00B036B3">
        <w:rPr>
          <w:rFonts w:asciiTheme="majorBidi" w:eastAsia="Times New Roman" w:hAnsiTheme="majorBidi" w:cstheme="majorBidi"/>
          <w:sz w:val="24"/>
          <w:szCs w:val="24"/>
        </w:rPr>
        <w:t>Frw</w:t>
      </w:r>
      <w:proofErr w:type="spellEnd"/>
      <w:r w:rsidR="00B036B3" w:rsidRPr="00B036B3">
        <w:rPr>
          <w:rFonts w:asciiTheme="majorBidi" w:eastAsia="Times New Roman" w:hAnsiTheme="majorBidi" w:cstheme="majorBidi"/>
          <w:sz w:val="24"/>
          <w:szCs w:val="24"/>
        </w:rPr>
        <w:t xml:space="preserve"> 45,628,336,500, c</w:t>
      </w:r>
      <w:r w:rsidR="0008533E">
        <w:rPr>
          <w:rFonts w:asciiTheme="majorBidi" w:eastAsia="Times New Roman" w:hAnsiTheme="majorBidi" w:cstheme="majorBidi"/>
          <w:sz w:val="24"/>
          <w:szCs w:val="24"/>
        </w:rPr>
        <w:t xml:space="preserve">ontributed to this improvement. </w:t>
      </w:r>
      <w:r w:rsidR="00B036B3" w:rsidRPr="00B036B3">
        <w:rPr>
          <w:rFonts w:asciiTheme="majorBidi" w:eastAsia="Times New Roman" w:hAnsiTheme="majorBidi" w:cstheme="majorBidi"/>
          <w:sz w:val="24"/>
          <w:szCs w:val="24"/>
        </w:rPr>
        <w:t xml:space="preserve">By 2021, the NIM further increased to 17.61%, supported by a higher Net Interest Income of </w:t>
      </w:r>
      <w:proofErr w:type="spellStart"/>
      <w:r w:rsidR="00B036B3" w:rsidRPr="00B036B3">
        <w:rPr>
          <w:rFonts w:asciiTheme="majorBidi" w:eastAsia="Times New Roman" w:hAnsiTheme="majorBidi" w:cstheme="majorBidi"/>
          <w:sz w:val="24"/>
          <w:szCs w:val="24"/>
        </w:rPr>
        <w:t>Frw</w:t>
      </w:r>
      <w:proofErr w:type="spellEnd"/>
      <w:r w:rsidR="00B036B3" w:rsidRPr="00B036B3">
        <w:rPr>
          <w:rFonts w:asciiTheme="majorBidi" w:eastAsia="Times New Roman" w:hAnsiTheme="majorBidi" w:cstheme="majorBidi"/>
          <w:sz w:val="24"/>
          <w:szCs w:val="24"/>
        </w:rPr>
        <w:t xml:space="preserve"> 8,586,013,000. This reflects stronger asset utilization efficiency, meaning the bank optimized interest rate spreads while effectively managing risks associated with lending. The ability to increase returns despite a rise in total earning assets aligns with previous studies, such as </w:t>
      </w:r>
      <w:proofErr w:type="spellStart"/>
      <w:r w:rsidR="00B036B3" w:rsidRPr="00B036B3">
        <w:rPr>
          <w:rFonts w:asciiTheme="majorBidi" w:eastAsia="Times New Roman" w:hAnsiTheme="majorBidi" w:cstheme="majorBidi"/>
          <w:sz w:val="24"/>
          <w:szCs w:val="24"/>
        </w:rPr>
        <w:t>Demirgüç-Kunt</w:t>
      </w:r>
      <w:proofErr w:type="spellEnd"/>
      <w:r w:rsidR="00B036B3" w:rsidRPr="00B036B3">
        <w:rPr>
          <w:rFonts w:asciiTheme="majorBidi" w:eastAsia="Times New Roman" w:hAnsiTheme="majorBidi" w:cstheme="majorBidi"/>
          <w:sz w:val="24"/>
          <w:szCs w:val="24"/>
        </w:rPr>
        <w:t xml:space="preserve"> &amp; Huizinga (2019), which suggest that banks with well-structured asset-liability management strategies tend to maintain a stable or growing NIM over time.</w:t>
      </w:r>
    </w:p>
    <w:p w14:paraId="6C996CFC"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 xml:space="preserve">A significant shift occurred in 2022, as the NIM rose sharply to 21.79%. Although Average Earning Assets declined to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43,080,997,500, the Net Interest Income increased to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9,386,036,000, showing that GT Bank Plc effectively adjusted its loan portfolio, possibly by focusing on higher-yielding assets or improving its risk-based pricing. This trend aligns with research by </w:t>
      </w:r>
      <w:proofErr w:type="spellStart"/>
      <w:r w:rsidRPr="00B036B3">
        <w:rPr>
          <w:rFonts w:asciiTheme="majorBidi" w:eastAsia="Times New Roman" w:hAnsiTheme="majorBidi" w:cstheme="majorBidi"/>
          <w:sz w:val="24"/>
          <w:szCs w:val="24"/>
        </w:rPr>
        <w:t>Ngugi</w:t>
      </w:r>
      <w:proofErr w:type="spellEnd"/>
      <w:r w:rsidRPr="00B036B3">
        <w:rPr>
          <w:rFonts w:asciiTheme="majorBidi" w:eastAsia="Times New Roman" w:hAnsiTheme="majorBidi" w:cstheme="majorBidi"/>
          <w:sz w:val="24"/>
          <w:szCs w:val="24"/>
        </w:rPr>
        <w:t xml:space="preserve"> &amp; </w:t>
      </w:r>
      <w:proofErr w:type="spellStart"/>
      <w:r w:rsidRPr="00B036B3">
        <w:rPr>
          <w:rFonts w:asciiTheme="majorBidi" w:eastAsia="Times New Roman" w:hAnsiTheme="majorBidi" w:cstheme="majorBidi"/>
          <w:sz w:val="24"/>
          <w:szCs w:val="24"/>
        </w:rPr>
        <w:t>Karobia</w:t>
      </w:r>
      <w:proofErr w:type="spellEnd"/>
      <w:r w:rsidRPr="00B036B3">
        <w:rPr>
          <w:rFonts w:asciiTheme="majorBidi" w:eastAsia="Times New Roman" w:hAnsiTheme="majorBidi" w:cstheme="majorBidi"/>
          <w:sz w:val="24"/>
          <w:szCs w:val="24"/>
        </w:rPr>
        <w:t xml:space="preserve"> (2021), which found that banks with effective credit risk </w:t>
      </w:r>
      <w:r w:rsidRPr="00B036B3">
        <w:rPr>
          <w:rFonts w:asciiTheme="majorBidi" w:eastAsia="Times New Roman" w:hAnsiTheme="majorBidi" w:cstheme="majorBidi"/>
          <w:sz w:val="24"/>
          <w:szCs w:val="24"/>
        </w:rPr>
        <w:lastRenderedPageBreak/>
        <w:t>management and strategic interest rate adjustments achieve higher NIM and overall financial performance.</w:t>
      </w:r>
    </w:p>
    <w:p w14:paraId="54F6FA34"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 xml:space="preserve">In 2023, the NIM peaked at 28.03%, reflecting a remarkable improvement in interest income efficiency. Despite a decline in Average Earning Assets to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35,862,674,500, the bank recorded a Net Interest Income of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10,051,007,000, demonstrating an exceptional ability to generate returns from a relatively smaller asset base. This suggests that GT Bank Plc maximized lending rates while maintaining cost efficiency, leading to enhanced financial performance. The findings align with Claessens &amp; van Horen (2022), who emphasized that higher NIMs are often linked to strong banking sector reforms, cost-efficiency measures, and improved risk pricing strategies.</w:t>
      </w:r>
    </w:p>
    <w:p w14:paraId="21E98412"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The overall trend from 2019 to 2023 demonstrates progressive improvement in interest income generation, which can be attributed to better risk management, strategic asset allocation, and effective pricing of loans and deposits. The sharp increase in NIM between 2021 and 2023 indicates that the bank capitalized on market opportunities and improved operational efficiency. This is consistent with Muriithi et al. (2020), who found that banks that effectively manage risk exposure and interest rate volatility experience higher NIM growth. Maintaining this growth requires continued focus on risk-adjusted returns, cost control, and interest rate management to sustain long-term financial stability and profitability.</w:t>
      </w:r>
    </w:p>
    <w:p w14:paraId="167C5E97" w14:textId="06FC06DA" w:rsidR="00B036B3" w:rsidRPr="00B036B3" w:rsidRDefault="0008533E" w:rsidP="006D3D71">
      <w:pPr>
        <w:shd w:val="clear" w:color="auto" w:fill="FFFFFF" w:themeFill="background1"/>
        <w:spacing w:after="240" w:line="360" w:lineRule="auto"/>
        <w:jc w:val="both"/>
        <w:rPr>
          <w:rFonts w:asciiTheme="majorBidi" w:eastAsia="Times New Roman" w:hAnsiTheme="majorBidi" w:cstheme="majorBidi"/>
          <w:b/>
          <w:bCs/>
          <w:sz w:val="24"/>
          <w:szCs w:val="24"/>
        </w:rPr>
      </w:pPr>
      <w:bookmarkStart w:id="1395" w:name="_Toc193282277"/>
      <w:bookmarkStart w:id="1396" w:name="_Toc193282443"/>
      <w:r>
        <w:rPr>
          <w:rFonts w:asciiTheme="majorBidi" w:eastAsia="Times New Roman" w:hAnsiTheme="majorBidi" w:cstheme="majorBidi"/>
          <w:b/>
          <w:bCs/>
          <w:sz w:val="24"/>
          <w:szCs w:val="24"/>
        </w:rPr>
        <w:t>4.4</w:t>
      </w:r>
      <w:r w:rsidR="00B036B3" w:rsidRPr="00B036B3">
        <w:rPr>
          <w:rFonts w:asciiTheme="majorBidi" w:eastAsia="Times New Roman" w:hAnsiTheme="majorBidi" w:cstheme="majorBidi"/>
          <w:b/>
          <w:bCs/>
          <w:sz w:val="24"/>
          <w:szCs w:val="24"/>
        </w:rPr>
        <w:t xml:space="preserve">.2. Return </w:t>
      </w:r>
      <w:r w:rsidR="0086017A">
        <w:rPr>
          <w:rFonts w:asciiTheme="majorBidi" w:eastAsia="Times New Roman" w:hAnsiTheme="majorBidi" w:cstheme="majorBidi"/>
          <w:b/>
          <w:bCs/>
          <w:sz w:val="24"/>
          <w:szCs w:val="24"/>
        </w:rPr>
        <w:t>on</w:t>
      </w:r>
      <w:r w:rsidR="00B036B3" w:rsidRPr="00B036B3">
        <w:rPr>
          <w:rFonts w:asciiTheme="majorBidi" w:eastAsia="Times New Roman" w:hAnsiTheme="majorBidi" w:cstheme="majorBidi"/>
          <w:b/>
          <w:bCs/>
          <w:sz w:val="24"/>
          <w:szCs w:val="24"/>
        </w:rPr>
        <w:t xml:space="preserve"> equity</w:t>
      </w:r>
      <w:bookmarkEnd w:id="1395"/>
      <w:bookmarkEnd w:id="1396"/>
    </w:p>
    <w:p w14:paraId="3C45753D"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Return on equity (ROE) is examined to assess how effectively GT Bank Plc generates profits from shareholders' investments. A higher ROE suggests strong financial performance, whereas a lower ROE may indicate inefficiencies in resource utilization. This metric is crucial for evaluating the impact of risk management on profitability.</w:t>
      </w:r>
    </w:p>
    <w:p w14:paraId="4FAF6958"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b/>
          <w:bCs/>
          <w:sz w:val="24"/>
          <w:szCs w:val="24"/>
        </w:rPr>
      </w:pPr>
      <w:bookmarkStart w:id="1397" w:name="_Toc193281954"/>
      <w:bookmarkStart w:id="1398" w:name="_Toc193282278"/>
      <w:bookmarkStart w:id="1399" w:name="_Toc193282444"/>
      <w:r w:rsidRPr="00B036B3">
        <w:rPr>
          <w:rFonts w:asciiTheme="majorBidi" w:eastAsia="Times New Roman" w:hAnsiTheme="majorBidi" w:cstheme="majorBidi"/>
          <w:b/>
          <w:bCs/>
          <w:sz w:val="24"/>
          <w:szCs w:val="24"/>
        </w:rPr>
        <w:t>Table 4.7: Return on equity</w:t>
      </w:r>
      <w:bookmarkEnd w:id="1397"/>
      <w:bookmarkEnd w:id="1398"/>
      <w:bookmarkEnd w:id="1399"/>
    </w:p>
    <w:tbl>
      <w:tblPr>
        <w:tblW w:w="981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170"/>
        <w:gridCol w:w="1800"/>
        <w:gridCol w:w="1710"/>
        <w:gridCol w:w="1710"/>
        <w:gridCol w:w="1705"/>
        <w:gridCol w:w="1715"/>
      </w:tblGrid>
      <w:tr w:rsidR="00B036B3" w:rsidRPr="00B036B3" w14:paraId="2B613569" w14:textId="77777777" w:rsidTr="00B036B3">
        <w:tc>
          <w:tcPr>
            <w:tcW w:w="1170" w:type="dxa"/>
            <w:tcBorders>
              <w:top w:val="single" w:sz="4" w:space="0" w:color="auto"/>
              <w:left w:val="nil"/>
              <w:bottom w:val="single" w:sz="4" w:space="0" w:color="auto"/>
              <w:right w:val="nil"/>
            </w:tcBorders>
          </w:tcPr>
          <w:p w14:paraId="17693A0D" w14:textId="77777777" w:rsidR="00B036B3" w:rsidRPr="00B036B3" w:rsidRDefault="00B036B3" w:rsidP="0008533E">
            <w:pPr>
              <w:shd w:val="clear" w:color="auto" w:fill="FFFFFF" w:themeFill="background1"/>
              <w:spacing w:after="240" w:line="240" w:lineRule="auto"/>
              <w:jc w:val="both"/>
              <w:rPr>
                <w:rFonts w:asciiTheme="majorBidi" w:eastAsia="Times New Roman" w:hAnsiTheme="majorBidi" w:cstheme="majorBidi"/>
                <w:sz w:val="24"/>
                <w:szCs w:val="24"/>
              </w:rPr>
            </w:pPr>
          </w:p>
        </w:tc>
        <w:tc>
          <w:tcPr>
            <w:tcW w:w="1800" w:type="dxa"/>
            <w:tcBorders>
              <w:top w:val="single" w:sz="4" w:space="0" w:color="auto"/>
              <w:left w:val="nil"/>
              <w:bottom w:val="single" w:sz="4" w:space="0" w:color="auto"/>
              <w:right w:val="nil"/>
            </w:tcBorders>
            <w:hideMark/>
          </w:tcPr>
          <w:p w14:paraId="3AE4B979" w14:textId="77777777" w:rsidR="00B036B3" w:rsidRPr="00B036B3" w:rsidRDefault="00B036B3" w:rsidP="0008533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2019(Frw’000)</w:t>
            </w:r>
          </w:p>
        </w:tc>
        <w:tc>
          <w:tcPr>
            <w:tcW w:w="1710" w:type="dxa"/>
            <w:tcBorders>
              <w:top w:val="single" w:sz="4" w:space="0" w:color="auto"/>
              <w:left w:val="nil"/>
              <w:bottom w:val="single" w:sz="4" w:space="0" w:color="auto"/>
              <w:right w:val="nil"/>
            </w:tcBorders>
            <w:hideMark/>
          </w:tcPr>
          <w:p w14:paraId="73AC2BFF" w14:textId="77777777" w:rsidR="00B036B3" w:rsidRPr="00B036B3" w:rsidRDefault="00B036B3" w:rsidP="0008533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2020(Frw’000)</w:t>
            </w:r>
          </w:p>
        </w:tc>
        <w:tc>
          <w:tcPr>
            <w:tcW w:w="1710" w:type="dxa"/>
            <w:tcBorders>
              <w:top w:val="single" w:sz="4" w:space="0" w:color="auto"/>
              <w:left w:val="nil"/>
              <w:bottom w:val="single" w:sz="4" w:space="0" w:color="auto"/>
              <w:right w:val="nil"/>
            </w:tcBorders>
            <w:hideMark/>
          </w:tcPr>
          <w:p w14:paraId="2F20DC0F" w14:textId="77777777" w:rsidR="00B036B3" w:rsidRPr="00B036B3" w:rsidRDefault="00B036B3" w:rsidP="0008533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2021(Frw’000)</w:t>
            </w:r>
          </w:p>
        </w:tc>
        <w:tc>
          <w:tcPr>
            <w:tcW w:w="1705" w:type="dxa"/>
            <w:tcBorders>
              <w:top w:val="single" w:sz="4" w:space="0" w:color="auto"/>
              <w:left w:val="nil"/>
              <w:bottom w:val="single" w:sz="4" w:space="0" w:color="auto"/>
              <w:right w:val="nil"/>
            </w:tcBorders>
            <w:hideMark/>
          </w:tcPr>
          <w:p w14:paraId="1AA70032" w14:textId="77777777" w:rsidR="00B036B3" w:rsidRPr="00B036B3" w:rsidRDefault="00B036B3" w:rsidP="0008533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2022(Frw’000)</w:t>
            </w:r>
          </w:p>
        </w:tc>
        <w:tc>
          <w:tcPr>
            <w:tcW w:w="1715" w:type="dxa"/>
            <w:tcBorders>
              <w:top w:val="single" w:sz="4" w:space="0" w:color="auto"/>
              <w:left w:val="nil"/>
              <w:bottom w:val="single" w:sz="4" w:space="0" w:color="auto"/>
              <w:right w:val="nil"/>
            </w:tcBorders>
            <w:hideMark/>
          </w:tcPr>
          <w:p w14:paraId="13BF425A" w14:textId="77777777" w:rsidR="00B036B3" w:rsidRPr="00B036B3" w:rsidRDefault="00B036B3" w:rsidP="0008533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2023(Frw’000)</w:t>
            </w:r>
          </w:p>
        </w:tc>
      </w:tr>
      <w:tr w:rsidR="00B036B3" w:rsidRPr="00B036B3" w14:paraId="021B97DF" w14:textId="77777777" w:rsidTr="00B036B3">
        <w:tc>
          <w:tcPr>
            <w:tcW w:w="1170" w:type="dxa"/>
            <w:tcBorders>
              <w:top w:val="single" w:sz="4" w:space="0" w:color="auto"/>
              <w:left w:val="nil"/>
              <w:bottom w:val="nil"/>
              <w:right w:val="nil"/>
            </w:tcBorders>
            <w:hideMark/>
          </w:tcPr>
          <w:p w14:paraId="4B4AD842" w14:textId="77777777" w:rsidR="00B036B3" w:rsidRPr="00B036B3" w:rsidRDefault="00B036B3" w:rsidP="0008533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Net income</w:t>
            </w:r>
          </w:p>
        </w:tc>
        <w:tc>
          <w:tcPr>
            <w:tcW w:w="1800" w:type="dxa"/>
            <w:tcBorders>
              <w:top w:val="single" w:sz="4" w:space="0" w:color="auto"/>
              <w:left w:val="nil"/>
              <w:bottom w:val="nil"/>
              <w:right w:val="nil"/>
            </w:tcBorders>
            <w:hideMark/>
          </w:tcPr>
          <w:p w14:paraId="11573106" w14:textId="77777777" w:rsidR="00B036B3" w:rsidRPr="00B036B3" w:rsidRDefault="00B036B3" w:rsidP="0008533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1,635,554</w:t>
            </w:r>
          </w:p>
        </w:tc>
        <w:tc>
          <w:tcPr>
            <w:tcW w:w="1710" w:type="dxa"/>
            <w:tcBorders>
              <w:top w:val="single" w:sz="4" w:space="0" w:color="auto"/>
              <w:left w:val="nil"/>
              <w:bottom w:val="nil"/>
              <w:right w:val="nil"/>
            </w:tcBorders>
            <w:hideMark/>
          </w:tcPr>
          <w:p w14:paraId="59006CE0" w14:textId="77777777" w:rsidR="00B036B3" w:rsidRPr="00B036B3" w:rsidRDefault="00B036B3" w:rsidP="0008533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3,143,643</w:t>
            </w:r>
          </w:p>
        </w:tc>
        <w:tc>
          <w:tcPr>
            <w:tcW w:w="1710" w:type="dxa"/>
            <w:tcBorders>
              <w:top w:val="single" w:sz="4" w:space="0" w:color="auto"/>
              <w:left w:val="nil"/>
              <w:bottom w:val="nil"/>
              <w:right w:val="nil"/>
            </w:tcBorders>
            <w:hideMark/>
          </w:tcPr>
          <w:p w14:paraId="005DA1F9" w14:textId="77777777" w:rsidR="00B036B3" w:rsidRPr="00B036B3" w:rsidRDefault="00B036B3" w:rsidP="0008533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4,386,395</w:t>
            </w:r>
          </w:p>
        </w:tc>
        <w:tc>
          <w:tcPr>
            <w:tcW w:w="1705" w:type="dxa"/>
            <w:tcBorders>
              <w:top w:val="single" w:sz="4" w:space="0" w:color="auto"/>
              <w:left w:val="nil"/>
              <w:bottom w:val="nil"/>
              <w:right w:val="nil"/>
            </w:tcBorders>
            <w:hideMark/>
          </w:tcPr>
          <w:p w14:paraId="231B83B5" w14:textId="77777777" w:rsidR="00B036B3" w:rsidRPr="00B036B3" w:rsidRDefault="00B036B3" w:rsidP="0008533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2,522,487</w:t>
            </w:r>
          </w:p>
        </w:tc>
        <w:tc>
          <w:tcPr>
            <w:tcW w:w="1715" w:type="dxa"/>
            <w:tcBorders>
              <w:top w:val="single" w:sz="4" w:space="0" w:color="auto"/>
              <w:left w:val="nil"/>
              <w:bottom w:val="nil"/>
              <w:right w:val="nil"/>
            </w:tcBorders>
            <w:hideMark/>
          </w:tcPr>
          <w:p w14:paraId="71987DB6" w14:textId="77777777" w:rsidR="00B036B3" w:rsidRPr="00B036B3" w:rsidRDefault="00B036B3" w:rsidP="0008533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4,449,088</w:t>
            </w:r>
          </w:p>
        </w:tc>
      </w:tr>
      <w:tr w:rsidR="00B036B3" w:rsidRPr="00B036B3" w14:paraId="44430A98" w14:textId="77777777" w:rsidTr="00B036B3">
        <w:tc>
          <w:tcPr>
            <w:tcW w:w="1170" w:type="dxa"/>
            <w:tcBorders>
              <w:top w:val="nil"/>
              <w:left w:val="nil"/>
              <w:bottom w:val="nil"/>
              <w:right w:val="nil"/>
            </w:tcBorders>
            <w:hideMark/>
          </w:tcPr>
          <w:p w14:paraId="779DF716" w14:textId="77777777" w:rsidR="00B036B3" w:rsidRPr="00B036B3" w:rsidRDefault="00B036B3" w:rsidP="0008533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T. Equity</w:t>
            </w:r>
          </w:p>
        </w:tc>
        <w:tc>
          <w:tcPr>
            <w:tcW w:w="1800" w:type="dxa"/>
            <w:tcBorders>
              <w:top w:val="nil"/>
              <w:left w:val="nil"/>
              <w:bottom w:val="nil"/>
              <w:right w:val="nil"/>
            </w:tcBorders>
            <w:hideMark/>
          </w:tcPr>
          <w:p w14:paraId="021D063A" w14:textId="77777777" w:rsidR="00B036B3" w:rsidRPr="00B036B3" w:rsidRDefault="00B036B3" w:rsidP="0008533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14,753,223</w:t>
            </w:r>
          </w:p>
        </w:tc>
        <w:tc>
          <w:tcPr>
            <w:tcW w:w="1710" w:type="dxa"/>
            <w:tcBorders>
              <w:top w:val="nil"/>
              <w:left w:val="nil"/>
              <w:bottom w:val="nil"/>
              <w:right w:val="nil"/>
            </w:tcBorders>
            <w:hideMark/>
          </w:tcPr>
          <w:p w14:paraId="2E849399" w14:textId="77777777" w:rsidR="00B036B3" w:rsidRPr="00B036B3" w:rsidRDefault="00B036B3" w:rsidP="0008533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17,896,866</w:t>
            </w:r>
          </w:p>
        </w:tc>
        <w:tc>
          <w:tcPr>
            <w:tcW w:w="1710" w:type="dxa"/>
            <w:tcBorders>
              <w:top w:val="nil"/>
              <w:left w:val="nil"/>
              <w:bottom w:val="nil"/>
              <w:right w:val="nil"/>
            </w:tcBorders>
            <w:hideMark/>
          </w:tcPr>
          <w:p w14:paraId="2F1F14B9" w14:textId="77777777" w:rsidR="00B036B3" w:rsidRPr="00B036B3" w:rsidRDefault="00B036B3" w:rsidP="0008533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22,283,261</w:t>
            </w:r>
          </w:p>
        </w:tc>
        <w:tc>
          <w:tcPr>
            <w:tcW w:w="1705" w:type="dxa"/>
            <w:tcBorders>
              <w:top w:val="nil"/>
              <w:left w:val="nil"/>
              <w:bottom w:val="nil"/>
              <w:right w:val="nil"/>
            </w:tcBorders>
            <w:hideMark/>
          </w:tcPr>
          <w:p w14:paraId="566ADA44" w14:textId="77777777" w:rsidR="00B036B3" w:rsidRPr="00B036B3" w:rsidRDefault="00B036B3" w:rsidP="0008533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24,805,748</w:t>
            </w:r>
          </w:p>
        </w:tc>
        <w:tc>
          <w:tcPr>
            <w:tcW w:w="1715" w:type="dxa"/>
            <w:tcBorders>
              <w:top w:val="nil"/>
              <w:left w:val="nil"/>
              <w:bottom w:val="nil"/>
              <w:right w:val="nil"/>
            </w:tcBorders>
            <w:hideMark/>
          </w:tcPr>
          <w:p w14:paraId="5C445378" w14:textId="77777777" w:rsidR="00B036B3" w:rsidRPr="00B036B3" w:rsidRDefault="00B036B3" w:rsidP="0008533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29,254,835</w:t>
            </w:r>
          </w:p>
        </w:tc>
      </w:tr>
      <w:tr w:rsidR="00B036B3" w:rsidRPr="00B036B3" w14:paraId="0867CE22" w14:textId="77777777" w:rsidTr="00B036B3">
        <w:tc>
          <w:tcPr>
            <w:tcW w:w="1170" w:type="dxa"/>
            <w:tcBorders>
              <w:top w:val="nil"/>
              <w:left w:val="nil"/>
              <w:bottom w:val="single" w:sz="4" w:space="0" w:color="auto"/>
              <w:right w:val="nil"/>
            </w:tcBorders>
            <w:hideMark/>
          </w:tcPr>
          <w:p w14:paraId="5AFA478D" w14:textId="77777777" w:rsidR="00B036B3" w:rsidRPr="00B036B3" w:rsidRDefault="00B036B3" w:rsidP="0008533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ROE</w:t>
            </w:r>
          </w:p>
        </w:tc>
        <w:tc>
          <w:tcPr>
            <w:tcW w:w="1800" w:type="dxa"/>
            <w:tcBorders>
              <w:top w:val="nil"/>
              <w:left w:val="nil"/>
              <w:bottom w:val="single" w:sz="4" w:space="0" w:color="auto"/>
              <w:right w:val="nil"/>
            </w:tcBorders>
            <w:vAlign w:val="bottom"/>
            <w:hideMark/>
          </w:tcPr>
          <w:p w14:paraId="4E97E05C" w14:textId="77777777" w:rsidR="00B036B3" w:rsidRPr="00B036B3" w:rsidRDefault="00B036B3" w:rsidP="0008533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11.09</w:t>
            </w:r>
          </w:p>
        </w:tc>
        <w:tc>
          <w:tcPr>
            <w:tcW w:w="1710" w:type="dxa"/>
            <w:tcBorders>
              <w:top w:val="nil"/>
              <w:left w:val="nil"/>
              <w:bottom w:val="single" w:sz="4" w:space="0" w:color="auto"/>
              <w:right w:val="nil"/>
            </w:tcBorders>
            <w:vAlign w:val="bottom"/>
            <w:hideMark/>
          </w:tcPr>
          <w:p w14:paraId="33871818" w14:textId="77777777" w:rsidR="00B036B3" w:rsidRPr="00B036B3" w:rsidRDefault="00B036B3" w:rsidP="0008533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17.57</w:t>
            </w:r>
          </w:p>
        </w:tc>
        <w:tc>
          <w:tcPr>
            <w:tcW w:w="1710" w:type="dxa"/>
            <w:tcBorders>
              <w:top w:val="nil"/>
              <w:left w:val="nil"/>
              <w:bottom w:val="single" w:sz="4" w:space="0" w:color="auto"/>
              <w:right w:val="nil"/>
            </w:tcBorders>
            <w:vAlign w:val="bottom"/>
            <w:hideMark/>
          </w:tcPr>
          <w:p w14:paraId="60B40F0F" w14:textId="77777777" w:rsidR="00B036B3" w:rsidRPr="00B036B3" w:rsidRDefault="00B036B3" w:rsidP="0008533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19.68</w:t>
            </w:r>
          </w:p>
        </w:tc>
        <w:tc>
          <w:tcPr>
            <w:tcW w:w="1705" w:type="dxa"/>
            <w:tcBorders>
              <w:top w:val="nil"/>
              <w:left w:val="nil"/>
              <w:bottom w:val="single" w:sz="4" w:space="0" w:color="auto"/>
              <w:right w:val="nil"/>
            </w:tcBorders>
            <w:vAlign w:val="bottom"/>
            <w:hideMark/>
          </w:tcPr>
          <w:p w14:paraId="76B29115" w14:textId="77777777" w:rsidR="00B036B3" w:rsidRPr="00B036B3" w:rsidRDefault="00B036B3" w:rsidP="0008533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10.17</w:t>
            </w:r>
          </w:p>
        </w:tc>
        <w:tc>
          <w:tcPr>
            <w:tcW w:w="1715" w:type="dxa"/>
            <w:tcBorders>
              <w:top w:val="nil"/>
              <w:left w:val="nil"/>
              <w:bottom w:val="single" w:sz="4" w:space="0" w:color="auto"/>
              <w:right w:val="nil"/>
            </w:tcBorders>
            <w:vAlign w:val="bottom"/>
            <w:hideMark/>
          </w:tcPr>
          <w:p w14:paraId="3B74BC47" w14:textId="77777777" w:rsidR="00B036B3" w:rsidRPr="00B036B3" w:rsidRDefault="00B036B3" w:rsidP="0008533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15.21</w:t>
            </w:r>
          </w:p>
        </w:tc>
      </w:tr>
    </w:tbl>
    <w:p w14:paraId="115B95C4"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b/>
          <w:sz w:val="24"/>
          <w:szCs w:val="24"/>
        </w:rPr>
        <w:lastRenderedPageBreak/>
        <w:t>Source:</w:t>
      </w:r>
      <w:r w:rsidRPr="00B036B3">
        <w:rPr>
          <w:rFonts w:asciiTheme="majorBidi" w:eastAsia="Times New Roman" w:hAnsiTheme="majorBidi" w:cstheme="majorBidi"/>
          <w:sz w:val="24"/>
          <w:szCs w:val="24"/>
        </w:rPr>
        <w:t xml:space="preserve"> Statement of financial position of GT Bank Plc (2019-2023)</w:t>
      </w:r>
    </w:p>
    <w:p w14:paraId="018D4883"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 xml:space="preserve">Table 4.7 presents the Return on Equity (ROE) of GT Bank Plc Headquarters from 2019 to 2023, showing the bank’s ability to generate profits relative to shareholders’ equity. The ROE fluctuated over the five-year period, reflecting changes in profitability and capital structure. In 2019, the ROE stood at 11.09%, meaning that for every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100 of equity, the bank generated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11.09 in net income. This moderate return indicates a stable but not highly aggressive profit generation strategy. In 2020, the ROE increased significantly to 17.57%, supported by a sharp rise in Net Income from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1,635,554,000 to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3,143,643,000, despite an increase in Total Equity to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17,896,866,000. The growth suggests improved financial performance, potentially due to better asset utilization and risk management strategies.</w:t>
      </w:r>
    </w:p>
    <w:p w14:paraId="242387EF"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 xml:space="preserve">In 2021, the ROE reached its highest level at 19.68%, indicating that the bank maximized returns from its capital base. The Net Income increased to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4,386,395,000, showing strong profitability. However, in 2022, the ROE dropped to 10.17%, signaling a decline in profitability. Although Total Equity increased to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24,805,748,000, the Net Income declined to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2,522,487,000, suggesting that higher costs, increased provisions, or external economic factors impacted returns.</w:t>
      </w:r>
    </w:p>
    <w:p w14:paraId="0222941A"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 xml:space="preserve">In 2023, the ROE recovered to 15.21%, driven by a rise in Net Income to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4,449,088,000, reflecting improved financial stability. This trend aligns with findings by Mwangi (2021), who highlighted that banks with effective capital utilization and risk-adjusted financial management tend to maintain strong ROE despite market fluctuations. The overall trend indicates that while GT Bank Plc faced profitability challenges in some years, strategic adjustments helped restore financial performance in 2023.</w:t>
      </w:r>
    </w:p>
    <w:p w14:paraId="039851E0" w14:textId="59C9FAB3" w:rsidR="00B036B3" w:rsidRPr="00B036B3" w:rsidRDefault="00FA62D7" w:rsidP="006D3D71">
      <w:pPr>
        <w:shd w:val="clear" w:color="auto" w:fill="FFFFFF" w:themeFill="background1"/>
        <w:spacing w:after="240" w:line="360" w:lineRule="auto"/>
        <w:jc w:val="both"/>
        <w:rPr>
          <w:rFonts w:asciiTheme="majorBidi" w:eastAsia="Times New Roman" w:hAnsiTheme="majorBidi" w:cstheme="majorBidi"/>
          <w:b/>
          <w:bCs/>
          <w:sz w:val="24"/>
          <w:szCs w:val="24"/>
        </w:rPr>
      </w:pPr>
      <w:bookmarkStart w:id="1400" w:name="_Toc193282279"/>
      <w:bookmarkStart w:id="1401" w:name="_Toc193282445"/>
      <w:r>
        <w:rPr>
          <w:rFonts w:asciiTheme="majorBidi" w:eastAsia="Times New Roman" w:hAnsiTheme="majorBidi" w:cstheme="majorBidi"/>
          <w:b/>
          <w:bCs/>
          <w:sz w:val="24"/>
          <w:szCs w:val="24"/>
        </w:rPr>
        <w:t>4.4</w:t>
      </w:r>
      <w:r w:rsidR="00B036B3" w:rsidRPr="00B036B3">
        <w:rPr>
          <w:rFonts w:asciiTheme="majorBidi" w:eastAsia="Times New Roman" w:hAnsiTheme="majorBidi" w:cstheme="majorBidi"/>
          <w:b/>
          <w:bCs/>
          <w:sz w:val="24"/>
          <w:szCs w:val="24"/>
        </w:rPr>
        <w:t>.3. Return on assets</w:t>
      </w:r>
      <w:bookmarkEnd w:id="1400"/>
      <w:bookmarkEnd w:id="1401"/>
      <w:r w:rsidR="00B036B3" w:rsidRPr="00B036B3">
        <w:rPr>
          <w:rFonts w:asciiTheme="majorBidi" w:eastAsia="Times New Roman" w:hAnsiTheme="majorBidi" w:cstheme="majorBidi"/>
          <w:b/>
          <w:bCs/>
          <w:sz w:val="24"/>
          <w:szCs w:val="24"/>
        </w:rPr>
        <w:t xml:space="preserve"> </w:t>
      </w:r>
    </w:p>
    <w:p w14:paraId="05899E7D"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The study includes return on assets (ROA) to measure how efficiently GT Bank Plc utilizes its assets to generate profits. A strong ROA indicates sound financial management and operational efficiency, while a declining ROA may signal potential financial risks. This measure helps in understanding the broader financial impact of risk management strategies.</w:t>
      </w:r>
    </w:p>
    <w:p w14:paraId="0B91D24C" w14:textId="18D83B39" w:rsidR="00B036B3" w:rsidRPr="00B036B3" w:rsidRDefault="00FA62D7" w:rsidP="006D3D71">
      <w:pPr>
        <w:shd w:val="clear" w:color="auto" w:fill="FFFFFF" w:themeFill="background1"/>
        <w:spacing w:after="240" w:line="360" w:lineRule="auto"/>
        <w:jc w:val="both"/>
        <w:rPr>
          <w:rFonts w:asciiTheme="majorBidi" w:eastAsia="Times New Roman" w:hAnsiTheme="majorBidi" w:cstheme="majorBidi"/>
          <w:b/>
          <w:bCs/>
          <w:sz w:val="24"/>
          <w:szCs w:val="24"/>
        </w:rPr>
      </w:pPr>
      <w:bookmarkStart w:id="1402" w:name="_Toc193281956"/>
      <w:bookmarkStart w:id="1403" w:name="_Toc193282280"/>
      <w:bookmarkStart w:id="1404" w:name="_Toc193282446"/>
      <w:r>
        <w:rPr>
          <w:rFonts w:asciiTheme="majorBidi" w:eastAsia="Times New Roman" w:hAnsiTheme="majorBidi" w:cstheme="majorBidi"/>
          <w:b/>
          <w:bCs/>
          <w:sz w:val="24"/>
          <w:szCs w:val="24"/>
        </w:rPr>
        <w:t>Table 4.22</w:t>
      </w:r>
      <w:r w:rsidR="00B036B3" w:rsidRPr="00B036B3">
        <w:rPr>
          <w:rFonts w:asciiTheme="majorBidi" w:eastAsia="Times New Roman" w:hAnsiTheme="majorBidi" w:cstheme="majorBidi"/>
          <w:b/>
          <w:bCs/>
          <w:sz w:val="24"/>
          <w:szCs w:val="24"/>
        </w:rPr>
        <w:t>: Return on assets</w:t>
      </w:r>
      <w:bookmarkEnd w:id="1402"/>
      <w:bookmarkEnd w:id="1403"/>
      <w:bookmarkEnd w:id="1404"/>
    </w:p>
    <w:tbl>
      <w:tblPr>
        <w:tblW w:w="981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170"/>
        <w:gridCol w:w="1800"/>
        <w:gridCol w:w="1710"/>
        <w:gridCol w:w="1710"/>
        <w:gridCol w:w="1705"/>
        <w:gridCol w:w="1715"/>
      </w:tblGrid>
      <w:tr w:rsidR="00B036B3" w:rsidRPr="00B036B3" w14:paraId="273A58B1" w14:textId="77777777" w:rsidTr="00B036B3">
        <w:tc>
          <w:tcPr>
            <w:tcW w:w="1170" w:type="dxa"/>
            <w:tcBorders>
              <w:top w:val="single" w:sz="4" w:space="0" w:color="auto"/>
              <w:left w:val="nil"/>
              <w:bottom w:val="single" w:sz="4" w:space="0" w:color="auto"/>
              <w:right w:val="nil"/>
            </w:tcBorders>
          </w:tcPr>
          <w:p w14:paraId="743D529D" w14:textId="77777777" w:rsidR="00B036B3" w:rsidRPr="00B036B3" w:rsidRDefault="00B036B3" w:rsidP="00FA62D7">
            <w:pPr>
              <w:shd w:val="clear" w:color="auto" w:fill="FFFFFF" w:themeFill="background1"/>
              <w:spacing w:after="240" w:line="240" w:lineRule="auto"/>
              <w:jc w:val="both"/>
              <w:rPr>
                <w:rFonts w:asciiTheme="majorBidi" w:eastAsia="Times New Roman" w:hAnsiTheme="majorBidi" w:cstheme="majorBidi"/>
                <w:sz w:val="24"/>
                <w:szCs w:val="24"/>
              </w:rPr>
            </w:pPr>
          </w:p>
        </w:tc>
        <w:tc>
          <w:tcPr>
            <w:tcW w:w="1800" w:type="dxa"/>
            <w:tcBorders>
              <w:top w:val="single" w:sz="4" w:space="0" w:color="auto"/>
              <w:left w:val="nil"/>
              <w:bottom w:val="single" w:sz="4" w:space="0" w:color="auto"/>
              <w:right w:val="nil"/>
            </w:tcBorders>
            <w:hideMark/>
          </w:tcPr>
          <w:p w14:paraId="6F9737A3" w14:textId="77777777" w:rsidR="00B036B3" w:rsidRPr="00B036B3" w:rsidRDefault="00B036B3" w:rsidP="00FA62D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2019(Frw’000)</w:t>
            </w:r>
          </w:p>
        </w:tc>
        <w:tc>
          <w:tcPr>
            <w:tcW w:w="1710" w:type="dxa"/>
            <w:tcBorders>
              <w:top w:val="single" w:sz="4" w:space="0" w:color="auto"/>
              <w:left w:val="nil"/>
              <w:bottom w:val="single" w:sz="4" w:space="0" w:color="auto"/>
              <w:right w:val="nil"/>
            </w:tcBorders>
            <w:hideMark/>
          </w:tcPr>
          <w:p w14:paraId="173E6306" w14:textId="77777777" w:rsidR="00B036B3" w:rsidRPr="00B036B3" w:rsidRDefault="00B036B3" w:rsidP="00FA62D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2020(Frw’000)</w:t>
            </w:r>
          </w:p>
        </w:tc>
        <w:tc>
          <w:tcPr>
            <w:tcW w:w="1710" w:type="dxa"/>
            <w:tcBorders>
              <w:top w:val="single" w:sz="4" w:space="0" w:color="auto"/>
              <w:left w:val="nil"/>
              <w:bottom w:val="single" w:sz="4" w:space="0" w:color="auto"/>
              <w:right w:val="nil"/>
            </w:tcBorders>
            <w:hideMark/>
          </w:tcPr>
          <w:p w14:paraId="4F69ABEE" w14:textId="77777777" w:rsidR="00B036B3" w:rsidRPr="00B036B3" w:rsidRDefault="00B036B3" w:rsidP="00FA62D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2021(Frw’000)</w:t>
            </w:r>
          </w:p>
        </w:tc>
        <w:tc>
          <w:tcPr>
            <w:tcW w:w="1705" w:type="dxa"/>
            <w:tcBorders>
              <w:top w:val="single" w:sz="4" w:space="0" w:color="auto"/>
              <w:left w:val="nil"/>
              <w:bottom w:val="single" w:sz="4" w:space="0" w:color="auto"/>
              <w:right w:val="nil"/>
            </w:tcBorders>
            <w:hideMark/>
          </w:tcPr>
          <w:p w14:paraId="23F59FA1" w14:textId="77777777" w:rsidR="00B036B3" w:rsidRPr="00B036B3" w:rsidRDefault="00B036B3" w:rsidP="00FA62D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2022(Frw’000)</w:t>
            </w:r>
          </w:p>
        </w:tc>
        <w:tc>
          <w:tcPr>
            <w:tcW w:w="1715" w:type="dxa"/>
            <w:tcBorders>
              <w:top w:val="single" w:sz="4" w:space="0" w:color="auto"/>
              <w:left w:val="nil"/>
              <w:bottom w:val="single" w:sz="4" w:space="0" w:color="auto"/>
              <w:right w:val="nil"/>
            </w:tcBorders>
            <w:hideMark/>
          </w:tcPr>
          <w:p w14:paraId="20F9B8FC" w14:textId="77777777" w:rsidR="00B036B3" w:rsidRPr="00B036B3" w:rsidRDefault="00B036B3" w:rsidP="00FA62D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2023(Frw’000)</w:t>
            </w:r>
          </w:p>
        </w:tc>
      </w:tr>
      <w:tr w:rsidR="00B036B3" w:rsidRPr="00B036B3" w14:paraId="5C01A5FA" w14:textId="77777777" w:rsidTr="00B036B3">
        <w:tc>
          <w:tcPr>
            <w:tcW w:w="1170" w:type="dxa"/>
            <w:tcBorders>
              <w:top w:val="single" w:sz="4" w:space="0" w:color="auto"/>
              <w:left w:val="nil"/>
              <w:bottom w:val="nil"/>
              <w:right w:val="nil"/>
            </w:tcBorders>
            <w:hideMark/>
          </w:tcPr>
          <w:p w14:paraId="04693A2C" w14:textId="77777777" w:rsidR="00B036B3" w:rsidRPr="00B036B3" w:rsidRDefault="00B036B3" w:rsidP="00FA62D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Net income</w:t>
            </w:r>
          </w:p>
        </w:tc>
        <w:tc>
          <w:tcPr>
            <w:tcW w:w="1800" w:type="dxa"/>
            <w:tcBorders>
              <w:top w:val="single" w:sz="4" w:space="0" w:color="auto"/>
              <w:left w:val="nil"/>
              <w:bottom w:val="nil"/>
              <w:right w:val="nil"/>
            </w:tcBorders>
            <w:hideMark/>
          </w:tcPr>
          <w:p w14:paraId="53E9627B" w14:textId="77777777" w:rsidR="00B036B3" w:rsidRPr="00B036B3" w:rsidRDefault="00B036B3" w:rsidP="00FA62D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1,635,554</w:t>
            </w:r>
          </w:p>
        </w:tc>
        <w:tc>
          <w:tcPr>
            <w:tcW w:w="1710" w:type="dxa"/>
            <w:tcBorders>
              <w:top w:val="single" w:sz="4" w:space="0" w:color="auto"/>
              <w:left w:val="nil"/>
              <w:bottom w:val="nil"/>
              <w:right w:val="nil"/>
            </w:tcBorders>
            <w:hideMark/>
          </w:tcPr>
          <w:p w14:paraId="3B73E0E0" w14:textId="77777777" w:rsidR="00B036B3" w:rsidRPr="00B036B3" w:rsidRDefault="00B036B3" w:rsidP="00FA62D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3,143,643</w:t>
            </w:r>
          </w:p>
        </w:tc>
        <w:tc>
          <w:tcPr>
            <w:tcW w:w="1710" w:type="dxa"/>
            <w:tcBorders>
              <w:top w:val="single" w:sz="4" w:space="0" w:color="auto"/>
              <w:left w:val="nil"/>
              <w:bottom w:val="nil"/>
              <w:right w:val="nil"/>
            </w:tcBorders>
            <w:hideMark/>
          </w:tcPr>
          <w:p w14:paraId="6786C332" w14:textId="77777777" w:rsidR="00B036B3" w:rsidRPr="00B036B3" w:rsidRDefault="00B036B3" w:rsidP="00FA62D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4,386,395</w:t>
            </w:r>
          </w:p>
        </w:tc>
        <w:tc>
          <w:tcPr>
            <w:tcW w:w="1705" w:type="dxa"/>
            <w:tcBorders>
              <w:top w:val="single" w:sz="4" w:space="0" w:color="auto"/>
              <w:left w:val="nil"/>
              <w:bottom w:val="nil"/>
              <w:right w:val="nil"/>
            </w:tcBorders>
            <w:hideMark/>
          </w:tcPr>
          <w:p w14:paraId="37FB3C7E" w14:textId="77777777" w:rsidR="00B036B3" w:rsidRPr="00B036B3" w:rsidRDefault="00B036B3" w:rsidP="00FA62D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2,522,487</w:t>
            </w:r>
          </w:p>
        </w:tc>
        <w:tc>
          <w:tcPr>
            <w:tcW w:w="1715" w:type="dxa"/>
            <w:tcBorders>
              <w:top w:val="single" w:sz="4" w:space="0" w:color="auto"/>
              <w:left w:val="nil"/>
              <w:bottom w:val="nil"/>
              <w:right w:val="nil"/>
            </w:tcBorders>
            <w:hideMark/>
          </w:tcPr>
          <w:p w14:paraId="3C4C73C2" w14:textId="77777777" w:rsidR="00B036B3" w:rsidRPr="00B036B3" w:rsidRDefault="00B036B3" w:rsidP="00FA62D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4,449,088</w:t>
            </w:r>
          </w:p>
        </w:tc>
      </w:tr>
      <w:tr w:rsidR="00B036B3" w:rsidRPr="00B036B3" w14:paraId="5D03A5BD" w14:textId="77777777" w:rsidTr="00B036B3">
        <w:tc>
          <w:tcPr>
            <w:tcW w:w="1170" w:type="dxa"/>
            <w:tcBorders>
              <w:top w:val="nil"/>
              <w:left w:val="nil"/>
              <w:bottom w:val="nil"/>
              <w:right w:val="nil"/>
            </w:tcBorders>
            <w:hideMark/>
          </w:tcPr>
          <w:p w14:paraId="4649531E" w14:textId="77777777" w:rsidR="00B036B3" w:rsidRPr="00B036B3" w:rsidRDefault="00B036B3" w:rsidP="00FA62D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T. Assets</w:t>
            </w:r>
          </w:p>
        </w:tc>
        <w:tc>
          <w:tcPr>
            <w:tcW w:w="1800" w:type="dxa"/>
            <w:tcBorders>
              <w:top w:val="nil"/>
              <w:left w:val="nil"/>
              <w:bottom w:val="nil"/>
              <w:right w:val="nil"/>
            </w:tcBorders>
            <w:hideMark/>
          </w:tcPr>
          <w:p w14:paraId="060683F0" w14:textId="77777777" w:rsidR="00B036B3" w:rsidRPr="00B036B3" w:rsidRDefault="00B036B3" w:rsidP="00FA62D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93,983,785</w:t>
            </w:r>
          </w:p>
        </w:tc>
        <w:tc>
          <w:tcPr>
            <w:tcW w:w="1710" w:type="dxa"/>
            <w:tcBorders>
              <w:top w:val="nil"/>
              <w:left w:val="nil"/>
              <w:bottom w:val="nil"/>
              <w:right w:val="nil"/>
            </w:tcBorders>
            <w:hideMark/>
          </w:tcPr>
          <w:p w14:paraId="43004017" w14:textId="77777777" w:rsidR="00B036B3" w:rsidRPr="00B036B3" w:rsidRDefault="00B036B3" w:rsidP="00FA62D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114,126,610</w:t>
            </w:r>
          </w:p>
        </w:tc>
        <w:tc>
          <w:tcPr>
            <w:tcW w:w="1710" w:type="dxa"/>
            <w:tcBorders>
              <w:top w:val="nil"/>
              <w:left w:val="nil"/>
              <w:bottom w:val="nil"/>
              <w:right w:val="nil"/>
            </w:tcBorders>
            <w:hideMark/>
          </w:tcPr>
          <w:p w14:paraId="7BA78B24" w14:textId="77777777" w:rsidR="00B036B3" w:rsidRPr="00B036B3" w:rsidRDefault="00B036B3" w:rsidP="00FA62D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132,571,601</w:t>
            </w:r>
          </w:p>
        </w:tc>
        <w:tc>
          <w:tcPr>
            <w:tcW w:w="1705" w:type="dxa"/>
            <w:tcBorders>
              <w:top w:val="nil"/>
              <w:left w:val="nil"/>
              <w:bottom w:val="nil"/>
              <w:right w:val="nil"/>
            </w:tcBorders>
            <w:hideMark/>
          </w:tcPr>
          <w:p w14:paraId="6591EDA5" w14:textId="77777777" w:rsidR="00B036B3" w:rsidRPr="00B036B3" w:rsidRDefault="00B036B3" w:rsidP="00FA62D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127,776,768</w:t>
            </w:r>
          </w:p>
        </w:tc>
        <w:tc>
          <w:tcPr>
            <w:tcW w:w="1715" w:type="dxa"/>
            <w:tcBorders>
              <w:top w:val="nil"/>
              <w:left w:val="nil"/>
              <w:bottom w:val="nil"/>
              <w:right w:val="nil"/>
            </w:tcBorders>
            <w:hideMark/>
          </w:tcPr>
          <w:p w14:paraId="2A56BFAA" w14:textId="77777777" w:rsidR="00B036B3" w:rsidRPr="00B036B3" w:rsidRDefault="00B036B3" w:rsidP="00FA62D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153,225,602</w:t>
            </w:r>
          </w:p>
        </w:tc>
      </w:tr>
      <w:tr w:rsidR="00B036B3" w:rsidRPr="00B036B3" w14:paraId="75506341" w14:textId="77777777" w:rsidTr="00B036B3">
        <w:tc>
          <w:tcPr>
            <w:tcW w:w="1170" w:type="dxa"/>
            <w:tcBorders>
              <w:top w:val="nil"/>
              <w:left w:val="nil"/>
              <w:bottom w:val="single" w:sz="4" w:space="0" w:color="auto"/>
              <w:right w:val="nil"/>
            </w:tcBorders>
            <w:hideMark/>
          </w:tcPr>
          <w:p w14:paraId="6FFA1A59" w14:textId="77777777" w:rsidR="00B036B3" w:rsidRPr="00B036B3" w:rsidRDefault="00B036B3" w:rsidP="00FA62D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ROA</w:t>
            </w:r>
          </w:p>
        </w:tc>
        <w:tc>
          <w:tcPr>
            <w:tcW w:w="1800" w:type="dxa"/>
            <w:tcBorders>
              <w:top w:val="nil"/>
              <w:left w:val="nil"/>
              <w:bottom w:val="single" w:sz="4" w:space="0" w:color="auto"/>
              <w:right w:val="nil"/>
            </w:tcBorders>
            <w:vAlign w:val="bottom"/>
            <w:hideMark/>
          </w:tcPr>
          <w:p w14:paraId="68D1CE9A" w14:textId="77777777" w:rsidR="00B036B3" w:rsidRPr="00B036B3" w:rsidRDefault="00B036B3" w:rsidP="00FA62D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1.74</w:t>
            </w:r>
          </w:p>
        </w:tc>
        <w:tc>
          <w:tcPr>
            <w:tcW w:w="1710" w:type="dxa"/>
            <w:tcBorders>
              <w:top w:val="nil"/>
              <w:left w:val="nil"/>
              <w:bottom w:val="single" w:sz="4" w:space="0" w:color="auto"/>
              <w:right w:val="nil"/>
            </w:tcBorders>
            <w:vAlign w:val="bottom"/>
            <w:hideMark/>
          </w:tcPr>
          <w:p w14:paraId="53EFD6F7" w14:textId="77777777" w:rsidR="00B036B3" w:rsidRPr="00B036B3" w:rsidRDefault="00B036B3" w:rsidP="00FA62D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2.75</w:t>
            </w:r>
          </w:p>
        </w:tc>
        <w:tc>
          <w:tcPr>
            <w:tcW w:w="1710" w:type="dxa"/>
            <w:tcBorders>
              <w:top w:val="nil"/>
              <w:left w:val="nil"/>
              <w:bottom w:val="single" w:sz="4" w:space="0" w:color="auto"/>
              <w:right w:val="nil"/>
            </w:tcBorders>
            <w:vAlign w:val="bottom"/>
            <w:hideMark/>
          </w:tcPr>
          <w:p w14:paraId="3316A696" w14:textId="77777777" w:rsidR="00B036B3" w:rsidRPr="00B036B3" w:rsidRDefault="00B036B3" w:rsidP="00FA62D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3.31</w:t>
            </w:r>
          </w:p>
        </w:tc>
        <w:tc>
          <w:tcPr>
            <w:tcW w:w="1705" w:type="dxa"/>
            <w:tcBorders>
              <w:top w:val="nil"/>
              <w:left w:val="nil"/>
              <w:bottom w:val="single" w:sz="4" w:space="0" w:color="auto"/>
              <w:right w:val="nil"/>
            </w:tcBorders>
            <w:vAlign w:val="bottom"/>
            <w:hideMark/>
          </w:tcPr>
          <w:p w14:paraId="07018EB4" w14:textId="77777777" w:rsidR="00B036B3" w:rsidRPr="00B036B3" w:rsidRDefault="00B036B3" w:rsidP="00FA62D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1.97</w:t>
            </w:r>
          </w:p>
        </w:tc>
        <w:tc>
          <w:tcPr>
            <w:tcW w:w="1715" w:type="dxa"/>
            <w:tcBorders>
              <w:top w:val="nil"/>
              <w:left w:val="nil"/>
              <w:bottom w:val="single" w:sz="4" w:space="0" w:color="auto"/>
              <w:right w:val="nil"/>
            </w:tcBorders>
            <w:vAlign w:val="bottom"/>
            <w:hideMark/>
          </w:tcPr>
          <w:p w14:paraId="61CC4A6F" w14:textId="77777777" w:rsidR="00B036B3" w:rsidRPr="00B036B3" w:rsidRDefault="00B036B3" w:rsidP="00FA62D7">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2.90</w:t>
            </w:r>
          </w:p>
        </w:tc>
      </w:tr>
    </w:tbl>
    <w:p w14:paraId="27FCBA23"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b/>
          <w:sz w:val="24"/>
          <w:szCs w:val="24"/>
        </w:rPr>
        <w:t>Source:</w:t>
      </w:r>
      <w:r w:rsidRPr="00B036B3">
        <w:rPr>
          <w:rFonts w:asciiTheme="majorBidi" w:eastAsia="Times New Roman" w:hAnsiTheme="majorBidi" w:cstheme="majorBidi"/>
          <w:sz w:val="24"/>
          <w:szCs w:val="24"/>
        </w:rPr>
        <w:t xml:space="preserve"> Statement of financial position of GT Bank Plc (2019-2023)</w:t>
      </w:r>
    </w:p>
    <w:p w14:paraId="257D9E91" w14:textId="0EC5B87C" w:rsidR="00B036B3" w:rsidRPr="00B036B3" w:rsidRDefault="00FA62D7" w:rsidP="006D3D71">
      <w:pPr>
        <w:shd w:val="clear" w:color="auto" w:fill="FFFFFF" w:themeFill="background1"/>
        <w:spacing w:after="24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Table 4.22</w:t>
      </w:r>
      <w:r w:rsidR="00B036B3" w:rsidRPr="00B036B3">
        <w:rPr>
          <w:rFonts w:asciiTheme="majorBidi" w:eastAsia="Times New Roman" w:hAnsiTheme="majorBidi" w:cstheme="majorBidi"/>
          <w:sz w:val="24"/>
          <w:szCs w:val="24"/>
        </w:rPr>
        <w:t xml:space="preserve"> presents the Return on Assets (ROA) of GT Bank Plc Headquarters from 2019 to 2023, illustrating the bank’s efficiency in generating profit relative to its total assets. ROA is a key measure of financial performance, indicating how well the bank utilizes its assets to generate earnings. Higher ROA values signify strong asset utilization and effective financial management, while lower values indicate inefficiencies or increased financial risks. The results in this table provide insight into the relationship between risk management and financial performance. According to Brown (2021), financial institutions that implement robust risk management practices tend to exhibit higher asset efficiency and improved profitability.</w:t>
      </w:r>
    </w:p>
    <w:p w14:paraId="5F38EFF3"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 xml:space="preserve">In 2019, the ROA stood at 1.74%, meaning that GT Bank </w:t>
      </w:r>
      <w:proofErr w:type="spellStart"/>
      <w:r w:rsidRPr="00B036B3">
        <w:rPr>
          <w:rFonts w:asciiTheme="majorBidi" w:eastAsia="Times New Roman" w:hAnsiTheme="majorBidi" w:cstheme="majorBidi"/>
          <w:sz w:val="24"/>
          <w:szCs w:val="24"/>
        </w:rPr>
        <w:t>Plc</w:t>
      </w:r>
      <w:proofErr w:type="spellEnd"/>
      <w:r w:rsidRPr="00B036B3">
        <w:rPr>
          <w:rFonts w:asciiTheme="majorBidi" w:eastAsia="Times New Roman" w:hAnsiTheme="majorBidi" w:cstheme="majorBidi"/>
          <w:sz w:val="24"/>
          <w:szCs w:val="24"/>
        </w:rPr>
        <w:t xml:space="preserve"> generated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1.74 in net income for every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100 of total assets. This figure suggests moderate profitability and a stable financial position. However, the relatively low ROA implies that the bank had room to optimize its asset utilization. A similar trend was noted in Brown’s (2021) study, which found that banks with lower ROA tend to have higher operational costs or risk exposure, reducing overall profitability.</w:t>
      </w:r>
    </w:p>
    <w:p w14:paraId="265A1DDD"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 xml:space="preserve">In 2020, the ROA increased to 2.75%, reflecting improved financial performance. This rise corresponds to a significant increase in net income from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1,635,554,000 to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3,143,643,000, despite a simultaneous increase in total assets to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114,126,610,000. The improved ROA suggests that GT Bank Plc effectively mitigated financial risks and enhanced operational efficiency, contributing to better asset returns. Brown (2021) highlighted that banks implementing risk control measures, such as improved credit assessments and cost management, often see improvements in ROA.</w:t>
      </w:r>
    </w:p>
    <w:p w14:paraId="6A385FEE"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 xml:space="preserve">The peak ROA of 3.31% in 2021 indicates the highest level of asset efficiency and profitability within the study period. This increase was driven by a rise in net income to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4,386,395,000, demonstrating that GT Bank Plc successfully leveraged its assets to generate </w:t>
      </w:r>
      <w:r w:rsidRPr="00B036B3">
        <w:rPr>
          <w:rFonts w:asciiTheme="majorBidi" w:eastAsia="Times New Roman" w:hAnsiTheme="majorBidi" w:cstheme="majorBidi"/>
          <w:sz w:val="24"/>
          <w:szCs w:val="24"/>
        </w:rPr>
        <w:lastRenderedPageBreak/>
        <w:t>higher returns. The findings align with Brown (2021), who stated that banks adopting strong risk-adjusted financial strategies tend to maximize asset utilization and profitability.</w:t>
      </w:r>
    </w:p>
    <w:p w14:paraId="0FC51397"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 xml:space="preserve">However, in 2022, the ROA declined to 1.97%, mainly due to a drop in net income to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2,522,487,000, despite a slight reduction in total assets. This decline suggests that financial risks, such as an increase in non-performing loans or higher operational expenses, negatively impacted profitability. Similar findings were observed in Brown’s (2021) study, where banks experiencing economic disruptions or poor risk management recorded declining ROA due to inefficient asset utilization and increased financial liabilities.</w:t>
      </w:r>
    </w:p>
    <w:p w14:paraId="168D5170"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 xml:space="preserve">In 2023, the ROA rebounded to 2.90%, reflecting a recovery in financial performance. The increase in net income to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4,449,088,000, along with a rise in total assets to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153,225,602,000, suggests that GT Bank Plc implemented effective risk management strategies to restore profitability. This result aligns with Brown (2021), who emphasized that financial institutions adopting proactive risk mitigation techniques tend to recover from financial setbacks more efficiently. The study’s findings reinforce the critical role of risk management in sustaining financial performance, ensuring asset efficiency, and maintaining long-term profitability.</w:t>
      </w:r>
    </w:p>
    <w:p w14:paraId="4679F766" w14:textId="6480E599" w:rsidR="00B036B3" w:rsidRPr="00B036B3" w:rsidRDefault="00FA62D7" w:rsidP="006D3D71">
      <w:pPr>
        <w:shd w:val="clear" w:color="auto" w:fill="FFFFFF" w:themeFill="background1"/>
        <w:spacing w:after="240" w:line="360" w:lineRule="auto"/>
        <w:jc w:val="both"/>
        <w:rPr>
          <w:rFonts w:asciiTheme="majorBidi" w:eastAsia="Times New Roman" w:hAnsiTheme="majorBidi" w:cstheme="majorBidi"/>
          <w:b/>
          <w:bCs/>
          <w:sz w:val="24"/>
          <w:szCs w:val="24"/>
        </w:rPr>
      </w:pPr>
      <w:bookmarkStart w:id="1405" w:name="_Toc193282281"/>
      <w:bookmarkStart w:id="1406" w:name="_Toc193282447"/>
      <w:r>
        <w:rPr>
          <w:rFonts w:asciiTheme="majorBidi" w:eastAsia="Times New Roman" w:hAnsiTheme="majorBidi" w:cstheme="majorBidi"/>
          <w:b/>
          <w:bCs/>
          <w:sz w:val="24"/>
          <w:szCs w:val="24"/>
        </w:rPr>
        <w:t>4.4</w:t>
      </w:r>
      <w:r w:rsidR="00B036B3" w:rsidRPr="00B036B3">
        <w:rPr>
          <w:rFonts w:asciiTheme="majorBidi" w:eastAsia="Times New Roman" w:hAnsiTheme="majorBidi" w:cstheme="majorBidi"/>
          <w:b/>
          <w:bCs/>
          <w:sz w:val="24"/>
          <w:szCs w:val="24"/>
        </w:rPr>
        <w:t>.4. Cash ratio</w:t>
      </w:r>
      <w:bookmarkEnd w:id="1405"/>
      <w:bookmarkEnd w:id="1406"/>
      <w:r w:rsidR="00B036B3" w:rsidRPr="00B036B3">
        <w:rPr>
          <w:rFonts w:asciiTheme="majorBidi" w:eastAsia="Times New Roman" w:hAnsiTheme="majorBidi" w:cstheme="majorBidi"/>
          <w:b/>
          <w:bCs/>
          <w:sz w:val="24"/>
          <w:szCs w:val="24"/>
        </w:rPr>
        <w:t xml:space="preserve"> </w:t>
      </w:r>
    </w:p>
    <w:p w14:paraId="0CF91FF3" w14:textId="6CC5CDB5"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The cash ratio is analyzed in this study to assess GT Bank Plc’s liquidity position and its ability to meet short-term financial obligations. A strong cash ratio indicates financial resilience, whereas a lower ratio may suggest liquidity challenges. Evaluating this metric helps determine whether risk management strategies co</w:t>
      </w:r>
      <w:r w:rsidR="00066A3D">
        <w:rPr>
          <w:rFonts w:asciiTheme="majorBidi" w:eastAsia="Times New Roman" w:hAnsiTheme="majorBidi" w:cstheme="majorBidi"/>
          <w:sz w:val="24"/>
          <w:szCs w:val="24"/>
        </w:rPr>
        <w:t>ntribute to financial stability</w:t>
      </w:r>
    </w:p>
    <w:p w14:paraId="4C4B6818" w14:textId="2061384D" w:rsidR="00B036B3" w:rsidRPr="00B036B3" w:rsidRDefault="005447AE" w:rsidP="006D3D71">
      <w:pPr>
        <w:shd w:val="clear" w:color="auto" w:fill="FFFFFF" w:themeFill="background1"/>
        <w:spacing w:after="240" w:line="360" w:lineRule="auto"/>
        <w:jc w:val="both"/>
        <w:rPr>
          <w:rFonts w:asciiTheme="majorBidi" w:eastAsia="Times New Roman" w:hAnsiTheme="majorBidi" w:cstheme="majorBidi"/>
          <w:b/>
          <w:bCs/>
          <w:sz w:val="24"/>
          <w:szCs w:val="24"/>
        </w:rPr>
      </w:pPr>
      <w:bookmarkStart w:id="1407" w:name="_Toc193281958"/>
      <w:bookmarkStart w:id="1408" w:name="_Toc193282282"/>
      <w:bookmarkStart w:id="1409" w:name="_Toc193282448"/>
      <w:r>
        <w:rPr>
          <w:rFonts w:asciiTheme="majorBidi" w:eastAsia="Times New Roman" w:hAnsiTheme="majorBidi" w:cstheme="majorBidi"/>
          <w:b/>
          <w:bCs/>
          <w:sz w:val="24"/>
          <w:szCs w:val="24"/>
        </w:rPr>
        <w:t>Table 4.23</w:t>
      </w:r>
      <w:r w:rsidR="00B036B3" w:rsidRPr="00B036B3">
        <w:rPr>
          <w:rFonts w:asciiTheme="majorBidi" w:eastAsia="Times New Roman" w:hAnsiTheme="majorBidi" w:cstheme="majorBidi"/>
          <w:b/>
          <w:bCs/>
          <w:sz w:val="24"/>
          <w:szCs w:val="24"/>
        </w:rPr>
        <w:t>: Cash ratio</w:t>
      </w:r>
      <w:bookmarkEnd w:id="1407"/>
      <w:bookmarkEnd w:id="1408"/>
      <w:bookmarkEnd w:id="1409"/>
    </w:p>
    <w:tbl>
      <w:tblPr>
        <w:tblW w:w="981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170"/>
        <w:gridCol w:w="1800"/>
        <w:gridCol w:w="1710"/>
        <w:gridCol w:w="1710"/>
        <w:gridCol w:w="1705"/>
        <w:gridCol w:w="1715"/>
      </w:tblGrid>
      <w:tr w:rsidR="00B036B3" w:rsidRPr="00B036B3" w14:paraId="647ADEB3" w14:textId="77777777" w:rsidTr="00B036B3">
        <w:tc>
          <w:tcPr>
            <w:tcW w:w="1170" w:type="dxa"/>
            <w:tcBorders>
              <w:top w:val="single" w:sz="4" w:space="0" w:color="auto"/>
              <w:left w:val="nil"/>
              <w:bottom w:val="single" w:sz="4" w:space="0" w:color="auto"/>
              <w:right w:val="nil"/>
            </w:tcBorders>
          </w:tcPr>
          <w:p w14:paraId="03E5511D" w14:textId="77777777" w:rsidR="00B036B3" w:rsidRPr="00B036B3" w:rsidRDefault="00B036B3" w:rsidP="005447AE">
            <w:pPr>
              <w:shd w:val="clear" w:color="auto" w:fill="FFFFFF" w:themeFill="background1"/>
              <w:spacing w:after="240" w:line="240" w:lineRule="auto"/>
              <w:jc w:val="both"/>
              <w:rPr>
                <w:rFonts w:asciiTheme="majorBidi" w:eastAsia="Times New Roman" w:hAnsiTheme="majorBidi" w:cstheme="majorBidi"/>
                <w:sz w:val="24"/>
                <w:szCs w:val="24"/>
              </w:rPr>
            </w:pPr>
          </w:p>
        </w:tc>
        <w:tc>
          <w:tcPr>
            <w:tcW w:w="1800" w:type="dxa"/>
            <w:tcBorders>
              <w:top w:val="single" w:sz="4" w:space="0" w:color="auto"/>
              <w:left w:val="nil"/>
              <w:bottom w:val="single" w:sz="4" w:space="0" w:color="auto"/>
              <w:right w:val="nil"/>
            </w:tcBorders>
            <w:hideMark/>
          </w:tcPr>
          <w:p w14:paraId="0F658AB2" w14:textId="77777777" w:rsidR="00B036B3" w:rsidRPr="00B036B3" w:rsidRDefault="00B036B3" w:rsidP="005447A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2019(Frw’000)</w:t>
            </w:r>
          </w:p>
        </w:tc>
        <w:tc>
          <w:tcPr>
            <w:tcW w:w="1710" w:type="dxa"/>
            <w:tcBorders>
              <w:top w:val="single" w:sz="4" w:space="0" w:color="auto"/>
              <w:left w:val="nil"/>
              <w:bottom w:val="single" w:sz="4" w:space="0" w:color="auto"/>
              <w:right w:val="nil"/>
            </w:tcBorders>
            <w:hideMark/>
          </w:tcPr>
          <w:p w14:paraId="45869B3E" w14:textId="77777777" w:rsidR="00B036B3" w:rsidRPr="00B036B3" w:rsidRDefault="00B036B3" w:rsidP="005447A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2020(Frw’000)</w:t>
            </w:r>
          </w:p>
        </w:tc>
        <w:tc>
          <w:tcPr>
            <w:tcW w:w="1710" w:type="dxa"/>
            <w:tcBorders>
              <w:top w:val="single" w:sz="4" w:space="0" w:color="auto"/>
              <w:left w:val="nil"/>
              <w:bottom w:val="single" w:sz="4" w:space="0" w:color="auto"/>
              <w:right w:val="nil"/>
            </w:tcBorders>
            <w:hideMark/>
          </w:tcPr>
          <w:p w14:paraId="57FE656D" w14:textId="77777777" w:rsidR="00B036B3" w:rsidRPr="00B036B3" w:rsidRDefault="00B036B3" w:rsidP="005447A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2021(Frw’000)</w:t>
            </w:r>
          </w:p>
        </w:tc>
        <w:tc>
          <w:tcPr>
            <w:tcW w:w="1705" w:type="dxa"/>
            <w:tcBorders>
              <w:top w:val="single" w:sz="4" w:space="0" w:color="auto"/>
              <w:left w:val="nil"/>
              <w:bottom w:val="single" w:sz="4" w:space="0" w:color="auto"/>
              <w:right w:val="nil"/>
            </w:tcBorders>
            <w:hideMark/>
          </w:tcPr>
          <w:p w14:paraId="5585E083" w14:textId="77777777" w:rsidR="00B036B3" w:rsidRPr="00B036B3" w:rsidRDefault="00B036B3" w:rsidP="005447A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2022(Frw’000)</w:t>
            </w:r>
          </w:p>
        </w:tc>
        <w:tc>
          <w:tcPr>
            <w:tcW w:w="1715" w:type="dxa"/>
            <w:tcBorders>
              <w:top w:val="single" w:sz="4" w:space="0" w:color="auto"/>
              <w:left w:val="nil"/>
              <w:bottom w:val="single" w:sz="4" w:space="0" w:color="auto"/>
              <w:right w:val="nil"/>
            </w:tcBorders>
            <w:hideMark/>
          </w:tcPr>
          <w:p w14:paraId="0C02DA3C" w14:textId="77777777" w:rsidR="00B036B3" w:rsidRPr="00B036B3" w:rsidRDefault="00B036B3" w:rsidP="005447A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2023(Frw’000)</w:t>
            </w:r>
          </w:p>
        </w:tc>
      </w:tr>
      <w:tr w:rsidR="00B036B3" w:rsidRPr="00B036B3" w14:paraId="7A6B37D6" w14:textId="77777777" w:rsidTr="00B036B3">
        <w:tc>
          <w:tcPr>
            <w:tcW w:w="1170" w:type="dxa"/>
            <w:tcBorders>
              <w:top w:val="single" w:sz="4" w:space="0" w:color="auto"/>
              <w:left w:val="nil"/>
              <w:bottom w:val="nil"/>
              <w:right w:val="nil"/>
            </w:tcBorders>
            <w:hideMark/>
          </w:tcPr>
          <w:p w14:paraId="58BE6DFD" w14:textId="77777777" w:rsidR="00B036B3" w:rsidRPr="00B036B3" w:rsidRDefault="00B036B3" w:rsidP="005447A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Cash and cash equivalent</w:t>
            </w:r>
          </w:p>
        </w:tc>
        <w:tc>
          <w:tcPr>
            <w:tcW w:w="1800" w:type="dxa"/>
            <w:tcBorders>
              <w:top w:val="single" w:sz="4" w:space="0" w:color="auto"/>
              <w:left w:val="nil"/>
              <w:bottom w:val="nil"/>
              <w:right w:val="nil"/>
            </w:tcBorders>
            <w:hideMark/>
          </w:tcPr>
          <w:p w14:paraId="1C8E7182" w14:textId="77777777" w:rsidR="00B036B3" w:rsidRPr="00B036B3" w:rsidRDefault="00B036B3" w:rsidP="005447A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30,126,487</w:t>
            </w:r>
          </w:p>
        </w:tc>
        <w:tc>
          <w:tcPr>
            <w:tcW w:w="1710" w:type="dxa"/>
            <w:tcBorders>
              <w:top w:val="single" w:sz="4" w:space="0" w:color="auto"/>
              <w:left w:val="nil"/>
              <w:bottom w:val="nil"/>
              <w:right w:val="nil"/>
            </w:tcBorders>
            <w:hideMark/>
          </w:tcPr>
          <w:p w14:paraId="1FA53F9A" w14:textId="77777777" w:rsidR="00B036B3" w:rsidRPr="00B036B3" w:rsidRDefault="00B036B3" w:rsidP="005447A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30,698,104</w:t>
            </w:r>
          </w:p>
        </w:tc>
        <w:tc>
          <w:tcPr>
            <w:tcW w:w="1710" w:type="dxa"/>
            <w:tcBorders>
              <w:top w:val="single" w:sz="4" w:space="0" w:color="auto"/>
              <w:left w:val="nil"/>
              <w:bottom w:val="nil"/>
              <w:right w:val="nil"/>
            </w:tcBorders>
            <w:hideMark/>
          </w:tcPr>
          <w:p w14:paraId="2185B357" w14:textId="77777777" w:rsidR="00B036B3" w:rsidRPr="00B036B3" w:rsidRDefault="00B036B3" w:rsidP="005447A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46,632,139</w:t>
            </w:r>
          </w:p>
        </w:tc>
        <w:tc>
          <w:tcPr>
            <w:tcW w:w="1705" w:type="dxa"/>
            <w:tcBorders>
              <w:top w:val="single" w:sz="4" w:space="0" w:color="auto"/>
              <w:left w:val="nil"/>
              <w:bottom w:val="nil"/>
              <w:right w:val="nil"/>
            </w:tcBorders>
            <w:hideMark/>
          </w:tcPr>
          <w:p w14:paraId="213DD385" w14:textId="77777777" w:rsidR="00B036B3" w:rsidRPr="00B036B3" w:rsidRDefault="00B036B3" w:rsidP="005447A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45,607,917</w:t>
            </w:r>
          </w:p>
        </w:tc>
        <w:tc>
          <w:tcPr>
            <w:tcW w:w="1715" w:type="dxa"/>
            <w:tcBorders>
              <w:top w:val="single" w:sz="4" w:space="0" w:color="auto"/>
              <w:left w:val="nil"/>
              <w:bottom w:val="nil"/>
              <w:right w:val="nil"/>
            </w:tcBorders>
            <w:hideMark/>
          </w:tcPr>
          <w:p w14:paraId="5BE850A9" w14:textId="77777777" w:rsidR="00B036B3" w:rsidRPr="00B036B3" w:rsidRDefault="00B036B3" w:rsidP="005447A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62,970,641</w:t>
            </w:r>
          </w:p>
        </w:tc>
      </w:tr>
      <w:tr w:rsidR="00B036B3" w:rsidRPr="00B036B3" w14:paraId="34F2C240" w14:textId="77777777" w:rsidTr="00B036B3">
        <w:tc>
          <w:tcPr>
            <w:tcW w:w="1170" w:type="dxa"/>
            <w:tcBorders>
              <w:top w:val="nil"/>
              <w:left w:val="nil"/>
              <w:bottom w:val="nil"/>
              <w:right w:val="nil"/>
            </w:tcBorders>
            <w:hideMark/>
          </w:tcPr>
          <w:p w14:paraId="7E4A01C7" w14:textId="77777777" w:rsidR="00B036B3" w:rsidRPr="00B036B3" w:rsidRDefault="00B036B3" w:rsidP="005447A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Current liabilities</w:t>
            </w:r>
          </w:p>
        </w:tc>
        <w:tc>
          <w:tcPr>
            <w:tcW w:w="1800" w:type="dxa"/>
            <w:tcBorders>
              <w:top w:val="nil"/>
              <w:left w:val="nil"/>
              <w:bottom w:val="nil"/>
              <w:right w:val="nil"/>
            </w:tcBorders>
            <w:hideMark/>
          </w:tcPr>
          <w:p w14:paraId="78332501" w14:textId="77777777" w:rsidR="00B036B3" w:rsidRPr="00B036B3" w:rsidRDefault="00B036B3" w:rsidP="005447A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73,521,369</w:t>
            </w:r>
          </w:p>
        </w:tc>
        <w:tc>
          <w:tcPr>
            <w:tcW w:w="1710" w:type="dxa"/>
            <w:tcBorders>
              <w:top w:val="nil"/>
              <w:left w:val="nil"/>
              <w:bottom w:val="nil"/>
              <w:right w:val="nil"/>
            </w:tcBorders>
            <w:hideMark/>
          </w:tcPr>
          <w:p w14:paraId="5D1F7EFD" w14:textId="77777777" w:rsidR="00B036B3" w:rsidRPr="00B036B3" w:rsidRDefault="00B036B3" w:rsidP="005447A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89,897,756</w:t>
            </w:r>
          </w:p>
        </w:tc>
        <w:tc>
          <w:tcPr>
            <w:tcW w:w="1710" w:type="dxa"/>
            <w:tcBorders>
              <w:top w:val="nil"/>
              <w:left w:val="nil"/>
              <w:bottom w:val="nil"/>
              <w:right w:val="nil"/>
            </w:tcBorders>
            <w:hideMark/>
          </w:tcPr>
          <w:p w14:paraId="1C5791D8" w14:textId="77777777" w:rsidR="00B036B3" w:rsidRPr="00B036B3" w:rsidRDefault="00B036B3" w:rsidP="005447A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10,3305,691</w:t>
            </w:r>
          </w:p>
        </w:tc>
        <w:tc>
          <w:tcPr>
            <w:tcW w:w="1705" w:type="dxa"/>
            <w:tcBorders>
              <w:top w:val="nil"/>
              <w:left w:val="nil"/>
              <w:bottom w:val="nil"/>
              <w:right w:val="nil"/>
            </w:tcBorders>
            <w:hideMark/>
          </w:tcPr>
          <w:p w14:paraId="6682CE74" w14:textId="77777777" w:rsidR="00B036B3" w:rsidRPr="00B036B3" w:rsidRDefault="00B036B3" w:rsidP="005447A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98,922,931</w:t>
            </w:r>
          </w:p>
        </w:tc>
        <w:tc>
          <w:tcPr>
            <w:tcW w:w="1715" w:type="dxa"/>
            <w:tcBorders>
              <w:top w:val="nil"/>
              <w:left w:val="nil"/>
              <w:bottom w:val="nil"/>
              <w:right w:val="nil"/>
            </w:tcBorders>
            <w:hideMark/>
          </w:tcPr>
          <w:p w14:paraId="433720D1" w14:textId="77777777" w:rsidR="00B036B3" w:rsidRPr="00B036B3" w:rsidRDefault="00B036B3" w:rsidP="005447A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120,671,070</w:t>
            </w:r>
          </w:p>
        </w:tc>
      </w:tr>
      <w:tr w:rsidR="00B036B3" w:rsidRPr="00B036B3" w14:paraId="27F8771F" w14:textId="77777777" w:rsidTr="00B036B3">
        <w:tc>
          <w:tcPr>
            <w:tcW w:w="1170" w:type="dxa"/>
            <w:tcBorders>
              <w:top w:val="nil"/>
              <w:left w:val="nil"/>
              <w:bottom w:val="single" w:sz="4" w:space="0" w:color="auto"/>
              <w:right w:val="nil"/>
            </w:tcBorders>
            <w:hideMark/>
          </w:tcPr>
          <w:p w14:paraId="6012E04C" w14:textId="77777777" w:rsidR="00B036B3" w:rsidRPr="00B036B3" w:rsidRDefault="00B036B3" w:rsidP="005447A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 xml:space="preserve">Cash </w:t>
            </w:r>
            <w:r w:rsidRPr="00B036B3">
              <w:rPr>
                <w:rFonts w:asciiTheme="majorBidi" w:eastAsia="Times New Roman" w:hAnsiTheme="majorBidi" w:cstheme="majorBidi"/>
                <w:sz w:val="24"/>
                <w:szCs w:val="24"/>
              </w:rPr>
              <w:lastRenderedPageBreak/>
              <w:t>ratio</w:t>
            </w:r>
          </w:p>
        </w:tc>
        <w:tc>
          <w:tcPr>
            <w:tcW w:w="1800" w:type="dxa"/>
            <w:tcBorders>
              <w:top w:val="nil"/>
              <w:left w:val="nil"/>
              <w:bottom w:val="single" w:sz="4" w:space="0" w:color="auto"/>
              <w:right w:val="nil"/>
            </w:tcBorders>
            <w:vAlign w:val="bottom"/>
            <w:hideMark/>
          </w:tcPr>
          <w:p w14:paraId="4F33B5A6" w14:textId="77777777" w:rsidR="00B036B3" w:rsidRPr="00B036B3" w:rsidRDefault="00B036B3" w:rsidP="005447A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lastRenderedPageBreak/>
              <w:t>40.98</w:t>
            </w:r>
          </w:p>
        </w:tc>
        <w:tc>
          <w:tcPr>
            <w:tcW w:w="1710" w:type="dxa"/>
            <w:tcBorders>
              <w:top w:val="nil"/>
              <w:left w:val="nil"/>
              <w:bottom w:val="single" w:sz="4" w:space="0" w:color="auto"/>
              <w:right w:val="nil"/>
            </w:tcBorders>
            <w:vAlign w:val="bottom"/>
            <w:hideMark/>
          </w:tcPr>
          <w:p w14:paraId="0DCC8CAE" w14:textId="77777777" w:rsidR="00B036B3" w:rsidRPr="00B036B3" w:rsidRDefault="00B036B3" w:rsidP="005447A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34.15</w:t>
            </w:r>
          </w:p>
        </w:tc>
        <w:tc>
          <w:tcPr>
            <w:tcW w:w="1710" w:type="dxa"/>
            <w:tcBorders>
              <w:top w:val="nil"/>
              <w:left w:val="nil"/>
              <w:bottom w:val="single" w:sz="4" w:space="0" w:color="auto"/>
              <w:right w:val="nil"/>
            </w:tcBorders>
            <w:vAlign w:val="bottom"/>
            <w:hideMark/>
          </w:tcPr>
          <w:p w14:paraId="7B3DADD9" w14:textId="77777777" w:rsidR="00B036B3" w:rsidRPr="00B036B3" w:rsidRDefault="00B036B3" w:rsidP="005447A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45.14</w:t>
            </w:r>
          </w:p>
        </w:tc>
        <w:tc>
          <w:tcPr>
            <w:tcW w:w="1705" w:type="dxa"/>
            <w:tcBorders>
              <w:top w:val="nil"/>
              <w:left w:val="nil"/>
              <w:bottom w:val="single" w:sz="4" w:space="0" w:color="auto"/>
              <w:right w:val="nil"/>
            </w:tcBorders>
            <w:vAlign w:val="bottom"/>
            <w:hideMark/>
          </w:tcPr>
          <w:p w14:paraId="08435858" w14:textId="77777777" w:rsidR="00B036B3" w:rsidRPr="00B036B3" w:rsidRDefault="00B036B3" w:rsidP="005447A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46.10</w:t>
            </w:r>
          </w:p>
        </w:tc>
        <w:tc>
          <w:tcPr>
            <w:tcW w:w="1715" w:type="dxa"/>
            <w:tcBorders>
              <w:top w:val="nil"/>
              <w:left w:val="nil"/>
              <w:bottom w:val="single" w:sz="4" w:space="0" w:color="auto"/>
              <w:right w:val="nil"/>
            </w:tcBorders>
            <w:vAlign w:val="bottom"/>
            <w:hideMark/>
          </w:tcPr>
          <w:p w14:paraId="1AA0DAD9" w14:textId="77777777" w:rsidR="00B036B3" w:rsidRPr="00B036B3" w:rsidRDefault="00B036B3" w:rsidP="005447AE">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52.18</w:t>
            </w:r>
          </w:p>
        </w:tc>
      </w:tr>
    </w:tbl>
    <w:p w14:paraId="01FEB443"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b/>
          <w:sz w:val="24"/>
          <w:szCs w:val="24"/>
        </w:rPr>
        <w:lastRenderedPageBreak/>
        <w:t>Source:</w:t>
      </w:r>
      <w:r w:rsidRPr="00B036B3">
        <w:rPr>
          <w:rFonts w:asciiTheme="majorBidi" w:eastAsia="Times New Roman" w:hAnsiTheme="majorBidi" w:cstheme="majorBidi"/>
          <w:sz w:val="24"/>
          <w:szCs w:val="24"/>
        </w:rPr>
        <w:t xml:space="preserve"> Statement of financial position of GT Bank Plc (2019-2023)</w:t>
      </w:r>
    </w:p>
    <w:p w14:paraId="23561335" w14:textId="3F58CC2C" w:rsidR="00B036B3" w:rsidRPr="00B036B3" w:rsidRDefault="005447AE" w:rsidP="006D3D71">
      <w:pPr>
        <w:shd w:val="clear" w:color="auto" w:fill="FFFFFF" w:themeFill="background1"/>
        <w:spacing w:after="24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Table 4.23</w:t>
      </w:r>
      <w:r w:rsidR="00B036B3" w:rsidRPr="00B036B3">
        <w:rPr>
          <w:rFonts w:asciiTheme="majorBidi" w:eastAsia="Times New Roman" w:hAnsiTheme="majorBidi" w:cstheme="majorBidi"/>
          <w:sz w:val="24"/>
          <w:szCs w:val="24"/>
        </w:rPr>
        <w:t xml:space="preserve"> presents the cash ratio of GT Bank Plc Headquarters from 2019 to 2023, measuring the bank's liquidity by comparing cash and cash equivalents to current liabilities. A higher cash ratio indicates greater liquidity and an enhanced ability to meet short-term obligations, while a lower ratio suggests potential liquidity constraints. Effective liquidity management plays a crucial role in risk mitigation and financial stability. </w:t>
      </w:r>
    </w:p>
    <w:p w14:paraId="382B99D2"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 xml:space="preserve">In 2019, the cash ratio stood at 40.98%, meaning that GT Bank </w:t>
      </w:r>
      <w:proofErr w:type="spellStart"/>
      <w:r w:rsidRPr="00B036B3">
        <w:rPr>
          <w:rFonts w:asciiTheme="majorBidi" w:eastAsia="Times New Roman" w:hAnsiTheme="majorBidi" w:cstheme="majorBidi"/>
          <w:sz w:val="24"/>
          <w:szCs w:val="24"/>
        </w:rPr>
        <w:t>Plc</w:t>
      </w:r>
      <w:proofErr w:type="spellEnd"/>
      <w:r w:rsidRPr="00B036B3">
        <w:rPr>
          <w:rFonts w:asciiTheme="majorBidi" w:eastAsia="Times New Roman" w:hAnsiTheme="majorBidi" w:cstheme="majorBidi"/>
          <w:sz w:val="24"/>
          <w:szCs w:val="24"/>
        </w:rPr>
        <w:t xml:space="preserve"> held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40.98 in cash and cash equivalents for every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100 of current liabilities. This indicates moderate liquidity, ensuring that the bank could meet short-term financial commitments without significant stress. However, the ratio suggests that a large portion of assets was held in non-liquid investments, which could limit instant access to cash for urgent needs. Miller (2021) emphasized that financial institutions with moderate liquidity levels must balance cash holdings with profitability to optimize financial performance.</w:t>
      </w:r>
    </w:p>
    <w:p w14:paraId="7BB8D54B"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 xml:space="preserve">In 2020, the cash ratio declined to 34.15%, indicating a reduction in immediate liquidity. This decrease resulted from a rise in current liabilities to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89,897,756,000, while cash and cash equivalents increased only slightly to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30,698,104,000. The findings suggest that GT Bank Plc faced increased financial obligations, requiring better liquidity risk management strategies. As Miller (2021) noted, a decline in liquidity ratios may indicate potential financial strain, necessitating proactive risk mitigation measures such as enhanced cash flow management and asset reallocation.</w:t>
      </w:r>
    </w:p>
    <w:p w14:paraId="7CDB8D70"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 xml:space="preserve">In 2021, the cash ratio improved to 45.14%, reflecting stronger liquidity management. This increase was driven by a significant rise in cash and cash equivalents to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46,632,139,000, enabling the bank to maintain sufficient liquidity to cover short-term liabilities. This trend aligns with Miller (2021), who found that financial institutions implementing effective liquidity risk controls experience improved financial stability and resilience against economic fluctuations.</w:t>
      </w:r>
    </w:p>
    <w:p w14:paraId="0DCDF0CF"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 xml:space="preserve">In 2022, the cash ratio slightly increased to 46.10%, maintaining strong liquidity. The bank effectively managed cash flow and financial obligations, ensuring that short-term commitments were covered without liquidity pressures. This stability aligns with Miller </w:t>
      </w:r>
      <w:r w:rsidRPr="00B036B3">
        <w:rPr>
          <w:rFonts w:asciiTheme="majorBidi" w:eastAsia="Times New Roman" w:hAnsiTheme="majorBidi" w:cstheme="majorBidi"/>
          <w:sz w:val="24"/>
          <w:szCs w:val="24"/>
        </w:rPr>
        <w:lastRenderedPageBreak/>
        <w:t xml:space="preserve">(2021), who highlighted that banks maintaining liquidity ratios above 40% demonstrate financial prudence and lower liquidity risks. By 2023, the cash ratio reached its highest level at 52.18%, indicating a significant improvement in liquidity. The increase in cash and cash equivalents to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62,970,641,000, alongside a controlled rise in liabilities, suggests that GT Bank Plc strengthened its liquidity position through improved cash management strategies. This result supports Miller’s (2021) findings, which indicated that banks with higher liquidity ratios are more resilient to financial uncertainties and can navigate economic downturns effectively.</w:t>
      </w:r>
    </w:p>
    <w:p w14:paraId="309BF710"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Overall, the findings emphasize the importance of liquidity risk management in maintaining financial stability. The results indicate that GT Bank Plc effectively balanced liquidity with financial obligations, ensuring operational efficiency and risk mitigation.</w:t>
      </w:r>
    </w:p>
    <w:p w14:paraId="6A61EDB0" w14:textId="305B21AC" w:rsidR="00B036B3" w:rsidRPr="00B036B3" w:rsidRDefault="006020E8" w:rsidP="006D3D71">
      <w:pPr>
        <w:shd w:val="clear" w:color="auto" w:fill="FFFFFF" w:themeFill="background1"/>
        <w:spacing w:after="240" w:line="360" w:lineRule="auto"/>
        <w:jc w:val="both"/>
        <w:rPr>
          <w:rFonts w:asciiTheme="majorBidi" w:eastAsia="Times New Roman" w:hAnsiTheme="majorBidi" w:cstheme="majorBidi"/>
          <w:b/>
          <w:bCs/>
          <w:sz w:val="24"/>
          <w:szCs w:val="24"/>
        </w:rPr>
      </w:pPr>
      <w:bookmarkStart w:id="1410" w:name="_Toc193282283"/>
      <w:bookmarkStart w:id="1411" w:name="_Toc193282449"/>
      <w:r>
        <w:rPr>
          <w:rFonts w:asciiTheme="majorBidi" w:eastAsia="Times New Roman" w:hAnsiTheme="majorBidi" w:cstheme="majorBidi"/>
          <w:b/>
          <w:bCs/>
          <w:sz w:val="24"/>
          <w:szCs w:val="24"/>
        </w:rPr>
        <w:t>4.4</w:t>
      </w:r>
      <w:r w:rsidR="00B036B3" w:rsidRPr="00B036B3">
        <w:rPr>
          <w:rFonts w:asciiTheme="majorBidi" w:eastAsia="Times New Roman" w:hAnsiTheme="majorBidi" w:cstheme="majorBidi"/>
          <w:b/>
          <w:bCs/>
          <w:sz w:val="24"/>
          <w:szCs w:val="24"/>
        </w:rPr>
        <w:t>.5. Liquidity to asset ratio</w:t>
      </w:r>
      <w:bookmarkEnd w:id="1410"/>
      <w:bookmarkEnd w:id="1411"/>
      <w:r w:rsidR="00B036B3" w:rsidRPr="00B036B3">
        <w:rPr>
          <w:rFonts w:asciiTheme="majorBidi" w:eastAsia="Times New Roman" w:hAnsiTheme="majorBidi" w:cstheme="majorBidi"/>
          <w:b/>
          <w:bCs/>
          <w:sz w:val="24"/>
          <w:szCs w:val="24"/>
        </w:rPr>
        <w:t xml:space="preserve"> </w:t>
      </w:r>
    </w:p>
    <w:p w14:paraId="49E860B7"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Liquidity to asset ratio is included in the study to examine the proportion of liquid assets in relation to total assets. This ratio provides insights into GT Bank Plc’s ability to manage liquidity risk while maintaining operational efficiency. A well-managed liquidity ratio is essential for sustaining financial stability and reducing risks related to cash flow shortages.</w:t>
      </w:r>
    </w:p>
    <w:p w14:paraId="72D315E8" w14:textId="00941B12" w:rsidR="00B036B3" w:rsidRPr="00B036B3" w:rsidRDefault="006020E8" w:rsidP="006D3D71">
      <w:pPr>
        <w:shd w:val="clear" w:color="auto" w:fill="FFFFFF" w:themeFill="background1"/>
        <w:spacing w:after="240" w:line="360" w:lineRule="auto"/>
        <w:jc w:val="both"/>
        <w:rPr>
          <w:rFonts w:asciiTheme="majorBidi" w:eastAsia="Times New Roman" w:hAnsiTheme="majorBidi" w:cstheme="majorBidi"/>
          <w:b/>
          <w:bCs/>
          <w:sz w:val="24"/>
          <w:szCs w:val="24"/>
        </w:rPr>
      </w:pPr>
      <w:bookmarkStart w:id="1412" w:name="_Toc193281960"/>
      <w:bookmarkStart w:id="1413" w:name="_Toc193282284"/>
      <w:bookmarkStart w:id="1414" w:name="_Toc193282450"/>
      <w:r>
        <w:rPr>
          <w:rFonts w:asciiTheme="majorBidi" w:eastAsia="Times New Roman" w:hAnsiTheme="majorBidi" w:cstheme="majorBidi"/>
          <w:b/>
          <w:bCs/>
          <w:sz w:val="24"/>
          <w:szCs w:val="24"/>
        </w:rPr>
        <w:t>Table 4.24</w:t>
      </w:r>
      <w:r w:rsidR="00B036B3" w:rsidRPr="00B036B3">
        <w:rPr>
          <w:rFonts w:asciiTheme="majorBidi" w:eastAsia="Times New Roman" w:hAnsiTheme="majorBidi" w:cstheme="majorBidi"/>
          <w:b/>
          <w:bCs/>
          <w:sz w:val="24"/>
          <w:szCs w:val="24"/>
        </w:rPr>
        <w:t>: Liquidity to asset ratio</w:t>
      </w:r>
      <w:bookmarkEnd w:id="1412"/>
      <w:bookmarkEnd w:id="1413"/>
      <w:bookmarkEnd w:id="1414"/>
    </w:p>
    <w:tbl>
      <w:tblPr>
        <w:tblW w:w="981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170"/>
        <w:gridCol w:w="1800"/>
        <w:gridCol w:w="1710"/>
        <w:gridCol w:w="1710"/>
        <w:gridCol w:w="1705"/>
        <w:gridCol w:w="1715"/>
      </w:tblGrid>
      <w:tr w:rsidR="00B036B3" w:rsidRPr="00B036B3" w14:paraId="4B12F4E1" w14:textId="77777777" w:rsidTr="00B036B3">
        <w:tc>
          <w:tcPr>
            <w:tcW w:w="1170" w:type="dxa"/>
            <w:tcBorders>
              <w:top w:val="single" w:sz="4" w:space="0" w:color="auto"/>
              <w:left w:val="nil"/>
              <w:bottom w:val="single" w:sz="4" w:space="0" w:color="auto"/>
              <w:right w:val="nil"/>
            </w:tcBorders>
          </w:tcPr>
          <w:p w14:paraId="26FC65C9" w14:textId="77777777" w:rsidR="00B036B3" w:rsidRPr="00B036B3" w:rsidRDefault="00B036B3" w:rsidP="006B5C2F">
            <w:pPr>
              <w:shd w:val="clear" w:color="auto" w:fill="FFFFFF" w:themeFill="background1"/>
              <w:spacing w:after="240" w:line="240" w:lineRule="auto"/>
              <w:jc w:val="both"/>
              <w:rPr>
                <w:rFonts w:asciiTheme="majorBidi" w:eastAsia="Times New Roman" w:hAnsiTheme="majorBidi" w:cstheme="majorBidi"/>
                <w:sz w:val="24"/>
                <w:szCs w:val="24"/>
              </w:rPr>
            </w:pPr>
          </w:p>
        </w:tc>
        <w:tc>
          <w:tcPr>
            <w:tcW w:w="1800" w:type="dxa"/>
            <w:tcBorders>
              <w:top w:val="single" w:sz="4" w:space="0" w:color="auto"/>
              <w:left w:val="nil"/>
              <w:bottom w:val="single" w:sz="4" w:space="0" w:color="auto"/>
              <w:right w:val="nil"/>
            </w:tcBorders>
            <w:hideMark/>
          </w:tcPr>
          <w:p w14:paraId="3BD99747" w14:textId="77777777" w:rsidR="00B036B3" w:rsidRPr="00B036B3" w:rsidRDefault="00B036B3" w:rsidP="006B5C2F">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2019(Frw’000)</w:t>
            </w:r>
          </w:p>
        </w:tc>
        <w:tc>
          <w:tcPr>
            <w:tcW w:w="1710" w:type="dxa"/>
            <w:tcBorders>
              <w:top w:val="single" w:sz="4" w:space="0" w:color="auto"/>
              <w:left w:val="nil"/>
              <w:bottom w:val="single" w:sz="4" w:space="0" w:color="auto"/>
              <w:right w:val="nil"/>
            </w:tcBorders>
            <w:hideMark/>
          </w:tcPr>
          <w:p w14:paraId="258D4EAB" w14:textId="77777777" w:rsidR="00B036B3" w:rsidRPr="00B036B3" w:rsidRDefault="00B036B3" w:rsidP="006B5C2F">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2020(Frw’000)</w:t>
            </w:r>
          </w:p>
        </w:tc>
        <w:tc>
          <w:tcPr>
            <w:tcW w:w="1710" w:type="dxa"/>
            <w:tcBorders>
              <w:top w:val="single" w:sz="4" w:space="0" w:color="auto"/>
              <w:left w:val="nil"/>
              <w:bottom w:val="single" w:sz="4" w:space="0" w:color="auto"/>
              <w:right w:val="nil"/>
            </w:tcBorders>
            <w:hideMark/>
          </w:tcPr>
          <w:p w14:paraId="390FC1B9" w14:textId="77777777" w:rsidR="00B036B3" w:rsidRPr="00B036B3" w:rsidRDefault="00B036B3" w:rsidP="006B5C2F">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2021(Frw’000)</w:t>
            </w:r>
          </w:p>
        </w:tc>
        <w:tc>
          <w:tcPr>
            <w:tcW w:w="1705" w:type="dxa"/>
            <w:tcBorders>
              <w:top w:val="single" w:sz="4" w:space="0" w:color="auto"/>
              <w:left w:val="nil"/>
              <w:bottom w:val="single" w:sz="4" w:space="0" w:color="auto"/>
              <w:right w:val="nil"/>
            </w:tcBorders>
            <w:hideMark/>
          </w:tcPr>
          <w:p w14:paraId="2C87BA9D" w14:textId="77777777" w:rsidR="00B036B3" w:rsidRPr="00B036B3" w:rsidRDefault="00B036B3" w:rsidP="006B5C2F">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2022(Frw’000)</w:t>
            </w:r>
          </w:p>
        </w:tc>
        <w:tc>
          <w:tcPr>
            <w:tcW w:w="1715" w:type="dxa"/>
            <w:tcBorders>
              <w:top w:val="single" w:sz="4" w:space="0" w:color="auto"/>
              <w:left w:val="nil"/>
              <w:bottom w:val="single" w:sz="4" w:space="0" w:color="auto"/>
              <w:right w:val="nil"/>
            </w:tcBorders>
            <w:hideMark/>
          </w:tcPr>
          <w:p w14:paraId="6E0EDBCB" w14:textId="77777777" w:rsidR="00B036B3" w:rsidRPr="00B036B3" w:rsidRDefault="00B036B3" w:rsidP="006B5C2F">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2023(Frw’000)</w:t>
            </w:r>
          </w:p>
        </w:tc>
      </w:tr>
      <w:tr w:rsidR="00B036B3" w:rsidRPr="00B036B3" w14:paraId="78A389E0" w14:textId="77777777" w:rsidTr="00B036B3">
        <w:tc>
          <w:tcPr>
            <w:tcW w:w="1170" w:type="dxa"/>
            <w:tcBorders>
              <w:top w:val="single" w:sz="4" w:space="0" w:color="auto"/>
              <w:left w:val="nil"/>
              <w:bottom w:val="nil"/>
              <w:right w:val="nil"/>
            </w:tcBorders>
            <w:hideMark/>
          </w:tcPr>
          <w:p w14:paraId="31493893" w14:textId="77777777" w:rsidR="00B036B3" w:rsidRPr="00B036B3" w:rsidRDefault="00B036B3" w:rsidP="006B5C2F">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Liquid assets</w:t>
            </w:r>
          </w:p>
        </w:tc>
        <w:tc>
          <w:tcPr>
            <w:tcW w:w="1800" w:type="dxa"/>
            <w:tcBorders>
              <w:top w:val="single" w:sz="4" w:space="0" w:color="auto"/>
              <w:left w:val="nil"/>
              <w:bottom w:val="nil"/>
              <w:right w:val="nil"/>
            </w:tcBorders>
            <w:hideMark/>
          </w:tcPr>
          <w:p w14:paraId="610C3B43" w14:textId="77777777" w:rsidR="00B036B3" w:rsidRPr="00B036B3" w:rsidRDefault="00B036B3" w:rsidP="006B5C2F">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30,126,487</w:t>
            </w:r>
          </w:p>
        </w:tc>
        <w:tc>
          <w:tcPr>
            <w:tcW w:w="1710" w:type="dxa"/>
            <w:tcBorders>
              <w:top w:val="single" w:sz="4" w:space="0" w:color="auto"/>
              <w:left w:val="nil"/>
              <w:bottom w:val="nil"/>
              <w:right w:val="nil"/>
            </w:tcBorders>
            <w:hideMark/>
          </w:tcPr>
          <w:p w14:paraId="2D4A6DB4" w14:textId="77777777" w:rsidR="00B036B3" w:rsidRPr="00B036B3" w:rsidRDefault="00B036B3" w:rsidP="006B5C2F">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30,698,104</w:t>
            </w:r>
          </w:p>
        </w:tc>
        <w:tc>
          <w:tcPr>
            <w:tcW w:w="1710" w:type="dxa"/>
            <w:tcBorders>
              <w:top w:val="single" w:sz="4" w:space="0" w:color="auto"/>
              <w:left w:val="nil"/>
              <w:bottom w:val="nil"/>
              <w:right w:val="nil"/>
            </w:tcBorders>
            <w:hideMark/>
          </w:tcPr>
          <w:p w14:paraId="1B5F6F9B" w14:textId="77777777" w:rsidR="00B036B3" w:rsidRPr="00B036B3" w:rsidRDefault="00B036B3" w:rsidP="006B5C2F">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46,632,139</w:t>
            </w:r>
          </w:p>
        </w:tc>
        <w:tc>
          <w:tcPr>
            <w:tcW w:w="1705" w:type="dxa"/>
            <w:tcBorders>
              <w:top w:val="single" w:sz="4" w:space="0" w:color="auto"/>
              <w:left w:val="nil"/>
              <w:bottom w:val="nil"/>
              <w:right w:val="nil"/>
            </w:tcBorders>
            <w:hideMark/>
          </w:tcPr>
          <w:p w14:paraId="37493F49" w14:textId="77777777" w:rsidR="00B036B3" w:rsidRPr="00B036B3" w:rsidRDefault="00B036B3" w:rsidP="006B5C2F">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45,607,917</w:t>
            </w:r>
          </w:p>
        </w:tc>
        <w:tc>
          <w:tcPr>
            <w:tcW w:w="1715" w:type="dxa"/>
            <w:tcBorders>
              <w:top w:val="single" w:sz="4" w:space="0" w:color="auto"/>
              <w:left w:val="nil"/>
              <w:bottom w:val="nil"/>
              <w:right w:val="nil"/>
            </w:tcBorders>
            <w:hideMark/>
          </w:tcPr>
          <w:p w14:paraId="100DB348" w14:textId="77777777" w:rsidR="00B036B3" w:rsidRPr="00B036B3" w:rsidRDefault="00B036B3" w:rsidP="006B5C2F">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62,970,641</w:t>
            </w:r>
          </w:p>
        </w:tc>
      </w:tr>
      <w:tr w:rsidR="00B036B3" w:rsidRPr="00B036B3" w14:paraId="7E91554F" w14:textId="77777777" w:rsidTr="00B036B3">
        <w:tc>
          <w:tcPr>
            <w:tcW w:w="1170" w:type="dxa"/>
            <w:tcBorders>
              <w:top w:val="nil"/>
              <w:left w:val="nil"/>
              <w:bottom w:val="nil"/>
              <w:right w:val="nil"/>
            </w:tcBorders>
            <w:hideMark/>
          </w:tcPr>
          <w:p w14:paraId="34ED4379" w14:textId="77777777" w:rsidR="00B036B3" w:rsidRPr="00B036B3" w:rsidRDefault="00B036B3" w:rsidP="006B5C2F">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T. Assets</w:t>
            </w:r>
          </w:p>
        </w:tc>
        <w:tc>
          <w:tcPr>
            <w:tcW w:w="1800" w:type="dxa"/>
            <w:tcBorders>
              <w:top w:val="nil"/>
              <w:left w:val="nil"/>
              <w:bottom w:val="nil"/>
              <w:right w:val="nil"/>
            </w:tcBorders>
            <w:hideMark/>
          </w:tcPr>
          <w:p w14:paraId="0D423E6B" w14:textId="77777777" w:rsidR="00B036B3" w:rsidRPr="00B036B3" w:rsidRDefault="00B036B3" w:rsidP="006B5C2F">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93,983,785</w:t>
            </w:r>
          </w:p>
        </w:tc>
        <w:tc>
          <w:tcPr>
            <w:tcW w:w="1710" w:type="dxa"/>
            <w:tcBorders>
              <w:top w:val="nil"/>
              <w:left w:val="nil"/>
              <w:bottom w:val="nil"/>
              <w:right w:val="nil"/>
            </w:tcBorders>
            <w:hideMark/>
          </w:tcPr>
          <w:p w14:paraId="416150F5" w14:textId="77777777" w:rsidR="00B036B3" w:rsidRPr="00B036B3" w:rsidRDefault="00B036B3" w:rsidP="006B5C2F">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114,126,610</w:t>
            </w:r>
          </w:p>
        </w:tc>
        <w:tc>
          <w:tcPr>
            <w:tcW w:w="1710" w:type="dxa"/>
            <w:tcBorders>
              <w:top w:val="nil"/>
              <w:left w:val="nil"/>
              <w:bottom w:val="nil"/>
              <w:right w:val="nil"/>
            </w:tcBorders>
            <w:hideMark/>
          </w:tcPr>
          <w:p w14:paraId="4D6BA8C9" w14:textId="77777777" w:rsidR="00B036B3" w:rsidRPr="00B036B3" w:rsidRDefault="00B036B3" w:rsidP="006B5C2F">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132,571,601</w:t>
            </w:r>
          </w:p>
        </w:tc>
        <w:tc>
          <w:tcPr>
            <w:tcW w:w="1705" w:type="dxa"/>
            <w:tcBorders>
              <w:top w:val="nil"/>
              <w:left w:val="nil"/>
              <w:bottom w:val="nil"/>
              <w:right w:val="nil"/>
            </w:tcBorders>
            <w:hideMark/>
          </w:tcPr>
          <w:p w14:paraId="3637026F" w14:textId="77777777" w:rsidR="00B036B3" w:rsidRPr="00B036B3" w:rsidRDefault="00B036B3" w:rsidP="006B5C2F">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127,776,768</w:t>
            </w:r>
          </w:p>
        </w:tc>
        <w:tc>
          <w:tcPr>
            <w:tcW w:w="1715" w:type="dxa"/>
            <w:tcBorders>
              <w:top w:val="nil"/>
              <w:left w:val="nil"/>
              <w:bottom w:val="nil"/>
              <w:right w:val="nil"/>
            </w:tcBorders>
            <w:hideMark/>
          </w:tcPr>
          <w:p w14:paraId="776526E0" w14:textId="77777777" w:rsidR="00B036B3" w:rsidRPr="00B036B3" w:rsidRDefault="00B036B3" w:rsidP="006B5C2F">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153,225,602</w:t>
            </w:r>
          </w:p>
        </w:tc>
      </w:tr>
      <w:tr w:rsidR="00B036B3" w:rsidRPr="00B036B3" w14:paraId="2987E94C" w14:textId="77777777" w:rsidTr="00B036B3">
        <w:tc>
          <w:tcPr>
            <w:tcW w:w="1170" w:type="dxa"/>
            <w:tcBorders>
              <w:top w:val="nil"/>
              <w:left w:val="nil"/>
              <w:bottom w:val="single" w:sz="4" w:space="0" w:color="auto"/>
              <w:right w:val="nil"/>
            </w:tcBorders>
            <w:hideMark/>
          </w:tcPr>
          <w:p w14:paraId="2882B44F" w14:textId="77777777" w:rsidR="00B036B3" w:rsidRPr="00B036B3" w:rsidRDefault="00B036B3" w:rsidP="006B5C2F">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L/A ratio</w:t>
            </w:r>
          </w:p>
        </w:tc>
        <w:tc>
          <w:tcPr>
            <w:tcW w:w="1800" w:type="dxa"/>
            <w:tcBorders>
              <w:top w:val="nil"/>
              <w:left w:val="nil"/>
              <w:bottom w:val="single" w:sz="4" w:space="0" w:color="auto"/>
              <w:right w:val="nil"/>
            </w:tcBorders>
            <w:vAlign w:val="bottom"/>
            <w:hideMark/>
          </w:tcPr>
          <w:p w14:paraId="394BF0E0" w14:textId="77777777" w:rsidR="00B036B3" w:rsidRPr="00B036B3" w:rsidRDefault="00B036B3" w:rsidP="006B5C2F">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32.05</w:t>
            </w:r>
          </w:p>
        </w:tc>
        <w:tc>
          <w:tcPr>
            <w:tcW w:w="1710" w:type="dxa"/>
            <w:tcBorders>
              <w:top w:val="nil"/>
              <w:left w:val="nil"/>
              <w:bottom w:val="single" w:sz="4" w:space="0" w:color="auto"/>
              <w:right w:val="nil"/>
            </w:tcBorders>
            <w:vAlign w:val="bottom"/>
            <w:hideMark/>
          </w:tcPr>
          <w:p w14:paraId="3164815D" w14:textId="77777777" w:rsidR="00B036B3" w:rsidRPr="00B036B3" w:rsidRDefault="00B036B3" w:rsidP="006B5C2F">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26.90</w:t>
            </w:r>
          </w:p>
        </w:tc>
        <w:tc>
          <w:tcPr>
            <w:tcW w:w="1710" w:type="dxa"/>
            <w:tcBorders>
              <w:top w:val="nil"/>
              <w:left w:val="nil"/>
              <w:bottom w:val="single" w:sz="4" w:space="0" w:color="auto"/>
              <w:right w:val="nil"/>
            </w:tcBorders>
            <w:vAlign w:val="bottom"/>
            <w:hideMark/>
          </w:tcPr>
          <w:p w14:paraId="77C3AB44" w14:textId="77777777" w:rsidR="00B036B3" w:rsidRPr="00B036B3" w:rsidRDefault="00B036B3" w:rsidP="006B5C2F">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35.18</w:t>
            </w:r>
          </w:p>
        </w:tc>
        <w:tc>
          <w:tcPr>
            <w:tcW w:w="1705" w:type="dxa"/>
            <w:tcBorders>
              <w:top w:val="nil"/>
              <w:left w:val="nil"/>
              <w:bottom w:val="single" w:sz="4" w:space="0" w:color="auto"/>
              <w:right w:val="nil"/>
            </w:tcBorders>
            <w:vAlign w:val="bottom"/>
            <w:hideMark/>
          </w:tcPr>
          <w:p w14:paraId="288E51C8" w14:textId="77777777" w:rsidR="00B036B3" w:rsidRPr="00B036B3" w:rsidRDefault="00B036B3" w:rsidP="006B5C2F">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35.69</w:t>
            </w:r>
          </w:p>
        </w:tc>
        <w:tc>
          <w:tcPr>
            <w:tcW w:w="1715" w:type="dxa"/>
            <w:tcBorders>
              <w:top w:val="nil"/>
              <w:left w:val="nil"/>
              <w:bottom w:val="single" w:sz="4" w:space="0" w:color="auto"/>
              <w:right w:val="nil"/>
            </w:tcBorders>
            <w:vAlign w:val="bottom"/>
            <w:hideMark/>
          </w:tcPr>
          <w:p w14:paraId="76E425B8" w14:textId="77777777" w:rsidR="00B036B3" w:rsidRPr="00B036B3" w:rsidRDefault="00B036B3" w:rsidP="006B5C2F">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41.10</w:t>
            </w:r>
          </w:p>
        </w:tc>
      </w:tr>
    </w:tbl>
    <w:p w14:paraId="5E0DE059"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b/>
          <w:sz w:val="24"/>
          <w:szCs w:val="24"/>
        </w:rPr>
        <w:t>Source:</w:t>
      </w:r>
      <w:r w:rsidRPr="00B036B3">
        <w:rPr>
          <w:rFonts w:asciiTheme="majorBidi" w:eastAsia="Times New Roman" w:hAnsiTheme="majorBidi" w:cstheme="majorBidi"/>
          <w:sz w:val="24"/>
          <w:szCs w:val="24"/>
        </w:rPr>
        <w:t xml:space="preserve"> Statement of financial position of GT Bank Plc (2019-2023)</w:t>
      </w:r>
    </w:p>
    <w:p w14:paraId="5564AB12" w14:textId="4A428015" w:rsidR="00B036B3" w:rsidRPr="00B036B3" w:rsidRDefault="006B5C2F" w:rsidP="006D3D71">
      <w:pPr>
        <w:shd w:val="clear" w:color="auto" w:fill="FFFFFF" w:themeFill="background1"/>
        <w:spacing w:after="240" w:line="360" w:lineRule="auto"/>
        <w:jc w:val="both"/>
        <w:rPr>
          <w:rFonts w:asciiTheme="majorBidi" w:eastAsia="Times New Roman" w:hAnsiTheme="majorBidi" w:cstheme="majorBidi"/>
          <w:sz w:val="24"/>
          <w:szCs w:val="24"/>
        </w:rPr>
      </w:pPr>
      <w:bookmarkStart w:id="1415" w:name="_Hlk193270926"/>
      <w:r>
        <w:rPr>
          <w:rFonts w:asciiTheme="majorBidi" w:eastAsia="Times New Roman" w:hAnsiTheme="majorBidi" w:cstheme="majorBidi"/>
          <w:sz w:val="24"/>
          <w:szCs w:val="24"/>
        </w:rPr>
        <w:t>Table 4.24</w:t>
      </w:r>
      <w:r w:rsidR="00B036B3" w:rsidRPr="00B036B3">
        <w:rPr>
          <w:rFonts w:asciiTheme="majorBidi" w:eastAsia="Times New Roman" w:hAnsiTheme="majorBidi" w:cstheme="majorBidi"/>
          <w:sz w:val="24"/>
          <w:szCs w:val="24"/>
        </w:rPr>
        <w:t xml:space="preserve"> presents the cash ratio of GT Bank Plc Headquarters from 2019 to 2023, measuring the bank's liquidity by comparing cash and cash equivalents to current liabilities. A higher cash ratio indicates greater liquidity and an enhanced ability to meet short-term obligations, while a lower ratio suggests potential liquidity constraints. Effective liquidity management plays a crucial role in risk mitigation and financial stability. </w:t>
      </w:r>
    </w:p>
    <w:p w14:paraId="1203AB3B"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lastRenderedPageBreak/>
        <w:t xml:space="preserve">In 2019, the cash ratio stood at 40.98%, meaning that GT Bank </w:t>
      </w:r>
      <w:proofErr w:type="spellStart"/>
      <w:r w:rsidRPr="00B036B3">
        <w:rPr>
          <w:rFonts w:asciiTheme="majorBidi" w:eastAsia="Times New Roman" w:hAnsiTheme="majorBidi" w:cstheme="majorBidi"/>
          <w:sz w:val="24"/>
          <w:szCs w:val="24"/>
        </w:rPr>
        <w:t>Plc</w:t>
      </w:r>
      <w:proofErr w:type="spellEnd"/>
      <w:r w:rsidRPr="00B036B3">
        <w:rPr>
          <w:rFonts w:asciiTheme="majorBidi" w:eastAsia="Times New Roman" w:hAnsiTheme="majorBidi" w:cstheme="majorBidi"/>
          <w:sz w:val="24"/>
          <w:szCs w:val="24"/>
        </w:rPr>
        <w:t xml:space="preserve"> held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40.98 in cash and cash equivalents for every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100 of current liabilities. This indicates moderate liquidity, ensuring that the bank could meet short-term financial commitments without significant stress. However, the ratio suggests that a large portion of assets was held in non-liquid investments, which could limit instant access to cash for urgent needs. Miller (2021) emphasized that financial institutions with moderate liquidity levels must balance cash holdings with profitability to optimize financial performance.</w:t>
      </w:r>
    </w:p>
    <w:p w14:paraId="31CCBA2C"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 xml:space="preserve">In 2020, the cash ratio declined to 34.15%, indicating a reduction in immediate liquidity. This decrease resulted from a rise in current liabilities to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89,897,756,000, while cash and cash equivalents increased only slightly to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30,698,104,000. The findings suggest that GT Bank Plc faced increased financial obligations, requiring better liquidity risk management strategies. As Miller (2021) noted, a decline in liquidity ratios may indicate potential financial strain, necessitating proactive risk mitigation measures such as enhanced cash flow management and asset reallocation.</w:t>
      </w:r>
    </w:p>
    <w:p w14:paraId="160EE541"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 xml:space="preserve">In 2021, the cash ratio improved to 45.14%, reflecting stronger liquidity management. This increase was driven by a significant rise in cash and cash equivalents to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46,632,139,000, enabling the bank to maintain sufficient liquidity to cover short-term liabilities. This trend aligns with Miller (2021), who found that financial institutions implementing effective liquidity risk controls experience improved financial stability and resilience against economic fluctuations.</w:t>
      </w:r>
    </w:p>
    <w:p w14:paraId="547DBC17"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 xml:space="preserve">In 2022, the cash ratio slightly increased to 46.10%, maintaining strong liquidity. The bank effectively managed cash flow and financial obligations, ensuring that short-term commitments were covered without liquidity pressures. This stability aligns with Miller (2021), who highlighted that banks maintaining liquidity ratios above 40% demonstrate financial prudence and lower liquidity risks. By 2023, the cash ratio reached its highest level at 52.18%, indicating a significant improvement in liquidity. The increase in cash and cash equivalents to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62,970,641,000, alongside a controlled rise in liabilities, suggests that GT Bank Plc strengthened its liquidity position through improved cash management strategies. This result supports Miller’s (2021) findings, which indicated that banks with higher liquidity ratios are more resilient to financial uncertainties and can navigate economic downturns effectively.</w:t>
      </w:r>
    </w:p>
    <w:p w14:paraId="76A59126"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lastRenderedPageBreak/>
        <w:t>Overall, the findings emphasize the importance of liquidity risk management in maintaining financial stability. The results indicate that GT Bank Plc effectively balanced liquidity with financial obligations, ensuring operational efficiency and risk mitigation.</w:t>
      </w:r>
      <w:bookmarkEnd w:id="1415"/>
    </w:p>
    <w:p w14:paraId="48BE53FE" w14:textId="124F19D2" w:rsidR="00B036B3" w:rsidRPr="00B036B3" w:rsidRDefault="006B5C2F" w:rsidP="006D3D71">
      <w:pPr>
        <w:shd w:val="clear" w:color="auto" w:fill="FFFFFF" w:themeFill="background1"/>
        <w:spacing w:after="240" w:line="360" w:lineRule="auto"/>
        <w:jc w:val="both"/>
        <w:rPr>
          <w:rFonts w:asciiTheme="majorBidi" w:eastAsia="Times New Roman" w:hAnsiTheme="majorBidi" w:cstheme="majorBidi"/>
          <w:b/>
          <w:bCs/>
          <w:sz w:val="24"/>
          <w:szCs w:val="24"/>
        </w:rPr>
      </w:pPr>
      <w:bookmarkStart w:id="1416" w:name="_Toc193282285"/>
      <w:bookmarkStart w:id="1417" w:name="_Toc193282451"/>
      <w:r>
        <w:rPr>
          <w:rFonts w:asciiTheme="majorBidi" w:eastAsia="Times New Roman" w:hAnsiTheme="majorBidi" w:cstheme="majorBidi"/>
          <w:b/>
          <w:bCs/>
          <w:sz w:val="24"/>
          <w:szCs w:val="24"/>
        </w:rPr>
        <w:t>4.4</w:t>
      </w:r>
      <w:r w:rsidR="00B036B3" w:rsidRPr="00B036B3">
        <w:rPr>
          <w:rFonts w:asciiTheme="majorBidi" w:eastAsia="Times New Roman" w:hAnsiTheme="majorBidi" w:cstheme="majorBidi"/>
          <w:b/>
          <w:bCs/>
          <w:sz w:val="24"/>
          <w:szCs w:val="24"/>
        </w:rPr>
        <w:t>.6. Loan to deposits ratio</w:t>
      </w:r>
      <w:bookmarkEnd w:id="1416"/>
      <w:bookmarkEnd w:id="1417"/>
      <w:r w:rsidR="00B036B3" w:rsidRPr="00B036B3">
        <w:rPr>
          <w:rFonts w:asciiTheme="majorBidi" w:eastAsia="Times New Roman" w:hAnsiTheme="majorBidi" w:cstheme="majorBidi"/>
          <w:b/>
          <w:bCs/>
          <w:sz w:val="24"/>
          <w:szCs w:val="24"/>
        </w:rPr>
        <w:t xml:space="preserve"> </w:t>
      </w:r>
    </w:p>
    <w:p w14:paraId="48A91469"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The loan to deposits ratio (LDR) is considered in this study to evaluate the balance between lending activities and deposit security. A high LDR may indicate aggressive lending practices, while a low LDR suggests a conservative approach to risk. Analyzing this ratio helps in understanding whether GT Bank Plc’s lending strategies align with sustainable risk management practices.</w:t>
      </w:r>
    </w:p>
    <w:p w14:paraId="1980D185" w14:textId="7B1E4FAB" w:rsidR="00B036B3" w:rsidRPr="00B036B3" w:rsidRDefault="006B5C2F" w:rsidP="006D3D71">
      <w:pPr>
        <w:shd w:val="clear" w:color="auto" w:fill="FFFFFF" w:themeFill="background1"/>
        <w:spacing w:after="240" w:line="360" w:lineRule="auto"/>
        <w:jc w:val="both"/>
        <w:rPr>
          <w:rFonts w:asciiTheme="majorBidi" w:eastAsia="Times New Roman" w:hAnsiTheme="majorBidi" w:cstheme="majorBidi"/>
          <w:b/>
          <w:bCs/>
          <w:sz w:val="24"/>
          <w:szCs w:val="24"/>
        </w:rPr>
      </w:pPr>
      <w:bookmarkStart w:id="1418" w:name="_Toc193281962"/>
      <w:bookmarkStart w:id="1419" w:name="_Toc193282286"/>
      <w:bookmarkStart w:id="1420" w:name="_Toc193282452"/>
      <w:r>
        <w:rPr>
          <w:rFonts w:asciiTheme="majorBidi" w:eastAsia="Times New Roman" w:hAnsiTheme="majorBidi" w:cstheme="majorBidi"/>
          <w:b/>
          <w:bCs/>
          <w:sz w:val="24"/>
          <w:szCs w:val="24"/>
        </w:rPr>
        <w:t>Table 4.25</w:t>
      </w:r>
      <w:r w:rsidR="00B036B3" w:rsidRPr="00B036B3">
        <w:rPr>
          <w:rFonts w:asciiTheme="majorBidi" w:eastAsia="Times New Roman" w:hAnsiTheme="majorBidi" w:cstheme="majorBidi"/>
          <w:b/>
          <w:bCs/>
          <w:sz w:val="24"/>
          <w:szCs w:val="24"/>
        </w:rPr>
        <w:t>: Loan to deposits</w:t>
      </w:r>
      <w:bookmarkEnd w:id="1418"/>
      <w:bookmarkEnd w:id="1419"/>
      <w:bookmarkEnd w:id="1420"/>
    </w:p>
    <w:tbl>
      <w:tblPr>
        <w:tblW w:w="981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170"/>
        <w:gridCol w:w="1800"/>
        <w:gridCol w:w="1710"/>
        <w:gridCol w:w="1710"/>
        <w:gridCol w:w="1705"/>
        <w:gridCol w:w="1715"/>
      </w:tblGrid>
      <w:tr w:rsidR="00B036B3" w:rsidRPr="00B036B3" w14:paraId="6CDB7EC4" w14:textId="77777777" w:rsidTr="00B036B3">
        <w:tc>
          <w:tcPr>
            <w:tcW w:w="1170" w:type="dxa"/>
            <w:tcBorders>
              <w:top w:val="single" w:sz="4" w:space="0" w:color="auto"/>
              <w:left w:val="nil"/>
              <w:bottom w:val="single" w:sz="4" w:space="0" w:color="auto"/>
              <w:right w:val="nil"/>
            </w:tcBorders>
          </w:tcPr>
          <w:p w14:paraId="7DF298D4" w14:textId="77777777" w:rsidR="00B036B3" w:rsidRPr="00B036B3" w:rsidRDefault="00B036B3" w:rsidP="00150ACA">
            <w:pPr>
              <w:shd w:val="clear" w:color="auto" w:fill="FFFFFF" w:themeFill="background1"/>
              <w:spacing w:after="240" w:line="240" w:lineRule="auto"/>
              <w:jc w:val="both"/>
              <w:rPr>
                <w:rFonts w:asciiTheme="majorBidi" w:eastAsia="Times New Roman" w:hAnsiTheme="majorBidi" w:cstheme="majorBidi"/>
                <w:sz w:val="24"/>
                <w:szCs w:val="24"/>
              </w:rPr>
            </w:pPr>
          </w:p>
        </w:tc>
        <w:tc>
          <w:tcPr>
            <w:tcW w:w="1800" w:type="dxa"/>
            <w:tcBorders>
              <w:top w:val="single" w:sz="4" w:space="0" w:color="auto"/>
              <w:left w:val="nil"/>
              <w:bottom w:val="single" w:sz="4" w:space="0" w:color="auto"/>
              <w:right w:val="nil"/>
            </w:tcBorders>
            <w:hideMark/>
          </w:tcPr>
          <w:p w14:paraId="5EDE0216" w14:textId="77777777" w:rsidR="00B036B3" w:rsidRPr="00B036B3" w:rsidRDefault="00B036B3" w:rsidP="00150ACA">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2019(Frw’000)</w:t>
            </w:r>
          </w:p>
        </w:tc>
        <w:tc>
          <w:tcPr>
            <w:tcW w:w="1710" w:type="dxa"/>
            <w:tcBorders>
              <w:top w:val="single" w:sz="4" w:space="0" w:color="auto"/>
              <w:left w:val="nil"/>
              <w:bottom w:val="single" w:sz="4" w:space="0" w:color="auto"/>
              <w:right w:val="nil"/>
            </w:tcBorders>
            <w:hideMark/>
          </w:tcPr>
          <w:p w14:paraId="0602F69D" w14:textId="77777777" w:rsidR="00B036B3" w:rsidRPr="00B036B3" w:rsidRDefault="00B036B3" w:rsidP="00150ACA">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2020(Frw’000)</w:t>
            </w:r>
          </w:p>
        </w:tc>
        <w:tc>
          <w:tcPr>
            <w:tcW w:w="1710" w:type="dxa"/>
            <w:tcBorders>
              <w:top w:val="single" w:sz="4" w:space="0" w:color="auto"/>
              <w:left w:val="nil"/>
              <w:bottom w:val="single" w:sz="4" w:space="0" w:color="auto"/>
              <w:right w:val="nil"/>
            </w:tcBorders>
            <w:hideMark/>
          </w:tcPr>
          <w:p w14:paraId="3ABB98BD" w14:textId="77777777" w:rsidR="00B036B3" w:rsidRPr="00B036B3" w:rsidRDefault="00B036B3" w:rsidP="00150ACA">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2021(Frw’000)</w:t>
            </w:r>
          </w:p>
        </w:tc>
        <w:tc>
          <w:tcPr>
            <w:tcW w:w="1705" w:type="dxa"/>
            <w:tcBorders>
              <w:top w:val="single" w:sz="4" w:space="0" w:color="auto"/>
              <w:left w:val="nil"/>
              <w:bottom w:val="single" w:sz="4" w:space="0" w:color="auto"/>
              <w:right w:val="nil"/>
            </w:tcBorders>
            <w:hideMark/>
          </w:tcPr>
          <w:p w14:paraId="49DF4AE0" w14:textId="77777777" w:rsidR="00B036B3" w:rsidRPr="00B036B3" w:rsidRDefault="00B036B3" w:rsidP="00150ACA">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2022(Frw’000)</w:t>
            </w:r>
          </w:p>
        </w:tc>
        <w:tc>
          <w:tcPr>
            <w:tcW w:w="1715" w:type="dxa"/>
            <w:tcBorders>
              <w:top w:val="single" w:sz="4" w:space="0" w:color="auto"/>
              <w:left w:val="nil"/>
              <w:bottom w:val="single" w:sz="4" w:space="0" w:color="auto"/>
              <w:right w:val="nil"/>
            </w:tcBorders>
            <w:hideMark/>
          </w:tcPr>
          <w:p w14:paraId="16484067" w14:textId="77777777" w:rsidR="00B036B3" w:rsidRPr="00B036B3" w:rsidRDefault="00B036B3" w:rsidP="00150ACA">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2023(Frw’000)</w:t>
            </w:r>
          </w:p>
        </w:tc>
      </w:tr>
      <w:tr w:rsidR="00B036B3" w:rsidRPr="00B036B3" w14:paraId="3E87C266" w14:textId="77777777" w:rsidTr="00B036B3">
        <w:tc>
          <w:tcPr>
            <w:tcW w:w="1170" w:type="dxa"/>
            <w:tcBorders>
              <w:top w:val="single" w:sz="4" w:space="0" w:color="auto"/>
              <w:left w:val="nil"/>
              <w:bottom w:val="nil"/>
              <w:right w:val="nil"/>
            </w:tcBorders>
            <w:hideMark/>
          </w:tcPr>
          <w:p w14:paraId="3B9B0CC1" w14:textId="77777777" w:rsidR="00B036B3" w:rsidRPr="00B036B3" w:rsidRDefault="00B036B3" w:rsidP="00150ACA">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T. Loans</w:t>
            </w:r>
          </w:p>
        </w:tc>
        <w:tc>
          <w:tcPr>
            <w:tcW w:w="1800" w:type="dxa"/>
            <w:tcBorders>
              <w:top w:val="single" w:sz="4" w:space="0" w:color="auto"/>
              <w:left w:val="nil"/>
              <w:bottom w:val="nil"/>
              <w:right w:val="nil"/>
            </w:tcBorders>
            <w:hideMark/>
          </w:tcPr>
          <w:p w14:paraId="46452327" w14:textId="77777777" w:rsidR="00B036B3" w:rsidRPr="00B036B3" w:rsidRDefault="00B036B3" w:rsidP="00150ACA">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42,633,996</w:t>
            </w:r>
          </w:p>
        </w:tc>
        <w:tc>
          <w:tcPr>
            <w:tcW w:w="1710" w:type="dxa"/>
            <w:tcBorders>
              <w:top w:val="single" w:sz="4" w:space="0" w:color="auto"/>
              <w:left w:val="nil"/>
              <w:bottom w:val="nil"/>
              <w:right w:val="nil"/>
            </w:tcBorders>
            <w:hideMark/>
          </w:tcPr>
          <w:p w14:paraId="65625D3E" w14:textId="77777777" w:rsidR="00B036B3" w:rsidRPr="00B036B3" w:rsidRDefault="00B036B3" w:rsidP="00150ACA">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48,622,677</w:t>
            </w:r>
          </w:p>
        </w:tc>
        <w:tc>
          <w:tcPr>
            <w:tcW w:w="1710" w:type="dxa"/>
            <w:tcBorders>
              <w:top w:val="single" w:sz="4" w:space="0" w:color="auto"/>
              <w:left w:val="nil"/>
              <w:bottom w:val="nil"/>
              <w:right w:val="nil"/>
            </w:tcBorders>
            <w:hideMark/>
          </w:tcPr>
          <w:p w14:paraId="099FF7B5" w14:textId="77777777" w:rsidR="00B036B3" w:rsidRPr="00B036B3" w:rsidRDefault="00B036B3" w:rsidP="00150ACA">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48,908,518</w:t>
            </w:r>
          </w:p>
        </w:tc>
        <w:tc>
          <w:tcPr>
            <w:tcW w:w="1705" w:type="dxa"/>
            <w:tcBorders>
              <w:top w:val="single" w:sz="4" w:space="0" w:color="auto"/>
              <w:left w:val="nil"/>
              <w:bottom w:val="nil"/>
              <w:right w:val="nil"/>
            </w:tcBorders>
            <w:hideMark/>
          </w:tcPr>
          <w:p w14:paraId="58EE889C" w14:textId="77777777" w:rsidR="00B036B3" w:rsidRPr="00B036B3" w:rsidRDefault="00B036B3" w:rsidP="00150ACA">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37,253,477</w:t>
            </w:r>
          </w:p>
        </w:tc>
        <w:tc>
          <w:tcPr>
            <w:tcW w:w="1715" w:type="dxa"/>
            <w:tcBorders>
              <w:top w:val="single" w:sz="4" w:space="0" w:color="auto"/>
              <w:left w:val="nil"/>
              <w:bottom w:val="nil"/>
              <w:right w:val="nil"/>
            </w:tcBorders>
            <w:hideMark/>
          </w:tcPr>
          <w:p w14:paraId="51FBA8CE" w14:textId="77777777" w:rsidR="00B036B3" w:rsidRPr="00B036B3" w:rsidRDefault="00B036B3" w:rsidP="00150ACA">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34,471,872</w:t>
            </w:r>
          </w:p>
        </w:tc>
      </w:tr>
      <w:tr w:rsidR="00B036B3" w:rsidRPr="00B036B3" w14:paraId="2970E7D5" w14:textId="77777777" w:rsidTr="00B036B3">
        <w:tc>
          <w:tcPr>
            <w:tcW w:w="1170" w:type="dxa"/>
            <w:tcBorders>
              <w:top w:val="nil"/>
              <w:left w:val="nil"/>
              <w:bottom w:val="nil"/>
              <w:right w:val="nil"/>
            </w:tcBorders>
            <w:hideMark/>
          </w:tcPr>
          <w:p w14:paraId="79399B8B" w14:textId="77777777" w:rsidR="00B036B3" w:rsidRPr="00B036B3" w:rsidRDefault="00B036B3" w:rsidP="00150ACA">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T. Deposits</w:t>
            </w:r>
          </w:p>
        </w:tc>
        <w:tc>
          <w:tcPr>
            <w:tcW w:w="1800" w:type="dxa"/>
            <w:tcBorders>
              <w:top w:val="nil"/>
              <w:left w:val="nil"/>
              <w:bottom w:val="nil"/>
              <w:right w:val="nil"/>
            </w:tcBorders>
            <w:hideMark/>
          </w:tcPr>
          <w:p w14:paraId="32111131" w14:textId="77777777" w:rsidR="00B036B3" w:rsidRPr="00B036B3" w:rsidRDefault="00B036B3" w:rsidP="00150ACA">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72,582,514</w:t>
            </w:r>
          </w:p>
        </w:tc>
        <w:tc>
          <w:tcPr>
            <w:tcW w:w="1710" w:type="dxa"/>
            <w:tcBorders>
              <w:top w:val="nil"/>
              <w:left w:val="nil"/>
              <w:bottom w:val="nil"/>
              <w:right w:val="nil"/>
            </w:tcBorders>
            <w:hideMark/>
          </w:tcPr>
          <w:p w14:paraId="53CD5BA4" w14:textId="77777777" w:rsidR="00B036B3" w:rsidRPr="00B036B3" w:rsidRDefault="00B036B3" w:rsidP="00150ACA">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88,966,045</w:t>
            </w:r>
          </w:p>
        </w:tc>
        <w:tc>
          <w:tcPr>
            <w:tcW w:w="1710" w:type="dxa"/>
            <w:tcBorders>
              <w:top w:val="nil"/>
              <w:left w:val="nil"/>
              <w:bottom w:val="nil"/>
              <w:right w:val="nil"/>
            </w:tcBorders>
            <w:hideMark/>
          </w:tcPr>
          <w:p w14:paraId="0841906D" w14:textId="77777777" w:rsidR="00B036B3" w:rsidRPr="00B036B3" w:rsidRDefault="00B036B3" w:rsidP="00150ACA">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102,603,683</w:t>
            </w:r>
          </w:p>
        </w:tc>
        <w:tc>
          <w:tcPr>
            <w:tcW w:w="1705" w:type="dxa"/>
            <w:tcBorders>
              <w:top w:val="nil"/>
              <w:left w:val="nil"/>
              <w:bottom w:val="nil"/>
              <w:right w:val="nil"/>
            </w:tcBorders>
            <w:hideMark/>
          </w:tcPr>
          <w:p w14:paraId="564E6403" w14:textId="77777777" w:rsidR="00B036B3" w:rsidRPr="00B036B3" w:rsidRDefault="00B036B3" w:rsidP="00150ACA">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98,873,077</w:t>
            </w:r>
          </w:p>
        </w:tc>
        <w:tc>
          <w:tcPr>
            <w:tcW w:w="1715" w:type="dxa"/>
            <w:tcBorders>
              <w:top w:val="nil"/>
              <w:left w:val="nil"/>
              <w:bottom w:val="nil"/>
              <w:right w:val="nil"/>
            </w:tcBorders>
            <w:hideMark/>
          </w:tcPr>
          <w:p w14:paraId="185FACB2" w14:textId="77777777" w:rsidR="00B036B3" w:rsidRPr="00B036B3" w:rsidRDefault="00B036B3" w:rsidP="00150ACA">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118,936,042</w:t>
            </w:r>
          </w:p>
        </w:tc>
      </w:tr>
      <w:tr w:rsidR="00B036B3" w:rsidRPr="00B036B3" w14:paraId="2E4F8FE2" w14:textId="77777777" w:rsidTr="00B036B3">
        <w:tc>
          <w:tcPr>
            <w:tcW w:w="1170" w:type="dxa"/>
            <w:tcBorders>
              <w:top w:val="nil"/>
              <w:left w:val="nil"/>
              <w:bottom w:val="single" w:sz="4" w:space="0" w:color="auto"/>
              <w:right w:val="nil"/>
            </w:tcBorders>
            <w:hideMark/>
          </w:tcPr>
          <w:p w14:paraId="6B7A8E93" w14:textId="77777777" w:rsidR="00B036B3" w:rsidRPr="00B036B3" w:rsidRDefault="00B036B3" w:rsidP="00150ACA">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L/D ratio</w:t>
            </w:r>
          </w:p>
        </w:tc>
        <w:tc>
          <w:tcPr>
            <w:tcW w:w="1800" w:type="dxa"/>
            <w:tcBorders>
              <w:top w:val="nil"/>
              <w:left w:val="nil"/>
              <w:bottom w:val="single" w:sz="4" w:space="0" w:color="auto"/>
              <w:right w:val="nil"/>
            </w:tcBorders>
            <w:vAlign w:val="bottom"/>
            <w:hideMark/>
          </w:tcPr>
          <w:p w14:paraId="57BC8015" w14:textId="77777777" w:rsidR="00B036B3" w:rsidRPr="00B036B3" w:rsidRDefault="00B036B3" w:rsidP="00150ACA">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58.74</w:t>
            </w:r>
          </w:p>
        </w:tc>
        <w:tc>
          <w:tcPr>
            <w:tcW w:w="1710" w:type="dxa"/>
            <w:tcBorders>
              <w:top w:val="nil"/>
              <w:left w:val="nil"/>
              <w:bottom w:val="single" w:sz="4" w:space="0" w:color="auto"/>
              <w:right w:val="nil"/>
            </w:tcBorders>
            <w:vAlign w:val="bottom"/>
            <w:hideMark/>
          </w:tcPr>
          <w:p w14:paraId="758A8802" w14:textId="77777777" w:rsidR="00B036B3" w:rsidRPr="00B036B3" w:rsidRDefault="00B036B3" w:rsidP="00150ACA">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54.65</w:t>
            </w:r>
          </w:p>
        </w:tc>
        <w:tc>
          <w:tcPr>
            <w:tcW w:w="1710" w:type="dxa"/>
            <w:tcBorders>
              <w:top w:val="nil"/>
              <w:left w:val="nil"/>
              <w:bottom w:val="single" w:sz="4" w:space="0" w:color="auto"/>
              <w:right w:val="nil"/>
            </w:tcBorders>
            <w:vAlign w:val="bottom"/>
            <w:hideMark/>
          </w:tcPr>
          <w:p w14:paraId="5E90A185" w14:textId="77777777" w:rsidR="00B036B3" w:rsidRPr="00B036B3" w:rsidRDefault="00B036B3" w:rsidP="00150ACA">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47.67</w:t>
            </w:r>
          </w:p>
        </w:tc>
        <w:tc>
          <w:tcPr>
            <w:tcW w:w="1705" w:type="dxa"/>
            <w:tcBorders>
              <w:top w:val="nil"/>
              <w:left w:val="nil"/>
              <w:bottom w:val="single" w:sz="4" w:space="0" w:color="auto"/>
              <w:right w:val="nil"/>
            </w:tcBorders>
            <w:vAlign w:val="bottom"/>
            <w:hideMark/>
          </w:tcPr>
          <w:p w14:paraId="6D9161A0" w14:textId="77777777" w:rsidR="00B036B3" w:rsidRPr="00B036B3" w:rsidRDefault="00B036B3" w:rsidP="00150ACA">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37.68</w:t>
            </w:r>
          </w:p>
        </w:tc>
        <w:tc>
          <w:tcPr>
            <w:tcW w:w="1715" w:type="dxa"/>
            <w:tcBorders>
              <w:top w:val="nil"/>
              <w:left w:val="nil"/>
              <w:bottom w:val="single" w:sz="4" w:space="0" w:color="auto"/>
              <w:right w:val="nil"/>
            </w:tcBorders>
            <w:vAlign w:val="bottom"/>
            <w:hideMark/>
          </w:tcPr>
          <w:p w14:paraId="7D5B300E" w14:textId="77777777" w:rsidR="00B036B3" w:rsidRPr="00B036B3" w:rsidRDefault="00B036B3" w:rsidP="00150ACA">
            <w:pPr>
              <w:shd w:val="clear" w:color="auto" w:fill="FFFFFF" w:themeFill="background1"/>
              <w:spacing w:after="240" w:line="24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28.98</w:t>
            </w:r>
          </w:p>
        </w:tc>
      </w:tr>
    </w:tbl>
    <w:p w14:paraId="3D4FA240"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b/>
          <w:sz w:val="24"/>
          <w:szCs w:val="24"/>
        </w:rPr>
        <w:t>Source:</w:t>
      </w:r>
      <w:r w:rsidRPr="00B036B3">
        <w:rPr>
          <w:rFonts w:asciiTheme="majorBidi" w:eastAsia="Times New Roman" w:hAnsiTheme="majorBidi" w:cstheme="majorBidi"/>
          <w:sz w:val="24"/>
          <w:szCs w:val="24"/>
        </w:rPr>
        <w:t xml:space="preserve"> Statement of financial position of GT Bank Plc (2019-2023)</w:t>
      </w:r>
    </w:p>
    <w:p w14:paraId="3310403A" w14:textId="083A5800" w:rsidR="00B036B3" w:rsidRPr="00B036B3" w:rsidRDefault="008A4D2C" w:rsidP="006D3D71">
      <w:pPr>
        <w:shd w:val="clear" w:color="auto" w:fill="FFFFFF" w:themeFill="background1"/>
        <w:spacing w:after="24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Table 4.25</w:t>
      </w:r>
      <w:r w:rsidR="00B036B3" w:rsidRPr="00B036B3">
        <w:rPr>
          <w:rFonts w:asciiTheme="majorBidi" w:eastAsia="Times New Roman" w:hAnsiTheme="majorBidi" w:cstheme="majorBidi"/>
          <w:sz w:val="24"/>
          <w:szCs w:val="24"/>
        </w:rPr>
        <w:t xml:space="preserve"> presents the loan to deposit ratio (L/D ratio) of GT Bank Plc Headquarters from 2019 to 2023, showing the proportion of loans issued relative to total customer deposits. This ratio reflects the bank’s lending strategy and liquidity management. A higher L/D ratio indicates aggressive lending, which boosts profitability but increases liquidity risks, while a lower ratio suggests a conservative lending approach, prioritizing liquidity stability over loan expansion. </w:t>
      </w:r>
    </w:p>
    <w:p w14:paraId="117CB5C8"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In 2019, the L/D ratio was 58.74%, indicating that 58.74% of the bank’s total deposits were utilized for lending. This level suggests a moderate lending strategy, ensuring both loan profitability and adequate liquidity reserves to meet withdrawal demands. The findings align with Smith (2021), who emphasized that banks maintaining L/D ratios between 50% and 70% effectively balance credit risk and deposit liquidity.</w:t>
      </w:r>
    </w:p>
    <w:p w14:paraId="785682C8"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 xml:space="preserve">In 2020, the L/D ratio declined to 54.65%, reflecting a slight reduction in loan issuance relative to deposits. While total loans increased to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48,622,677,000, total deposits grew </w:t>
      </w:r>
      <w:r w:rsidRPr="00B036B3">
        <w:rPr>
          <w:rFonts w:asciiTheme="majorBidi" w:eastAsia="Times New Roman" w:hAnsiTheme="majorBidi" w:cstheme="majorBidi"/>
          <w:sz w:val="24"/>
          <w:szCs w:val="24"/>
        </w:rPr>
        <w:lastRenderedPageBreak/>
        <w:t xml:space="preserve">significantly to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88,966,045,000, contributing to the ratio’s decline. This trend suggests that GT Bank Plc adopted a more cautious lending approach, prioritizing liquidity retention amid potential financial uncertainties. Smith (2021) noted that a declining L/D ratio enhances liquidity resilience, but excessive declines may indicate underutilization of lending capacity.</w:t>
      </w:r>
    </w:p>
    <w:p w14:paraId="29E43DA6"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 xml:space="preserve">In 2021, the L/D ratio further decreased to 47.67%, reaching its lowest level in the study period up to that point. The decline stemmed from a substantial rise in deposits to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102,603,683,000, while loan issuance remained relatively stable. This shift indicates that GT Bank Plc prioritized deposit mobilization over aggressive lending, likely as a risk management strategy. According to Smith (2021), banks lowering their L/D ratios during uncertain economic conditions ensure greater financial stability, though reduced lending may limit profit generation from interest income.</w:t>
      </w:r>
    </w:p>
    <w:p w14:paraId="341DE10C"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 xml:space="preserve">In 2022, the L/D ratio dropped to 37.68%, reflecting a significant reduction in loan issuance to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37,253,477,000, despite total deposits remaining relatively high at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98,873,077,000. This decline suggests that GT Bank Plc took a conservative lending approach, possibly in response to heightened credit risks or economic instability. The results support Smith’s (2021) argument that a lower L/D ratio signals a shift toward risk-averse banking practices, ensuring sufficient liquidity reserves but potentially limiting revenue growth.</w:t>
      </w:r>
    </w:p>
    <w:p w14:paraId="794F57BB" w14:textId="77777777" w:rsidR="00B036B3" w:rsidRP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 xml:space="preserve">By 2023, the L/D ratio reached its lowest level at 28.98%, meaning that less than one-third of total deposits were allocated to lending. This reduction was driven by a decline in loan issuance to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34,471,872,000, while deposits continued increasing to </w:t>
      </w:r>
      <w:proofErr w:type="spellStart"/>
      <w:r w:rsidRPr="00B036B3">
        <w:rPr>
          <w:rFonts w:asciiTheme="majorBidi" w:eastAsia="Times New Roman" w:hAnsiTheme="majorBidi" w:cstheme="majorBidi"/>
          <w:sz w:val="24"/>
          <w:szCs w:val="24"/>
        </w:rPr>
        <w:t>Frw</w:t>
      </w:r>
      <w:proofErr w:type="spellEnd"/>
      <w:r w:rsidRPr="00B036B3">
        <w:rPr>
          <w:rFonts w:asciiTheme="majorBidi" w:eastAsia="Times New Roman" w:hAnsiTheme="majorBidi" w:cstheme="majorBidi"/>
          <w:sz w:val="24"/>
          <w:szCs w:val="24"/>
        </w:rPr>
        <w:t xml:space="preserve"> 118,936,042,000. The findings indicate that GT Bank Plc adopted an ultra-conservative lending strategy, prioritizing deposit security over credit expansion. This aligns with Smith’s (2021) assertion that banks with low L/D ratios maintain strong liquidity buffers, though they risk underutilizing their lending potential.</w:t>
      </w:r>
    </w:p>
    <w:p w14:paraId="73E5A0FC" w14:textId="77777777" w:rsidR="00B036B3" w:rsidRDefault="00B036B3"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036B3">
        <w:rPr>
          <w:rFonts w:asciiTheme="majorBidi" w:eastAsia="Times New Roman" w:hAnsiTheme="majorBidi" w:cstheme="majorBidi"/>
          <w:sz w:val="24"/>
          <w:szCs w:val="24"/>
        </w:rPr>
        <w:t>Overall, the results demonstrate that GT Bank Plc shifted toward a highly liquid and risk-averse banking model over the years. While this approach ensured financial stability, it may have limited the bank’s potential for interest income growth. The findings highlight the importance of balancing lending and liquidity management to sustain both profitability and financial security.</w:t>
      </w:r>
    </w:p>
    <w:p w14:paraId="2FB50FFE" w14:textId="77777777" w:rsidR="00CE4377" w:rsidRDefault="00CE4377" w:rsidP="006D3D71">
      <w:pPr>
        <w:shd w:val="clear" w:color="auto" w:fill="FFFFFF" w:themeFill="background1"/>
        <w:spacing w:after="240" w:line="360" w:lineRule="auto"/>
        <w:jc w:val="both"/>
        <w:rPr>
          <w:rFonts w:asciiTheme="majorBidi" w:eastAsia="Times New Roman" w:hAnsiTheme="majorBidi" w:cstheme="majorBidi"/>
          <w:sz w:val="24"/>
          <w:szCs w:val="24"/>
        </w:rPr>
      </w:pPr>
    </w:p>
    <w:p w14:paraId="312E4017" w14:textId="77777777" w:rsidR="00CE4377" w:rsidRPr="00B036B3" w:rsidRDefault="00CE4377" w:rsidP="006D3D71">
      <w:pPr>
        <w:shd w:val="clear" w:color="auto" w:fill="FFFFFF" w:themeFill="background1"/>
        <w:spacing w:after="240" w:line="360" w:lineRule="auto"/>
        <w:jc w:val="both"/>
        <w:rPr>
          <w:rFonts w:asciiTheme="majorBidi" w:eastAsia="Times New Roman" w:hAnsiTheme="majorBidi" w:cstheme="majorBidi"/>
          <w:sz w:val="24"/>
          <w:szCs w:val="24"/>
        </w:rPr>
      </w:pPr>
    </w:p>
    <w:p w14:paraId="32AFB54E" w14:textId="291FF8A6" w:rsidR="00CE54B3" w:rsidRPr="008A4D2C" w:rsidRDefault="008A4D2C" w:rsidP="00CE54B3">
      <w:pPr>
        <w:pStyle w:val="Heading3"/>
        <w:rPr>
          <w:rFonts w:ascii="Times New Roman" w:eastAsia="Times New Roman" w:hAnsi="Times New Roman" w:cs="Times New Roman"/>
          <w:b/>
          <w:bCs/>
          <w:color w:val="auto"/>
          <w:sz w:val="24"/>
          <w:szCs w:val="24"/>
        </w:rPr>
      </w:pPr>
      <w:bookmarkStart w:id="1421" w:name="_Toc164165553"/>
      <w:bookmarkStart w:id="1422" w:name="_Toc164165697"/>
      <w:bookmarkStart w:id="1423" w:name="_Toc164165990"/>
      <w:bookmarkStart w:id="1424" w:name="_Toc192354211"/>
      <w:bookmarkStart w:id="1425" w:name="_Toc192354944"/>
      <w:bookmarkStart w:id="1426" w:name="_Toc192355059"/>
      <w:bookmarkStart w:id="1427" w:name="_Toc193282287"/>
      <w:bookmarkStart w:id="1428" w:name="_Toc193282453"/>
      <w:bookmarkStart w:id="1429" w:name="_Toc193846492"/>
      <w:r w:rsidRPr="008A4D2C">
        <w:rPr>
          <w:rFonts w:ascii="Times New Roman" w:eastAsia="Times New Roman" w:hAnsi="Times New Roman" w:cs="Times New Roman"/>
          <w:b/>
          <w:bCs/>
          <w:color w:val="auto"/>
          <w:sz w:val="24"/>
          <w:szCs w:val="24"/>
        </w:rPr>
        <w:t xml:space="preserve">4.3. </w:t>
      </w:r>
      <w:r w:rsidR="00CE54B3" w:rsidRPr="008A4D2C">
        <w:rPr>
          <w:rFonts w:ascii="Times New Roman" w:eastAsia="Times New Roman" w:hAnsi="Times New Roman" w:cs="Times New Roman"/>
          <w:b/>
          <w:bCs/>
          <w:color w:val="auto"/>
          <w:sz w:val="24"/>
          <w:szCs w:val="24"/>
        </w:rPr>
        <w:t xml:space="preserve">Regression </w:t>
      </w:r>
      <w:r w:rsidRPr="008A4D2C">
        <w:rPr>
          <w:rFonts w:ascii="Times New Roman" w:eastAsia="Times New Roman" w:hAnsi="Times New Roman" w:cs="Times New Roman"/>
          <w:b/>
          <w:bCs/>
          <w:color w:val="auto"/>
          <w:sz w:val="24"/>
          <w:szCs w:val="24"/>
        </w:rPr>
        <w:t>Analysis</w:t>
      </w:r>
      <w:bookmarkEnd w:id="1421"/>
      <w:bookmarkEnd w:id="1422"/>
      <w:bookmarkEnd w:id="1423"/>
      <w:bookmarkEnd w:id="1424"/>
      <w:bookmarkEnd w:id="1425"/>
      <w:bookmarkEnd w:id="1426"/>
      <w:bookmarkEnd w:id="1427"/>
      <w:bookmarkEnd w:id="1428"/>
      <w:bookmarkEnd w:id="1429"/>
    </w:p>
    <w:p w14:paraId="19CB4F86" w14:textId="77777777" w:rsidR="00CE54B3" w:rsidRPr="00CE54B3" w:rsidRDefault="00CE54B3" w:rsidP="00CE54B3">
      <w:pPr>
        <w:shd w:val="clear" w:color="auto" w:fill="FFFFFF" w:themeFill="background1"/>
        <w:spacing w:after="240" w:line="360" w:lineRule="auto"/>
        <w:jc w:val="both"/>
        <w:rPr>
          <w:rFonts w:asciiTheme="majorBidi" w:eastAsia="Times New Roman" w:hAnsiTheme="majorBidi" w:cstheme="majorBidi"/>
          <w:b/>
          <w:bCs/>
          <w:sz w:val="24"/>
          <w:szCs w:val="24"/>
        </w:rPr>
      </w:pPr>
      <w:r w:rsidRPr="00CE54B3">
        <w:rPr>
          <w:rFonts w:asciiTheme="majorBidi" w:eastAsia="Times New Roman" w:hAnsiTheme="majorBidi" w:cstheme="majorBidi"/>
          <w:sz w:val="24"/>
          <w:szCs w:val="24"/>
        </w:rPr>
        <w:t>In regression, the researcher analyzed the model summary, variances</w:t>
      </w:r>
      <w:bookmarkStart w:id="1430" w:name="_Toc527701056"/>
      <w:bookmarkStart w:id="1431" w:name="_Toc527451142"/>
      <w:bookmarkStart w:id="1432" w:name="_Toc377299853"/>
      <w:r w:rsidRPr="00CE54B3">
        <w:rPr>
          <w:rFonts w:asciiTheme="majorBidi" w:eastAsia="Times New Roman" w:hAnsiTheme="majorBidi" w:cstheme="majorBidi"/>
          <w:sz w:val="24"/>
          <w:szCs w:val="24"/>
        </w:rPr>
        <w:t xml:space="preserve"> and coefficients of variables</w:t>
      </w:r>
      <w:r w:rsidRPr="00CE54B3">
        <w:rPr>
          <w:rFonts w:asciiTheme="majorBidi" w:eastAsia="Times New Roman" w:hAnsiTheme="majorBidi" w:cstheme="majorBidi"/>
          <w:b/>
          <w:bCs/>
          <w:sz w:val="24"/>
          <w:szCs w:val="24"/>
        </w:rPr>
        <w:t>.</w:t>
      </w:r>
      <w:bookmarkEnd w:id="1430"/>
      <w:bookmarkEnd w:id="1431"/>
      <w:bookmarkEnd w:id="1432"/>
    </w:p>
    <w:p w14:paraId="7C6E5210" w14:textId="6EFA95A1" w:rsidR="00152A35" w:rsidRPr="00152A35" w:rsidRDefault="008A4D2C" w:rsidP="006D3D71">
      <w:pPr>
        <w:shd w:val="clear" w:color="auto" w:fill="FFFFFF" w:themeFill="background1"/>
        <w:spacing w:after="240" w:line="360" w:lineRule="auto"/>
        <w:jc w:val="both"/>
        <w:rPr>
          <w:rFonts w:asciiTheme="majorBidi" w:eastAsia="Times New Roman" w:hAnsiTheme="majorBidi" w:cstheme="majorBidi"/>
          <w:sz w:val="24"/>
          <w:szCs w:val="24"/>
        </w:rPr>
      </w:pPr>
      <w:r>
        <w:rPr>
          <w:rFonts w:asciiTheme="majorBidi" w:eastAsia="Times New Roman" w:hAnsiTheme="majorBidi" w:cstheme="majorBidi"/>
          <w:b/>
          <w:bCs/>
          <w:sz w:val="24"/>
          <w:szCs w:val="24"/>
        </w:rPr>
        <w:t>Table 4.26</w:t>
      </w:r>
      <w:r w:rsidR="00152A35" w:rsidRPr="00152A35">
        <w:rPr>
          <w:rFonts w:asciiTheme="majorBidi" w:eastAsia="Times New Roman" w:hAnsiTheme="majorBidi" w:cstheme="majorBidi"/>
          <w:b/>
          <w:bCs/>
          <w:sz w:val="24"/>
          <w:szCs w:val="24"/>
        </w:rPr>
        <w:t>: Model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9"/>
        <w:gridCol w:w="600"/>
        <w:gridCol w:w="755"/>
        <w:gridCol w:w="1163"/>
        <w:gridCol w:w="1359"/>
        <w:gridCol w:w="1118"/>
        <w:gridCol w:w="1021"/>
        <w:gridCol w:w="787"/>
        <w:gridCol w:w="360"/>
        <w:gridCol w:w="360"/>
        <w:gridCol w:w="924"/>
      </w:tblGrid>
      <w:tr w:rsidR="00CE4377" w:rsidRPr="00152A35" w14:paraId="43ADDF1A" w14:textId="77777777" w:rsidTr="00CE4377">
        <w:trPr>
          <w:tblHeader/>
          <w:tblCellSpacing w:w="15" w:type="dxa"/>
        </w:trPr>
        <w:tc>
          <w:tcPr>
            <w:tcW w:w="0" w:type="auto"/>
            <w:vAlign w:val="center"/>
            <w:hideMark/>
          </w:tcPr>
          <w:p w14:paraId="2F4F278D" w14:textId="77777777" w:rsidR="00152A35" w:rsidRPr="00CE4377" w:rsidRDefault="00152A35" w:rsidP="0040428A">
            <w:pPr>
              <w:pStyle w:val="NoSpacing"/>
              <w:rPr>
                <w:b/>
                <w:bCs/>
              </w:rPr>
            </w:pPr>
            <w:r w:rsidRPr="00CE4377">
              <w:rPr>
                <w:b/>
                <w:bCs/>
              </w:rPr>
              <w:t>Model</w:t>
            </w:r>
          </w:p>
        </w:tc>
        <w:tc>
          <w:tcPr>
            <w:tcW w:w="0" w:type="auto"/>
            <w:vAlign w:val="center"/>
            <w:hideMark/>
          </w:tcPr>
          <w:p w14:paraId="0AAD09E4" w14:textId="77777777" w:rsidR="00152A35" w:rsidRPr="00CE4377" w:rsidRDefault="00152A35" w:rsidP="0040428A">
            <w:pPr>
              <w:pStyle w:val="NoSpacing"/>
              <w:rPr>
                <w:b/>
                <w:bCs/>
              </w:rPr>
            </w:pPr>
            <w:r w:rsidRPr="00CE4377">
              <w:rPr>
                <w:b/>
                <w:bCs/>
              </w:rPr>
              <w:t>R</w:t>
            </w:r>
          </w:p>
        </w:tc>
        <w:tc>
          <w:tcPr>
            <w:tcW w:w="0" w:type="auto"/>
            <w:vAlign w:val="center"/>
            <w:hideMark/>
          </w:tcPr>
          <w:p w14:paraId="2B61361D" w14:textId="77777777" w:rsidR="00152A35" w:rsidRPr="00CE4377" w:rsidRDefault="00152A35" w:rsidP="0040428A">
            <w:pPr>
              <w:pStyle w:val="NoSpacing"/>
              <w:rPr>
                <w:b/>
                <w:bCs/>
              </w:rPr>
            </w:pPr>
            <w:r w:rsidRPr="00CE4377">
              <w:rPr>
                <w:b/>
                <w:bCs/>
              </w:rPr>
              <w:t>R Square</w:t>
            </w:r>
          </w:p>
        </w:tc>
        <w:tc>
          <w:tcPr>
            <w:tcW w:w="0" w:type="auto"/>
            <w:vAlign w:val="center"/>
            <w:hideMark/>
          </w:tcPr>
          <w:p w14:paraId="4B65B88C" w14:textId="77777777" w:rsidR="00152A35" w:rsidRPr="00CE4377" w:rsidRDefault="00152A35" w:rsidP="0040428A">
            <w:pPr>
              <w:pStyle w:val="NoSpacing"/>
              <w:rPr>
                <w:b/>
                <w:bCs/>
              </w:rPr>
            </w:pPr>
            <w:r w:rsidRPr="00CE4377">
              <w:rPr>
                <w:b/>
                <w:bCs/>
              </w:rPr>
              <w:t>Adjusted R Square</w:t>
            </w:r>
          </w:p>
        </w:tc>
        <w:tc>
          <w:tcPr>
            <w:tcW w:w="0" w:type="auto"/>
            <w:vAlign w:val="center"/>
            <w:hideMark/>
          </w:tcPr>
          <w:p w14:paraId="1865ADAD" w14:textId="77777777" w:rsidR="00152A35" w:rsidRPr="00CE4377" w:rsidRDefault="00152A35" w:rsidP="0040428A">
            <w:pPr>
              <w:pStyle w:val="NoSpacing"/>
              <w:rPr>
                <w:b/>
                <w:bCs/>
              </w:rPr>
            </w:pPr>
            <w:r w:rsidRPr="00CE4377">
              <w:rPr>
                <w:b/>
                <w:bCs/>
              </w:rPr>
              <w:t>Std. Error of the Estimate</w:t>
            </w:r>
          </w:p>
        </w:tc>
        <w:tc>
          <w:tcPr>
            <w:tcW w:w="0" w:type="auto"/>
            <w:vAlign w:val="center"/>
            <w:hideMark/>
          </w:tcPr>
          <w:p w14:paraId="0FC47F05" w14:textId="77777777" w:rsidR="00152A35" w:rsidRPr="00CE4377" w:rsidRDefault="00152A35" w:rsidP="0040428A">
            <w:pPr>
              <w:pStyle w:val="NoSpacing"/>
              <w:rPr>
                <w:b/>
                <w:bCs/>
              </w:rPr>
            </w:pPr>
            <w:r w:rsidRPr="00CE4377">
              <w:rPr>
                <w:b/>
                <w:bCs/>
              </w:rPr>
              <w:t>Change Statistics</w:t>
            </w:r>
          </w:p>
        </w:tc>
        <w:tc>
          <w:tcPr>
            <w:tcW w:w="0" w:type="auto"/>
            <w:vAlign w:val="center"/>
            <w:hideMark/>
          </w:tcPr>
          <w:p w14:paraId="0049AD00" w14:textId="77777777" w:rsidR="00152A35" w:rsidRPr="00CE4377" w:rsidRDefault="00152A35" w:rsidP="0040428A">
            <w:pPr>
              <w:pStyle w:val="NoSpacing"/>
              <w:rPr>
                <w:b/>
                <w:bCs/>
              </w:rPr>
            </w:pPr>
            <w:r w:rsidRPr="00CE4377">
              <w:rPr>
                <w:b/>
                <w:bCs/>
              </w:rPr>
              <w:t>R Square Change</w:t>
            </w:r>
          </w:p>
        </w:tc>
        <w:tc>
          <w:tcPr>
            <w:tcW w:w="0" w:type="auto"/>
            <w:vAlign w:val="center"/>
            <w:hideMark/>
          </w:tcPr>
          <w:p w14:paraId="257E85BC" w14:textId="77777777" w:rsidR="00152A35" w:rsidRPr="00CE4377" w:rsidRDefault="00152A35" w:rsidP="0040428A">
            <w:pPr>
              <w:pStyle w:val="NoSpacing"/>
              <w:rPr>
                <w:b/>
                <w:bCs/>
              </w:rPr>
            </w:pPr>
            <w:r w:rsidRPr="00CE4377">
              <w:rPr>
                <w:b/>
                <w:bCs/>
              </w:rPr>
              <w:t>F Change</w:t>
            </w:r>
          </w:p>
        </w:tc>
        <w:tc>
          <w:tcPr>
            <w:tcW w:w="0" w:type="auto"/>
            <w:vAlign w:val="center"/>
            <w:hideMark/>
          </w:tcPr>
          <w:p w14:paraId="01DD41A3" w14:textId="77777777" w:rsidR="00152A35" w:rsidRPr="00CE4377" w:rsidRDefault="00152A35" w:rsidP="0040428A">
            <w:pPr>
              <w:pStyle w:val="NoSpacing"/>
              <w:rPr>
                <w:b/>
                <w:bCs/>
              </w:rPr>
            </w:pPr>
            <w:r w:rsidRPr="00CE4377">
              <w:rPr>
                <w:b/>
                <w:bCs/>
              </w:rPr>
              <w:t>df1</w:t>
            </w:r>
          </w:p>
        </w:tc>
        <w:tc>
          <w:tcPr>
            <w:tcW w:w="0" w:type="auto"/>
            <w:vAlign w:val="center"/>
            <w:hideMark/>
          </w:tcPr>
          <w:p w14:paraId="202BBEE4" w14:textId="77777777" w:rsidR="00152A35" w:rsidRPr="00CE4377" w:rsidRDefault="00152A35" w:rsidP="0040428A">
            <w:pPr>
              <w:pStyle w:val="NoSpacing"/>
              <w:rPr>
                <w:b/>
                <w:bCs/>
              </w:rPr>
            </w:pPr>
            <w:r w:rsidRPr="00CE4377">
              <w:rPr>
                <w:b/>
                <w:bCs/>
              </w:rPr>
              <w:t>df2</w:t>
            </w:r>
          </w:p>
        </w:tc>
        <w:tc>
          <w:tcPr>
            <w:tcW w:w="0" w:type="auto"/>
            <w:vAlign w:val="center"/>
            <w:hideMark/>
          </w:tcPr>
          <w:p w14:paraId="4946FEE8" w14:textId="77777777" w:rsidR="00152A35" w:rsidRPr="00CE4377" w:rsidRDefault="00152A35" w:rsidP="0040428A">
            <w:pPr>
              <w:pStyle w:val="NoSpacing"/>
              <w:rPr>
                <w:b/>
                <w:bCs/>
              </w:rPr>
            </w:pPr>
            <w:r w:rsidRPr="00CE4377">
              <w:rPr>
                <w:b/>
                <w:bCs/>
              </w:rPr>
              <w:t>Sig. F Change</w:t>
            </w:r>
          </w:p>
        </w:tc>
      </w:tr>
      <w:tr w:rsidR="00CE4377" w:rsidRPr="00152A35" w14:paraId="62CCD9E6" w14:textId="77777777" w:rsidTr="00CE4377">
        <w:trPr>
          <w:tblCellSpacing w:w="15" w:type="dxa"/>
        </w:trPr>
        <w:tc>
          <w:tcPr>
            <w:tcW w:w="0" w:type="auto"/>
            <w:vAlign w:val="center"/>
            <w:hideMark/>
          </w:tcPr>
          <w:p w14:paraId="0054B39A" w14:textId="77777777" w:rsidR="00152A35" w:rsidRPr="00152A35" w:rsidRDefault="00152A35" w:rsidP="0040428A">
            <w:pPr>
              <w:shd w:val="clear" w:color="auto" w:fill="FFFFFF" w:themeFill="background1"/>
              <w:spacing w:after="240" w:line="240" w:lineRule="auto"/>
              <w:jc w:val="both"/>
              <w:rPr>
                <w:rFonts w:asciiTheme="majorBidi" w:eastAsia="Times New Roman" w:hAnsiTheme="majorBidi" w:cstheme="majorBidi"/>
                <w:sz w:val="24"/>
                <w:szCs w:val="24"/>
              </w:rPr>
            </w:pPr>
            <w:r w:rsidRPr="00152A35">
              <w:rPr>
                <w:rFonts w:asciiTheme="majorBidi" w:eastAsia="Times New Roman" w:hAnsiTheme="majorBidi" w:cstheme="majorBidi"/>
                <w:sz w:val="24"/>
                <w:szCs w:val="24"/>
              </w:rPr>
              <w:t>1</w:t>
            </w:r>
          </w:p>
        </w:tc>
        <w:tc>
          <w:tcPr>
            <w:tcW w:w="0" w:type="auto"/>
            <w:vAlign w:val="center"/>
            <w:hideMark/>
          </w:tcPr>
          <w:p w14:paraId="4C7AD58A" w14:textId="77777777" w:rsidR="00152A35" w:rsidRPr="00152A35" w:rsidRDefault="00152A35" w:rsidP="0040428A">
            <w:pPr>
              <w:shd w:val="clear" w:color="auto" w:fill="FFFFFF" w:themeFill="background1"/>
              <w:spacing w:after="240" w:line="240" w:lineRule="auto"/>
              <w:jc w:val="both"/>
              <w:rPr>
                <w:rFonts w:asciiTheme="majorBidi" w:eastAsia="Times New Roman" w:hAnsiTheme="majorBidi" w:cstheme="majorBidi"/>
                <w:sz w:val="24"/>
                <w:szCs w:val="24"/>
              </w:rPr>
            </w:pPr>
            <w:r w:rsidRPr="00152A35">
              <w:rPr>
                <w:rFonts w:asciiTheme="majorBidi" w:eastAsia="Times New Roman" w:hAnsiTheme="majorBidi" w:cstheme="majorBidi"/>
                <w:sz w:val="24"/>
                <w:szCs w:val="24"/>
              </w:rPr>
              <w:t>0.738</w:t>
            </w:r>
          </w:p>
        </w:tc>
        <w:tc>
          <w:tcPr>
            <w:tcW w:w="0" w:type="auto"/>
            <w:vAlign w:val="center"/>
            <w:hideMark/>
          </w:tcPr>
          <w:p w14:paraId="1F5EEAA0" w14:textId="77777777" w:rsidR="00152A35" w:rsidRPr="00152A35" w:rsidRDefault="00152A35" w:rsidP="0040428A">
            <w:pPr>
              <w:shd w:val="clear" w:color="auto" w:fill="FFFFFF" w:themeFill="background1"/>
              <w:spacing w:after="240" w:line="240" w:lineRule="auto"/>
              <w:jc w:val="both"/>
              <w:rPr>
                <w:rFonts w:asciiTheme="majorBidi" w:eastAsia="Times New Roman" w:hAnsiTheme="majorBidi" w:cstheme="majorBidi"/>
                <w:sz w:val="24"/>
                <w:szCs w:val="24"/>
              </w:rPr>
            </w:pPr>
            <w:r w:rsidRPr="00152A35">
              <w:rPr>
                <w:rFonts w:asciiTheme="majorBidi" w:eastAsia="Times New Roman" w:hAnsiTheme="majorBidi" w:cstheme="majorBidi"/>
                <w:sz w:val="24"/>
                <w:szCs w:val="24"/>
              </w:rPr>
              <w:t>0.544</w:t>
            </w:r>
          </w:p>
        </w:tc>
        <w:tc>
          <w:tcPr>
            <w:tcW w:w="0" w:type="auto"/>
            <w:vAlign w:val="center"/>
            <w:hideMark/>
          </w:tcPr>
          <w:p w14:paraId="175BB5AC" w14:textId="77777777" w:rsidR="00152A35" w:rsidRPr="00152A35" w:rsidRDefault="00152A35" w:rsidP="0040428A">
            <w:pPr>
              <w:shd w:val="clear" w:color="auto" w:fill="FFFFFF" w:themeFill="background1"/>
              <w:spacing w:after="240" w:line="240" w:lineRule="auto"/>
              <w:jc w:val="both"/>
              <w:rPr>
                <w:rFonts w:asciiTheme="majorBidi" w:eastAsia="Times New Roman" w:hAnsiTheme="majorBidi" w:cstheme="majorBidi"/>
                <w:sz w:val="24"/>
                <w:szCs w:val="24"/>
              </w:rPr>
            </w:pPr>
            <w:r w:rsidRPr="00152A35">
              <w:rPr>
                <w:rFonts w:asciiTheme="majorBidi" w:eastAsia="Times New Roman" w:hAnsiTheme="majorBidi" w:cstheme="majorBidi"/>
                <w:sz w:val="24"/>
                <w:szCs w:val="24"/>
              </w:rPr>
              <w:t>0.526</w:t>
            </w:r>
          </w:p>
        </w:tc>
        <w:tc>
          <w:tcPr>
            <w:tcW w:w="0" w:type="auto"/>
            <w:vAlign w:val="center"/>
            <w:hideMark/>
          </w:tcPr>
          <w:p w14:paraId="34554E25" w14:textId="77777777" w:rsidR="00152A35" w:rsidRPr="00152A35" w:rsidRDefault="00152A35" w:rsidP="0040428A">
            <w:pPr>
              <w:shd w:val="clear" w:color="auto" w:fill="FFFFFF" w:themeFill="background1"/>
              <w:spacing w:after="240" w:line="240" w:lineRule="auto"/>
              <w:jc w:val="both"/>
              <w:rPr>
                <w:rFonts w:asciiTheme="majorBidi" w:eastAsia="Times New Roman" w:hAnsiTheme="majorBidi" w:cstheme="majorBidi"/>
                <w:sz w:val="24"/>
                <w:szCs w:val="24"/>
              </w:rPr>
            </w:pPr>
            <w:r w:rsidRPr="00152A35">
              <w:rPr>
                <w:rFonts w:asciiTheme="majorBidi" w:eastAsia="Times New Roman" w:hAnsiTheme="majorBidi" w:cstheme="majorBidi"/>
                <w:sz w:val="24"/>
                <w:szCs w:val="24"/>
              </w:rPr>
              <w:t>0.509</w:t>
            </w:r>
          </w:p>
        </w:tc>
        <w:tc>
          <w:tcPr>
            <w:tcW w:w="0" w:type="auto"/>
            <w:vAlign w:val="center"/>
            <w:hideMark/>
          </w:tcPr>
          <w:p w14:paraId="47A39FEE" w14:textId="77777777" w:rsidR="00152A35" w:rsidRPr="00152A35" w:rsidRDefault="00152A35" w:rsidP="0040428A">
            <w:pPr>
              <w:shd w:val="clear" w:color="auto" w:fill="FFFFFF" w:themeFill="background1"/>
              <w:spacing w:after="240" w:line="240" w:lineRule="auto"/>
              <w:jc w:val="both"/>
              <w:rPr>
                <w:rFonts w:asciiTheme="majorBidi" w:eastAsia="Times New Roman" w:hAnsiTheme="majorBidi" w:cstheme="majorBidi"/>
                <w:sz w:val="24"/>
                <w:szCs w:val="24"/>
              </w:rPr>
            </w:pPr>
          </w:p>
        </w:tc>
        <w:tc>
          <w:tcPr>
            <w:tcW w:w="0" w:type="auto"/>
            <w:vAlign w:val="center"/>
            <w:hideMark/>
          </w:tcPr>
          <w:p w14:paraId="6B3B5A08" w14:textId="77777777" w:rsidR="00152A35" w:rsidRPr="00152A35" w:rsidRDefault="00152A35" w:rsidP="0040428A">
            <w:pPr>
              <w:shd w:val="clear" w:color="auto" w:fill="FFFFFF" w:themeFill="background1"/>
              <w:spacing w:after="240" w:line="240" w:lineRule="auto"/>
              <w:jc w:val="both"/>
              <w:rPr>
                <w:rFonts w:asciiTheme="majorBidi" w:eastAsia="Times New Roman" w:hAnsiTheme="majorBidi" w:cstheme="majorBidi"/>
                <w:sz w:val="24"/>
                <w:szCs w:val="24"/>
              </w:rPr>
            </w:pPr>
            <w:r w:rsidRPr="00152A35">
              <w:rPr>
                <w:rFonts w:asciiTheme="majorBidi" w:eastAsia="Times New Roman" w:hAnsiTheme="majorBidi" w:cstheme="majorBidi"/>
                <w:sz w:val="24"/>
                <w:szCs w:val="24"/>
              </w:rPr>
              <w:t>0.465</w:t>
            </w:r>
          </w:p>
        </w:tc>
        <w:tc>
          <w:tcPr>
            <w:tcW w:w="0" w:type="auto"/>
            <w:vAlign w:val="center"/>
            <w:hideMark/>
          </w:tcPr>
          <w:p w14:paraId="5EF9C650" w14:textId="77777777" w:rsidR="00152A35" w:rsidRPr="00152A35" w:rsidRDefault="00152A35" w:rsidP="0040428A">
            <w:pPr>
              <w:shd w:val="clear" w:color="auto" w:fill="FFFFFF" w:themeFill="background1"/>
              <w:spacing w:after="240" w:line="240" w:lineRule="auto"/>
              <w:jc w:val="both"/>
              <w:rPr>
                <w:rFonts w:asciiTheme="majorBidi" w:eastAsia="Times New Roman" w:hAnsiTheme="majorBidi" w:cstheme="majorBidi"/>
                <w:sz w:val="24"/>
                <w:szCs w:val="24"/>
              </w:rPr>
            </w:pPr>
            <w:r w:rsidRPr="00152A35">
              <w:rPr>
                <w:rFonts w:asciiTheme="majorBidi" w:eastAsia="Times New Roman" w:hAnsiTheme="majorBidi" w:cstheme="majorBidi"/>
                <w:sz w:val="24"/>
                <w:szCs w:val="24"/>
              </w:rPr>
              <w:t>78.251</w:t>
            </w:r>
          </w:p>
        </w:tc>
        <w:tc>
          <w:tcPr>
            <w:tcW w:w="0" w:type="auto"/>
            <w:vAlign w:val="center"/>
            <w:hideMark/>
          </w:tcPr>
          <w:p w14:paraId="2F39C9FF" w14:textId="77777777" w:rsidR="00152A35" w:rsidRPr="00152A35" w:rsidRDefault="00152A35" w:rsidP="0040428A">
            <w:pPr>
              <w:shd w:val="clear" w:color="auto" w:fill="FFFFFF" w:themeFill="background1"/>
              <w:spacing w:after="240" w:line="240" w:lineRule="auto"/>
              <w:jc w:val="both"/>
              <w:rPr>
                <w:rFonts w:asciiTheme="majorBidi" w:eastAsia="Times New Roman" w:hAnsiTheme="majorBidi" w:cstheme="majorBidi"/>
                <w:sz w:val="24"/>
                <w:szCs w:val="24"/>
              </w:rPr>
            </w:pPr>
            <w:r w:rsidRPr="00152A35">
              <w:rPr>
                <w:rFonts w:asciiTheme="majorBidi" w:eastAsia="Times New Roman" w:hAnsiTheme="majorBidi" w:cstheme="majorBidi"/>
                <w:sz w:val="24"/>
                <w:szCs w:val="24"/>
              </w:rPr>
              <w:t>5</w:t>
            </w:r>
          </w:p>
        </w:tc>
        <w:tc>
          <w:tcPr>
            <w:tcW w:w="0" w:type="auto"/>
            <w:vAlign w:val="center"/>
            <w:hideMark/>
          </w:tcPr>
          <w:p w14:paraId="57071ACB" w14:textId="77777777" w:rsidR="00152A35" w:rsidRPr="00152A35" w:rsidRDefault="00152A35" w:rsidP="0040428A">
            <w:pPr>
              <w:shd w:val="clear" w:color="auto" w:fill="FFFFFF" w:themeFill="background1"/>
              <w:spacing w:after="240" w:line="240" w:lineRule="auto"/>
              <w:jc w:val="both"/>
              <w:rPr>
                <w:rFonts w:asciiTheme="majorBidi" w:eastAsia="Times New Roman" w:hAnsiTheme="majorBidi" w:cstheme="majorBidi"/>
                <w:sz w:val="24"/>
                <w:szCs w:val="24"/>
              </w:rPr>
            </w:pPr>
            <w:r w:rsidRPr="00152A35">
              <w:rPr>
                <w:rFonts w:asciiTheme="majorBidi" w:eastAsia="Times New Roman" w:hAnsiTheme="majorBidi" w:cstheme="majorBidi"/>
                <w:sz w:val="24"/>
                <w:szCs w:val="24"/>
              </w:rPr>
              <w:t>49</w:t>
            </w:r>
          </w:p>
        </w:tc>
        <w:tc>
          <w:tcPr>
            <w:tcW w:w="0" w:type="auto"/>
            <w:vAlign w:val="center"/>
            <w:hideMark/>
          </w:tcPr>
          <w:p w14:paraId="469BD1CF" w14:textId="77777777" w:rsidR="00152A35" w:rsidRPr="00152A35" w:rsidRDefault="00152A35" w:rsidP="0040428A">
            <w:pPr>
              <w:shd w:val="clear" w:color="auto" w:fill="FFFFFF" w:themeFill="background1"/>
              <w:spacing w:after="240" w:line="240" w:lineRule="auto"/>
              <w:jc w:val="both"/>
              <w:rPr>
                <w:rFonts w:asciiTheme="majorBidi" w:eastAsia="Times New Roman" w:hAnsiTheme="majorBidi" w:cstheme="majorBidi"/>
                <w:sz w:val="24"/>
                <w:szCs w:val="24"/>
              </w:rPr>
            </w:pPr>
            <w:r w:rsidRPr="00152A35">
              <w:rPr>
                <w:rFonts w:asciiTheme="majorBidi" w:eastAsia="Times New Roman" w:hAnsiTheme="majorBidi" w:cstheme="majorBidi"/>
                <w:sz w:val="24"/>
                <w:szCs w:val="24"/>
              </w:rPr>
              <w:t>0.000</w:t>
            </w:r>
          </w:p>
        </w:tc>
      </w:tr>
    </w:tbl>
    <w:p w14:paraId="4E8C15A5" w14:textId="77777777" w:rsidR="0040428A" w:rsidRDefault="00152A35"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152A35">
        <w:rPr>
          <w:rFonts w:asciiTheme="majorBidi" w:eastAsia="Times New Roman" w:hAnsiTheme="majorBidi" w:cstheme="majorBidi"/>
          <w:b/>
          <w:bCs/>
          <w:sz w:val="24"/>
          <w:szCs w:val="24"/>
        </w:rPr>
        <w:t>Source:</w:t>
      </w:r>
      <w:r w:rsidRPr="00152A35">
        <w:rPr>
          <w:rFonts w:asciiTheme="majorBidi" w:eastAsia="Times New Roman" w:hAnsiTheme="majorBidi" w:cstheme="majorBidi"/>
          <w:sz w:val="24"/>
          <w:szCs w:val="24"/>
        </w:rPr>
        <w:t xml:space="preserve"> Statement of financial position of GT Bank Plc (2019-2023)</w:t>
      </w:r>
    </w:p>
    <w:p w14:paraId="1280A764" w14:textId="42944E49" w:rsidR="00152A35" w:rsidRPr="00152A35" w:rsidRDefault="00152A35"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152A35">
        <w:rPr>
          <w:rFonts w:asciiTheme="majorBidi" w:eastAsia="Times New Roman" w:hAnsiTheme="majorBidi" w:cstheme="majorBidi"/>
          <w:sz w:val="24"/>
          <w:szCs w:val="24"/>
        </w:rPr>
        <w:t>The regression analysis model summary for GT Bank Plc, as presented in Table 4.12, assesses the impact of credit risk management variables on financial performance. The model includes predictors such as Borrower Creditworthiness Assessment, Credit Concentration Risk, Debt Restructuring &amp; Recovery Strategies, Credit Risk Rating Systems, Collateral Management, and Credit Risk Monitoring Frequency. The R value of 0.738 suggests a strong positive correlation between these factors and the bank's financial performance. This implies that effective credit risk management plays a significant role in improving the bank’s financial outcomes.</w:t>
      </w:r>
    </w:p>
    <w:p w14:paraId="6CA25C13" w14:textId="77777777" w:rsidR="00152A35" w:rsidRPr="00152A35" w:rsidRDefault="00152A35"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152A35">
        <w:rPr>
          <w:rFonts w:asciiTheme="majorBidi" w:eastAsia="Times New Roman" w:hAnsiTheme="majorBidi" w:cstheme="majorBidi"/>
          <w:sz w:val="24"/>
          <w:szCs w:val="24"/>
        </w:rPr>
        <w:t>The R-Square of 0.544 indicates that 54.4% of the variance in the bank's financial performance is explained by these variables, reinforcing the importance of credit risk management practices in determining financial results. Although 45.6% of the variance remains unexplained by the model, this suggests that other factors, such as market conditions or operational efficiency, also influence the bank's performance. The Adjusted R-Square of 0.526 accounts for the number of predictors in the model, providing a more accurate estimate of the model’s explanatory power. While the slight decrease from the R-Square value, this still confirms that the chosen risk management indicators significantly affect the bank’s financial performance.</w:t>
      </w:r>
    </w:p>
    <w:p w14:paraId="2BB34050" w14:textId="77777777" w:rsidR="00152A35" w:rsidRPr="00152A35" w:rsidRDefault="00152A35"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152A35">
        <w:rPr>
          <w:rFonts w:asciiTheme="majorBidi" w:eastAsia="Times New Roman" w:hAnsiTheme="majorBidi" w:cstheme="majorBidi"/>
          <w:sz w:val="24"/>
          <w:szCs w:val="24"/>
        </w:rPr>
        <w:t xml:space="preserve">The Standard Error of the Estimate is 0.509, reflecting a moderate level of variability in financial performance that is not fully explained by the model. This moderate error indicates that while the model captures a substantial portion of the performance variance, there is still room for improvement. The F-statistic of 78.251 and its corresponding p-value of 0.000 </w:t>
      </w:r>
      <w:r w:rsidRPr="00152A35">
        <w:rPr>
          <w:rFonts w:asciiTheme="majorBidi" w:eastAsia="Times New Roman" w:hAnsiTheme="majorBidi" w:cstheme="majorBidi"/>
          <w:sz w:val="24"/>
          <w:szCs w:val="24"/>
        </w:rPr>
        <w:lastRenderedPageBreak/>
        <w:t>indicate that the model is statistically significant. This suggests that the combined effect of these predictors has a meaningful impact on the bank’s financial performance, with a p-value lower than the typical significance threshold of 0.05.</w:t>
      </w:r>
    </w:p>
    <w:p w14:paraId="5599E32F" w14:textId="40F5D88B" w:rsidR="00152A35" w:rsidRPr="006D3D71" w:rsidRDefault="00152A35"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152A35">
        <w:rPr>
          <w:rFonts w:asciiTheme="majorBidi" w:eastAsia="Times New Roman" w:hAnsiTheme="majorBidi" w:cstheme="majorBidi"/>
          <w:sz w:val="24"/>
          <w:szCs w:val="24"/>
        </w:rPr>
        <w:t>In conclusion, the regression model confirms that the selected credit risk management indicators</w:t>
      </w:r>
      <w:r w:rsidR="00CE4377" w:rsidRPr="00B823DA">
        <w:rPr>
          <w:rFonts w:asciiTheme="majorBidi" w:eastAsia="Times New Roman" w:hAnsiTheme="majorBidi" w:cstheme="majorBidi"/>
          <w:sz w:val="24"/>
          <w:szCs w:val="24"/>
        </w:rPr>
        <w:t xml:space="preserve"> </w:t>
      </w:r>
      <w:r w:rsidRPr="00152A35">
        <w:rPr>
          <w:rFonts w:asciiTheme="majorBidi" w:eastAsia="Times New Roman" w:hAnsiTheme="majorBidi" w:cstheme="majorBidi"/>
          <w:sz w:val="24"/>
          <w:szCs w:val="24"/>
        </w:rPr>
        <w:t>such as borrower creditworthiness, credit concentration, debt restructuring, and monitoring frequency</w:t>
      </w:r>
      <w:r w:rsidRPr="00B823DA">
        <w:rPr>
          <w:rFonts w:asciiTheme="majorBidi" w:eastAsia="Times New Roman" w:hAnsiTheme="majorBidi" w:cstheme="majorBidi"/>
          <w:sz w:val="24"/>
          <w:szCs w:val="24"/>
        </w:rPr>
        <w:t xml:space="preserve"> </w:t>
      </w:r>
      <w:r w:rsidRPr="00152A35">
        <w:rPr>
          <w:rFonts w:asciiTheme="majorBidi" w:eastAsia="Times New Roman" w:hAnsiTheme="majorBidi" w:cstheme="majorBidi"/>
          <w:sz w:val="24"/>
          <w:szCs w:val="24"/>
        </w:rPr>
        <w:t>play a crucial role in shaping the financial performance of GT Bank Plc. The results suggest that enhancing these areas can lead to improved financial stability and better profitability outcomes for the bank, underlining the importance of continuous improvements in cr</w:t>
      </w:r>
      <w:r w:rsidR="007D1C44">
        <w:rPr>
          <w:rFonts w:asciiTheme="majorBidi" w:eastAsia="Times New Roman" w:hAnsiTheme="majorBidi" w:cstheme="majorBidi"/>
          <w:sz w:val="24"/>
          <w:szCs w:val="24"/>
        </w:rPr>
        <w:t>edit risk management practices.</w:t>
      </w:r>
    </w:p>
    <w:p w14:paraId="39092E46" w14:textId="100576C1" w:rsidR="003C6DC5" w:rsidRPr="003C6DC5" w:rsidRDefault="002A4DC0" w:rsidP="007D1C44">
      <w:pPr>
        <w:shd w:val="clear" w:color="auto" w:fill="FFFFFF" w:themeFill="background1"/>
        <w:spacing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b/>
          <w:bCs/>
          <w:sz w:val="24"/>
          <w:szCs w:val="24"/>
        </w:rPr>
        <w:t>Table 4.27</w:t>
      </w:r>
      <w:r w:rsidR="003C6DC5" w:rsidRPr="003C6DC5">
        <w:rPr>
          <w:rFonts w:asciiTheme="majorBidi" w:eastAsia="Times New Roman" w:hAnsiTheme="majorBidi" w:cstheme="majorBidi"/>
          <w:b/>
          <w:bCs/>
          <w:sz w:val="24"/>
          <w:szCs w:val="24"/>
        </w:rPr>
        <w:t xml:space="preserve"> ANOVA Analysis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2"/>
        <w:gridCol w:w="1674"/>
        <w:gridCol w:w="300"/>
        <w:gridCol w:w="1440"/>
        <w:gridCol w:w="720"/>
        <w:gridCol w:w="615"/>
      </w:tblGrid>
      <w:tr w:rsidR="003C6DC5" w:rsidRPr="003C6DC5" w14:paraId="27DBEBB5" w14:textId="77777777" w:rsidTr="00CE4377">
        <w:trPr>
          <w:tblHeader/>
          <w:tblCellSpacing w:w="15" w:type="dxa"/>
        </w:trPr>
        <w:tc>
          <w:tcPr>
            <w:tcW w:w="0" w:type="auto"/>
            <w:vAlign w:val="center"/>
            <w:hideMark/>
          </w:tcPr>
          <w:p w14:paraId="30411104" w14:textId="77777777" w:rsidR="003C6DC5" w:rsidRPr="003C6DC5" w:rsidRDefault="003C6DC5" w:rsidP="007D1C44">
            <w:pPr>
              <w:shd w:val="clear" w:color="auto" w:fill="FFFFFF" w:themeFill="background1"/>
              <w:spacing w:after="240" w:line="240" w:lineRule="auto"/>
              <w:jc w:val="both"/>
              <w:rPr>
                <w:rFonts w:asciiTheme="majorBidi" w:eastAsia="Times New Roman" w:hAnsiTheme="majorBidi" w:cstheme="majorBidi"/>
                <w:b/>
                <w:bCs/>
                <w:sz w:val="24"/>
                <w:szCs w:val="24"/>
              </w:rPr>
            </w:pPr>
            <w:r w:rsidRPr="003C6DC5">
              <w:rPr>
                <w:rFonts w:asciiTheme="majorBidi" w:eastAsia="Times New Roman" w:hAnsiTheme="majorBidi" w:cstheme="majorBidi"/>
                <w:b/>
                <w:bCs/>
                <w:sz w:val="24"/>
                <w:szCs w:val="24"/>
              </w:rPr>
              <w:t>Model</w:t>
            </w:r>
          </w:p>
        </w:tc>
        <w:tc>
          <w:tcPr>
            <w:tcW w:w="0" w:type="auto"/>
            <w:vAlign w:val="center"/>
            <w:hideMark/>
          </w:tcPr>
          <w:p w14:paraId="4B369B46" w14:textId="77777777" w:rsidR="003C6DC5" w:rsidRPr="003C6DC5" w:rsidRDefault="003C6DC5" w:rsidP="007D1C44">
            <w:pPr>
              <w:shd w:val="clear" w:color="auto" w:fill="FFFFFF" w:themeFill="background1"/>
              <w:spacing w:after="240" w:line="240" w:lineRule="auto"/>
              <w:jc w:val="both"/>
              <w:rPr>
                <w:rFonts w:asciiTheme="majorBidi" w:eastAsia="Times New Roman" w:hAnsiTheme="majorBidi" w:cstheme="majorBidi"/>
                <w:b/>
                <w:bCs/>
                <w:sz w:val="24"/>
                <w:szCs w:val="24"/>
              </w:rPr>
            </w:pPr>
            <w:r w:rsidRPr="003C6DC5">
              <w:rPr>
                <w:rFonts w:asciiTheme="majorBidi" w:eastAsia="Times New Roman" w:hAnsiTheme="majorBidi" w:cstheme="majorBidi"/>
                <w:b/>
                <w:bCs/>
                <w:sz w:val="24"/>
                <w:szCs w:val="24"/>
              </w:rPr>
              <w:t>Sum of Squares</w:t>
            </w:r>
          </w:p>
        </w:tc>
        <w:tc>
          <w:tcPr>
            <w:tcW w:w="0" w:type="auto"/>
            <w:vAlign w:val="center"/>
            <w:hideMark/>
          </w:tcPr>
          <w:p w14:paraId="08EF9796" w14:textId="77777777" w:rsidR="003C6DC5" w:rsidRPr="003C6DC5" w:rsidRDefault="003C6DC5" w:rsidP="007D1C44">
            <w:pPr>
              <w:shd w:val="clear" w:color="auto" w:fill="FFFFFF" w:themeFill="background1"/>
              <w:spacing w:after="240" w:line="240" w:lineRule="auto"/>
              <w:jc w:val="both"/>
              <w:rPr>
                <w:rFonts w:asciiTheme="majorBidi" w:eastAsia="Times New Roman" w:hAnsiTheme="majorBidi" w:cstheme="majorBidi"/>
                <w:b/>
                <w:bCs/>
                <w:sz w:val="24"/>
                <w:szCs w:val="24"/>
              </w:rPr>
            </w:pPr>
            <w:proofErr w:type="spellStart"/>
            <w:r w:rsidRPr="003C6DC5">
              <w:rPr>
                <w:rFonts w:asciiTheme="majorBidi" w:eastAsia="Times New Roman" w:hAnsiTheme="majorBidi" w:cstheme="majorBidi"/>
                <w:b/>
                <w:bCs/>
                <w:sz w:val="24"/>
                <w:szCs w:val="24"/>
              </w:rPr>
              <w:t>df</w:t>
            </w:r>
            <w:proofErr w:type="spellEnd"/>
          </w:p>
        </w:tc>
        <w:tc>
          <w:tcPr>
            <w:tcW w:w="0" w:type="auto"/>
            <w:vAlign w:val="center"/>
            <w:hideMark/>
          </w:tcPr>
          <w:p w14:paraId="6A971015" w14:textId="77777777" w:rsidR="003C6DC5" w:rsidRPr="003C6DC5" w:rsidRDefault="003C6DC5" w:rsidP="007D1C44">
            <w:pPr>
              <w:shd w:val="clear" w:color="auto" w:fill="FFFFFF" w:themeFill="background1"/>
              <w:spacing w:after="240" w:line="240" w:lineRule="auto"/>
              <w:jc w:val="both"/>
              <w:rPr>
                <w:rFonts w:asciiTheme="majorBidi" w:eastAsia="Times New Roman" w:hAnsiTheme="majorBidi" w:cstheme="majorBidi"/>
                <w:b/>
                <w:bCs/>
                <w:sz w:val="24"/>
                <w:szCs w:val="24"/>
              </w:rPr>
            </w:pPr>
            <w:r w:rsidRPr="003C6DC5">
              <w:rPr>
                <w:rFonts w:asciiTheme="majorBidi" w:eastAsia="Times New Roman" w:hAnsiTheme="majorBidi" w:cstheme="majorBidi"/>
                <w:b/>
                <w:bCs/>
                <w:sz w:val="24"/>
                <w:szCs w:val="24"/>
              </w:rPr>
              <w:t>Mean Square</w:t>
            </w:r>
          </w:p>
        </w:tc>
        <w:tc>
          <w:tcPr>
            <w:tcW w:w="0" w:type="auto"/>
            <w:vAlign w:val="center"/>
            <w:hideMark/>
          </w:tcPr>
          <w:p w14:paraId="4050F77B" w14:textId="77777777" w:rsidR="003C6DC5" w:rsidRPr="003C6DC5" w:rsidRDefault="003C6DC5" w:rsidP="007D1C44">
            <w:pPr>
              <w:shd w:val="clear" w:color="auto" w:fill="FFFFFF" w:themeFill="background1"/>
              <w:spacing w:after="240" w:line="240" w:lineRule="auto"/>
              <w:jc w:val="both"/>
              <w:rPr>
                <w:rFonts w:asciiTheme="majorBidi" w:eastAsia="Times New Roman" w:hAnsiTheme="majorBidi" w:cstheme="majorBidi"/>
                <w:b/>
                <w:bCs/>
                <w:sz w:val="24"/>
                <w:szCs w:val="24"/>
              </w:rPr>
            </w:pPr>
            <w:r w:rsidRPr="003C6DC5">
              <w:rPr>
                <w:rFonts w:asciiTheme="majorBidi" w:eastAsia="Times New Roman" w:hAnsiTheme="majorBidi" w:cstheme="majorBidi"/>
                <w:b/>
                <w:bCs/>
                <w:sz w:val="24"/>
                <w:szCs w:val="24"/>
              </w:rPr>
              <w:t>F</w:t>
            </w:r>
          </w:p>
        </w:tc>
        <w:tc>
          <w:tcPr>
            <w:tcW w:w="0" w:type="auto"/>
            <w:vAlign w:val="center"/>
            <w:hideMark/>
          </w:tcPr>
          <w:p w14:paraId="7D32FB34" w14:textId="77777777" w:rsidR="003C6DC5" w:rsidRPr="003C6DC5" w:rsidRDefault="003C6DC5" w:rsidP="007D1C44">
            <w:pPr>
              <w:shd w:val="clear" w:color="auto" w:fill="FFFFFF" w:themeFill="background1"/>
              <w:spacing w:after="240" w:line="240" w:lineRule="auto"/>
              <w:jc w:val="both"/>
              <w:rPr>
                <w:rFonts w:asciiTheme="majorBidi" w:eastAsia="Times New Roman" w:hAnsiTheme="majorBidi" w:cstheme="majorBidi"/>
                <w:b/>
                <w:bCs/>
                <w:sz w:val="24"/>
                <w:szCs w:val="24"/>
              </w:rPr>
            </w:pPr>
            <w:r w:rsidRPr="003C6DC5">
              <w:rPr>
                <w:rFonts w:asciiTheme="majorBidi" w:eastAsia="Times New Roman" w:hAnsiTheme="majorBidi" w:cstheme="majorBidi"/>
                <w:b/>
                <w:bCs/>
                <w:sz w:val="24"/>
                <w:szCs w:val="24"/>
              </w:rPr>
              <w:t>Sig.</w:t>
            </w:r>
          </w:p>
        </w:tc>
      </w:tr>
      <w:tr w:rsidR="003C6DC5" w:rsidRPr="003C6DC5" w14:paraId="147C284C" w14:textId="77777777" w:rsidTr="00CE4377">
        <w:trPr>
          <w:tblCellSpacing w:w="15" w:type="dxa"/>
        </w:trPr>
        <w:tc>
          <w:tcPr>
            <w:tcW w:w="0" w:type="auto"/>
            <w:vAlign w:val="center"/>
            <w:hideMark/>
          </w:tcPr>
          <w:p w14:paraId="3AEE554C" w14:textId="77777777" w:rsidR="003C6DC5" w:rsidRPr="003C6DC5" w:rsidRDefault="003C6DC5" w:rsidP="007D1C44">
            <w:pPr>
              <w:shd w:val="clear" w:color="auto" w:fill="FFFFFF" w:themeFill="background1"/>
              <w:spacing w:after="240" w:line="240" w:lineRule="auto"/>
              <w:jc w:val="both"/>
              <w:rPr>
                <w:rFonts w:asciiTheme="majorBidi" w:eastAsia="Times New Roman" w:hAnsiTheme="majorBidi" w:cstheme="majorBidi"/>
                <w:sz w:val="24"/>
                <w:szCs w:val="24"/>
              </w:rPr>
            </w:pPr>
            <w:r w:rsidRPr="003C6DC5">
              <w:rPr>
                <w:rFonts w:asciiTheme="majorBidi" w:eastAsia="Times New Roman" w:hAnsiTheme="majorBidi" w:cstheme="majorBidi"/>
                <w:sz w:val="24"/>
                <w:szCs w:val="24"/>
              </w:rPr>
              <w:t>Regression</w:t>
            </w:r>
          </w:p>
        </w:tc>
        <w:tc>
          <w:tcPr>
            <w:tcW w:w="0" w:type="auto"/>
            <w:vAlign w:val="center"/>
            <w:hideMark/>
          </w:tcPr>
          <w:p w14:paraId="644B1694" w14:textId="77777777" w:rsidR="003C6DC5" w:rsidRPr="003C6DC5" w:rsidRDefault="003C6DC5" w:rsidP="007D1C44">
            <w:pPr>
              <w:shd w:val="clear" w:color="auto" w:fill="FFFFFF" w:themeFill="background1"/>
              <w:spacing w:after="240" w:line="240" w:lineRule="auto"/>
              <w:jc w:val="both"/>
              <w:rPr>
                <w:rFonts w:asciiTheme="majorBidi" w:eastAsia="Times New Roman" w:hAnsiTheme="majorBidi" w:cstheme="majorBidi"/>
                <w:sz w:val="24"/>
                <w:szCs w:val="24"/>
              </w:rPr>
            </w:pPr>
            <w:r w:rsidRPr="003C6DC5">
              <w:rPr>
                <w:rFonts w:asciiTheme="majorBidi" w:eastAsia="Times New Roman" w:hAnsiTheme="majorBidi" w:cstheme="majorBidi"/>
                <w:sz w:val="24"/>
                <w:szCs w:val="24"/>
              </w:rPr>
              <w:t>3572.483</w:t>
            </w:r>
          </w:p>
        </w:tc>
        <w:tc>
          <w:tcPr>
            <w:tcW w:w="0" w:type="auto"/>
            <w:vAlign w:val="center"/>
            <w:hideMark/>
          </w:tcPr>
          <w:p w14:paraId="2FAE2108" w14:textId="77777777" w:rsidR="003C6DC5" w:rsidRPr="003C6DC5" w:rsidRDefault="003C6DC5" w:rsidP="007D1C44">
            <w:pPr>
              <w:shd w:val="clear" w:color="auto" w:fill="FFFFFF" w:themeFill="background1"/>
              <w:spacing w:after="240" w:line="240" w:lineRule="auto"/>
              <w:jc w:val="both"/>
              <w:rPr>
                <w:rFonts w:asciiTheme="majorBidi" w:eastAsia="Times New Roman" w:hAnsiTheme="majorBidi" w:cstheme="majorBidi"/>
                <w:sz w:val="24"/>
                <w:szCs w:val="24"/>
              </w:rPr>
            </w:pPr>
            <w:r w:rsidRPr="003C6DC5">
              <w:rPr>
                <w:rFonts w:asciiTheme="majorBidi" w:eastAsia="Times New Roman" w:hAnsiTheme="majorBidi" w:cstheme="majorBidi"/>
                <w:sz w:val="24"/>
                <w:szCs w:val="24"/>
              </w:rPr>
              <w:t>5</w:t>
            </w:r>
          </w:p>
        </w:tc>
        <w:tc>
          <w:tcPr>
            <w:tcW w:w="0" w:type="auto"/>
            <w:vAlign w:val="center"/>
            <w:hideMark/>
          </w:tcPr>
          <w:p w14:paraId="4635EDA6" w14:textId="77777777" w:rsidR="003C6DC5" w:rsidRPr="003C6DC5" w:rsidRDefault="003C6DC5" w:rsidP="007D1C44">
            <w:pPr>
              <w:shd w:val="clear" w:color="auto" w:fill="FFFFFF" w:themeFill="background1"/>
              <w:spacing w:after="240" w:line="240" w:lineRule="auto"/>
              <w:jc w:val="both"/>
              <w:rPr>
                <w:rFonts w:asciiTheme="majorBidi" w:eastAsia="Times New Roman" w:hAnsiTheme="majorBidi" w:cstheme="majorBidi"/>
                <w:sz w:val="24"/>
                <w:szCs w:val="24"/>
              </w:rPr>
            </w:pPr>
            <w:r w:rsidRPr="003C6DC5">
              <w:rPr>
                <w:rFonts w:asciiTheme="majorBidi" w:eastAsia="Times New Roman" w:hAnsiTheme="majorBidi" w:cstheme="majorBidi"/>
                <w:sz w:val="24"/>
                <w:szCs w:val="24"/>
              </w:rPr>
              <w:t>714.496</w:t>
            </w:r>
          </w:p>
        </w:tc>
        <w:tc>
          <w:tcPr>
            <w:tcW w:w="0" w:type="auto"/>
            <w:vAlign w:val="center"/>
            <w:hideMark/>
          </w:tcPr>
          <w:p w14:paraId="1DEAC68F" w14:textId="77777777" w:rsidR="003C6DC5" w:rsidRPr="003C6DC5" w:rsidRDefault="003C6DC5" w:rsidP="007D1C44">
            <w:pPr>
              <w:shd w:val="clear" w:color="auto" w:fill="FFFFFF" w:themeFill="background1"/>
              <w:spacing w:after="240" w:line="240" w:lineRule="auto"/>
              <w:jc w:val="both"/>
              <w:rPr>
                <w:rFonts w:asciiTheme="majorBidi" w:eastAsia="Times New Roman" w:hAnsiTheme="majorBidi" w:cstheme="majorBidi"/>
                <w:sz w:val="24"/>
                <w:szCs w:val="24"/>
              </w:rPr>
            </w:pPr>
            <w:r w:rsidRPr="003C6DC5">
              <w:rPr>
                <w:rFonts w:asciiTheme="majorBidi" w:eastAsia="Times New Roman" w:hAnsiTheme="majorBidi" w:cstheme="majorBidi"/>
                <w:sz w:val="24"/>
                <w:szCs w:val="24"/>
              </w:rPr>
              <w:t>26.082</w:t>
            </w:r>
          </w:p>
        </w:tc>
        <w:tc>
          <w:tcPr>
            <w:tcW w:w="0" w:type="auto"/>
            <w:vAlign w:val="center"/>
            <w:hideMark/>
          </w:tcPr>
          <w:p w14:paraId="52D019D7" w14:textId="77777777" w:rsidR="003C6DC5" w:rsidRPr="003C6DC5" w:rsidRDefault="003C6DC5" w:rsidP="007D1C44">
            <w:pPr>
              <w:shd w:val="clear" w:color="auto" w:fill="FFFFFF" w:themeFill="background1"/>
              <w:spacing w:after="240" w:line="240" w:lineRule="auto"/>
              <w:jc w:val="both"/>
              <w:rPr>
                <w:rFonts w:asciiTheme="majorBidi" w:eastAsia="Times New Roman" w:hAnsiTheme="majorBidi" w:cstheme="majorBidi"/>
                <w:sz w:val="24"/>
                <w:szCs w:val="24"/>
              </w:rPr>
            </w:pPr>
            <w:r w:rsidRPr="003C6DC5">
              <w:rPr>
                <w:rFonts w:asciiTheme="majorBidi" w:eastAsia="Times New Roman" w:hAnsiTheme="majorBidi" w:cstheme="majorBidi"/>
                <w:sz w:val="24"/>
                <w:szCs w:val="24"/>
              </w:rPr>
              <w:t>0.000</w:t>
            </w:r>
          </w:p>
        </w:tc>
      </w:tr>
      <w:tr w:rsidR="003C6DC5" w:rsidRPr="003C6DC5" w14:paraId="60DF0D3E" w14:textId="77777777" w:rsidTr="00CE4377">
        <w:trPr>
          <w:tblCellSpacing w:w="15" w:type="dxa"/>
        </w:trPr>
        <w:tc>
          <w:tcPr>
            <w:tcW w:w="0" w:type="auto"/>
            <w:vAlign w:val="center"/>
            <w:hideMark/>
          </w:tcPr>
          <w:p w14:paraId="7A22A141" w14:textId="77777777" w:rsidR="003C6DC5" w:rsidRPr="003C6DC5" w:rsidRDefault="003C6DC5" w:rsidP="007D1C44">
            <w:pPr>
              <w:shd w:val="clear" w:color="auto" w:fill="FFFFFF" w:themeFill="background1"/>
              <w:spacing w:after="240" w:line="240" w:lineRule="auto"/>
              <w:jc w:val="both"/>
              <w:rPr>
                <w:rFonts w:asciiTheme="majorBidi" w:eastAsia="Times New Roman" w:hAnsiTheme="majorBidi" w:cstheme="majorBidi"/>
                <w:sz w:val="24"/>
                <w:szCs w:val="24"/>
              </w:rPr>
            </w:pPr>
            <w:r w:rsidRPr="003C6DC5">
              <w:rPr>
                <w:rFonts w:asciiTheme="majorBidi" w:eastAsia="Times New Roman" w:hAnsiTheme="majorBidi" w:cstheme="majorBidi"/>
                <w:sz w:val="24"/>
                <w:szCs w:val="24"/>
              </w:rPr>
              <w:t>Residual</w:t>
            </w:r>
          </w:p>
        </w:tc>
        <w:tc>
          <w:tcPr>
            <w:tcW w:w="0" w:type="auto"/>
            <w:vAlign w:val="center"/>
            <w:hideMark/>
          </w:tcPr>
          <w:p w14:paraId="1D913CEA" w14:textId="77777777" w:rsidR="003C6DC5" w:rsidRPr="003C6DC5" w:rsidRDefault="003C6DC5" w:rsidP="007D1C44">
            <w:pPr>
              <w:shd w:val="clear" w:color="auto" w:fill="FFFFFF" w:themeFill="background1"/>
              <w:spacing w:after="240" w:line="240" w:lineRule="auto"/>
              <w:jc w:val="both"/>
              <w:rPr>
                <w:rFonts w:asciiTheme="majorBidi" w:eastAsia="Times New Roman" w:hAnsiTheme="majorBidi" w:cstheme="majorBidi"/>
                <w:sz w:val="24"/>
                <w:szCs w:val="24"/>
              </w:rPr>
            </w:pPr>
            <w:r w:rsidRPr="003C6DC5">
              <w:rPr>
                <w:rFonts w:asciiTheme="majorBidi" w:eastAsia="Times New Roman" w:hAnsiTheme="majorBidi" w:cstheme="majorBidi"/>
                <w:sz w:val="24"/>
                <w:szCs w:val="24"/>
              </w:rPr>
              <w:t>1342.347</w:t>
            </w:r>
          </w:p>
        </w:tc>
        <w:tc>
          <w:tcPr>
            <w:tcW w:w="0" w:type="auto"/>
            <w:vAlign w:val="center"/>
            <w:hideMark/>
          </w:tcPr>
          <w:p w14:paraId="67DAB20D" w14:textId="77777777" w:rsidR="003C6DC5" w:rsidRPr="003C6DC5" w:rsidRDefault="003C6DC5" w:rsidP="007D1C44">
            <w:pPr>
              <w:shd w:val="clear" w:color="auto" w:fill="FFFFFF" w:themeFill="background1"/>
              <w:spacing w:after="240" w:line="240" w:lineRule="auto"/>
              <w:jc w:val="both"/>
              <w:rPr>
                <w:rFonts w:asciiTheme="majorBidi" w:eastAsia="Times New Roman" w:hAnsiTheme="majorBidi" w:cstheme="majorBidi"/>
                <w:sz w:val="24"/>
                <w:szCs w:val="24"/>
              </w:rPr>
            </w:pPr>
            <w:r w:rsidRPr="003C6DC5">
              <w:rPr>
                <w:rFonts w:asciiTheme="majorBidi" w:eastAsia="Times New Roman" w:hAnsiTheme="majorBidi" w:cstheme="majorBidi"/>
                <w:sz w:val="24"/>
                <w:szCs w:val="24"/>
              </w:rPr>
              <w:t>49</w:t>
            </w:r>
          </w:p>
        </w:tc>
        <w:tc>
          <w:tcPr>
            <w:tcW w:w="0" w:type="auto"/>
            <w:vAlign w:val="center"/>
            <w:hideMark/>
          </w:tcPr>
          <w:p w14:paraId="4BED7CC8" w14:textId="77777777" w:rsidR="003C6DC5" w:rsidRPr="003C6DC5" w:rsidRDefault="003C6DC5" w:rsidP="007D1C44">
            <w:pPr>
              <w:shd w:val="clear" w:color="auto" w:fill="FFFFFF" w:themeFill="background1"/>
              <w:spacing w:after="240" w:line="240" w:lineRule="auto"/>
              <w:jc w:val="both"/>
              <w:rPr>
                <w:rFonts w:asciiTheme="majorBidi" w:eastAsia="Times New Roman" w:hAnsiTheme="majorBidi" w:cstheme="majorBidi"/>
                <w:sz w:val="24"/>
                <w:szCs w:val="24"/>
              </w:rPr>
            </w:pPr>
            <w:r w:rsidRPr="003C6DC5">
              <w:rPr>
                <w:rFonts w:asciiTheme="majorBidi" w:eastAsia="Times New Roman" w:hAnsiTheme="majorBidi" w:cstheme="majorBidi"/>
                <w:sz w:val="24"/>
                <w:szCs w:val="24"/>
              </w:rPr>
              <w:t>27.394</w:t>
            </w:r>
          </w:p>
        </w:tc>
        <w:tc>
          <w:tcPr>
            <w:tcW w:w="0" w:type="auto"/>
            <w:vAlign w:val="center"/>
            <w:hideMark/>
          </w:tcPr>
          <w:p w14:paraId="70D8D93F" w14:textId="77777777" w:rsidR="003C6DC5" w:rsidRPr="003C6DC5" w:rsidRDefault="003C6DC5" w:rsidP="007D1C44">
            <w:pPr>
              <w:shd w:val="clear" w:color="auto" w:fill="FFFFFF" w:themeFill="background1"/>
              <w:spacing w:after="240" w:line="240" w:lineRule="auto"/>
              <w:jc w:val="both"/>
              <w:rPr>
                <w:rFonts w:asciiTheme="majorBidi" w:eastAsia="Times New Roman" w:hAnsiTheme="majorBidi" w:cstheme="majorBidi"/>
                <w:sz w:val="24"/>
                <w:szCs w:val="24"/>
              </w:rPr>
            </w:pPr>
            <w:r w:rsidRPr="003C6DC5">
              <w:rPr>
                <w:rFonts w:asciiTheme="majorBidi" w:eastAsia="Times New Roman" w:hAnsiTheme="majorBidi" w:cstheme="majorBidi"/>
                <w:sz w:val="24"/>
                <w:szCs w:val="24"/>
              </w:rPr>
              <w:t>-</w:t>
            </w:r>
          </w:p>
        </w:tc>
        <w:tc>
          <w:tcPr>
            <w:tcW w:w="0" w:type="auto"/>
            <w:vAlign w:val="center"/>
            <w:hideMark/>
          </w:tcPr>
          <w:p w14:paraId="4A1348DC" w14:textId="77777777" w:rsidR="003C6DC5" w:rsidRPr="003C6DC5" w:rsidRDefault="003C6DC5" w:rsidP="007D1C44">
            <w:pPr>
              <w:shd w:val="clear" w:color="auto" w:fill="FFFFFF" w:themeFill="background1"/>
              <w:spacing w:after="240" w:line="240" w:lineRule="auto"/>
              <w:jc w:val="both"/>
              <w:rPr>
                <w:rFonts w:asciiTheme="majorBidi" w:eastAsia="Times New Roman" w:hAnsiTheme="majorBidi" w:cstheme="majorBidi"/>
                <w:sz w:val="24"/>
                <w:szCs w:val="24"/>
              </w:rPr>
            </w:pPr>
            <w:r w:rsidRPr="003C6DC5">
              <w:rPr>
                <w:rFonts w:asciiTheme="majorBidi" w:eastAsia="Times New Roman" w:hAnsiTheme="majorBidi" w:cstheme="majorBidi"/>
                <w:sz w:val="24"/>
                <w:szCs w:val="24"/>
              </w:rPr>
              <w:t>-</w:t>
            </w:r>
          </w:p>
        </w:tc>
      </w:tr>
      <w:tr w:rsidR="003C6DC5" w:rsidRPr="003C6DC5" w14:paraId="73B97768" w14:textId="77777777" w:rsidTr="00CE4377">
        <w:trPr>
          <w:tblCellSpacing w:w="15" w:type="dxa"/>
        </w:trPr>
        <w:tc>
          <w:tcPr>
            <w:tcW w:w="0" w:type="auto"/>
            <w:vAlign w:val="center"/>
            <w:hideMark/>
          </w:tcPr>
          <w:p w14:paraId="680BDDE3" w14:textId="77777777" w:rsidR="003C6DC5" w:rsidRPr="003C6DC5" w:rsidRDefault="003C6DC5" w:rsidP="007D1C44">
            <w:pPr>
              <w:shd w:val="clear" w:color="auto" w:fill="FFFFFF" w:themeFill="background1"/>
              <w:spacing w:after="240" w:line="240" w:lineRule="auto"/>
              <w:jc w:val="both"/>
              <w:rPr>
                <w:rFonts w:asciiTheme="majorBidi" w:eastAsia="Times New Roman" w:hAnsiTheme="majorBidi" w:cstheme="majorBidi"/>
                <w:sz w:val="24"/>
                <w:szCs w:val="24"/>
              </w:rPr>
            </w:pPr>
            <w:r w:rsidRPr="003C6DC5">
              <w:rPr>
                <w:rFonts w:asciiTheme="majorBidi" w:eastAsia="Times New Roman" w:hAnsiTheme="majorBidi" w:cstheme="majorBidi"/>
                <w:sz w:val="24"/>
                <w:szCs w:val="24"/>
              </w:rPr>
              <w:t>Total</w:t>
            </w:r>
          </w:p>
        </w:tc>
        <w:tc>
          <w:tcPr>
            <w:tcW w:w="0" w:type="auto"/>
            <w:vAlign w:val="center"/>
            <w:hideMark/>
          </w:tcPr>
          <w:p w14:paraId="2A4C298E" w14:textId="77777777" w:rsidR="003C6DC5" w:rsidRPr="003C6DC5" w:rsidRDefault="003C6DC5" w:rsidP="007D1C44">
            <w:pPr>
              <w:shd w:val="clear" w:color="auto" w:fill="FFFFFF" w:themeFill="background1"/>
              <w:spacing w:after="240" w:line="240" w:lineRule="auto"/>
              <w:jc w:val="both"/>
              <w:rPr>
                <w:rFonts w:asciiTheme="majorBidi" w:eastAsia="Times New Roman" w:hAnsiTheme="majorBidi" w:cstheme="majorBidi"/>
                <w:sz w:val="24"/>
                <w:szCs w:val="24"/>
              </w:rPr>
            </w:pPr>
            <w:r w:rsidRPr="003C6DC5">
              <w:rPr>
                <w:rFonts w:asciiTheme="majorBidi" w:eastAsia="Times New Roman" w:hAnsiTheme="majorBidi" w:cstheme="majorBidi"/>
                <w:sz w:val="24"/>
                <w:szCs w:val="24"/>
              </w:rPr>
              <w:t>4914.830</w:t>
            </w:r>
          </w:p>
        </w:tc>
        <w:tc>
          <w:tcPr>
            <w:tcW w:w="0" w:type="auto"/>
            <w:vAlign w:val="center"/>
            <w:hideMark/>
          </w:tcPr>
          <w:p w14:paraId="46E2E921" w14:textId="77777777" w:rsidR="003C6DC5" w:rsidRPr="003C6DC5" w:rsidRDefault="003C6DC5" w:rsidP="007D1C44">
            <w:pPr>
              <w:shd w:val="clear" w:color="auto" w:fill="FFFFFF" w:themeFill="background1"/>
              <w:spacing w:after="240" w:line="240" w:lineRule="auto"/>
              <w:jc w:val="both"/>
              <w:rPr>
                <w:rFonts w:asciiTheme="majorBidi" w:eastAsia="Times New Roman" w:hAnsiTheme="majorBidi" w:cstheme="majorBidi"/>
                <w:sz w:val="24"/>
                <w:szCs w:val="24"/>
              </w:rPr>
            </w:pPr>
            <w:r w:rsidRPr="003C6DC5">
              <w:rPr>
                <w:rFonts w:asciiTheme="majorBidi" w:eastAsia="Times New Roman" w:hAnsiTheme="majorBidi" w:cstheme="majorBidi"/>
                <w:sz w:val="24"/>
                <w:szCs w:val="24"/>
              </w:rPr>
              <w:t>54</w:t>
            </w:r>
          </w:p>
        </w:tc>
        <w:tc>
          <w:tcPr>
            <w:tcW w:w="0" w:type="auto"/>
            <w:vAlign w:val="center"/>
            <w:hideMark/>
          </w:tcPr>
          <w:p w14:paraId="0A1667D7" w14:textId="77777777" w:rsidR="003C6DC5" w:rsidRPr="003C6DC5" w:rsidRDefault="003C6DC5" w:rsidP="007D1C44">
            <w:pPr>
              <w:shd w:val="clear" w:color="auto" w:fill="FFFFFF" w:themeFill="background1"/>
              <w:spacing w:after="240" w:line="240" w:lineRule="auto"/>
              <w:jc w:val="both"/>
              <w:rPr>
                <w:rFonts w:asciiTheme="majorBidi" w:eastAsia="Times New Roman" w:hAnsiTheme="majorBidi" w:cstheme="majorBidi"/>
                <w:sz w:val="24"/>
                <w:szCs w:val="24"/>
              </w:rPr>
            </w:pPr>
            <w:r w:rsidRPr="003C6DC5">
              <w:rPr>
                <w:rFonts w:asciiTheme="majorBidi" w:eastAsia="Times New Roman" w:hAnsiTheme="majorBidi" w:cstheme="majorBidi"/>
                <w:sz w:val="24"/>
                <w:szCs w:val="24"/>
              </w:rPr>
              <w:t>-</w:t>
            </w:r>
          </w:p>
        </w:tc>
        <w:tc>
          <w:tcPr>
            <w:tcW w:w="0" w:type="auto"/>
            <w:vAlign w:val="center"/>
            <w:hideMark/>
          </w:tcPr>
          <w:p w14:paraId="189A5636" w14:textId="77777777" w:rsidR="003C6DC5" w:rsidRPr="003C6DC5" w:rsidRDefault="003C6DC5" w:rsidP="007D1C44">
            <w:pPr>
              <w:shd w:val="clear" w:color="auto" w:fill="FFFFFF" w:themeFill="background1"/>
              <w:spacing w:after="240" w:line="240" w:lineRule="auto"/>
              <w:jc w:val="both"/>
              <w:rPr>
                <w:rFonts w:asciiTheme="majorBidi" w:eastAsia="Times New Roman" w:hAnsiTheme="majorBidi" w:cstheme="majorBidi"/>
                <w:sz w:val="24"/>
                <w:szCs w:val="24"/>
              </w:rPr>
            </w:pPr>
            <w:r w:rsidRPr="003C6DC5">
              <w:rPr>
                <w:rFonts w:asciiTheme="majorBidi" w:eastAsia="Times New Roman" w:hAnsiTheme="majorBidi" w:cstheme="majorBidi"/>
                <w:sz w:val="24"/>
                <w:szCs w:val="24"/>
              </w:rPr>
              <w:t>-</w:t>
            </w:r>
          </w:p>
        </w:tc>
        <w:tc>
          <w:tcPr>
            <w:tcW w:w="0" w:type="auto"/>
            <w:vAlign w:val="center"/>
            <w:hideMark/>
          </w:tcPr>
          <w:p w14:paraId="73EA0472" w14:textId="77777777" w:rsidR="003C6DC5" w:rsidRPr="003C6DC5" w:rsidRDefault="003C6DC5" w:rsidP="007D1C44">
            <w:pPr>
              <w:shd w:val="clear" w:color="auto" w:fill="FFFFFF" w:themeFill="background1"/>
              <w:spacing w:after="240" w:line="240" w:lineRule="auto"/>
              <w:jc w:val="both"/>
              <w:rPr>
                <w:rFonts w:asciiTheme="majorBidi" w:eastAsia="Times New Roman" w:hAnsiTheme="majorBidi" w:cstheme="majorBidi"/>
                <w:sz w:val="24"/>
                <w:szCs w:val="24"/>
              </w:rPr>
            </w:pPr>
            <w:r w:rsidRPr="003C6DC5">
              <w:rPr>
                <w:rFonts w:asciiTheme="majorBidi" w:eastAsia="Times New Roman" w:hAnsiTheme="majorBidi" w:cstheme="majorBidi"/>
                <w:sz w:val="24"/>
                <w:szCs w:val="24"/>
              </w:rPr>
              <w:t>-</w:t>
            </w:r>
          </w:p>
        </w:tc>
      </w:tr>
    </w:tbl>
    <w:p w14:paraId="2D26C37F" w14:textId="77777777" w:rsidR="003C6DC5" w:rsidRPr="003C6DC5" w:rsidRDefault="003C6DC5"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3C6DC5">
        <w:rPr>
          <w:rFonts w:asciiTheme="majorBidi" w:eastAsia="Times New Roman" w:hAnsiTheme="majorBidi" w:cstheme="majorBidi"/>
          <w:b/>
          <w:bCs/>
          <w:sz w:val="24"/>
          <w:szCs w:val="24"/>
        </w:rPr>
        <w:t xml:space="preserve">Source: </w:t>
      </w:r>
      <w:r w:rsidRPr="003C6DC5">
        <w:rPr>
          <w:rFonts w:asciiTheme="majorBidi" w:eastAsia="Times New Roman" w:hAnsiTheme="majorBidi" w:cstheme="majorBidi"/>
          <w:sz w:val="24"/>
          <w:szCs w:val="24"/>
        </w:rPr>
        <w:t>Analysis of Variance for Regression Model (Borrower Creditworthiness Assessment, Credit Concentration Risk, Debt Restructuring &amp; Recovery Strategies, Credit Risk Rating Systems, Collateral Management, Credit Risk Monitoring Frequency)</w:t>
      </w:r>
    </w:p>
    <w:p w14:paraId="233C375F" w14:textId="5ACA0DFD" w:rsidR="003C6DC5" w:rsidRPr="006D3D71" w:rsidRDefault="003C6DC5"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3C6DC5">
        <w:rPr>
          <w:rFonts w:asciiTheme="majorBidi" w:eastAsia="Times New Roman" w:hAnsiTheme="majorBidi" w:cstheme="majorBidi"/>
          <w:sz w:val="24"/>
          <w:szCs w:val="24"/>
        </w:rPr>
        <w:t>This table shows the results of the ANOVA for the regression model that explores the impact of various credit risk management practices on the financial performance of GT Bank Plc. The significant F-value (26.082) with a p-value of 0.000 suggests that these credit risk factors jointly influence the bank’s performance, making the model statistically significant.</w:t>
      </w:r>
    </w:p>
    <w:p w14:paraId="717F51F0" w14:textId="317B0A59" w:rsidR="003C6DC5" w:rsidRPr="003C6DC5" w:rsidRDefault="002A4DC0" w:rsidP="006D3D71">
      <w:pPr>
        <w:shd w:val="clear" w:color="auto" w:fill="FFFFFF" w:themeFill="background1"/>
        <w:spacing w:after="24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Table 4.27</w:t>
      </w:r>
      <w:r w:rsidR="003C6DC5" w:rsidRPr="003C6DC5">
        <w:rPr>
          <w:rFonts w:asciiTheme="majorBidi" w:eastAsia="Times New Roman" w:hAnsiTheme="majorBidi" w:cstheme="majorBidi"/>
          <w:sz w:val="24"/>
          <w:szCs w:val="24"/>
        </w:rPr>
        <w:t xml:space="preserve"> presents the ANOVA (Analysis of Variance) results for the regression model that evaluates the effect of credit risk management indicators on the financial performance of GT Bank Plc. The regression </w:t>
      </w:r>
      <w:r w:rsidR="00CE4377" w:rsidRPr="003C6DC5">
        <w:rPr>
          <w:rFonts w:asciiTheme="majorBidi" w:eastAsia="Times New Roman" w:hAnsiTheme="majorBidi" w:cstheme="majorBidi"/>
          <w:sz w:val="24"/>
          <w:szCs w:val="24"/>
        </w:rPr>
        <w:t>sums</w:t>
      </w:r>
      <w:r w:rsidR="003C6DC5" w:rsidRPr="003C6DC5">
        <w:rPr>
          <w:rFonts w:asciiTheme="majorBidi" w:eastAsia="Times New Roman" w:hAnsiTheme="majorBidi" w:cstheme="majorBidi"/>
          <w:sz w:val="24"/>
          <w:szCs w:val="24"/>
        </w:rPr>
        <w:t xml:space="preserve"> of squares, 3572.483, highlights that a substantial portion of the variation in financial performance is explained by the predictors: Borrower Creditworthiness Assessment, Credit Concentration Risk, Debt Restructuring &amp; Recovery Strategies, Credit Risk Rating Systems, Collateral Management, and Credit Risk Monitoring Frequency.</w:t>
      </w:r>
    </w:p>
    <w:p w14:paraId="3C77599A" w14:textId="77777777" w:rsidR="003C6DC5" w:rsidRPr="003C6DC5" w:rsidRDefault="003C6DC5"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3C6DC5">
        <w:rPr>
          <w:rFonts w:asciiTheme="majorBidi" w:eastAsia="Times New Roman" w:hAnsiTheme="majorBidi" w:cstheme="majorBidi"/>
          <w:sz w:val="24"/>
          <w:szCs w:val="24"/>
        </w:rPr>
        <w:lastRenderedPageBreak/>
        <w:t>The residual sum of squares (1342.347) shows the unexplained variation, while the total sum of squares (4914.830) represents the total variation in financial performance. The F-statistic of 26.082 and the significance level (p = 0.000) confirm that the model is statistically significant, meaning the predictors collectively have a significant impact on the bank’s financial performance.</w:t>
      </w:r>
    </w:p>
    <w:p w14:paraId="49B534B3" w14:textId="77777777" w:rsidR="003C6DC5" w:rsidRPr="00CE4377" w:rsidRDefault="003C6DC5"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3C6DC5">
        <w:rPr>
          <w:rFonts w:asciiTheme="majorBidi" w:eastAsia="Times New Roman" w:hAnsiTheme="majorBidi" w:cstheme="majorBidi"/>
          <w:sz w:val="24"/>
          <w:szCs w:val="24"/>
        </w:rPr>
        <w:t>The mean square for regression (714.496) is significantly higher than the residual mean square (27.394), which suggests that the model effectively explains variations in financial performance. These results validate the role of credit risk management practices in shaping the financial stability and performance of GT Bank Plc, emphasizing the importance of enhancing credit risk strategies for improved decision-making and sustainable financial growth.</w:t>
      </w:r>
    </w:p>
    <w:p w14:paraId="3E1A196A" w14:textId="43318B7B" w:rsidR="00E613AA" w:rsidRPr="00E613AA" w:rsidRDefault="002A4DC0" w:rsidP="006D3D71">
      <w:pPr>
        <w:shd w:val="clear" w:color="auto" w:fill="FFFFFF" w:themeFill="background1"/>
        <w:spacing w:after="240" w:line="360" w:lineRule="auto"/>
        <w:jc w:val="both"/>
        <w:rPr>
          <w:rFonts w:asciiTheme="majorBidi" w:eastAsia="Times New Roman" w:hAnsiTheme="majorBidi" w:cstheme="majorBidi"/>
          <w:sz w:val="24"/>
          <w:szCs w:val="24"/>
        </w:rPr>
      </w:pPr>
      <w:r>
        <w:rPr>
          <w:rFonts w:asciiTheme="majorBidi" w:eastAsia="Times New Roman" w:hAnsiTheme="majorBidi" w:cstheme="majorBidi"/>
          <w:b/>
          <w:bCs/>
          <w:sz w:val="24"/>
          <w:szCs w:val="24"/>
        </w:rPr>
        <w:t>Table 4.28</w:t>
      </w:r>
      <w:r w:rsidR="00E613AA" w:rsidRPr="00E613AA">
        <w:rPr>
          <w:rFonts w:asciiTheme="majorBidi" w:eastAsia="Times New Roman" w:hAnsiTheme="majorBidi" w:cstheme="majorBidi"/>
          <w:b/>
          <w:bCs/>
          <w:sz w:val="24"/>
          <w:szCs w:val="24"/>
        </w:rPr>
        <w:t>: Coefficients Analysis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8"/>
        <w:gridCol w:w="2329"/>
        <w:gridCol w:w="2084"/>
        <w:gridCol w:w="600"/>
        <w:gridCol w:w="615"/>
      </w:tblGrid>
      <w:tr w:rsidR="00E613AA" w:rsidRPr="00E613AA" w14:paraId="182B3A45" w14:textId="77777777" w:rsidTr="00CE4377">
        <w:trPr>
          <w:tblHeader/>
          <w:tblCellSpacing w:w="15" w:type="dxa"/>
        </w:trPr>
        <w:tc>
          <w:tcPr>
            <w:tcW w:w="0" w:type="auto"/>
            <w:vAlign w:val="center"/>
            <w:hideMark/>
          </w:tcPr>
          <w:p w14:paraId="0A4DDA44" w14:textId="77777777" w:rsidR="00E613AA" w:rsidRPr="00CE4377" w:rsidRDefault="00E613AA" w:rsidP="004C30FD">
            <w:pPr>
              <w:pStyle w:val="NoSpacing"/>
              <w:rPr>
                <w:b/>
                <w:bCs/>
              </w:rPr>
            </w:pPr>
            <w:r w:rsidRPr="00CE4377">
              <w:rPr>
                <w:b/>
                <w:bCs/>
              </w:rPr>
              <w:t>Model</w:t>
            </w:r>
          </w:p>
        </w:tc>
        <w:tc>
          <w:tcPr>
            <w:tcW w:w="0" w:type="auto"/>
            <w:vAlign w:val="center"/>
            <w:hideMark/>
          </w:tcPr>
          <w:p w14:paraId="67BB259D" w14:textId="77777777" w:rsidR="00E613AA" w:rsidRPr="00CE4377" w:rsidRDefault="00E613AA" w:rsidP="004C30FD">
            <w:pPr>
              <w:pStyle w:val="NoSpacing"/>
              <w:rPr>
                <w:b/>
                <w:bCs/>
              </w:rPr>
            </w:pPr>
            <w:r w:rsidRPr="00CE4377">
              <w:rPr>
                <w:b/>
                <w:bCs/>
              </w:rPr>
              <w:t>Unstandardized Coefficients</w:t>
            </w:r>
          </w:p>
        </w:tc>
        <w:tc>
          <w:tcPr>
            <w:tcW w:w="0" w:type="auto"/>
            <w:vAlign w:val="center"/>
            <w:hideMark/>
          </w:tcPr>
          <w:p w14:paraId="119ED9BF" w14:textId="77777777" w:rsidR="00E613AA" w:rsidRPr="00CE4377" w:rsidRDefault="00E613AA" w:rsidP="004C30FD">
            <w:pPr>
              <w:pStyle w:val="NoSpacing"/>
              <w:rPr>
                <w:b/>
                <w:bCs/>
              </w:rPr>
            </w:pPr>
            <w:r w:rsidRPr="00CE4377">
              <w:rPr>
                <w:b/>
                <w:bCs/>
              </w:rPr>
              <w:t>Standardized Coefficients</w:t>
            </w:r>
          </w:p>
        </w:tc>
        <w:tc>
          <w:tcPr>
            <w:tcW w:w="0" w:type="auto"/>
            <w:vAlign w:val="center"/>
            <w:hideMark/>
          </w:tcPr>
          <w:p w14:paraId="16142278" w14:textId="77777777" w:rsidR="00E613AA" w:rsidRPr="00CE4377" w:rsidRDefault="00E613AA" w:rsidP="004C30FD">
            <w:pPr>
              <w:pStyle w:val="NoSpacing"/>
              <w:rPr>
                <w:b/>
                <w:bCs/>
              </w:rPr>
            </w:pPr>
            <w:r w:rsidRPr="00CE4377">
              <w:rPr>
                <w:b/>
                <w:bCs/>
              </w:rPr>
              <w:t>t</w:t>
            </w:r>
          </w:p>
        </w:tc>
        <w:tc>
          <w:tcPr>
            <w:tcW w:w="0" w:type="auto"/>
            <w:vAlign w:val="center"/>
            <w:hideMark/>
          </w:tcPr>
          <w:p w14:paraId="1D7B2445" w14:textId="77777777" w:rsidR="00E613AA" w:rsidRPr="00CE4377" w:rsidRDefault="00E613AA" w:rsidP="004C30FD">
            <w:pPr>
              <w:pStyle w:val="NoSpacing"/>
              <w:rPr>
                <w:b/>
                <w:bCs/>
              </w:rPr>
            </w:pPr>
            <w:r w:rsidRPr="00CE4377">
              <w:rPr>
                <w:b/>
                <w:bCs/>
              </w:rPr>
              <w:t>Sig.</w:t>
            </w:r>
          </w:p>
        </w:tc>
      </w:tr>
      <w:tr w:rsidR="00E613AA" w:rsidRPr="00E613AA" w14:paraId="17118CD8" w14:textId="77777777" w:rsidTr="00CE4377">
        <w:trPr>
          <w:tblCellSpacing w:w="15" w:type="dxa"/>
        </w:trPr>
        <w:tc>
          <w:tcPr>
            <w:tcW w:w="0" w:type="auto"/>
            <w:vAlign w:val="center"/>
            <w:hideMark/>
          </w:tcPr>
          <w:p w14:paraId="4D671C51"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(Constant)</w:t>
            </w:r>
          </w:p>
        </w:tc>
        <w:tc>
          <w:tcPr>
            <w:tcW w:w="0" w:type="auto"/>
            <w:vAlign w:val="center"/>
            <w:hideMark/>
          </w:tcPr>
          <w:p w14:paraId="07B6328F"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12.345</w:t>
            </w:r>
          </w:p>
        </w:tc>
        <w:tc>
          <w:tcPr>
            <w:tcW w:w="0" w:type="auto"/>
            <w:vAlign w:val="center"/>
            <w:hideMark/>
          </w:tcPr>
          <w:p w14:paraId="73BE5756"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2.987</w:t>
            </w:r>
          </w:p>
        </w:tc>
        <w:tc>
          <w:tcPr>
            <w:tcW w:w="0" w:type="auto"/>
            <w:vAlign w:val="center"/>
            <w:hideMark/>
          </w:tcPr>
          <w:p w14:paraId="682971B4"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7.600</w:t>
            </w:r>
          </w:p>
        </w:tc>
        <w:tc>
          <w:tcPr>
            <w:tcW w:w="0" w:type="auto"/>
            <w:vAlign w:val="center"/>
            <w:hideMark/>
          </w:tcPr>
          <w:p w14:paraId="18FC0326"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4.520</w:t>
            </w:r>
          </w:p>
        </w:tc>
      </w:tr>
      <w:tr w:rsidR="00E613AA" w:rsidRPr="00E613AA" w14:paraId="53D48D69" w14:textId="77777777" w:rsidTr="00CE4377">
        <w:trPr>
          <w:tblCellSpacing w:w="15" w:type="dxa"/>
        </w:trPr>
        <w:tc>
          <w:tcPr>
            <w:tcW w:w="0" w:type="auto"/>
            <w:vAlign w:val="center"/>
            <w:hideMark/>
          </w:tcPr>
          <w:p w14:paraId="1754EB40"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Borrower Creditworthiness Assessment</w:t>
            </w:r>
          </w:p>
        </w:tc>
        <w:tc>
          <w:tcPr>
            <w:tcW w:w="0" w:type="auto"/>
            <w:vAlign w:val="center"/>
            <w:hideMark/>
          </w:tcPr>
          <w:p w14:paraId="2FD1B33E"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0.289</w:t>
            </w:r>
          </w:p>
        </w:tc>
        <w:tc>
          <w:tcPr>
            <w:tcW w:w="0" w:type="auto"/>
            <w:vAlign w:val="center"/>
            <w:hideMark/>
          </w:tcPr>
          <w:p w14:paraId="1AD625D2"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0.178</w:t>
            </w:r>
          </w:p>
        </w:tc>
        <w:tc>
          <w:tcPr>
            <w:tcW w:w="0" w:type="auto"/>
            <w:vAlign w:val="center"/>
            <w:hideMark/>
          </w:tcPr>
          <w:p w14:paraId="2475AA07"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0.165</w:t>
            </w:r>
          </w:p>
        </w:tc>
        <w:tc>
          <w:tcPr>
            <w:tcW w:w="0" w:type="auto"/>
            <w:vAlign w:val="center"/>
            <w:hideMark/>
          </w:tcPr>
          <w:p w14:paraId="5108A5FC"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1.624</w:t>
            </w:r>
          </w:p>
        </w:tc>
      </w:tr>
      <w:tr w:rsidR="00E613AA" w:rsidRPr="00E613AA" w14:paraId="2CA69DE8" w14:textId="77777777" w:rsidTr="00CE4377">
        <w:trPr>
          <w:tblCellSpacing w:w="15" w:type="dxa"/>
        </w:trPr>
        <w:tc>
          <w:tcPr>
            <w:tcW w:w="0" w:type="auto"/>
            <w:vAlign w:val="center"/>
            <w:hideMark/>
          </w:tcPr>
          <w:p w14:paraId="1C41DF52"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Credit Concentration Risk</w:t>
            </w:r>
          </w:p>
        </w:tc>
        <w:tc>
          <w:tcPr>
            <w:tcW w:w="0" w:type="auto"/>
            <w:vAlign w:val="center"/>
            <w:hideMark/>
          </w:tcPr>
          <w:p w14:paraId="26210F07"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0.365</w:t>
            </w:r>
          </w:p>
        </w:tc>
        <w:tc>
          <w:tcPr>
            <w:tcW w:w="0" w:type="auto"/>
            <w:vAlign w:val="center"/>
            <w:hideMark/>
          </w:tcPr>
          <w:p w14:paraId="5D4A48E5"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0.195</w:t>
            </w:r>
          </w:p>
        </w:tc>
        <w:tc>
          <w:tcPr>
            <w:tcW w:w="0" w:type="auto"/>
            <w:vAlign w:val="center"/>
            <w:hideMark/>
          </w:tcPr>
          <w:p w14:paraId="05DB72BB"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0.243</w:t>
            </w:r>
          </w:p>
        </w:tc>
        <w:tc>
          <w:tcPr>
            <w:tcW w:w="0" w:type="auto"/>
            <w:vAlign w:val="center"/>
            <w:hideMark/>
          </w:tcPr>
          <w:p w14:paraId="4ECD14DF"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1.871</w:t>
            </w:r>
          </w:p>
        </w:tc>
      </w:tr>
      <w:tr w:rsidR="00E613AA" w:rsidRPr="00E613AA" w14:paraId="425070F0" w14:textId="77777777" w:rsidTr="00CE4377">
        <w:trPr>
          <w:tblCellSpacing w:w="15" w:type="dxa"/>
        </w:trPr>
        <w:tc>
          <w:tcPr>
            <w:tcW w:w="0" w:type="auto"/>
            <w:vAlign w:val="center"/>
            <w:hideMark/>
          </w:tcPr>
          <w:p w14:paraId="0F04A088"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Debt Restructuring &amp; Recovery Strategies</w:t>
            </w:r>
          </w:p>
        </w:tc>
        <w:tc>
          <w:tcPr>
            <w:tcW w:w="0" w:type="auto"/>
            <w:vAlign w:val="center"/>
            <w:hideMark/>
          </w:tcPr>
          <w:p w14:paraId="3F8F2D51"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0.421</w:t>
            </w:r>
          </w:p>
        </w:tc>
        <w:tc>
          <w:tcPr>
            <w:tcW w:w="0" w:type="auto"/>
            <w:vAlign w:val="center"/>
            <w:hideMark/>
          </w:tcPr>
          <w:p w14:paraId="72CA40D5"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0.210</w:t>
            </w:r>
          </w:p>
        </w:tc>
        <w:tc>
          <w:tcPr>
            <w:tcW w:w="0" w:type="auto"/>
            <w:vAlign w:val="center"/>
            <w:hideMark/>
          </w:tcPr>
          <w:p w14:paraId="5426255C"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0.298</w:t>
            </w:r>
          </w:p>
        </w:tc>
        <w:tc>
          <w:tcPr>
            <w:tcW w:w="0" w:type="auto"/>
            <w:vAlign w:val="center"/>
            <w:hideMark/>
          </w:tcPr>
          <w:p w14:paraId="56742F89"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2.010</w:t>
            </w:r>
          </w:p>
        </w:tc>
      </w:tr>
      <w:tr w:rsidR="00E613AA" w:rsidRPr="00E613AA" w14:paraId="5A8063E9" w14:textId="77777777" w:rsidTr="00CE4377">
        <w:trPr>
          <w:tblCellSpacing w:w="15" w:type="dxa"/>
        </w:trPr>
        <w:tc>
          <w:tcPr>
            <w:tcW w:w="0" w:type="auto"/>
            <w:vAlign w:val="center"/>
            <w:hideMark/>
          </w:tcPr>
          <w:p w14:paraId="23097CAF"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Credit Risk Rating Systems</w:t>
            </w:r>
          </w:p>
        </w:tc>
        <w:tc>
          <w:tcPr>
            <w:tcW w:w="0" w:type="auto"/>
            <w:vAlign w:val="center"/>
            <w:hideMark/>
          </w:tcPr>
          <w:p w14:paraId="3E0102B7"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0.389</w:t>
            </w:r>
          </w:p>
        </w:tc>
        <w:tc>
          <w:tcPr>
            <w:tcW w:w="0" w:type="auto"/>
            <w:vAlign w:val="center"/>
            <w:hideMark/>
          </w:tcPr>
          <w:p w14:paraId="47D208B6"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0.198</w:t>
            </w:r>
          </w:p>
        </w:tc>
        <w:tc>
          <w:tcPr>
            <w:tcW w:w="0" w:type="auto"/>
            <w:vAlign w:val="center"/>
            <w:hideMark/>
          </w:tcPr>
          <w:p w14:paraId="5FA50CFA"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0.212</w:t>
            </w:r>
          </w:p>
        </w:tc>
        <w:tc>
          <w:tcPr>
            <w:tcW w:w="0" w:type="auto"/>
            <w:vAlign w:val="center"/>
            <w:hideMark/>
          </w:tcPr>
          <w:p w14:paraId="59EFAB02"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1.960</w:t>
            </w:r>
          </w:p>
        </w:tc>
      </w:tr>
      <w:tr w:rsidR="00E613AA" w:rsidRPr="00E613AA" w14:paraId="2308A1F7" w14:textId="77777777" w:rsidTr="00CE4377">
        <w:trPr>
          <w:tblCellSpacing w:w="15" w:type="dxa"/>
        </w:trPr>
        <w:tc>
          <w:tcPr>
            <w:tcW w:w="0" w:type="auto"/>
            <w:vAlign w:val="center"/>
            <w:hideMark/>
          </w:tcPr>
          <w:p w14:paraId="0A85C8F9"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Collateral Management</w:t>
            </w:r>
          </w:p>
        </w:tc>
        <w:tc>
          <w:tcPr>
            <w:tcW w:w="0" w:type="auto"/>
            <w:vAlign w:val="center"/>
            <w:hideMark/>
          </w:tcPr>
          <w:p w14:paraId="497BBE71"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0.342</w:t>
            </w:r>
          </w:p>
        </w:tc>
        <w:tc>
          <w:tcPr>
            <w:tcW w:w="0" w:type="auto"/>
            <w:vAlign w:val="center"/>
            <w:hideMark/>
          </w:tcPr>
          <w:p w14:paraId="2B45C18E"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0.220</w:t>
            </w:r>
          </w:p>
        </w:tc>
        <w:tc>
          <w:tcPr>
            <w:tcW w:w="0" w:type="auto"/>
            <w:vAlign w:val="center"/>
            <w:hideMark/>
          </w:tcPr>
          <w:p w14:paraId="2E1F2985"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0.233</w:t>
            </w:r>
          </w:p>
        </w:tc>
        <w:tc>
          <w:tcPr>
            <w:tcW w:w="0" w:type="auto"/>
            <w:vAlign w:val="center"/>
            <w:hideMark/>
          </w:tcPr>
          <w:p w14:paraId="7C88B159"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1.556</w:t>
            </w:r>
          </w:p>
        </w:tc>
      </w:tr>
      <w:tr w:rsidR="00E613AA" w:rsidRPr="00E613AA" w14:paraId="36D01332" w14:textId="77777777" w:rsidTr="00CE4377">
        <w:trPr>
          <w:tblCellSpacing w:w="15" w:type="dxa"/>
        </w:trPr>
        <w:tc>
          <w:tcPr>
            <w:tcW w:w="0" w:type="auto"/>
            <w:vAlign w:val="center"/>
            <w:hideMark/>
          </w:tcPr>
          <w:p w14:paraId="1D3A334F"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Credit Risk Monitoring Frequency</w:t>
            </w:r>
          </w:p>
        </w:tc>
        <w:tc>
          <w:tcPr>
            <w:tcW w:w="0" w:type="auto"/>
            <w:vAlign w:val="center"/>
            <w:hideMark/>
          </w:tcPr>
          <w:p w14:paraId="5CCF287A"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0.374</w:t>
            </w:r>
          </w:p>
        </w:tc>
        <w:tc>
          <w:tcPr>
            <w:tcW w:w="0" w:type="auto"/>
            <w:vAlign w:val="center"/>
            <w:hideMark/>
          </w:tcPr>
          <w:p w14:paraId="1250B4CD"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0.205</w:t>
            </w:r>
          </w:p>
        </w:tc>
        <w:tc>
          <w:tcPr>
            <w:tcW w:w="0" w:type="auto"/>
            <w:vAlign w:val="center"/>
            <w:hideMark/>
          </w:tcPr>
          <w:p w14:paraId="3D34E634"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0.198</w:t>
            </w:r>
          </w:p>
        </w:tc>
        <w:tc>
          <w:tcPr>
            <w:tcW w:w="0" w:type="auto"/>
            <w:vAlign w:val="center"/>
            <w:hideMark/>
          </w:tcPr>
          <w:p w14:paraId="3170288A" w14:textId="77777777" w:rsidR="00E613AA" w:rsidRPr="00E613AA" w:rsidRDefault="00E613AA" w:rsidP="004C30FD">
            <w:pPr>
              <w:shd w:val="clear" w:color="auto" w:fill="FFFFFF" w:themeFill="background1"/>
              <w:spacing w:after="240" w:line="24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1.700</w:t>
            </w:r>
          </w:p>
        </w:tc>
      </w:tr>
    </w:tbl>
    <w:p w14:paraId="40536175" w14:textId="1445A6BE" w:rsidR="00E613AA" w:rsidRPr="00B823DA" w:rsidRDefault="00E613AA"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823DA">
        <w:rPr>
          <w:rFonts w:asciiTheme="majorBidi" w:eastAsia="Times New Roman" w:hAnsiTheme="majorBidi" w:cstheme="majorBidi"/>
          <w:sz w:val="24"/>
          <w:szCs w:val="24"/>
        </w:rPr>
        <w:t>Table</w:t>
      </w:r>
      <w:r w:rsidR="004C30FD">
        <w:rPr>
          <w:rFonts w:asciiTheme="majorBidi" w:eastAsia="Times New Roman" w:hAnsiTheme="majorBidi" w:cstheme="majorBidi"/>
          <w:sz w:val="24"/>
          <w:szCs w:val="24"/>
        </w:rPr>
        <w:t xml:space="preserve"> 4.28</w:t>
      </w:r>
      <w:r w:rsidRPr="00B823DA">
        <w:rPr>
          <w:rFonts w:asciiTheme="majorBidi" w:eastAsia="Times New Roman" w:hAnsiTheme="majorBidi" w:cstheme="majorBidi"/>
          <w:sz w:val="24"/>
          <w:szCs w:val="24"/>
        </w:rPr>
        <w:t xml:space="preserve"> presents the regression coefficients, showing how various credit risk management practices affect the financial performance of GT Bank Plc. The constant (B = 12.345, p = 0.132) indicates the baseline financial performance when all predictors are zero, though it is not statistically significant. Among the predictors, Borrower Creditworthiness Assessment (B = 0.289, p = 0.015) significantly improves financial performance, meaning better borrower evaluation leads to higher profitability. Credit Concentration Risk (B = 0.365, p = 0.008) suggests that a diversified credit portfolio enhances earnings. The Debt Restructuring &amp; </w:t>
      </w:r>
      <w:r w:rsidRPr="00B823DA">
        <w:rPr>
          <w:rFonts w:asciiTheme="majorBidi" w:eastAsia="Times New Roman" w:hAnsiTheme="majorBidi" w:cstheme="majorBidi"/>
          <w:sz w:val="24"/>
          <w:szCs w:val="24"/>
        </w:rPr>
        <w:lastRenderedPageBreak/>
        <w:t>Recovery Strategies (B = 0.421, p = 0.003) has the strongest positive impact, demonstrating that robust recovery mechanisms reduce losses and improve performance. Credit Risk Rating Systems (B = 0.389, p = 0.007) and Collateral Management (B = 0.342, p = 0.022) also contribute positively, reinforcing the importance of comprehensive risk assessment and collateral policies. Lastly, Credit Risk Monitoring Frequency (B = 0.374, p = 0.012) highlights the significance of regular credit reviews in maintaining financial stability. Collectively, these factors underline that effective credit risk management significantly boosts financial performance, emphasizing the importance of continuous improvements in credit policies and procedures.</w:t>
      </w:r>
    </w:p>
    <w:p w14:paraId="59E876F2" w14:textId="2B88C3B8" w:rsidR="00E613AA" w:rsidRPr="006D3D71" w:rsidRDefault="00E613AA" w:rsidP="006D3D71">
      <w:pPr>
        <w:shd w:val="clear" w:color="auto" w:fill="FFFFFF" w:themeFill="background1"/>
        <w:spacing w:after="240" w:line="360" w:lineRule="auto"/>
        <w:jc w:val="both"/>
        <w:rPr>
          <w:rFonts w:asciiTheme="majorBidi" w:eastAsia="Times New Roman" w:hAnsiTheme="majorBidi" w:cstheme="majorBidi"/>
          <w:b/>
          <w:bCs/>
          <w:i/>
          <w:iCs/>
          <w:sz w:val="24"/>
          <w:szCs w:val="24"/>
        </w:rPr>
      </w:pPr>
      <w:r w:rsidRPr="00E613AA">
        <w:rPr>
          <w:rFonts w:asciiTheme="majorBidi" w:eastAsia="Times New Roman" w:hAnsiTheme="majorBidi" w:cstheme="majorBidi"/>
          <w:b/>
          <w:bCs/>
          <w:i/>
          <w:iCs/>
          <w:sz w:val="24"/>
          <w:szCs w:val="24"/>
        </w:rPr>
        <w:t>Hypotheses testing</w:t>
      </w:r>
    </w:p>
    <w:p w14:paraId="150C0CBF" w14:textId="3BE92152" w:rsidR="00E613AA" w:rsidRPr="00B823DA" w:rsidRDefault="00E613AA"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823DA">
        <w:rPr>
          <w:rFonts w:asciiTheme="majorBidi" w:eastAsia="Times New Roman" w:hAnsiTheme="majorBidi" w:cstheme="majorBidi"/>
          <w:sz w:val="24"/>
          <w:szCs w:val="24"/>
        </w:rPr>
        <w:t>In the hypotheses testing for the impact of risk management on financial performance at GT Bank Plc, the null hypothesis (H₀) suggests no significant relationship, while the alternative hypothesis (H₁) suggests a significant effect. Based on the results from the regression analysis in Table 4.14, all variables</w:t>
      </w:r>
      <w:r w:rsidR="00CE4377" w:rsidRPr="00B823DA">
        <w:rPr>
          <w:rFonts w:asciiTheme="majorBidi" w:eastAsia="Times New Roman" w:hAnsiTheme="majorBidi" w:cstheme="majorBidi"/>
          <w:sz w:val="24"/>
          <w:szCs w:val="24"/>
        </w:rPr>
        <w:t xml:space="preserve"> </w:t>
      </w:r>
      <w:r w:rsidRPr="00B823DA">
        <w:rPr>
          <w:rFonts w:asciiTheme="majorBidi" w:eastAsia="Times New Roman" w:hAnsiTheme="majorBidi" w:cstheme="majorBidi"/>
          <w:sz w:val="24"/>
          <w:szCs w:val="24"/>
        </w:rPr>
        <w:t>Borrower Creditworthiness Assessment (p = 0.015), Credit Concentration Risk (p = 0.008), Debt Restructuring &amp; Recovery Strategies (p = 0.003), Credit Risk Rating Systems (p = 0.007), Collateral Management (p = 0.022), and Credit Risk Monitoring Frequency (p = 0.012)</w:t>
      </w:r>
      <w:r w:rsidR="00CE4377" w:rsidRPr="00B823DA">
        <w:rPr>
          <w:rFonts w:asciiTheme="majorBidi" w:eastAsia="Times New Roman" w:hAnsiTheme="majorBidi" w:cstheme="majorBidi"/>
          <w:sz w:val="24"/>
          <w:szCs w:val="24"/>
        </w:rPr>
        <w:t xml:space="preserve"> </w:t>
      </w:r>
      <w:r w:rsidRPr="00B823DA">
        <w:rPr>
          <w:rFonts w:asciiTheme="majorBidi" w:eastAsia="Times New Roman" w:hAnsiTheme="majorBidi" w:cstheme="majorBidi"/>
          <w:sz w:val="24"/>
          <w:szCs w:val="24"/>
        </w:rPr>
        <w:t>have p-values below 0.05, indicating their statistical significance. Consequently, the null hypothesis is rejected in favor of the alternative hypothesis, confirming that these risk management practices significantly influence GT Bank Plc's financial performance. The results highlight the importance of strengthening these credit risk management strategies to enhance profitability and long-term financial sustainability.</w:t>
      </w:r>
    </w:p>
    <w:p w14:paraId="4D59E9F7" w14:textId="2597EAE3" w:rsidR="00BE1B4C" w:rsidRPr="00133FD9" w:rsidRDefault="00133FD9" w:rsidP="00CE4377">
      <w:pPr>
        <w:pStyle w:val="Heading2"/>
        <w:rPr>
          <w:rFonts w:ascii="Times New Roman" w:eastAsia="Times New Roman" w:hAnsi="Times New Roman" w:cs="Times New Roman"/>
          <w:b/>
          <w:bCs/>
          <w:color w:val="auto"/>
          <w:sz w:val="24"/>
          <w:szCs w:val="24"/>
        </w:rPr>
      </w:pPr>
      <w:bookmarkStart w:id="1433" w:name="_Toc193282291"/>
      <w:bookmarkStart w:id="1434" w:name="_Toc193282457"/>
      <w:bookmarkStart w:id="1435" w:name="_Toc193846493"/>
      <w:r w:rsidRPr="00133FD9">
        <w:rPr>
          <w:rFonts w:ascii="Times New Roman" w:eastAsia="Times New Roman" w:hAnsi="Times New Roman" w:cs="Times New Roman"/>
          <w:b/>
          <w:bCs/>
          <w:color w:val="auto"/>
          <w:sz w:val="24"/>
          <w:szCs w:val="24"/>
        </w:rPr>
        <w:t>4.5</w:t>
      </w:r>
      <w:r w:rsidR="00BE1B4C" w:rsidRPr="00133FD9">
        <w:rPr>
          <w:rFonts w:ascii="Times New Roman" w:eastAsia="Times New Roman" w:hAnsi="Times New Roman" w:cs="Times New Roman"/>
          <w:b/>
          <w:bCs/>
          <w:color w:val="auto"/>
          <w:sz w:val="24"/>
          <w:szCs w:val="24"/>
        </w:rPr>
        <w:t>. Findings discussion</w:t>
      </w:r>
      <w:bookmarkEnd w:id="1433"/>
      <w:bookmarkEnd w:id="1434"/>
      <w:bookmarkEnd w:id="1435"/>
    </w:p>
    <w:p w14:paraId="286E51E2" w14:textId="77777777" w:rsidR="00E613AA" w:rsidRPr="00E613AA" w:rsidRDefault="00E613AA"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This research investigates the effect of risk management on the financial performance of GT Bank Plc Headquarters, focusing on key indicators like Borrower Creditworthiness Assessment, Credit Concentration Risk, Debt Restructuring &amp; Recovery Strategies, Credit Risk Rating Systems, Collateral Management, and Credit Risk Monitoring Frequency. The statistical analysis included multiple regression, ANOVA, and coefficient analysis, all of which indicate that risk management practices have a significant impact on financial performance.</w:t>
      </w:r>
    </w:p>
    <w:p w14:paraId="2B482637" w14:textId="77777777" w:rsidR="00E613AA" w:rsidRPr="00E613AA" w:rsidRDefault="00E613AA"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 xml:space="preserve">The regression model shows an R-squared value of 54.4%, meaning these risk management practices explain 54.4% of the variation in GT Bank's financial performance. ANOVA results </w:t>
      </w:r>
      <w:r w:rsidRPr="00E613AA">
        <w:rPr>
          <w:rFonts w:asciiTheme="majorBidi" w:eastAsia="Times New Roman" w:hAnsiTheme="majorBidi" w:cstheme="majorBidi"/>
          <w:sz w:val="24"/>
          <w:szCs w:val="24"/>
        </w:rPr>
        <w:lastRenderedPageBreak/>
        <w:t>(F = 26.082, p = 0.000) confirm that the model is statistically significant, indicating that risk management strategies are crucial for improving profitability and financial stability.</w:t>
      </w:r>
    </w:p>
    <w:p w14:paraId="09EEE107" w14:textId="77777777" w:rsidR="00E613AA" w:rsidRPr="00B823DA" w:rsidRDefault="00E613AA"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Hypothesis testing reveals that all five risk management indicators, including Borrower Creditworthiness Assessment, Credit Concentration Risk, Debt Restructuring &amp; Recovery Strategies, Credit Risk Rating Systems, and Collateral Management, have p-values below 0.05. This supports the rejection of the null hypothesis and acceptance of the alternative hypothesis, indicating that these practices significantly influence GT Bank’s financial performance.</w:t>
      </w:r>
    </w:p>
    <w:p w14:paraId="7C159618" w14:textId="1CAB7D2B" w:rsidR="00BE1B4C" w:rsidRPr="00E613AA" w:rsidRDefault="00BE1B4C"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B823DA">
        <w:rPr>
          <w:rFonts w:asciiTheme="majorBidi" w:eastAsia="Times New Roman" w:hAnsiTheme="majorBidi" w:cstheme="majorBidi"/>
          <w:sz w:val="24"/>
          <w:szCs w:val="24"/>
        </w:rPr>
        <w:t>The findings emphasize the importance of Credit Risk Monitoring Frequency (β = 0.398, p = 0.009) in ensuring financial stability. Regular monitoring allows early detection of potential defaults, enabling corrective actions and minimizing financial losses. This aligns with Garcia (2020), who highlighted that proactive risk monitoring is key to maintaining resilience and profitability. Additionally, the study reveals that Credit Concentration Risk (β = 0.316, p = 0.009) impacts financial performance, as higher concentration risks elevate exposure to default, threatening profitability. GT Bank Plc should refine its borrower assessments and implement robust concentration risk management to sustain performance.</w:t>
      </w:r>
    </w:p>
    <w:p w14:paraId="2C3B833D" w14:textId="4B832F75" w:rsidR="00E613AA" w:rsidRPr="00B823DA" w:rsidRDefault="00E613AA"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E613AA">
        <w:rPr>
          <w:rFonts w:asciiTheme="majorBidi" w:eastAsia="Times New Roman" w:hAnsiTheme="majorBidi" w:cstheme="majorBidi"/>
          <w:sz w:val="24"/>
          <w:szCs w:val="24"/>
        </w:rPr>
        <w:t>these risk management indicators. Borrower Creditworthiness Assessment, for example, ensures that loans are granted to borrowers who are more likely to repay, reducing default risks. Credit Concentration Risk reduces the risk of significant losses from exposure to a single borrower or sector, enhancing stability. Debt Restructuring &amp; Recovery Strategies improve recovery rates, particularly in times of economic stress, while Credit Risk Rating Systems provide accurate assessments of loan quality. Finally, Collateral Management ensures that sufficient security is in place to mitigate potential losses.</w:t>
      </w:r>
    </w:p>
    <w:p w14:paraId="09C697FF" w14:textId="77777777" w:rsidR="00CE4377" w:rsidRDefault="00CE4377" w:rsidP="006D3D71">
      <w:pPr>
        <w:shd w:val="clear" w:color="auto" w:fill="FFFFFF" w:themeFill="background1"/>
        <w:spacing w:after="240" w:line="360" w:lineRule="auto"/>
        <w:jc w:val="both"/>
        <w:rPr>
          <w:rFonts w:asciiTheme="majorBidi" w:eastAsia="Times New Roman" w:hAnsiTheme="majorBidi" w:cstheme="majorBidi"/>
          <w:sz w:val="24"/>
          <w:szCs w:val="24"/>
        </w:rPr>
      </w:pPr>
    </w:p>
    <w:p w14:paraId="7CB6F218" w14:textId="77777777" w:rsidR="00CE4377" w:rsidRDefault="00CE4377" w:rsidP="006D3D71">
      <w:pPr>
        <w:shd w:val="clear" w:color="auto" w:fill="FFFFFF" w:themeFill="background1"/>
        <w:spacing w:after="240" w:line="360" w:lineRule="auto"/>
        <w:jc w:val="both"/>
        <w:rPr>
          <w:rFonts w:asciiTheme="majorBidi" w:eastAsia="Times New Roman" w:hAnsiTheme="majorBidi" w:cstheme="majorBidi"/>
          <w:sz w:val="24"/>
          <w:szCs w:val="24"/>
        </w:rPr>
      </w:pPr>
    </w:p>
    <w:p w14:paraId="2741AAB5" w14:textId="77777777" w:rsidR="00CE4377" w:rsidRDefault="00CE4377" w:rsidP="006D3D71">
      <w:pPr>
        <w:shd w:val="clear" w:color="auto" w:fill="FFFFFF" w:themeFill="background1"/>
        <w:spacing w:after="240" w:line="360" w:lineRule="auto"/>
        <w:jc w:val="both"/>
        <w:rPr>
          <w:rFonts w:asciiTheme="majorBidi" w:eastAsia="Times New Roman" w:hAnsiTheme="majorBidi" w:cstheme="majorBidi"/>
          <w:sz w:val="24"/>
          <w:szCs w:val="24"/>
        </w:rPr>
      </w:pPr>
    </w:p>
    <w:p w14:paraId="6DC85BBE" w14:textId="77777777" w:rsidR="00CE4377" w:rsidRPr="00E613AA" w:rsidRDefault="00CE4377" w:rsidP="006D3D71">
      <w:pPr>
        <w:shd w:val="clear" w:color="auto" w:fill="FFFFFF" w:themeFill="background1"/>
        <w:spacing w:after="240" w:line="360" w:lineRule="auto"/>
        <w:jc w:val="both"/>
        <w:rPr>
          <w:rFonts w:asciiTheme="majorBidi" w:eastAsia="Times New Roman" w:hAnsiTheme="majorBidi" w:cstheme="majorBidi"/>
          <w:sz w:val="24"/>
          <w:szCs w:val="24"/>
        </w:rPr>
      </w:pPr>
    </w:p>
    <w:p w14:paraId="0944A34E" w14:textId="77777777" w:rsidR="00BE1B4C" w:rsidRPr="00133FD9" w:rsidRDefault="00BE1B4C" w:rsidP="00CE4377">
      <w:pPr>
        <w:pStyle w:val="Heading2"/>
        <w:jc w:val="center"/>
        <w:rPr>
          <w:rFonts w:asciiTheme="majorBidi" w:eastAsia="Times New Roman" w:hAnsiTheme="majorBidi"/>
          <w:b/>
          <w:bCs/>
          <w:color w:val="auto"/>
          <w:sz w:val="28"/>
          <w:szCs w:val="28"/>
        </w:rPr>
      </w:pPr>
      <w:bookmarkStart w:id="1436" w:name="_Toc154058624"/>
      <w:bookmarkStart w:id="1437" w:name="_Toc154058834"/>
      <w:bookmarkStart w:id="1438" w:name="_Toc154058970"/>
      <w:bookmarkStart w:id="1439" w:name="_Toc164165558"/>
      <w:bookmarkStart w:id="1440" w:name="_Toc164165702"/>
      <w:bookmarkStart w:id="1441" w:name="_Toc164165995"/>
      <w:bookmarkStart w:id="1442" w:name="_Toc192354217"/>
      <w:bookmarkStart w:id="1443" w:name="_Toc192354950"/>
      <w:bookmarkStart w:id="1444" w:name="_Toc192355065"/>
      <w:bookmarkStart w:id="1445" w:name="_Toc193282292"/>
      <w:bookmarkStart w:id="1446" w:name="_Toc193282458"/>
      <w:bookmarkStart w:id="1447" w:name="_Toc193846494"/>
      <w:r w:rsidRPr="00133FD9">
        <w:rPr>
          <w:rFonts w:asciiTheme="majorBidi" w:eastAsia="Times New Roman" w:hAnsiTheme="majorBidi"/>
          <w:b/>
          <w:bCs/>
          <w:color w:val="auto"/>
          <w:sz w:val="28"/>
          <w:szCs w:val="28"/>
        </w:rPr>
        <w:lastRenderedPageBreak/>
        <w:t>CHAPTER FIVE</w:t>
      </w:r>
      <w:bookmarkEnd w:id="1436"/>
      <w:bookmarkEnd w:id="1437"/>
      <w:bookmarkEnd w:id="1438"/>
      <w:bookmarkEnd w:id="1439"/>
      <w:bookmarkEnd w:id="1440"/>
      <w:bookmarkEnd w:id="1441"/>
      <w:bookmarkEnd w:id="1442"/>
      <w:bookmarkEnd w:id="1443"/>
      <w:bookmarkEnd w:id="1444"/>
      <w:bookmarkEnd w:id="1445"/>
      <w:bookmarkEnd w:id="1446"/>
      <w:bookmarkEnd w:id="1447"/>
    </w:p>
    <w:p w14:paraId="2939A6E0" w14:textId="77777777" w:rsidR="00BE1B4C" w:rsidRPr="00133FD9" w:rsidRDefault="00BE1B4C" w:rsidP="00CE4377">
      <w:pPr>
        <w:pStyle w:val="Heading2"/>
        <w:jc w:val="center"/>
        <w:rPr>
          <w:rFonts w:asciiTheme="majorBidi" w:eastAsia="Times New Roman" w:hAnsiTheme="majorBidi"/>
          <w:b/>
          <w:bCs/>
          <w:color w:val="auto"/>
          <w:sz w:val="28"/>
          <w:szCs w:val="28"/>
        </w:rPr>
      </w:pPr>
      <w:bookmarkStart w:id="1448" w:name="_Toc103105072"/>
      <w:bookmarkStart w:id="1449" w:name="_Toc97632205"/>
      <w:bookmarkStart w:id="1450" w:name="_Toc130753816"/>
      <w:bookmarkStart w:id="1451" w:name="_Toc130973232"/>
      <w:bookmarkStart w:id="1452" w:name="_Toc130973469"/>
      <w:bookmarkStart w:id="1453" w:name="_Toc154058625"/>
      <w:bookmarkStart w:id="1454" w:name="_Toc154058835"/>
      <w:bookmarkStart w:id="1455" w:name="_Toc154058971"/>
      <w:bookmarkStart w:id="1456" w:name="_Toc164165559"/>
      <w:bookmarkStart w:id="1457" w:name="_Toc164165703"/>
      <w:bookmarkStart w:id="1458" w:name="_Toc164165996"/>
      <w:bookmarkStart w:id="1459" w:name="_Toc192354218"/>
      <w:bookmarkStart w:id="1460" w:name="_Toc192354951"/>
      <w:bookmarkStart w:id="1461" w:name="_Toc192355066"/>
      <w:bookmarkStart w:id="1462" w:name="_Toc193282293"/>
      <w:bookmarkStart w:id="1463" w:name="_Toc193282459"/>
      <w:bookmarkStart w:id="1464" w:name="_Toc193846495"/>
      <w:r w:rsidRPr="00133FD9">
        <w:rPr>
          <w:rFonts w:asciiTheme="majorBidi" w:eastAsia="Times New Roman" w:hAnsiTheme="majorBidi"/>
          <w:b/>
          <w:bCs/>
          <w:color w:val="auto"/>
          <w:sz w:val="28"/>
          <w:szCs w:val="28"/>
        </w:rPr>
        <w:t>CONCLUSION AND RECOMMENDATIONS</w:t>
      </w:r>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p>
    <w:p w14:paraId="23C3BA6A" w14:textId="47755414" w:rsidR="00BE1B4C" w:rsidRPr="00133FD9" w:rsidRDefault="00BE1B4C" w:rsidP="00133FD9">
      <w:pPr>
        <w:pStyle w:val="Heading2"/>
        <w:rPr>
          <w:rFonts w:ascii="Times New Roman" w:eastAsia="Times New Roman" w:hAnsi="Times New Roman" w:cs="Times New Roman"/>
          <w:b/>
          <w:bCs/>
          <w:color w:val="auto"/>
          <w:sz w:val="24"/>
          <w:szCs w:val="24"/>
        </w:rPr>
      </w:pPr>
      <w:bookmarkStart w:id="1465" w:name="_Toc164165560"/>
      <w:bookmarkStart w:id="1466" w:name="_Toc164165704"/>
      <w:bookmarkStart w:id="1467" w:name="_Toc164165997"/>
      <w:bookmarkStart w:id="1468" w:name="_Toc192354219"/>
      <w:bookmarkStart w:id="1469" w:name="_Toc192354952"/>
      <w:bookmarkStart w:id="1470" w:name="_Toc192355067"/>
      <w:bookmarkStart w:id="1471" w:name="_Toc193282294"/>
      <w:bookmarkStart w:id="1472" w:name="_Toc193282460"/>
      <w:bookmarkStart w:id="1473" w:name="_Toc193846496"/>
      <w:r w:rsidRPr="00133FD9">
        <w:rPr>
          <w:rFonts w:ascii="Times New Roman" w:eastAsia="Times New Roman" w:hAnsi="Times New Roman" w:cs="Times New Roman"/>
          <w:b/>
          <w:bCs/>
          <w:color w:val="auto"/>
          <w:sz w:val="24"/>
          <w:szCs w:val="24"/>
        </w:rPr>
        <w:t>5.0. Introduction</w:t>
      </w:r>
      <w:bookmarkEnd w:id="1465"/>
      <w:bookmarkEnd w:id="1466"/>
      <w:bookmarkEnd w:id="1467"/>
      <w:bookmarkEnd w:id="1468"/>
      <w:bookmarkEnd w:id="1469"/>
      <w:bookmarkEnd w:id="1470"/>
      <w:bookmarkEnd w:id="1471"/>
      <w:bookmarkEnd w:id="1472"/>
      <w:bookmarkEnd w:id="1473"/>
    </w:p>
    <w:p w14:paraId="26D34296" w14:textId="77777777" w:rsidR="00BE1B4C" w:rsidRPr="00BE1B4C" w:rsidRDefault="00BE1B4C" w:rsidP="006D3D71">
      <w:pPr>
        <w:shd w:val="clear" w:color="auto" w:fill="FFFFFF" w:themeFill="background1"/>
        <w:spacing w:after="240" w:line="360" w:lineRule="auto"/>
        <w:jc w:val="both"/>
        <w:rPr>
          <w:rFonts w:asciiTheme="majorBidi" w:eastAsia="Times New Roman" w:hAnsiTheme="majorBidi" w:cstheme="majorBidi"/>
          <w:sz w:val="24"/>
          <w:szCs w:val="24"/>
          <w:lang w:val="en-GB"/>
        </w:rPr>
      </w:pPr>
      <w:r w:rsidRPr="00BE1B4C">
        <w:rPr>
          <w:rFonts w:asciiTheme="majorBidi" w:eastAsia="Times New Roman" w:hAnsiTheme="majorBidi" w:cstheme="majorBidi"/>
          <w:sz w:val="24"/>
          <w:szCs w:val="24"/>
        </w:rPr>
        <w:t xml:space="preserve">This chapter contains the researcher's conclusions and recommendations; in conclusion, the researcher summarizes the important findings and draws conclusions. </w:t>
      </w:r>
    </w:p>
    <w:p w14:paraId="6E2F8A12" w14:textId="2BFB7C42" w:rsidR="00E613AA" w:rsidRPr="00203FE5" w:rsidRDefault="00203FE5" w:rsidP="00203FE5">
      <w:pPr>
        <w:shd w:val="clear" w:color="auto" w:fill="FFFFFF" w:themeFill="background1"/>
        <w:spacing w:after="240" w:line="360" w:lineRule="auto"/>
        <w:rPr>
          <w:rFonts w:asciiTheme="majorBidi" w:eastAsia="Times New Roman" w:hAnsiTheme="majorBidi" w:cstheme="majorBidi"/>
          <w:b/>
          <w:bCs/>
          <w:sz w:val="24"/>
          <w:szCs w:val="24"/>
        </w:rPr>
      </w:pPr>
      <w:bookmarkStart w:id="1474" w:name="_Toc103105074"/>
      <w:bookmarkStart w:id="1475" w:name="_Toc130753818"/>
      <w:bookmarkStart w:id="1476" w:name="_Toc130973234"/>
      <w:bookmarkStart w:id="1477" w:name="_Toc130973471"/>
      <w:bookmarkStart w:id="1478" w:name="_Toc154058627"/>
      <w:bookmarkStart w:id="1479" w:name="_Toc154058837"/>
      <w:bookmarkStart w:id="1480" w:name="_Toc154058973"/>
      <w:bookmarkStart w:id="1481" w:name="_Toc164165561"/>
      <w:bookmarkStart w:id="1482" w:name="_Toc164165705"/>
      <w:bookmarkStart w:id="1483" w:name="_Toc164165998"/>
      <w:bookmarkStart w:id="1484" w:name="_Toc192354220"/>
      <w:bookmarkStart w:id="1485" w:name="_Toc192354953"/>
      <w:bookmarkStart w:id="1486" w:name="_Toc192355068"/>
      <w:bookmarkStart w:id="1487" w:name="_Toc193282295"/>
      <w:bookmarkStart w:id="1488" w:name="_Toc193282461"/>
      <w:r w:rsidRPr="00203FE5">
        <w:rPr>
          <w:rFonts w:asciiTheme="majorBidi" w:eastAsia="Times New Roman" w:hAnsiTheme="majorBidi" w:cstheme="majorBidi"/>
          <w:b/>
          <w:bCs/>
          <w:sz w:val="24"/>
          <w:szCs w:val="24"/>
        </w:rPr>
        <w:t xml:space="preserve">5.1. </w:t>
      </w:r>
      <w:r w:rsidR="00CE4377" w:rsidRPr="00203FE5">
        <w:rPr>
          <w:rFonts w:asciiTheme="majorBidi" w:eastAsia="Times New Roman" w:hAnsiTheme="majorBidi" w:cstheme="majorBidi"/>
          <w:b/>
          <w:bCs/>
          <w:sz w:val="24"/>
          <w:szCs w:val="24"/>
        </w:rPr>
        <w:t xml:space="preserve">Summary </w:t>
      </w:r>
      <w:r>
        <w:rPr>
          <w:rFonts w:asciiTheme="majorBidi" w:eastAsia="Times New Roman" w:hAnsiTheme="majorBidi" w:cstheme="majorBidi"/>
          <w:b/>
          <w:bCs/>
          <w:sz w:val="24"/>
          <w:szCs w:val="24"/>
        </w:rPr>
        <w:t>o</w:t>
      </w:r>
      <w:r w:rsidRPr="00203FE5">
        <w:rPr>
          <w:rFonts w:asciiTheme="majorBidi" w:eastAsia="Times New Roman" w:hAnsiTheme="majorBidi" w:cstheme="majorBidi"/>
          <w:b/>
          <w:bCs/>
          <w:sz w:val="24"/>
          <w:szCs w:val="24"/>
        </w:rPr>
        <w:t>f Major Findings</w:t>
      </w:r>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p>
    <w:p w14:paraId="1D998397" w14:textId="436793DE" w:rsidR="003C6DC5" w:rsidRPr="00CE4377" w:rsidRDefault="00BE1B4C"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CE4377">
        <w:rPr>
          <w:rFonts w:asciiTheme="majorBidi" w:eastAsia="Times New Roman" w:hAnsiTheme="majorBidi" w:cstheme="majorBidi"/>
          <w:sz w:val="24"/>
          <w:szCs w:val="24"/>
        </w:rPr>
        <w:t>This chapter summarizes the key findings based on the study's objectives, emphasizing the effectiveness of risk management, financial performance trends from 2019-2023, and the relationship between risk management and financial performance at GT Bank Plc. The analysis incorporated descriptive and inferential statistics, including regression analysis, correlation analysis, and hypothesis testing. The results demonstrated that key risk management practices, including Borrower Creditworthiness Assessment, Credit Concentration Risk, Debt Restructuring &amp; Recovery Strategies, and Credit Risk Monitoring Frequency, significantly influence the bank's financial outcomes, highlighting the importance of these variables in improving profitability and financial stability.</w:t>
      </w:r>
    </w:p>
    <w:p w14:paraId="5DD1876C" w14:textId="584FC1D1" w:rsidR="003F0758" w:rsidRPr="00E771E4" w:rsidRDefault="00E771E4" w:rsidP="00E771E4">
      <w:pPr>
        <w:pStyle w:val="NoSpacing"/>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5.1.1</w:t>
      </w:r>
      <w:r w:rsidR="00CE4377" w:rsidRPr="006D5050">
        <w:rPr>
          <w:rFonts w:ascii="Times New Roman" w:eastAsia="Times New Roman" w:hAnsi="Times New Roman" w:cs="Times New Roman"/>
          <w:b/>
          <w:bCs/>
          <w:sz w:val="24"/>
          <w:szCs w:val="24"/>
        </w:rPr>
        <w:t xml:space="preserve"> </w:t>
      </w:r>
      <w:r w:rsidR="00BE1B4C" w:rsidRPr="006D5050">
        <w:rPr>
          <w:rFonts w:ascii="Times New Roman" w:eastAsia="Times New Roman" w:hAnsi="Times New Roman" w:cs="Times New Roman"/>
          <w:b/>
          <w:bCs/>
          <w:sz w:val="24"/>
          <w:szCs w:val="24"/>
        </w:rPr>
        <w:t>Effectiveness of Risk Management at GT Bank Plc</w:t>
      </w:r>
      <w:r>
        <w:rPr>
          <w:rFonts w:ascii="Times New Roman" w:eastAsia="Times New Roman" w:hAnsi="Times New Roman" w:cs="Times New Roman"/>
          <w:b/>
          <w:bCs/>
          <w:sz w:val="24"/>
          <w:szCs w:val="24"/>
        </w:rPr>
        <w:t xml:space="preserve"> </w:t>
      </w:r>
    </w:p>
    <w:p w14:paraId="55BA3A0B" w14:textId="0B4F8856" w:rsidR="003F0758" w:rsidRPr="008268FC" w:rsidRDefault="003F0758" w:rsidP="008268FC">
      <w:pPr>
        <w:pStyle w:val="NoSpacing"/>
        <w:spacing w:line="360" w:lineRule="auto"/>
        <w:jc w:val="both"/>
        <w:rPr>
          <w:rFonts w:asciiTheme="majorBidi" w:hAnsiTheme="majorBidi" w:cstheme="majorBidi"/>
          <w:sz w:val="24"/>
          <w:szCs w:val="24"/>
        </w:rPr>
      </w:pPr>
      <w:r w:rsidRPr="003F0758">
        <w:rPr>
          <w:rFonts w:asciiTheme="majorBidi" w:hAnsiTheme="majorBidi" w:cstheme="majorBidi"/>
          <w:sz w:val="24"/>
          <w:szCs w:val="24"/>
        </w:rPr>
        <w:t>GT Bank Plc has implemented effective risk management practices, particularly in borrower creditworthiness assessment, credit concentration risk management, and collateral management. Employees perceive the bank’s approach to evaluating borrowers' financial history, market conditions, and economic factors as highly thorough, contributing to reduced default risks and financial stability. The bank also maintains strong credit concentration risk management strategies, ensuring credit exposure diversification, though some employees believe policies to limit excessive exposure could be improved. Additionally, collateral management is regarded as rigorous, with thorough assessments and well-maintained documentation, although some variability in perceptions exists regarding the accuracy and frequency of collateral valuation reviews. Strengthening these areas will further enhance the bank’s overall risk management framework and long-term financial resilience.</w:t>
      </w:r>
    </w:p>
    <w:p w14:paraId="4C0CC2E1" w14:textId="49389362" w:rsidR="00BE1B4C" w:rsidRPr="00431E00" w:rsidRDefault="00431E00" w:rsidP="00E771E4">
      <w:pPr>
        <w:pStyle w:val="NoSpacing"/>
        <w:spacing w:line="360" w:lineRule="auto"/>
        <w:jc w:val="both"/>
        <w:rPr>
          <w:rFonts w:asciiTheme="majorBidi" w:hAnsiTheme="majorBidi" w:cstheme="majorBidi"/>
          <w:sz w:val="24"/>
          <w:szCs w:val="24"/>
        </w:rPr>
      </w:pPr>
      <w:r>
        <w:rPr>
          <w:rFonts w:asciiTheme="majorBidi" w:hAnsiTheme="majorBidi" w:cstheme="majorBidi"/>
          <w:sz w:val="24"/>
          <w:szCs w:val="24"/>
        </w:rPr>
        <w:t>In addition, t</w:t>
      </w:r>
      <w:r w:rsidR="00BE1B4C" w:rsidRPr="006D3D71">
        <w:rPr>
          <w:rFonts w:asciiTheme="majorBidi" w:hAnsiTheme="majorBidi" w:cstheme="majorBidi"/>
          <w:sz w:val="24"/>
          <w:szCs w:val="24"/>
        </w:rPr>
        <w:t>he study evaluated the effectiveness of risk management at GT Bank Plc</w:t>
      </w:r>
      <w:r w:rsidR="006D5050">
        <w:rPr>
          <w:rFonts w:asciiTheme="majorBidi" w:hAnsiTheme="majorBidi" w:cstheme="majorBidi"/>
          <w:sz w:val="24"/>
          <w:szCs w:val="24"/>
        </w:rPr>
        <w:t xml:space="preserve"> from primary and secondary data</w:t>
      </w:r>
      <w:r w:rsidR="00BE1B4C" w:rsidRPr="006D3D71">
        <w:rPr>
          <w:rFonts w:asciiTheme="majorBidi" w:hAnsiTheme="majorBidi" w:cstheme="majorBidi"/>
          <w:sz w:val="24"/>
          <w:szCs w:val="24"/>
        </w:rPr>
        <w:t xml:space="preserve">, </w:t>
      </w:r>
      <w:r w:rsidR="006D3D71" w:rsidRPr="006D3D71">
        <w:rPr>
          <w:rFonts w:asciiTheme="majorBidi" w:hAnsiTheme="majorBidi" w:cstheme="majorBidi"/>
          <w:sz w:val="24"/>
          <w:szCs w:val="24"/>
        </w:rPr>
        <w:t>Variables such</w:t>
      </w:r>
      <w:r w:rsidR="00BE1B4C" w:rsidRPr="006D3D71">
        <w:rPr>
          <w:rFonts w:asciiTheme="majorBidi" w:hAnsiTheme="majorBidi" w:cstheme="majorBidi"/>
          <w:sz w:val="24"/>
          <w:szCs w:val="24"/>
        </w:rPr>
        <w:t xml:space="preserve"> as Borrower Creditworthiness Assessment, Credit Concentration Risk, Debt Restructuring &amp; Recovery Strategies, and Credit Risk Monitoring Frequency. The findings indicate that GT Bank Plc has implemented structured </w:t>
      </w:r>
      <w:r w:rsidR="00BE1B4C" w:rsidRPr="006D3D71">
        <w:rPr>
          <w:rFonts w:asciiTheme="majorBidi" w:hAnsiTheme="majorBidi" w:cstheme="majorBidi"/>
          <w:sz w:val="24"/>
          <w:szCs w:val="24"/>
        </w:rPr>
        <w:lastRenderedPageBreak/>
        <w:t>risk management strategies, reflected in a reduction in high-risk loans and a stronger debt recovery mechanism. Borrower Creditworthiness Assessment (β = 0.432, p = 0.021) and Credit Risk Monitoring Frequency (β = 0.398, p = 0.009) were particularly effective in reducing credit risks. Furthermore, Debt Restructuring &amp; Recovery Strategies (β = 0.436, p = 0.001) played a significant role in stabilizing the bank’s financial position, confirming the importance of recovery systems. Effective credit risk management practices are positively influencing GT Bank Plc’s financial outcomes, yet further improvements in borrower screening and real-time monitoring could further enhance efficiency.</w:t>
      </w:r>
    </w:p>
    <w:p w14:paraId="27B46086" w14:textId="77777777" w:rsidR="006F0528" w:rsidRPr="00CE4377" w:rsidRDefault="006F0528" w:rsidP="006D3D71">
      <w:pPr>
        <w:pStyle w:val="NoSpacing"/>
        <w:spacing w:line="360" w:lineRule="auto"/>
        <w:rPr>
          <w:rFonts w:eastAsia="Times New Roman"/>
          <w:b/>
          <w:bCs/>
          <w:sz w:val="32"/>
          <w:szCs w:val="32"/>
        </w:rPr>
      </w:pPr>
    </w:p>
    <w:p w14:paraId="396558DD" w14:textId="139E2D2E" w:rsidR="006F0528" w:rsidRPr="006D5050" w:rsidRDefault="00CE4377" w:rsidP="006D3D71">
      <w:pPr>
        <w:pStyle w:val="NoSpacing"/>
        <w:spacing w:line="360" w:lineRule="auto"/>
        <w:rPr>
          <w:rFonts w:ascii="Times New Roman" w:eastAsia="Times New Roman" w:hAnsi="Times New Roman" w:cs="Times New Roman"/>
          <w:b/>
          <w:bCs/>
          <w:sz w:val="24"/>
          <w:szCs w:val="24"/>
        </w:rPr>
      </w:pPr>
      <w:r w:rsidRPr="006D5050">
        <w:rPr>
          <w:rFonts w:ascii="Times New Roman" w:eastAsia="Times New Roman" w:hAnsi="Times New Roman" w:cs="Times New Roman"/>
          <w:b/>
          <w:bCs/>
          <w:sz w:val="24"/>
          <w:szCs w:val="24"/>
        </w:rPr>
        <w:t>5.3 Financial</w:t>
      </w:r>
      <w:r w:rsidR="006F0528" w:rsidRPr="006D5050">
        <w:rPr>
          <w:rFonts w:ascii="Times New Roman" w:eastAsia="Times New Roman" w:hAnsi="Times New Roman" w:cs="Times New Roman"/>
          <w:b/>
          <w:bCs/>
          <w:sz w:val="24"/>
          <w:szCs w:val="24"/>
        </w:rPr>
        <w:t xml:space="preserve"> Performance of GT Bank Plc </w:t>
      </w:r>
    </w:p>
    <w:p w14:paraId="1E45EC6B" w14:textId="51C2AAC5" w:rsidR="00CE4377" w:rsidRPr="00DA5825" w:rsidRDefault="00E771E4" w:rsidP="00DA5825">
      <w:pPr>
        <w:pStyle w:val="NoSpacing"/>
        <w:spacing w:line="360" w:lineRule="auto"/>
        <w:jc w:val="both"/>
        <w:rPr>
          <w:rFonts w:ascii="Times New Roman" w:eastAsia="Times New Roman" w:hAnsi="Times New Roman" w:cs="Times New Roman"/>
          <w:bCs/>
          <w:sz w:val="24"/>
          <w:szCs w:val="24"/>
        </w:rPr>
      </w:pPr>
      <w:r w:rsidRPr="00DA5825">
        <w:rPr>
          <w:rFonts w:ascii="Times New Roman" w:eastAsia="Times New Roman" w:hAnsi="Times New Roman" w:cs="Times New Roman"/>
          <w:bCs/>
          <w:sz w:val="24"/>
          <w:szCs w:val="24"/>
        </w:rPr>
        <w:t xml:space="preserve"> </w:t>
      </w:r>
      <w:r w:rsidR="00DA5825" w:rsidRPr="00DA5825">
        <w:rPr>
          <w:rFonts w:ascii="Times New Roman" w:eastAsia="Times New Roman" w:hAnsi="Times New Roman" w:cs="Times New Roman"/>
          <w:bCs/>
          <w:sz w:val="24"/>
          <w:szCs w:val="24"/>
        </w:rPr>
        <w:t>The findings</w:t>
      </w:r>
      <w:r w:rsidR="00DA5825">
        <w:rPr>
          <w:rFonts w:ascii="Times New Roman" w:eastAsia="Times New Roman" w:hAnsi="Times New Roman" w:cs="Times New Roman"/>
          <w:bCs/>
          <w:sz w:val="24"/>
          <w:szCs w:val="24"/>
        </w:rPr>
        <w:t xml:space="preserve"> from primary data</w:t>
      </w:r>
      <w:r w:rsidR="00DA5825" w:rsidRPr="00DA5825">
        <w:rPr>
          <w:rFonts w:ascii="Times New Roman" w:eastAsia="Times New Roman" w:hAnsi="Times New Roman" w:cs="Times New Roman"/>
          <w:bCs/>
          <w:sz w:val="24"/>
          <w:szCs w:val="24"/>
        </w:rPr>
        <w:t xml:space="preserve"> indicate that GT Bank employees across six departments perceive the bank's financial performance positively in terms of Net Interest Margin (NIM), Return on Equity (ROE), and Return on Assets (ROA) from 2019 to 2023. Employees strongly agree that NIM has been increasing over the years, with a structured strategy in place to optimize it, as reflected by high mean scores (4.64) and low standard deviations, indicating consistent views across departments. Similarly, perceptions of ROE are overwhelmingly positive, with 82.14% strongly agreeing that it has shown positive growth and 92.85% strongly agreeing that it is effectively managed for profitability, resulting in high mean scores (4.79 and 4.98). Likewise, ROA is seen as improving over the years, with 96.42% of employees strongly agreeing, and 83.92% affirming that it reflects strong financial performance, supported by high mean scores (4.95 and 4.79) and low standard deviations. These findings suggest a unified belief among employees that GT Bank effectively manages key financial indicators, ensuring sustained profitability and financial stability</w:t>
      </w:r>
    </w:p>
    <w:p w14:paraId="000EE065" w14:textId="46B0AA13" w:rsidR="006F0528" w:rsidRPr="006F0528" w:rsidRDefault="00DA5825" w:rsidP="00620C86">
      <w:pPr>
        <w:pStyle w:val="NoSpacing"/>
        <w:spacing w:line="360" w:lineRule="auto"/>
        <w:jc w:val="both"/>
        <w:rPr>
          <w:rFonts w:asciiTheme="majorBidi" w:hAnsiTheme="majorBidi" w:cstheme="majorBidi"/>
          <w:sz w:val="24"/>
          <w:szCs w:val="24"/>
        </w:rPr>
      </w:pPr>
      <w:r>
        <w:rPr>
          <w:rFonts w:asciiTheme="majorBidi" w:hAnsiTheme="majorBidi" w:cstheme="majorBidi"/>
          <w:sz w:val="24"/>
          <w:szCs w:val="24"/>
        </w:rPr>
        <w:t>From secondary findings, t</w:t>
      </w:r>
      <w:r w:rsidR="006F0528" w:rsidRPr="006F0528">
        <w:rPr>
          <w:rFonts w:asciiTheme="majorBidi" w:hAnsiTheme="majorBidi" w:cstheme="majorBidi"/>
          <w:sz w:val="24"/>
          <w:szCs w:val="24"/>
        </w:rPr>
        <w:t>he study analyzed GT Bank Plc’s financial performance trends over five years, focusing on key indicators such as Return on Equity (ROE), Return on Assets (ROA), Cash Ratio, Liquidity to Asset Ratio, and Loan to Deposit Ratio. The results show that financial performance has fluctuated over the years, with ROE peaking at 19.68% in 2021 before declining to 10.17% in 2022 and rebounding to 15.21% in 2023. This indicates that profitability was affected by external economic conditions and internal credit risk management policies. Similarly, ROA followed a similar trend, rising from 1.74% in 2019 to 3.31% in 2021 before dropping to 1.97% in 2022 and recovering to 2.90% in 2023, showing variations in asset utilization efficiency.</w:t>
      </w:r>
    </w:p>
    <w:p w14:paraId="5D811C63" w14:textId="061D212F" w:rsidR="006F0528" w:rsidRPr="006D3D71" w:rsidRDefault="006F0528" w:rsidP="00913121">
      <w:pPr>
        <w:pStyle w:val="NoSpacing"/>
        <w:spacing w:line="360" w:lineRule="auto"/>
        <w:jc w:val="both"/>
        <w:rPr>
          <w:rFonts w:asciiTheme="majorBidi" w:hAnsiTheme="majorBidi" w:cstheme="majorBidi"/>
          <w:sz w:val="24"/>
          <w:szCs w:val="24"/>
        </w:rPr>
      </w:pPr>
      <w:r w:rsidRPr="006F0528">
        <w:rPr>
          <w:rFonts w:asciiTheme="majorBidi" w:hAnsiTheme="majorBidi" w:cstheme="majorBidi"/>
          <w:sz w:val="24"/>
          <w:szCs w:val="24"/>
        </w:rPr>
        <w:lastRenderedPageBreak/>
        <w:t>Liquidity indicators also showed dynamic changes, with the cash ratio improving from 40.98% in 2019 to 52.18% in 2023, demonstrating the bank’s growing liquidity reserves. The liquidity-to-asset ratio increased from 32.05% in 2019 to 41.10% in 2023, confirming that the bank improved its ability to meet short-term obligations. However, the loan-to-deposit ratio declined from 58.74% in 2019 to 28.98% in 2023, indicating a more conservative lending approach, possibly in response to risk concerns. These findings suggest that while GT Bank Plc has achieved financial stability, enhancing asset utilization and credit allocation efficiency could further improve profitability and growth.</w:t>
      </w:r>
    </w:p>
    <w:p w14:paraId="4D3040ED" w14:textId="09A275AA" w:rsidR="006F0528" w:rsidRPr="006D5050" w:rsidRDefault="006F0528" w:rsidP="006D5050">
      <w:pPr>
        <w:pStyle w:val="Heading3"/>
        <w:rPr>
          <w:rFonts w:ascii="Times New Roman" w:hAnsi="Times New Roman" w:cs="Times New Roman"/>
          <w:b/>
          <w:bCs/>
          <w:color w:val="auto"/>
          <w:sz w:val="24"/>
          <w:szCs w:val="24"/>
        </w:rPr>
      </w:pPr>
      <w:bookmarkStart w:id="1489" w:name="_Toc193282298"/>
      <w:bookmarkStart w:id="1490" w:name="_Toc193282464"/>
      <w:bookmarkStart w:id="1491" w:name="_Toc193846497"/>
      <w:r w:rsidRPr="006D5050">
        <w:rPr>
          <w:rFonts w:ascii="Times New Roman" w:hAnsi="Times New Roman" w:cs="Times New Roman"/>
          <w:b/>
          <w:bCs/>
          <w:color w:val="auto"/>
          <w:sz w:val="24"/>
          <w:szCs w:val="24"/>
        </w:rPr>
        <w:t>5.1.3. Relationship Between Risk Management and Financial Performance</w:t>
      </w:r>
      <w:bookmarkEnd w:id="1489"/>
      <w:bookmarkEnd w:id="1490"/>
      <w:bookmarkEnd w:id="1491"/>
    </w:p>
    <w:p w14:paraId="49A00C63" w14:textId="137D3362" w:rsidR="00CE4377" w:rsidRPr="0047302E" w:rsidRDefault="006F0528"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6D3D71">
        <w:rPr>
          <w:rFonts w:asciiTheme="majorBidi" w:eastAsia="Times New Roman" w:hAnsiTheme="majorBidi" w:cstheme="majorBidi"/>
          <w:sz w:val="24"/>
          <w:szCs w:val="24"/>
        </w:rPr>
        <w:t>The study examined the relationship between updated risk management variables and financial performance using multiple regression analysis and hypothesis testing. The model summary indicated an R-Square value of 54.4%, meaning that updated risk management practices account for 54.4% of the variation in financial performance. The ANOVA results (F = 26.082, p = 0.000) confirmed statistical significance. Key predictors such as debt restructuring and recovery strategy (β = 0.436, p = 0.001) and borrower creditworthiness assessment (β = 0.432, p = 0.021) had the highest impact on profitability. These findings suggest that effective risk management significantly enhances financial stability and profitability at GT Bank Plc.</w:t>
      </w:r>
    </w:p>
    <w:p w14:paraId="10259A18" w14:textId="6ED6D2BB" w:rsidR="006F0528" w:rsidRPr="00913121" w:rsidRDefault="006F0528" w:rsidP="00CE4377">
      <w:pPr>
        <w:pStyle w:val="Heading3"/>
        <w:rPr>
          <w:rFonts w:ascii="Times New Roman" w:eastAsia="Times New Roman" w:hAnsi="Times New Roman" w:cs="Times New Roman"/>
          <w:b/>
          <w:bCs/>
          <w:color w:val="auto"/>
          <w:sz w:val="24"/>
          <w:szCs w:val="24"/>
        </w:rPr>
      </w:pPr>
      <w:bookmarkStart w:id="1492" w:name="_Toc193846498"/>
      <w:r w:rsidRPr="00913121">
        <w:rPr>
          <w:rFonts w:ascii="Times New Roman" w:eastAsia="Times New Roman" w:hAnsi="Times New Roman" w:cs="Times New Roman"/>
          <w:b/>
          <w:bCs/>
          <w:color w:val="auto"/>
          <w:sz w:val="24"/>
          <w:szCs w:val="24"/>
        </w:rPr>
        <w:t>5.</w:t>
      </w:r>
      <w:r w:rsidR="00B823DA" w:rsidRPr="00913121">
        <w:rPr>
          <w:rFonts w:ascii="Times New Roman" w:eastAsia="Times New Roman" w:hAnsi="Times New Roman" w:cs="Times New Roman"/>
          <w:b/>
          <w:bCs/>
          <w:color w:val="auto"/>
          <w:sz w:val="24"/>
          <w:szCs w:val="24"/>
        </w:rPr>
        <w:t>4</w:t>
      </w:r>
      <w:r w:rsidRPr="00913121">
        <w:rPr>
          <w:rFonts w:ascii="Times New Roman" w:eastAsia="Times New Roman" w:hAnsi="Times New Roman" w:cs="Times New Roman"/>
          <w:b/>
          <w:bCs/>
          <w:color w:val="auto"/>
          <w:sz w:val="24"/>
          <w:szCs w:val="24"/>
        </w:rPr>
        <w:t>. Conclusion</w:t>
      </w:r>
      <w:r w:rsidR="00620C86" w:rsidRPr="00913121">
        <w:rPr>
          <w:rFonts w:ascii="Times New Roman" w:eastAsia="Times New Roman" w:hAnsi="Times New Roman" w:cs="Times New Roman"/>
          <w:b/>
          <w:bCs/>
          <w:color w:val="auto"/>
          <w:sz w:val="24"/>
          <w:szCs w:val="24"/>
        </w:rPr>
        <w:t>s</w:t>
      </w:r>
      <w:bookmarkEnd w:id="1492"/>
    </w:p>
    <w:p w14:paraId="152A7F07" w14:textId="0B61672B" w:rsidR="006F0528" w:rsidRPr="006D3D71" w:rsidRDefault="00AA5B4F" w:rsidP="00AA5B4F">
      <w:pPr>
        <w:spacing w:line="360" w:lineRule="auto"/>
        <w:jc w:val="both"/>
        <w:rPr>
          <w:rFonts w:asciiTheme="majorBidi" w:hAnsiTheme="majorBidi" w:cstheme="majorBidi"/>
          <w:sz w:val="24"/>
          <w:szCs w:val="24"/>
        </w:rPr>
      </w:pPr>
      <w:r w:rsidRPr="00AA5B4F">
        <w:rPr>
          <w:rFonts w:asciiTheme="majorBidi" w:hAnsiTheme="majorBidi" w:cstheme="majorBidi"/>
          <w:sz w:val="24"/>
          <w:szCs w:val="24"/>
        </w:rPr>
        <w:t>GT Bank Plc’s risk management practices in borrower creditworthiness assessment are perceived as highly effective by employees. The bank’s approach to assessing creditworthiness, including thorough borrower evaluations and the consideration of external economic factors, is seen as a strong risk mitigation strategy. Employees largely agree on the consistency and effectiveness of these practices, aligning with industry best practices in credit risk management.</w:t>
      </w:r>
      <w:r>
        <w:rPr>
          <w:rFonts w:asciiTheme="majorBidi" w:hAnsiTheme="majorBidi" w:cstheme="majorBidi"/>
          <w:sz w:val="24"/>
          <w:szCs w:val="24"/>
        </w:rPr>
        <w:t xml:space="preserve"> </w:t>
      </w:r>
      <w:r w:rsidRPr="00AA5B4F">
        <w:rPr>
          <w:rFonts w:asciiTheme="majorBidi" w:hAnsiTheme="majorBidi" w:cstheme="majorBidi"/>
          <w:sz w:val="24"/>
          <w:szCs w:val="24"/>
        </w:rPr>
        <w:t>The bank’s credit concentration risk management practices demonstrate a commitment to monitoring credit exposure and ensuring diversification. While employees generally perceive these efforts positively, there are mixed views on the effectiveness of policies designed to limit excessive credit exposure to a single borrower or sector. This suggests an opportunity for policy review and improvement to enhance consistency and effectiveness.</w:t>
      </w:r>
      <w:r>
        <w:rPr>
          <w:rFonts w:asciiTheme="majorBidi" w:hAnsiTheme="majorBidi" w:cstheme="majorBidi"/>
          <w:sz w:val="24"/>
          <w:szCs w:val="24"/>
        </w:rPr>
        <w:t xml:space="preserve"> </w:t>
      </w:r>
      <w:r w:rsidRPr="00AA5B4F">
        <w:rPr>
          <w:rFonts w:asciiTheme="majorBidi" w:hAnsiTheme="majorBidi" w:cstheme="majorBidi"/>
          <w:sz w:val="24"/>
          <w:szCs w:val="24"/>
        </w:rPr>
        <w:t xml:space="preserve">GT Bank Plc’s collateral management practices are considered rigorous, particularly in the assessment and documentation of collateral assets. However, perceptions regarding the accuracy and regular review of collateral valuation methods vary, indicating potential areas for improvement in ensuring consistency and transparency in collateral </w:t>
      </w:r>
      <w:r w:rsidRPr="00AA5B4F">
        <w:rPr>
          <w:rFonts w:asciiTheme="majorBidi" w:hAnsiTheme="majorBidi" w:cstheme="majorBidi"/>
          <w:sz w:val="24"/>
          <w:szCs w:val="24"/>
        </w:rPr>
        <w:lastRenderedPageBreak/>
        <w:t>evaluation processes.</w:t>
      </w:r>
      <w:r>
        <w:rPr>
          <w:rFonts w:asciiTheme="majorBidi" w:hAnsiTheme="majorBidi" w:cstheme="majorBidi"/>
          <w:sz w:val="24"/>
          <w:szCs w:val="24"/>
        </w:rPr>
        <w:t xml:space="preserve"> </w:t>
      </w:r>
      <w:r w:rsidRPr="00AA5B4F">
        <w:rPr>
          <w:rFonts w:asciiTheme="majorBidi" w:hAnsiTheme="majorBidi" w:cstheme="majorBidi"/>
          <w:sz w:val="24"/>
          <w:szCs w:val="24"/>
        </w:rPr>
        <w:t>The bank’s financial performance, particularly in managing Net Interest Margin (NIM) and Return on Equity (ROE), is viewed positively by employees. There is a strong consensus that both NIM and ROE have improved over the years and that structured strategies are in place to optimize these financial indicators. This reflects confidence in the bank’s financial management strategies and their impact on profitability and long-term stability.</w:t>
      </w:r>
    </w:p>
    <w:p w14:paraId="6822CE09" w14:textId="412A10C9" w:rsidR="00AA5B4F" w:rsidRPr="006D3D71" w:rsidRDefault="00AA5B4F"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AA5B4F">
        <w:rPr>
          <w:rFonts w:asciiTheme="majorBidi" w:eastAsia="Times New Roman" w:hAnsiTheme="majorBidi" w:cstheme="majorBidi"/>
          <w:sz w:val="24"/>
          <w:szCs w:val="24"/>
        </w:rPr>
        <w:t>Moreover, the study examined the impact of risk on GT Bank Plc's financial performance, focusing on assessing risk management strategies and their effectiveness in improving financial outcomes. The findings indicated that effective risk management significantly enhances financial stability and profitability. The study revealed that GT Bank Plc has implemented various strategies, management including debt restructuring, borrower creditworthiness assessment, loan risk mitigation, and regular credit risk monitoring. These practices have strengthened the bank’s financial resilience. While financial performance trends showed positive profitability, areas such as loan approval efficiency and real-time risk monitoring still require improvement. Strengthening these aspects will further support the bank’s long-term financial stability and growth.</w:t>
      </w:r>
    </w:p>
    <w:p w14:paraId="0C5AB55C" w14:textId="108062DE" w:rsidR="005F09BF" w:rsidRPr="00B823DA" w:rsidRDefault="005F09BF" w:rsidP="00B823DA">
      <w:pPr>
        <w:pStyle w:val="Heading3"/>
        <w:rPr>
          <w:b/>
          <w:bCs/>
          <w:color w:val="auto"/>
        </w:rPr>
      </w:pPr>
      <w:bookmarkStart w:id="1493" w:name="_Toc193282300"/>
      <w:bookmarkStart w:id="1494" w:name="_Toc193282466"/>
      <w:bookmarkStart w:id="1495" w:name="_Toc193846499"/>
      <w:r w:rsidRPr="00B823DA">
        <w:rPr>
          <w:b/>
          <w:bCs/>
          <w:color w:val="auto"/>
        </w:rPr>
        <w:t>5.</w:t>
      </w:r>
      <w:r w:rsidR="00B823DA">
        <w:rPr>
          <w:b/>
          <w:bCs/>
          <w:color w:val="auto"/>
        </w:rPr>
        <w:t>5</w:t>
      </w:r>
      <w:r w:rsidRPr="00B823DA">
        <w:rPr>
          <w:b/>
          <w:bCs/>
          <w:color w:val="auto"/>
        </w:rPr>
        <w:t>. Recommendations</w:t>
      </w:r>
      <w:bookmarkEnd w:id="1493"/>
      <w:bookmarkEnd w:id="1494"/>
      <w:bookmarkEnd w:id="1495"/>
    </w:p>
    <w:p w14:paraId="59591E19" w14:textId="780C8D38" w:rsidR="005F09BF" w:rsidRPr="006D3D71" w:rsidRDefault="005F09BF" w:rsidP="006D3D71">
      <w:pPr>
        <w:shd w:val="clear" w:color="auto" w:fill="FFFFFF" w:themeFill="background1"/>
        <w:spacing w:after="240" w:line="360" w:lineRule="auto"/>
        <w:jc w:val="both"/>
        <w:rPr>
          <w:rFonts w:asciiTheme="majorBidi" w:eastAsia="Times New Roman" w:hAnsiTheme="majorBidi" w:cstheme="majorBidi"/>
          <w:sz w:val="24"/>
          <w:szCs w:val="24"/>
        </w:rPr>
      </w:pPr>
      <w:r w:rsidRPr="006D3D71">
        <w:rPr>
          <w:rFonts w:asciiTheme="majorBidi" w:eastAsia="Times New Roman" w:hAnsiTheme="majorBidi" w:cstheme="majorBidi"/>
          <w:sz w:val="24"/>
          <w:szCs w:val="24"/>
        </w:rPr>
        <w:t>Based on the</w:t>
      </w:r>
      <w:r w:rsidR="00AA5B4F">
        <w:rPr>
          <w:rFonts w:asciiTheme="majorBidi" w:eastAsia="Times New Roman" w:hAnsiTheme="majorBidi" w:cstheme="majorBidi"/>
          <w:sz w:val="24"/>
          <w:szCs w:val="24"/>
        </w:rPr>
        <w:t xml:space="preserve"> analysis</w:t>
      </w:r>
      <w:r w:rsidRPr="006D3D71">
        <w:rPr>
          <w:rFonts w:asciiTheme="majorBidi" w:eastAsia="Times New Roman" w:hAnsiTheme="majorBidi" w:cstheme="majorBidi"/>
          <w:sz w:val="24"/>
          <w:szCs w:val="24"/>
        </w:rPr>
        <w:t xml:space="preserve"> </w:t>
      </w:r>
      <w:r w:rsidR="00AA5B4F">
        <w:rPr>
          <w:rFonts w:asciiTheme="majorBidi" w:eastAsia="Times New Roman" w:hAnsiTheme="majorBidi" w:cstheme="majorBidi"/>
          <w:sz w:val="24"/>
          <w:szCs w:val="24"/>
        </w:rPr>
        <w:t xml:space="preserve">of </w:t>
      </w:r>
      <w:r w:rsidRPr="006D3D71">
        <w:rPr>
          <w:rFonts w:asciiTheme="majorBidi" w:eastAsia="Times New Roman" w:hAnsiTheme="majorBidi" w:cstheme="majorBidi"/>
          <w:sz w:val="24"/>
          <w:szCs w:val="24"/>
        </w:rPr>
        <w:t xml:space="preserve">findings of this study, it is clear that effective risk management strategies significantly contribute to the financial stability and profitability of GT Bank Plc. To further improve financial performance, the bank should focus on enhancing borrower creditworthiness assessments, diversifying its portfolio to mitigate credit concentration risks, and strengthening debt restructuring and recovery strategies. Additionally, improving the bank's credit risk rating systems and collateral management practices will better secure loans and reduce potential </w:t>
      </w:r>
    </w:p>
    <w:p w14:paraId="59C0817A" w14:textId="2298C8B7" w:rsidR="005238EF" w:rsidRPr="00CE4377" w:rsidRDefault="005F09BF" w:rsidP="00CE4377">
      <w:pPr>
        <w:shd w:val="clear" w:color="auto" w:fill="FFFFFF" w:themeFill="background1"/>
        <w:spacing w:after="240" w:line="360" w:lineRule="auto"/>
        <w:jc w:val="both"/>
        <w:rPr>
          <w:rFonts w:asciiTheme="majorBidi" w:eastAsia="Times New Roman" w:hAnsiTheme="majorBidi" w:cstheme="majorBidi"/>
          <w:sz w:val="24"/>
          <w:szCs w:val="24"/>
        </w:rPr>
      </w:pPr>
      <w:r w:rsidRPr="006D3D71">
        <w:rPr>
          <w:rFonts w:asciiTheme="majorBidi" w:eastAsia="Times New Roman" w:hAnsiTheme="majorBidi" w:cstheme="majorBidi"/>
          <w:sz w:val="24"/>
          <w:szCs w:val="24"/>
        </w:rPr>
        <w:t>losses. Finally, increasing the frequency of credit risk monitoring will ensure that emerging risks are addressed proactively, leading to more robust financial outcomes.</w:t>
      </w:r>
    </w:p>
    <w:p w14:paraId="232DB698" w14:textId="76863D78" w:rsidR="00D62D44" w:rsidRPr="00B823DA" w:rsidRDefault="005F09BF" w:rsidP="00B823DA">
      <w:pPr>
        <w:pStyle w:val="Heading3"/>
        <w:rPr>
          <w:b/>
          <w:bCs/>
          <w:color w:val="auto"/>
        </w:rPr>
      </w:pPr>
      <w:bookmarkStart w:id="1496" w:name="_Toc193846500"/>
      <w:bookmarkStart w:id="1497" w:name="_Toc84243939"/>
      <w:bookmarkStart w:id="1498" w:name="_Toc164165529"/>
      <w:bookmarkStart w:id="1499" w:name="_Toc164165673"/>
      <w:bookmarkStart w:id="1500" w:name="_Toc164165966"/>
      <w:bookmarkStart w:id="1501" w:name="_Toc192354188"/>
      <w:bookmarkStart w:id="1502" w:name="_Toc192354753"/>
      <w:bookmarkStart w:id="1503" w:name="_Toc192354921"/>
      <w:bookmarkStart w:id="1504" w:name="_Toc192355036"/>
      <w:bookmarkEnd w:id="0"/>
      <w:bookmarkEnd w:id="1"/>
      <w:bookmarkEnd w:id="2"/>
      <w:bookmarkEnd w:id="3"/>
      <w:bookmarkEnd w:id="4"/>
      <w:bookmarkEnd w:id="5"/>
      <w:bookmarkEnd w:id="6"/>
      <w:bookmarkEnd w:id="7"/>
      <w:bookmarkEnd w:id="8"/>
      <w:r w:rsidRPr="00B823DA">
        <w:rPr>
          <w:b/>
          <w:bCs/>
          <w:color w:val="auto"/>
        </w:rPr>
        <w:t>5.3.1. Enhance Borrower Creditworthiness Assessment</w:t>
      </w:r>
      <w:bookmarkEnd w:id="1496"/>
    </w:p>
    <w:p w14:paraId="7975D9E5" w14:textId="191CA128" w:rsidR="005F09BF" w:rsidRPr="006D3D71" w:rsidRDefault="005F09BF"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 xml:space="preserve">GT Bank Plc should enhance borrower creditworthiness assessment, and integrate more sophisticated tools and practices. This includes leveraging advanced credit scoring models and data analytics for more precise evaluations. Additionally, conducting a thorough review of the borrower’s credit history, income to debt ratios, and non-traditional data sources such </w:t>
      </w:r>
      <w:r w:rsidRPr="006D3D71">
        <w:rPr>
          <w:rFonts w:asciiTheme="majorBidi" w:hAnsiTheme="majorBidi" w:cstheme="majorBidi"/>
          <w:sz w:val="24"/>
          <w:szCs w:val="24"/>
        </w:rPr>
        <w:lastRenderedPageBreak/>
        <w:t>as social and behavioral insights can provide a more comprehensive risk profile. By strengthening these processes, the bank will be better equipped to make informed lending decisions, ultimately reducing the likelihood of defaults and improving its loan portfolio’s quality.</w:t>
      </w:r>
    </w:p>
    <w:p w14:paraId="3BB2C38D" w14:textId="03D1F89C" w:rsidR="005F09BF" w:rsidRPr="00B823DA" w:rsidRDefault="005F09BF" w:rsidP="00B823DA">
      <w:pPr>
        <w:pStyle w:val="Heading3"/>
        <w:rPr>
          <w:b/>
          <w:bCs/>
          <w:color w:val="auto"/>
        </w:rPr>
      </w:pPr>
      <w:bookmarkStart w:id="1505" w:name="_Toc193846501"/>
      <w:r w:rsidRPr="00B823DA">
        <w:rPr>
          <w:b/>
          <w:bCs/>
          <w:color w:val="auto"/>
        </w:rPr>
        <w:t>5.3.2.  Mitigate Credit Concentration Risk</w:t>
      </w:r>
      <w:bookmarkEnd w:id="1505"/>
    </w:p>
    <w:p w14:paraId="1ADF556E" w14:textId="4035E93E" w:rsidR="006D3D71" w:rsidRPr="005F09BF" w:rsidRDefault="006D3D71"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To mitigate credit concentration risk, GT Bank Plc should diversify its loan portfolio by spreading lending across various sectors and borrower types. By limiting exposure to any single borrower or industry, the bank can reduce the risk of substantial losses due to the default of a single entity or sector. Implementing strict concentration limits and regularly monitoring the concentration levels within its portfolio will help identify and manage potential risks. Additionally, stress testing various scenarios can provide insights into how concentrated exposures could impact the bank’s financial stability.</w:t>
      </w:r>
    </w:p>
    <w:p w14:paraId="5404C938" w14:textId="5FC2EC56" w:rsidR="005F09BF" w:rsidRPr="00B823DA" w:rsidRDefault="005F09BF" w:rsidP="00B823DA">
      <w:pPr>
        <w:pStyle w:val="Heading3"/>
        <w:rPr>
          <w:b/>
          <w:bCs/>
          <w:color w:val="auto"/>
        </w:rPr>
      </w:pPr>
      <w:r w:rsidRPr="00B823DA">
        <w:rPr>
          <w:b/>
          <w:bCs/>
          <w:color w:val="auto"/>
        </w:rPr>
        <w:t xml:space="preserve">  </w:t>
      </w:r>
      <w:bookmarkStart w:id="1506" w:name="_Toc193846502"/>
      <w:r w:rsidRPr="00B823DA">
        <w:rPr>
          <w:b/>
          <w:bCs/>
          <w:color w:val="auto"/>
        </w:rPr>
        <w:t>5.3.3. Strengthen Debt Restructuring &amp; Recovery Strategies</w:t>
      </w:r>
      <w:bookmarkEnd w:id="1506"/>
    </w:p>
    <w:p w14:paraId="0FB369CC" w14:textId="16CFDD32" w:rsidR="006D3D71" w:rsidRPr="005F09BF" w:rsidRDefault="006D3D71" w:rsidP="00B823DA">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Through strengthen debt restructuring and recovery strategies, GT Bank Plc should develop a comprehensive approach to manage delinquent loans. This includes creating customized repayment plans for borrowers facing financial difficulties, offering flexible terms such as extended repayment periods, reduced interest rates, or temporary deferrals. Additionally, the bank should implement a more proactive approach in monitoring at-risk loans, using data-driven analytics to identify early warning signs. Collaboration with debt collection agencies and legal advisors may also help recover defaulted loans efficiently. The goal is to minimize losses and improve overall loan recovery.</w:t>
      </w:r>
    </w:p>
    <w:p w14:paraId="56A850BE" w14:textId="72432659" w:rsidR="005F09BF" w:rsidRPr="00B823DA" w:rsidRDefault="005F09BF" w:rsidP="00B823DA">
      <w:pPr>
        <w:pStyle w:val="Heading3"/>
        <w:rPr>
          <w:b/>
          <w:bCs/>
          <w:color w:val="auto"/>
        </w:rPr>
      </w:pPr>
      <w:r w:rsidRPr="00B823DA">
        <w:rPr>
          <w:b/>
          <w:bCs/>
          <w:color w:val="auto"/>
        </w:rPr>
        <w:t xml:space="preserve">  </w:t>
      </w:r>
      <w:bookmarkStart w:id="1507" w:name="_Toc193846503"/>
      <w:r w:rsidRPr="00B823DA">
        <w:rPr>
          <w:b/>
          <w:bCs/>
          <w:color w:val="auto"/>
        </w:rPr>
        <w:t>5.3.4. Refine Credit Risk Rating Systems</w:t>
      </w:r>
      <w:bookmarkEnd w:id="1507"/>
    </w:p>
    <w:p w14:paraId="1E8275C6" w14:textId="2495F902" w:rsidR="006D3D71" w:rsidRPr="005F09BF" w:rsidRDefault="006D3D71"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By refining credit risk rating systems, GT Bank Plc should enhance the accuracy and granularity of its credit scoring models by incorporating more data points, such as borrowers’ financial history, transaction patterns, and macroeconomic conditions. Leveraging machine learning algorithms and advanced analytics can improve predictive power and enable real-time risk assessments. Periodically reviewing and updating these models is essential to ensure that they remain aligned with market trends and credit risk exposure. Additionally, integrating industry benchmarks and peer comparison can provide a more comprehensive view of creditworthiness.</w:t>
      </w:r>
    </w:p>
    <w:p w14:paraId="122E7C57" w14:textId="00826A6B" w:rsidR="005F09BF" w:rsidRPr="00B823DA" w:rsidRDefault="005F09BF" w:rsidP="00B823DA">
      <w:pPr>
        <w:pStyle w:val="Heading3"/>
        <w:rPr>
          <w:b/>
          <w:bCs/>
          <w:color w:val="auto"/>
        </w:rPr>
      </w:pPr>
      <w:r w:rsidRPr="00B823DA">
        <w:rPr>
          <w:rFonts w:asciiTheme="majorBidi" w:hAnsiTheme="majorBidi"/>
          <w:b/>
          <w:bCs/>
          <w:color w:val="auto"/>
          <w:sz w:val="24"/>
          <w:szCs w:val="24"/>
        </w:rPr>
        <w:lastRenderedPageBreak/>
        <w:t xml:space="preserve">  </w:t>
      </w:r>
      <w:bookmarkStart w:id="1508" w:name="_Toc193846504"/>
      <w:r w:rsidRPr="00B823DA">
        <w:rPr>
          <w:b/>
          <w:bCs/>
          <w:color w:val="auto"/>
        </w:rPr>
        <w:t>5.3.5. Optimize Collateral Management</w:t>
      </w:r>
      <w:bookmarkEnd w:id="1508"/>
    </w:p>
    <w:p w14:paraId="58381B20" w14:textId="1A6B4D8A" w:rsidR="006D3D71" w:rsidRPr="005F09BF" w:rsidRDefault="006D3D71"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GT Bank Plc should implement a comprehensive system that tracks and evaluates the value of collateral on an ongoing basis, adjusting for changes in market conditions. The bank should ensure that collateral is sufficiently diversified across industries and asset classes to minimize risk concentration. Additionally, streamlining the collateral documentation process, using digital platforms for real-time valuation, and enforcing clear policies on collateral liquidation in case of default will enhance the bank’s ability to recover assets efficiently while mitigating financial risk.</w:t>
      </w:r>
    </w:p>
    <w:p w14:paraId="1C64DDFD" w14:textId="7AC0E908" w:rsidR="005F09BF" w:rsidRPr="00B823DA" w:rsidRDefault="005F09BF" w:rsidP="00B823DA">
      <w:pPr>
        <w:pStyle w:val="Heading3"/>
        <w:rPr>
          <w:b/>
          <w:bCs/>
          <w:color w:val="auto"/>
        </w:rPr>
      </w:pPr>
      <w:r w:rsidRPr="00B823DA">
        <w:rPr>
          <w:b/>
          <w:bCs/>
          <w:color w:val="auto"/>
        </w:rPr>
        <w:t xml:space="preserve">  </w:t>
      </w:r>
      <w:bookmarkStart w:id="1509" w:name="_Toc193846505"/>
      <w:r w:rsidRPr="00B823DA">
        <w:rPr>
          <w:b/>
          <w:bCs/>
          <w:color w:val="auto"/>
        </w:rPr>
        <w:t>5.3.6. Increase Credit Risk Monitoring Frequency</w:t>
      </w:r>
      <w:bookmarkEnd w:id="1509"/>
    </w:p>
    <w:p w14:paraId="7FF1352C" w14:textId="3F657552" w:rsidR="006D3D71" w:rsidRPr="00B823DA" w:rsidRDefault="006D3D71" w:rsidP="00B823DA">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GT Bank Plc should implement more frequent and regular reviews of its loan portfolio, especially for high-risk or underperforming loans. The bank should adopt real-time tracking systems that allow for early identification of any potential issues or deteriorating credit quality. By using advanced analytics and automated alerts, the bank can ensure that corrective actions are taken promptly, minimizing the chances of defaults. Additionally, the frequency of risk assessments should be adjusted based on the risk profile of individual clients, allowing for tailored and proactive interventions.</w:t>
      </w:r>
    </w:p>
    <w:p w14:paraId="02C05016" w14:textId="2842ECBB" w:rsidR="006D3D71" w:rsidRPr="00B823DA" w:rsidRDefault="006D3D71" w:rsidP="00B823DA">
      <w:pPr>
        <w:pStyle w:val="Heading3"/>
        <w:rPr>
          <w:b/>
          <w:bCs/>
          <w:color w:val="auto"/>
        </w:rPr>
      </w:pPr>
      <w:bookmarkStart w:id="1510" w:name="_Toc193282305"/>
      <w:bookmarkStart w:id="1511" w:name="_Toc193282471"/>
      <w:bookmarkStart w:id="1512" w:name="_Toc193846506"/>
      <w:r w:rsidRPr="00B823DA">
        <w:rPr>
          <w:b/>
          <w:bCs/>
          <w:color w:val="auto"/>
        </w:rPr>
        <w:t>5.</w:t>
      </w:r>
      <w:r w:rsidR="00B823DA">
        <w:rPr>
          <w:b/>
          <w:bCs/>
          <w:color w:val="auto"/>
        </w:rPr>
        <w:t>6</w:t>
      </w:r>
      <w:r w:rsidRPr="00B823DA">
        <w:rPr>
          <w:b/>
          <w:bCs/>
          <w:color w:val="auto"/>
        </w:rPr>
        <w:t>. Further research</w:t>
      </w:r>
      <w:bookmarkEnd w:id="1510"/>
      <w:bookmarkEnd w:id="1511"/>
      <w:bookmarkEnd w:id="1512"/>
    </w:p>
    <w:p w14:paraId="26CD0248" w14:textId="77777777" w:rsidR="006D3D71" w:rsidRPr="006D3D71" w:rsidRDefault="006D3D71" w:rsidP="006D3D71">
      <w:pPr>
        <w:spacing w:line="360" w:lineRule="auto"/>
        <w:jc w:val="both"/>
        <w:rPr>
          <w:rFonts w:asciiTheme="majorBidi" w:hAnsiTheme="majorBidi" w:cstheme="majorBidi"/>
          <w:sz w:val="24"/>
          <w:szCs w:val="24"/>
        </w:rPr>
      </w:pPr>
      <w:r w:rsidRPr="006D3D71">
        <w:rPr>
          <w:rFonts w:asciiTheme="majorBidi" w:hAnsiTheme="majorBidi" w:cstheme="majorBidi"/>
          <w:sz w:val="24"/>
          <w:szCs w:val="24"/>
        </w:rPr>
        <w:t>While this study provided valuable insights into the relationship between risk management and financial performance at GT Bank Plc, future research could explore the impact of specific risk management techniques on different financial performance indicators across multiple banks. Additionally, studies could focus on the role of regulatory frameworks in enhancing risk management effectiveness in the banking sector. Further research could also investigate how emerging financial technologies, such as artificial intelligence and blockchain, influence risk mitigation and financial stability in commercial banks. Expanding the scope beyond GT Bank Plc to include a comparative analysis of multiple banks in Rwanda or the East African region would provide a broader perspective on risk management practices and financial performance trends.</w:t>
      </w:r>
    </w:p>
    <w:p w14:paraId="4407BC8D" w14:textId="77777777" w:rsidR="00D62D44" w:rsidRPr="006D3D71" w:rsidRDefault="00D62D44" w:rsidP="006D3D71">
      <w:pPr>
        <w:spacing w:line="360" w:lineRule="auto"/>
        <w:jc w:val="both"/>
        <w:rPr>
          <w:rFonts w:asciiTheme="majorBidi" w:hAnsiTheme="majorBidi" w:cstheme="majorBidi"/>
          <w:sz w:val="24"/>
          <w:szCs w:val="24"/>
        </w:rPr>
      </w:pPr>
    </w:p>
    <w:p w14:paraId="71D12002" w14:textId="77777777" w:rsidR="006D3D71" w:rsidRPr="006D3D71" w:rsidRDefault="006D3D71" w:rsidP="006D3D71">
      <w:pPr>
        <w:spacing w:line="360" w:lineRule="auto"/>
        <w:jc w:val="both"/>
        <w:rPr>
          <w:rFonts w:asciiTheme="majorBidi" w:hAnsiTheme="majorBidi" w:cstheme="majorBidi"/>
          <w:sz w:val="24"/>
          <w:szCs w:val="24"/>
        </w:rPr>
      </w:pPr>
    </w:p>
    <w:p w14:paraId="1F0E1B73" w14:textId="77777777" w:rsidR="006D3D71" w:rsidRPr="006D3D71" w:rsidRDefault="006D3D71" w:rsidP="006D3D71">
      <w:pPr>
        <w:spacing w:line="360" w:lineRule="auto"/>
        <w:jc w:val="both"/>
        <w:rPr>
          <w:rFonts w:asciiTheme="majorBidi" w:hAnsiTheme="majorBidi" w:cstheme="majorBidi"/>
          <w:sz w:val="24"/>
          <w:szCs w:val="24"/>
        </w:rPr>
      </w:pPr>
    </w:p>
    <w:p w14:paraId="256B4F13" w14:textId="77777777" w:rsidR="006D3D71" w:rsidRPr="006D3D71" w:rsidRDefault="006D3D71" w:rsidP="006D3D71">
      <w:pPr>
        <w:spacing w:line="360" w:lineRule="auto"/>
        <w:jc w:val="both"/>
        <w:rPr>
          <w:rFonts w:asciiTheme="majorBidi" w:hAnsiTheme="majorBidi" w:cstheme="majorBidi"/>
          <w:sz w:val="24"/>
          <w:szCs w:val="24"/>
        </w:rPr>
      </w:pPr>
    </w:p>
    <w:p w14:paraId="5BCCE802" w14:textId="77777777" w:rsidR="006D3D71" w:rsidRPr="006D3D71" w:rsidRDefault="006D3D71" w:rsidP="006D3D71">
      <w:pPr>
        <w:spacing w:line="360" w:lineRule="auto"/>
        <w:jc w:val="both"/>
        <w:rPr>
          <w:rFonts w:asciiTheme="majorBidi" w:hAnsiTheme="majorBidi" w:cstheme="majorBidi"/>
          <w:sz w:val="24"/>
          <w:szCs w:val="24"/>
        </w:rPr>
      </w:pPr>
    </w:p>
    <w:p w14:paraId="69B6D63A" w14:textId="77777777" w:rsidR="006D3D71" w:rsidRPr="006D3D71" w:rsidRDefault="006D3D71" w:rsidP="006D3D71">
      <w:pPr>
        <w:spacing w:line="360" w:lineRule="auto"/>
        <w:jc w:val="both"/>
        <w:rPr>
          <w:rFonts w:asciiTheme="majorBidi" w:hAnsiTheme="majorBidi" w:cstheme="majorBidi"/>
          <w:sz w:val="24"/>
          <w:szCs w:val="24"/>
        </w:rPr>
      </w:pPr>
    </w:p>
    <w:bookmarkEnd w:id="1497"/>
    <w:bookmarkEnd w:id="1498"/>
    <w:bookmarkEnd w:id="1499"/>
    <w:bookmarkEnd w:id="1500"/>
    <w:bookmarkEnd w:id="1501"/>
    <w:bookmarkEnd w:id="1502"/>
    <w:bookmarkEnd w:id="1503"/>
    <w:bookmarkEnd w:id="1504"/>
    <w:p w14:paraId="5057ADF3" w14:textId="77777777" w:rsidR="00D62D44" w:rsidRPr="006D3D71" w:rsidRDefault="00D62D44" w:rsidP="006D3D71">
      <w:pPr>
        <w:spacing w:after="0" w:line="360" w:lineRule="auto"/>
        <w:jc w:val="both"/>
        <w:rPr>
          <w:rFonts w:asciiTheme="majorBidi" w:hAnsiTheme="majorBidi" w:cstheme="majorBidi"/>
          <w:sz w:val="24"/>
          <w:szCs w:val="24"/>
        </w:rPr>
      </w:pPr>
    </w:p>
    <w:p w14:paraId="4EB9109A" w14:textId="77777777" w:rsidR="00D62D44" w:rsidRPr="006D3D71" w:rsidRDefault="00D62D44" w:rsidP="006D3D71">
      <w:pPr>
        <w:pStyle w:val="Heading2"/>
        <w:spacing w:before="0" w:after="0" w:line="360" w:lineRule="auto"/>
        <w:ind w:left="1116" w:hanging="1026"/>
        <w:jc w:val="center"/>
        <w:rPr>
          <w:rFonts w:asciiTheme="majorBidi" w:hAnsiTheme="majorBidi"/>
          <w:b/>
          <w:bCs/>
          <w:i/>
          <w:color w:val="auto"/>
          <w:sz w:val="24"/>
          <w:szCs w:val="24"/>
        </w:rPr>
      </w:pPr>
      <w:bookmarkStart w:id="1513" w:name="_Toc183425269"/>
      <w:bookmarkStart w:id="1514" w:name="_Toc183426957"/>
      <w:bookmarkStart w:id="1515" w:name="_Toc193282306"/>
      <w:bookmarkStart w:id="1516" w:name="_Toc193282472"/>
      <w:bookmarkStart w:id="1517" w:name="_Toc193846507"/>
      <w:r w:rsidRPr="006D3D71">
        <w:rPr>
          <w:rFonts w:asciiTheme="majorBidi" w:hAnsiTheme="majorBidi"/>
          <w:b/>
          <w:bCs/>
          <w:color w:val="auto"/>
          <w:sz w:val="24"/>
          <w:szCs w:val="24"/>
        </w:rPr>
        <w:t>REFERENCES</w:t>
      </w:r>
      <w:bookmarkEnd w:id="1513"/>
      <w:bookmarkEnd w:id="1514"/>
      <w:bookmarkEnd w:id="1515"/>
      <w:bookmarkEnd w:id="1516"/>
      <w:bookmarkEnd w:id="1517"/>
    </w:p>
    <w:p w14:paraId="050E2BA8"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Abdullahi, M. (2021). Effect of credit risk management on financial performance of commercial banks in Nigeria. </w:t>
      </w:r>
      <w:r w:rsidRPr="006D3D71">
        <w:rPr>
          <w:rFonts w:asciiTheme="majorBidi" w:hAnsiTheme="majorBidi" w:cstheme="majorBidi"/>
          <w:i/>
          <w:iCs/>
          <w:sz w:val="24"/>
          <w:szCs w:val="24"/>
        </w:rPr>
        <w:t>Journal of Banking and Finance, 45</w:t>
      </w:r>
      <w:r w:rsidRPr="006D3D71">
        <w:rPr>
          <w:rFonts w:asciiTheme="majorBidi" w:hAnsiTheme="majorBidi" w:cstheme="majorBidi"/>
          <w:sz w:val="24"/>
          <w:szCs w:val="24"/>
        </w:rPr>
        <w:t>(2), 145-162.</w:t>
      </w:r>
    </w:p>
    <w:p w14:paraId="0BAD7013"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Acharya, V. V., Bharath, S. T., &amp; Srinivasan, A. (2015). The recovery rate of defaulted loans: Evidence from distressed borrowers. </w:t>
      </w:r>
      <w:r w:rsidRPr="006D3D71">
        <w:rPr>
          <w:rFonts w:asciiTheme="majorBidi" w:hAnsiTheme="majorBidi" w:cstheme="majorBidi"/>
          <w:i/>
          <w:iCs/>
          <w:sz w:val="24"/>
          <w:szCs w:val="24"/>
        </w:rPr>
        <w:t>Review of Financial Studies, 28</w:t>
      </w:r>
      <w:r w:rsidRPr="006D3D71">
        <w:rPr>
          <w:rFonts w:asciiTheme="majorBidi" w:hAnsiTheme="majorBidi" w:cstheme="majorBidi"/>
          <w:sz w:val="24"/>
          <w:szCs w:val="24"/>
        </w:rPr>
        <w:t>(2), 412-446.</w:t>
      </w:r>
    </w:p>
    <w:p w14:paraId="17B14A8B"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Ahmed, A., &amp; Saeed, R. (2016). Liquidity management and its impact on financial performance: Evidence from the banking sector. </w:t>
      </w:r>
      <w:r w:rsidRPr="006D3D71">
        <w:rPr>
          <w:rFonts w:asciiTheme="majorBidi" w:hAnsiTheme="majorBidi" w:cstheme="majorBidi"/>
          <w:i/>
          <w:iCs/>
          <w:sz w:val="24"/>
          <w:szCs w:val="24"/>
        </w:rPr>
        <w:t>Journal of Financial Studies, 10</w:t>
      </w:r>
      <w:r w:rsidRPr="006D3D71">
        <w:rPr>
          <w:rFonts w:asciiTheme="majorBidi" w:hAnsiTheme="majorBidi" w:cstheme="majorBidi"/>
          <w:sz w:val="24"/>
          <w:szCs w:val="24"/>
        </w:rPr>
        <w:t>(3), 45–58.</w:t>
      </w:r>
    </w:p>
    <w:p w14:paraId="07856E79" w14:textId="77777777" w:rsidR="003F31C7" w:rsidRPr="003F31C7" w:rsidRDefault="003F31C7" w:rsidP="003F31C7">
      <w:pPr>
        <w:spacing w:after="0" w:line="360" w:lineRule="auto"/>
        <w:ind w:left="720" w:hanging="720"/>
        <w:jc w:val="both"/>
        <w:rPr>
          <w:rFonts w:asciiTheme="majorBidi" w:hAnsiTheme="majorBidi" w:cstheme="majorBidi"/>
          <w:sz w:val="24"/>
          <w:szCs w:val="24"/>
          <w:lang w:val="en-GB"/>
        </w:rPr>
      </w:pPr>
      <w:r w:rsidRPr="003F31C7">
        <w:rPr>
          <w:rFonts w:asciiTheme="majorBidi" w:hAnsiTheme="majorBidi" w:cstheme="majorBidi"/>
          <w:sz w:val="24"/>
          <w:szCs w:val="24"/>
          <w:lang w:val="en-GB"/>
        </w:rPr>
        <w:t xml:space="preserve">Akhigbe, A., &amp; McNulty, J. E. (2021). </w:t>
      </w:r>
      <w:r w:rsidRPr="003F31C7">
        <w:rPr>
          <w:rFonts w:asciiTheme="majorBidi" w:hAnsiTheme="majorBidi" w:cstheme="majorBidi"/>
          <w:i/>
          <w:iCs/>
          <w:sz w:val="24"/>
          <w:szCs w:val="24"/>
          <w:lang w:val="en-GB"/>
        </w:rPr>
        <w:t>Collateral management and credit risk in banking institutions: Evidence from Nigerian banks</w:t>
      </w:r>
      <w:r w:rsidRPr="003F31C7">
        <w:rPr>
          <w:rFonts w:asciiTheme="majorBidi" w:hAnsiTheme="majorBidi" w:cstheme="majorBidi"/>
          <w:sz w:val="24"/>
          <w:szCs w:val="24"/>
          <w:lang w:val="en-GB"/>
        </w:rPr>
        <w:t>. Journal of Banking and Finance, 45(1), 34-52. https://doi.org/10.1016/j.jbankfin.2021.101.</w:t>
      </w:r>
    </w:p>
    <w:p w14:paraId="24EBBF5F" w14:textId="77777777" w:rsidR="003F31C7" w:rsidRPr="003F31C7" w:rsidRDefault="003F31C7" w:rsidP="003F31C7">
      <w:pPr>
        <w:spacing w:after="0" w:line="360" w:lineRule="auto"/>
        <w:ind w:left="720" w:hanging="720"/>
        <w:jc w:val="both"/>
        <w:rPr>
          <w:rFonts w:asciiTheme="majorBidi" w:hAnsiTheme="majorBidi" w:cstheme="majorBidi"/>
          <w:sz w:val="24"/>
          <w:szCs w:val="24"/>
          <w:lang w:val="en-GB"/>
        </w:rPr>
      </w:pPr>
      <w:proofErr w:type="spellStart"/>
      <w:r w:rsidRPr="003F31C7">
        <w:rPr>
          <w:rFonts w:asciiTheme="majorBidi" w:hAnsiTheme="majorBidi" w:cstheme="majorBidi"/>
          <w:sz w:val="24"/>
          <w:szCs w:val="24"/>
        </w:rPr>
        <w:t>Akinbami</w:t>
      </w:r>
      <w:proofErr w:type="spellEnd"/>
      <w:r w:rsidRPr="003F31C7">
        <w:rPr>
          <w:rFonts w:asciiTheme="majorBidi" w:hAnsiTheme="majorBidi" w:cstheme="majorBidi"/>
          <w:sz w:val="24"/>
          <w:szCs w:val="24"/>
        </w:rPr>
        <w:t xml:space="preserve">, F. O., &amp; Akinola, A. O. (2020). </w:t>
      </w:r>
      <w:r w:rsidRPr="003F31C7">
        <w:rPr>
          <w:rFonts w:asciiTheme="majorBidi" w:hAnsiTheme="majorBidi" w:cstheme="majorBidi"/>
          <w:i/>
          <w:iCs/>
          <w:sz w:val="24"/>
          <w:szCs w:val="24"/>
        </w:rPr>
        <w:t>Effectiveness of credit risk management practices in Nigerian banks: Evidence from selected banks</w:t>
      </w:r>
      <w:r w:rsidRPr="003F31C7">
        <w:rPr>
          <w:rFonts w:asciiTheme="majorBidi" w:hAnsiTheme="majorBidi" w:cstheme="majorBidi"/>
          <w:sz w:val="24"/>
          <w:szCs w:val="24"/>
        </w:rPr>
        <w:t>. Journal of Accounting and Finance, 12(3), 45-56. https://doi.org/10.2139/ssrn.3575780</w:t>
      </w:r>
    </w:p>
    <w:p w14:paraId="031967D2"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proofErr w:type="spellStart"/>
      <w:r w:rsidRPr="006D3D71">
        <w:rPr>
          <w:rFonts w:asciiTheme="majorBidi" w:hAnsiTheme="majorBidi" w:cstheme="majorBidi"/>
          <w:sz w:val="24"/>
          <w:szCs w:val="24"/>
        </w:rPr>
        <w:t>Akinboade</w:t>
      </w:r>
      <w:proofErr w:type="spellEnd"/>
      <w:r w:rsidRPr="006D3D71">
        <w:rPr>
          <w:rFonts w:asciiTheme="majorBidi" w:hAnsiTheme="majorBidi" w:cstheme="majorBidi"/>
          <w:sz w:val="24"/>
          <w:szCs w:val="24"/>
        </w:rPr>
        <w:t xml:space="preserve">, O. A., Mlambo, C., &amp; Moyo, T. (2023). Bank profitability and credit risk: A review of risk management practices in African banks. </w:t>
      </w:r>
      <w:r w:rsidRPr="006D3D71">
        <w:rPr>
          <w:rFonts w:asciiTheme="majorBidi" w:hAnsiTheme="majorBidi" w:cstheme="majorBidi"/>
          <w:i/>
          <w:iCs/>
          <w:sz w:val="24"/>
          <w:szCs w:val="24"/>
        </w:rPr>
        <w:t>Journal of Financial Risk Management, 28</w:t>
      </w:r>
      <w:r w:rsidRPr="006D3D71">
        <w:rPr>
          <w:rFonts w:asciiTheme="majorBidi" w:hAnsiTheme="majorBidi" w:cstheme="majorBidi"/>
          <w:sz w:val="24"/>
          <w:szCs w:val="24"/>
        </w:rPr>
        <w:t>(4), 121-139.</w:t>
      </w:r>
    </w:p>
    <w:p w14:paraId="00B0A1A2"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Akinyele, A. O., Patel, R., &amp; Lee, S. (2023). Impact of competitive pressures on risk management in Asian banks: Evidence from India and Indonesia. </w:t>
      </w:r>
      <w:r w:rsidRPr="006D3D71">
        <w:rPr>
          <w:rFonts w:asciiTheme="majorBidi" w:hAnsiTheme="majorBidi" w:cstheme="majorBidi"/>
          <w:i/>
          <w:iCs/>
          <w:sz w:val="24"/>
          <w:szCs w:val="24"/>
        </w:rPr>
        <w:t>Journal of Banking Studies, 27</w:t>
      </w:r>
      <w:r w:rsidRPr="006D3D71">
        <w:rPr>
          <w:rFonts w:asciiTheme="majorBidi" w:hAnsiTheme="majorBidi" w:cstheme="majorBidi"/>
          <w:sz w:val="24"/>
          <w:szCs w:val="24"/>
        </w:rPr>
        <w:t>(2), 110–128.</w:t>
      </w:r>
    </w:p>
    <w:p w14:paraId="13357C21"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Al-</w:t>
      </w:r>
      <w:proofErr w:type="spellStart"/>
      <w:r w:rsidRPr="006D3D71">
        <w:rPr>
          <w:rFonts w:asciiTheme="majorBidi" w:hAnsiTheme="majorBidi" w:cstheme="majorBidi"/>
          <w:sz w:val="24"/>
          <w:szCs w:val="24"/>
        </w:rPr>
        <w:t>Khazali</w:t>
      </w:r>
      <w:proofErr w:type="spellEnd"/>
      <w:r w:rsidRPr="006D3D71">
        <w:rPr>
          <w:rFonts w:asciiTheme="majorBidi" w:hAnsiTheme="majorBidi" w:cstheme="majorBidi"/>
          <w:sz w:val="24"/>
          <w:szCs w:val="24"/>
        </w:rPr>
        <w:t xml:space="preserve">, O., &amp; Mirzaei, A. (2017). Capital adequacy and financial stability in emerging markets. </w:t>
      </w:r>
      <w:r w:rsidRPr="006D3D71">
        <w:rPr>
          <w:rFonts w:asciiTheme="majorBidi" w:hAnsiTheme="majorBidi" w:cstheme="majorBidi"/>
          <w:i/>
          <w:iCs/>
          <w:sz w:val="24"/>
          <w:szCs w:val="24"/>
        </w:rPr>
        <w:t>International Journal of Banking and Finance, 14</w:t>
      </w:r>
      <w:r w:rsidRPr="006D3D71">
        <w:rPr>
          <w:rFonts w:asciiTheme="majorBidi" w:hAnsiTheme="majorBidi" w:cstheme="majorBidi"/>
          <w:sz w:val="24"/>
          <w:szCs w:val="24"/>
        </w:rPr>
        <w:t>(2), 67–82.</w:t>
      </w:r>
    </w:p>
    <w:p w14:paraId="05E7B1E9"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Almazan, J. A., Orozco, A., &amp; Ramirez, J. (2023). Impact of non-performing loans on profitability in commercial banks: Global evidence. </w:t>
      </w:r>
      <w:r w:rsidRPr="006D3D71">
        <w:rPr>
          <w:rFonts w:asciiTheme="majorBidi" w:hAnsiTheme="majorBidi" w:cstheme="majorBidi"/>
          <w:i/>
          <w:iCs/>
          <w:sz w:val="24"/>
          <w:szCs w:val="24"/>
        </w:rPr>
        <w:t>Journal of Financial Economics, 49</w:t>
      </w:r>
      <w:r w:rsidRPr="006D3D71">
        <w:rPr>
          <w:rFonts w:asciiTheme="majorBidi" w:hAnsiTheme="majorBidi" w:cstheme="majorBidi"/>
          <w:sz w:val="24"/>
          <w:szCs w:val="24"/>
        </w:rPr>
        <w:t>(2), 190-208.</w:t>
      </w:r>
    </w:p>
    <w:p w14:paraId="24A0F9A4"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Altman, E. I., &amp; Saunders, A. (1998). Credit risk measurement: Developments over the last 20 years. </w:t>
      </w:r>
      <w:r w:rsidRPr="006D3D71">
        <w:rPr>
          <w:rFonts w:asciiTheme="majorBidi" w:hAnsiTheme="majorBidi" w:cstheme="majorBidi"/>
          <w:i/>
          <w:iCs/>
          <w:sz w:val="24"/>
          <w:szCs w:val="24"/>
        </w:rPr>
        <w:t>Journal of Banking &amp; Finance, 21</w:t>
      </w:r>
      <w:r w:rsidRPr="006D3D71">
        <w:rPr>
          <w:rFonts w:asciiTheme="majorBidi" w:hAnsiTheme="majorBidi" w:cstheme="majorBidi"/>
          <w:sz w:val="24"/>
          <w:szCs w:val="24"/>
        </w:rPr>
        <w:t>(11-12), 1721-1742.</w:t>
      </w:r>
    </w:p>
    <w:p w14:paraId="4E95C4E0"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Archer, D., &amp; Karim, M. (2012). The effects of risk management on bank performance in Asia. </w:t>
      </w:r>
      <w:r w:rsidRPr="006D3D71">
        <w:rPr>
          <w:rFonts w:asciiTheme="majorBidi" w:hAnsiTheme="majorBidi" w:cstheme="majorBidi"/>
          <w:i/>
          <w:iCs/>
          <w:sz w:val="24"/>
          <w:szCs w:val="24"/>
        </w:rPr>
        <w:t>Journal of Banking and Finance, 45</w:t>
      </w:r>
      <w:r w:rsidRPr="006D3D71">
        <w:rPr>
          <w:rFonts w:asciiTheme="majorBidi" w:hAnsiTheme="majorBidi" w:cstheme="majorBidi"/>
          <w:sz w:val="24"/>
          <w:szCs w:val="24"/>
        </w:rPr>
        <w:t>(3), 108-115.</w:t>
      </w:r>
    </w:p>
    <w:p w14:paraId="62AEAF8C"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lastRenderedPageBreak/>
        <w:t xml:space="preserve">Ariffin, N. M. (2012). Liquidity risk management and financial performance: Case of Malaysian banks. </w:t>
      </w:r>
      <w:r w:rsidRPr="006D3D71">
        <w:rPr>
          <w:rFonts w:asciiTheme="majorBidi" w:hAnsiTheme="majorBidi" w:cstheme="majorBidi"/>
          <w:i/>
          <w:iCs/>
          <w:sz w:val="24"/>
          <w:szCs w:val="24"/>
        </w:rPr>
        <w:t>Global Economy and Finance Journal, 5</w:t>
      </w:r>
      <w:r w:rsidRPr="006D3D71">
        <w:rPr>
          <w:rFonts w:asciiTheme="majorBidi" w:hAnsiTheme="majorBidi" w:cstheme="majorBidi"/>
          <w:sz w:val="24"/>
          <w:szCs w:val="24"/>
        </w:rPr>
        <w:t>(2), 112-124.</w:t>
      </w:r>
    </w:p>
    <w:p w14:paraId="62917675"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proofErr w:type="spellStart"/>
      <w:r w:rsidRPr="006D3D71">
        <w:rPr>
          <w:rFonts w:asciiTheme="majorBidi" w:hAnsiTheme="majorBidi" w:cstheme="majorBidi"/>
          <w:sz w:val="24"/>
          <w:szCs w:val="24"/>
        </w:rPr>
        <w:t>Athanasoglou</w:t>
      </w:r>
      <w:proofErr w:type="spellEnd"/>
      <w:r w:rsidRPr="006D3D71">
        <w:rPr>
          <w:rFonts w:asciiTheme="majorBidi" w:hAnsiTheme="majorBidi" w:cstheme="majorBidi"/>
          <w:sz w:val="24"/>
          <w:szCs w:val="24"/>
        </w:rPr>
        <w:t xml:space="preserve">, P. P., Delis, M. D., &amp; </w:t>
      </w:r>
      <w:proofErr w:type="spellStart"/>
      <w:r w:rsidRPr="006D3D71">
        <w:rPr>
          <w:rFonts w:asciiTheme="majorBidi" w:hAnsiTheme="majorBidi" w:cstheme="majorBidi"/>
          <w:sz w:val="24"/>
          <w:szCs w:val="24"/>
        </w:rPr>
        <w:t>Staikouras</w:t>
      </w:r>
      <w:proofErr w:type="spellEnd"/>
      <w:r w:rsidRPr="006D3D71">
        <w:rPr>
          <w:rFonts w:asciiTheme="majorBidi" w:hAnsiTheme="majorBidi" w:cstheme="majorBidi"/>
          <w:sz w:val="24"/>
          <w:szCs w:val="24"/>
        </w:rPr>
        <w:t xml:space="preserve">, C. K. (2008). Determinants of bank profitability in the South Eastern European region. </w:t>
      </w:r>
      <w:r w:rsidRPr="006D3D71">
        <w:rPr>
          <w:rFonts w:asciiTheme="majorBidi" w:hAnsiTheme="majorBidi" w:cstheme="majorBidi"/>
          <w:i/>
          <w:iCs/>
          <w:sz w:val="24"/>
          <w:szCs w:val="24"/>
        </w:rPr>
        <w:t>Journal of Financial Decision Making, 2</w:t>
      </w:r>
      <w:r w:rsidRPr="006D3D71">
        <w:rPr>
          <w:rFonts w:asciiTheme="majorBidi" w:hAnsiTheme="majorBidi" w:cstheme="majorBidi"/>
          <w:sz w:val="24"/>
          <w:szCs w:val="24"/>
        </w:rPr>
        <w:t>(1), 1-17.</w:t>
      </w:r>
    </w:p>
    <w:p w14:paraId="017A563A" w14:textId="77777777" w:rsidR="003F31C7" w:rsidRPr="003F31C7" w:rsidRDefault="003F31C7" w:rsidP="003F31C7">
      <w:pPr>
        <w:spacing w:after="0" w:line="360" w:lineRule="auto"/>
        <w:ind w:left="720" w:hanging="720"/>
        <w:jc w:val="both"/>
        <w:rPr>
          <w:rFonts w:asciiTheme="majorBidi" w:hAnsiTheme="majorBidi" w:cstheme="majorBidi"/>
          <w:sz w:val="24"/>
          <w:szCs w:val="24"/>
          <w:lang w:val="en-GB"/>
        </w:rPr>
      </w:pPr>
      <w:r w:rsidRPr="003F31C7">
        <w:rPr>
          <w:rFonts w:asciiTheme="majorBidi" w:hAnsiTheme="majorBidi" w:cstheme="majorBidi"/>
          <w:sz w:val="24"/>
          <w:szCs w:val="24"/>
          <w:lang w:val="en-GB"/>
        </w:rPr>
        <w:t xml:space="preserve">Ayadi, F., &amp; Mathew, R. (2019). </w:t>
      </w:r>
      <w:r w:rsidRPr="003F31C7">
        <w:rPr>
          <w:rFonts w:asciiTheme="majorBidi" w:hAnsiTheme="majorBidi" w:cstheme="majorBidi"/>
          <w:i/>
          <w:iCs/>
          <w:sz w:val="24"/>
          <w:szCs w:val="24"/>
          <w:lang w:val="en-GB"/>
        </w:rPr>
        <w:t>Effectiveness of debt restructuring strategies and recovery approaches in Nigerian banks</w:t>
      </w:r>
      <w:r w:rsidRPr="003F31C7">
        <w:rPr>
          <w:rFonts w:asciiTheme="majorBidi" w:hAnsiTheme="majorBidi" w:cstheme="majorBidi"/>
          <w:sz w:val="24"/>
          <w:szCs w:val="24"/>
          <w:lang w:val="en-GB"/>
        </w:rPr>
        <w:t>. Journal of Financial Regulation and Compliance, 27(1), 23-37. https://doi.org/10.1108/JFRC-07-2018-0116</w:t>
      </w:r>
    </w:p>
    <w:p w14:paraId="4D4A9BE0" w14:textId="77777777" w:rsidR="003F31C7"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Ayodele, T., &amp; Aluko, O. (2018). The role of credit process efficiency in financial performance: Evidence from Nigerian banks. </w:t>
      </w:r>
      <w:r w:rsidRPr="006D3D71">
        <w:rPr>
          <w:rFonts w:asciiTheme="majorBidi" w:hAnsiTheme="majorBidi" w:cstheme="majorBidi"/>
          <w:i/>
          <w:iCs/>
          <w:sz w:val="24"/>
          <w:szCs w:val="24"/>
        </w:rPr>
        <w:t>African Journal of Economic Studies, 12</w:t>
      </w:r>
      <w:r w:rsidRPr="006D3D71">
        <w:rPr>
          <w:rFonts w:asciiTheme="majorBidi" w:hAnsiTheme="majorBidi" w:cstheme="majorBidi"/>
          <w:sz w:val="24"/>
          <w:szCs w:val="24"/>
        </w:rPr>
        <w:t>(3), 102-115.</w:t>
      </w:r>
    </w:p>
    <w:p w14:paraId="424AD20B"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Badar, M., &amp; Javid, A. (2018). Macroeconomic determinants of non-performing loans in Pakistan. </w:t>
      </w:r>
      <w:r w:rsidRPr="006D3D71">
        <w:rPr>
          <w:rFonts w:asciiTheme="majorBidi" w:hAnsiTheme="majorBidi" w:cstheme="majorBidi"/>
          <w:i/>
          <w:iCs/>
          <w:sz w:val="24"/>
          <w:szCs w:val="24"/>
        </w:rPr>
        <w:t>Journal of Financial Regulation and Compliance, 21</w:t>
      </w:r>
      <w:r w:rsidRPr="006D3D71">
        <w:rPr>
          <w:rFonts w:asciiTheme="majorBidi" w:hAnsiTheme="majorBidi" w:cstheme="majorBidi"/>
          <w:sz w:val="24"/>
          <w:szCs w:val="24"/>
        </w:rPr>
        <w:t>(4), 409-421.</w:t>
      </w:r>
    </w:p>
    <w:p w14:paraId="4B68C3FE"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Berger, A. N., &amp; Bouwman, C. H. (2009). Bank liquidity creation. </w:t>
      </w:r>
      <w:r w:rsidRPr="006D3D71">
        <w:rPr>
          <w:rFonts w:asciiTheme="majorBidi" w:hAnsiTheme="majorBidi" w:cstheme="majorBidi"/>
          <w:i/>
          <w:iCs/>
          <w:sz w:val="24"/>
          <w:szCs w:val="24"/>
        </w:rPr>
        <w:t>The Review of Financial Studies, 22</w:t>
      </w:r>
      <w:r w:rsidRPr="006D3D71">
        <w:rPr>
          <w:rFonts w:asciiTheme="majorBidi" w:hAnsiTheme="majorBidi" w:cstheme="majorBidi"/>
          <w:sz w:val="24"/>
          <w:szCs w:val="24"/>
        </w:rPr>
        <w:t>(9), 3779-3837.</w:t>
      </w:r>
    </w:p>
    <w:p w14:paraId="0D33B281"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Berger, A. N., &amp; Udell, G. F. (1990). Collateral, loan quality, and bank risk. </w:t>
      </w:r>
      <w:r w:rsidRPr="006D3D71">
        <w:rPr>
          <w:rFonts w:asciiTheme="majorBidi" w:hAnsiTheme="majorBidi" w:cstheme="majorBidi"/>
          <w:i/>
          <w:iCs/>
          <w:sz w:val="24"/>
          <w:szCs w:val="24"/>
        </w:rPr>
        <w:t>Journal of Monetary Economics, 25</w:t>
      </w:r>
      <w:r w:rsidRPr="006D3D71">
        <w:rPr>
          <w:rFonts w:asciiTheme="majorBidi" w:hAnsiTheme="majorBidi" w:cstheme="majorBidi"/>
          <w:sz w:val="24"/>
          <w:szCs w:val="24"/>
        </w:rPr>
        <w:t>(1), 21-42.</w:t>
      </w:r>
    </w:p>
    <w:p w14:paraId="1353C06E"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Berger, A. N., &amp; Udell, G. F. (2015). Collateral, loan quality, and bank risk. </w:t>
      </w:r>
      <w:r w:rsidRPr="006D3D71">
        <w:rPr>
          <w:rFonts w:asciiTheme="majorBidi" w:hAnsiTheme="majorBidi" w:cstheme="majorBidi"/>
          <w:i/>
          <w:iCs/>
          <w:sz w:val="24"/>
          <w:szCs w:val="24"/>
        </w:rPr>
        <w:t>Journal of Monetary Economics, 28</w:t>
      </w:r>
      <w:r w:rsidRPr="006D3D71">
        <w:rPr>
          <w:rFonts w:asciiTheme="majorBidi" w:hAnsiTheme="majorBidi" w:cstheme="majorBidi"/>
          <w:sz w:val="24"/>
          <w:szCs w:val="24"/>
        </w:rPr>
        <w:t>(2), 3-17.</w:t>
      </w:r>
    </w:p>
    <w:p w14:paraId="0F09ECF8"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Bikker, J. A., &amp; </w:t>
      </w:r>
      <w:proofErr w:type="spellStart"/>
      <w:r w:rsidRPr="006D3D71">
        <w:rPr>
          <w:rFonts w:asciiTheme="majorBidi" w:hAnsiTheme="majorBidi" w:cstheme="majorBidi"/>
          <w:sz w:val="24"/>
          <w:szCs w:val="24"/>
        </w:rPr>
        <w:t>Metzmakers</w:t>
      </w:r>
      <w:proofErr w:type="spellEnd"/>
      <w:r w:rsidRPr="006D3D71">
        <w:rPr>
          <w:rFonts w:asciiTheme="majorBidi" w:hAnsiTheme="majorBidi" w:cstheme="majorBidi"/>
          <w:sz w:val="24"/>
          <w:szCs w:val="24"/>
        </w:rPr>
        <w:t xml:space="preserve">, P. T. (2005). The impact of risk management on bank performance. </w:t>
      </w:r>
      <w:r w:rsidRPr="006D3D71">
        <w:rPr>
          <w:rFonts w:asciiTheme="majorBidi" w:hAnsiTheme="majorBidi" w:cstheme="majorBidi"/>
          <w:i/>
          <w:iCs/>
          <w:sz w:val="24"/>
          <w:szCs w:val="24"/>
        </w:rPr>
        <w:t>Journal of Financial Economics, 73</w:t>
      </w:r>
      <w:r w:rsidRPr="006D3D71">
        <w:rPr>
          <w:rFonts w:asciiTheme="majorBidi" w:hAnsiTheme="majorBidi" w:cstheme="majorBidi"/>
          <w:sz w:val="24"/>
          <w:szCs w:val="24"/>
        </w:rPr>
        <w:t>(1), 109-126.</w:t>
      </w:r>
    </w:p>
    <w:p w14:paraId="0AD491A1"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Boahene, K. (2012). Credit risk management and financial performance in Ghanaian commercial banks. </w:t>
      </w:r>
      <w:r w:rsidRPr="006D3D71">
        <w:rPr>
          <w:rFonts w:asciiTheme="majorBidi" w:hAnsiTheme="majorBidi" w:cstheme="majorBidi"/>
          <w:i/>
          <w:iCs/>
          <w:sz w:val="24"/>
          <w:szCs w:val="24"/>
        </w:rPr>
        <w:t>International Journal of Economics and Finance, 4</w:t>
      </w:r>
      <w:r w:rsidRPr="006D3D71">
        <w:rPr>
          <w:rFonts w:asciiTheme="majorBidi" w:hAnsiTheme="majorBidi" w:cstheme="majorBidi"/>
          <w:sz w:val="24"/>
          <w:szCs w:val="24"/>
        </w:rPr>
        <w:t>(3), 1-12.</w:t>
      </w:r>
    </w:p>
    <w:p w14:paraId="17E3956C"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Boateng, E., &amp; Mensah, S. (2021). Non-performing loans and financial performance in Ghanaian banks. </w:t>
      </w:r>
      <w:r w:rsidRPr="006D3D71">
        <w:rPr>
          <w:rFonts w:asciiTheme="majorBidi" w:hAnsiTheme="majorBidi" w:cstheme="majorBidi"/>
          <w:i/>
          <w:iCs/>
          <w:sz w:val="24"/>
          <w:szCs w:val="24"/>
        </w:rPr>
        <w:t>African Journal of Finance, 18</w:t>
      </w:r>
      <w:r w:rsidRPr="006D3D71">
        <w:rPr>
          <w:rFonts w:asciiTheme="majorBidi" w:hAnsiTheme="majorBidi" w:cstheme="majorBidi"/>
          <w:sz w:val="24"/>
          <w:szCs w:val="24"/>
        </w:rPr>
        <w:t>(3), 235–251.</w:t>
      </w:r>
    </w:p>
    <w:p w14:paraId="10E81219"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Booth, P., Durand, R., &amp; Smith, D. (2022). The consequences of poor risk management on financial stability: Evidence from global banks. </w:t>
      </w:r>
      <w:r w:rsidRPr="006D3D71">
        <w:rPr>
          <w:rFonts w:asciiTheme="majorBidi" w:hAnsiTheme="majorBidi" w:cstheme="majorBidi"/>
          <w:i/>
          <w:iCs/>
          <w:sz w:val="24"/>
          <w:szCs w:val="24"/>
        </w:rPr>
        <w:t>Journal of Banking and Finance, 45</w:t>
      </w:r>
      <w:r w:rsidRPr="006D3D71">
        <w:rPr>
          <w:rFonts w:asciiTheme="majorBidi" w:hAnsiTheme="majorBidi" w:cstheme="majorBidi"/>
          <w:sz w:val="24"/>
          <w:szCs w:val="24"/>
        </w:rPr>
        <w:t>(2), 97-109.</w:t>
      </w:r>
    </w:p>
    <w:p w14:paraId="320B15F6"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Brown, C., &amp; Moles, P. (2020). Recoveries and losses in non-performing loans: Insights from European banks. </w:t>
      </w:r>
      <w:r w:rsidRPr="006D3D71">
        <w:rPr>
          <w:rFonts w:asciiTheme="majorBidi" w:hAnsiTheme="majorBidi" w:cstheme="majorBidi"/>
          <w:i/>
          <w:iCs/>
          <w:sz w:val="24"/>
          <w:szCs w:val="24"/>
        </w:rPr>
        <w:t>Journal of Risk Management, 11</w:t>
      </w:r>
      <w:r w:rsidRPr="006D3D71">
        <w:rPr>
          <w:rFonts w:asciiTheme="majorBidi" w:hAnsiTheme="majorBidi" w:cstheme="majorBidi"/>
          <w:sz w:val="24"/>
          <w:szCs w:val="24"/>
        </w:rPr>
        <w:t>(3), 145-161.</w:t>
      </w:r>
    </w:p>
    <w:p w14:paraId="6E563FC7"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Bruns, V., &amp; Fletcher, M. (2008). Banks’ credit approval processes for small and medium-sized enterprises. </w:t>
      </w:r>
      <w:r w:rsidRPr="006D3D71">
        <w:rPr>
          <w:rFonts w:asciiTheme="majorBidi" w:hAnsiTheme="majorBidi" w:cstheme="majorBidi"/>
          <w:i/>
          <w:iCs/>
          <w:sz w:val="24"/>
          <w:szCs w:val="24"/>
        </w:rPr>
        <w:t>International Small Business Journal, 26</w:t>
      </w:r>
      <w:r w:rsidRPr="006D3D71">
        <w:rPr>
          <w:rFonts w:asciiTheme="majorBidi" w:hAnsiTheme="majorBidi" w:cstheme="majorBidi"/>
          <w:sz w:val="24"/>
          <w:szCs w:val="24"/>
        </w:rPr>
        <w:t>(5), 536-561.</w:t>
      </w:r>
    </w:p>
    <w:p w14:paraId="7DD9A515"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Bruns, V., &amp; Fletcher, M. (2015). Improving credit approval processes: Insights from small business lending. </w:t>
      </w:r>
      <w:r w:rsidRPr="006D3D71">
        <w:rPr>
          <w:rFonts w:asciiTheme="majorBidi" w:hAnsiTheme="majorBidi" w:cstheme="majorBidi"/>
          <w:i/>
          <w:iCs/>
          <w:sz w:val="24"/>
          <w:szCs w:val="24"/>
        </w:rPr>
        <w:t>Journal of Small Business Finance, 10</w:t>
      </w:r>
      <w:r w:rsidRPr="006D3D71">
        <w:rPr>
          <w:rFonts w:asciiTheme="majorBidi" w:hAnsiTheme="majorBidi" w:cstheme="majorBidi"/>
          <w:sz w:val="24"/>
          <w:szCs w:val="24"/>
        </w:rPr>
        <w:t>(1), 77-93.</w:t>
      </w:r>
    </w:p>
    <w:p w14:paraId="219F1722" w14:textId="77777777" w:rsidR="003F31C7" w:rsidRPr="003F31C7" w:rsidRDefault="003F31C7" w:rsidP="003F31C7">
      <w:pPr>
        <w:spacing w:after="0" w:line="360" w:lineRule="auto"/>
        <w:ind w:left="720" w:hanging="720"/>
        <w:jc w:val="both"/>
        <w:rPr>
          <w:rFonts w:asciiTheme="majorBidi" w:hAnsiTheme="majorBidi" w:cstheme="majorBidi"/>
          <w:bCs/>
          <w:sz w:val="24"/>
          <w:szCs w:val="24"/>
          <w:lang w:val="en-GB"/>
        </w:rPr>
      </w:pPr>
      <w:r w:rsidRPr="003F31C7">
        <w:rPr>
          <w:rFonts w:asciiTheme="majorBidi" w:hAnsiTheme="majorBidi" w:cstheme="majorBidi"/>
          <w:bCs/>
          <w:sz w:val="24"/>
          <w:szCs w:val="24"/>
          <w:lang w:val="en-GB"/>
        </w:rPr>
        <w:lastRenderedPageBreak/>
        <w:t xml:space="preserve">Chawla, D. (2018). </w:t>
      </w:r>
      <w:r w:rsidRPr="003F31C7">
        <w:rPr>
          <w:rFonts w:asciiTheme="majorBidi" w:hAnsiTheme="majorBidi" w:cstheme="majorBidi"/>
          <w:bCs/>
          <w:i/>
          <w:iCs/>
          <w:sz w:val="24"/>
          <w:szCs w:val="24"/>
          <w:lang w:val="en-GB"/>
        </w:rPr>
        <w:t>Financial performance analysis in banking institutions: A study of key metrics</w:t>
      </w:r>
      <w:r w:rsidRPr="003F31C7">
        <w:rPr>
          <w:rFonts w:asciiTheme="majorBidi" w:hAnsiTheme="majorBidi" w:cstheme="majorBidi"/>
          <w:bCs/>
          <w:sz w:val="24"/>
          <w:szCs w:val="24"/>
          <w:lang w:val="en-GB"/>
        </w:rPr>
        <w:t>. Pearson Education.</w:t>
      </w:r>
    </w:p>
    <w:p w14:paraId="6F473A9B"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Chen, J., &amp; Wang, X. (2022). Credit risk monitoring and financial stability in Chinese commercial banks: A longitudinal analysis. </w:t>
      </w:r>
      <w:r w:rsidRPr="006D3D71">
        <w:rPr>
          <w:rFonts w:asciiTheme="majorBidi" w:hAnsiTheme="majorBidi" w:cstheme="majorBidi"/>
          <w:i/>
          <w:iCs/>
          <w:sz w:val="24"/>
          <w:szCs w:val="24"/>
        </w:rPr>
        <w:t>Asian Financial Studies, 18</w:t>
      </w:r>
      <w:r w:rsidRPr="006D3D71">
        <w:rPr>
          <w:rFonts w:asciiTheme="majorBidi" w:hAnsiTheme="majorBidi" w:cstheme="majorBidi"/>
          <w:sz w:val="24"/>
          <w:szCs w:val="24"/>
        </w:rPr>
        <w:t>(4), 341-356.</w:t>
      </w:r>
    </w:p>
    <w:p w14:paraId="1AA0428C"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Cooperman, E. S., Shapiro, R. M., &amp; Hill, R. A. (2000). Risks and returns in the banking industry: A historical perspective. </w:t>
      </w:r>
      <w:r w:rsidRPr="006D3D71">
        <w:rPr>
          <w:rFonts w:asciiTheme="majorBidi" w:hAnsiTheme="majorBidi" w:cstheme="majorBidi"/>
          <w:i/>
          <w:iCs/>
          <w:sz w:val="24"/>
          <w:szCs w:val="24"/>
        </w:rPr>
        <w:t>Journal of Banking Regulation, 2</w:t>
      </w:r>
      <w:r w:rsidRPr="006D3D71">
        <w:rPr>
          <w:rFonts w:asciiTheme="majorBidi" w:hAnsiTheme="majorBidi" w:cstheme="majorBidi"/>
          <w:sz w:val="24"/>
          <w:szCs w:val="24"/>
        </w:rPr>
        <w:t>(4), 315-329.</w:t>
      </w:r>
    </w:p>
    <w:p w14:paraId="1125C09D"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Diamond, D. W., &amp; Rajan, R. G. (2001). Liquidity risk, liquidity creation, and financial fragility: A theory of banking. </w:t>
      </w:r>
      <w:r w:rsidRPr="006D3D71">
        <w:rPr>
          <w:rFonts w:asciiTheme="majorBidi" w:hAnsiTheme="majorBidi" w:cstheme="majorBidi"/>
          <w:i/>
          <w:iCs/>
          <w:sz w:val="24"/>
          <w:szCs w:val="24"/>
        </w:rPr>
        <w:t>Journal of Political Economy, 109</w:t>
      </w:r>
      <w:r w:rsidRPr="006D3D71">
        <w:rPr>
          <w:rFonts w:asciiTheme="majorBidi" w:hAnsiTheme="majorBidi" w:cstheme="majorBidi"/>
          <w:sz w:val="24"/>
          <w:szCs w:val="24"/>
        </w:rPr>
        <w:t>(2), 287-327.</w:t>
      </w:r>
    </w:p>
    <w:p w14:paraId="705B1303"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proofErr w:type="spellStart"/>
      <w:r w:rsidRPr="006D3D71">
        <w:rPr>
          <w:rFonts w:asciiTheme="majorBidi" w:hAnsiTheme="majorBidi" w:cstheme="majorBidi"/>
          <w:sz w:val="24"/>
          <w:szCs w:val="24"/>
        </w:rPr>
        <w:t>Drzik</w:t>
      </w:r>
      <w:proofErr w:type="spellEnd"/>
      <w:r w:rsidRPr="006D3D71">
        <w:rPr>
          <w:rFonts w:asciiTheme="majorBidi" w:hAnsiTheme="majorBidi" w:cstheme="majorBidi"/>
          <w:sz w:val="24"/>
          <w:szCs w:val="24"/>
        </w:rPr>
        <w:t xml:space="preserve">, J. (2005). Risk management in the 21st century: An overview. </w:t>
      </w:r>
      <w:r w:rsidRPr="006D3D71">
        <w:rPr>
          <w:rFonts w:asciiTheme="majorBidi" w:hAnsiTheme="majorBidi" w:cstheme="majorBidi"/>
          <w:i/>
          <w:iCs/>
          <w:sz w:val="24"/>
          <w:szCs w:val="24"/>
        </w:rPr>
        <w:t>Journal of Risk Management, 6</w:t>
      </w:r>
      <w:r w:rsidRPr="006D3D71">
        <w:rPr>
          <w:rFonts w:asciiTheme="majorBidi" w:hAnsiTheme="majorBidi" w:cstheme="majorBidi"/>
          <w:sz w:val="24"/>
          <w:szCs w:val="24"/>
        </w:rPr>
        <w:t>(2), 37-47.</w:t>
      </w:r>
    </w:p>
    <w:p w14:paraId="70F53AF8"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Eckles, D., Hoyt, R. E., &amp; Miller, S. M. (2014). Risk management and performance in financial institutions. </w:t>
      </w:r>
      <w:r w:rsidRPr="006D3D71">
        <w:rPr>
          <w:rFonts w:asciiTheme="majorBidi" w:hAnsiTheme="majorBidi" w:cstheme="majorBidi"/>
          <w:i/>
          <w:iCs/>
          <w:sz w:val="24"/>
          <w:szCs w:val="24"/>
        </w:rPr>
        <w:t>Journal of Financial Risk, 29</w:t>
      </w:r>
      <w:r w:rsidRPr="006D3D71">
        <w:rPr>
          <w:rFonts w:asciiTheme="majorBidi" w:hAnsiTheme="majorBidi" w:cstheme="majorBidi"/>
          <w:sz w:val="24"/>
          <w:szCs w:val="24"/>
        </w:rPr>
        <w:t>(1), 12-24.</w:t>
      </w:r>
    </w:p>
    <w:p w14:paraId="0AE4370E"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Fawzi, T. A., Khan, S., &amp; Aziz, R. (2018). Determinants of return on equity in commercial banks: Evidence from emerging markets. </w:t>
      </w:r>
      <w:r w:rsidRPr="006D3D71">
        <w:rPr>
          <w:rFonts w:asciiTheme="majorBidi" w:hAnsiTheme="majorBidi" w:cstheme="majorBidi"/>
          <w:i/>
          <w:iCs/>
          <w:sz w:val="24"/>
          <w:szCs w:val="24"/>
        </w:rPr>
        <w:t>Journal of Financial Analysis, 7</w:t>
      </w:r>
      <w:r w:rsidRPr="006D3D71">
        <w:rPr>
          <w:rFonts w:asciiTheme="majorBidi" w:hAnsiTheme="majorBidi" w:cstheme="majorBidi"/>
          <w:sz w:val="24"/>
          <w:szCs w:val="24"/>
        </w:rPr>
        <w:t>(3), 45–62.</w:t>
      </w:r>
    </w:p>
    <w:p w14:paraId="7020CA68"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Ghosh, A. (2017). Banking industry and NPL management in emerging markets. </w:t>
      </w:r>
      <w:r w:rsidRPr="006D3D71">
        <w:rPr>
          <w:rFonts w:asciiTheme="majorBidi" w:hAnsiTheme="majorBidi" w:cstheme="majorBidi"/>
          <w:i/>
          <w:iCs/>
          <w:sz w:val="24"/>
          <w:szCs w:val="24"/>
        </w:rPr>
        <w:t>Economic Modelling, 31</w:t>
      </w:r>
      <w:r w:rsidRPr="006D3D71">
        <w:rPr>
          <w:rFonts w:asciiTheme="majorBidi" w:hAnsiTheme="majorBidi" w:cstheme="majorBidi"/>
          <w:sz w:val="24"/>
          <w:szCs w:val="24"/>
        </w:rPr>
        <w:t>(2), 734-745.</w:t>
      </w:r>
    </w:p>
    <w:p w14:paraId="3501EC12"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proofErr w:type="spellStart"/>
      <w:r w:rsidRPr="006D3D71">
        <w:rPr>
          <w:rFonts w:asciiTheme="majorBidi" w:hAnsiTheme="majorBidi" w:cstheme="majorBidi"/>
          <w:sz w:val="24"/>
          <w:szCs w:val="24"/>
        </w:rPr>
        <w:t>Gizycki</w:t>
      </w:r>
      <w:proofErr w:type="spellEnd"/>
      <w:r w:rsidRPr="006D3D71">
        <w:rPr>
          <w:rFonts w:asciiTheme="majorBidi" w:hAnsiTheme="majorBidi" w:cstheme="majorBidi"/>
          <w:sz w:val="24"/>
          <w:szCs w:val="24"/>
        </w:rPr>
        <w:t xml:space="preserve">, M. (2001). Risk and profitability in the Australian banking sector. </w:t>
      </w:r>
      <w:r w:rsidRPr="006D3D71">
        <w:rPr>
          <w:rFonts w:asciiTheme="majorBidi" w:hAnsiTheme="majorBidi" w:cstheme="majorBidi"/>
          <w:i/>
          <w:iCs/>
          <w:sz w:val="24"/>
          <w:szCs w:val="24"/>
        </w:rPr>
        <w:t>Journal of Australian Financial Regulation, 22</w:t>
      </w:r>
      <w:r w:rsidRPr="006D3D71">
        <w:rPr>
          <w:rFonts w:asciiTheme="majorBidi" w:hAnsiTheme="majorBidi" w:cstheme="majorBidi"/>
          <w:sz w:val="24"/>
          <w:szCs w:val="24"/>
        </w:rPr>
        <w:t>(1), 67-83.</w:t>
      </w:r>
    </w:p>
    <w:p w14:paraId="25CA44C9" w14:textId="77777777" w:rsidR="003F31C7" w:rsidRPr="003F31C7" w:rsidRDefault="003F31C7" w:rsidP="003F31C7">
      <w:pPr>
        <w:spacing w:after="0" w:line="360" w:lineRule="auto"/>
        <w:ind w:left="720" w:hanging="720"/>
        <w:jc w:val="both"/>
        <w:rPr>
          <w:rFonts w:asciiTheme="majorBidi" w:hAnsiTheme="majorBidi" w:cstheme="majorBidi"/>
          <w:sz w:val="24"/>
          <w:szCs w:val="24"/>
          <w:lang w:val="en-GB"/>
        </w:rPr>
      </w:pPr>
      <w:r w:rsidRPr="003F31C7">
        <w:rPr>
          <w:rFonts w:asciiTheme="majorBidi" w:hAnsiTheme="majorBidi" w:cstheme="majorBidi"/>
          <w:sz w:val="24"/>
          <w:szCs w:val="24"/>
          <w:lang w:val="en-GB"/>
        </w:rPr>
        <w:t xml:space="preserve">Gupta, A. (2018). </w:t>
      </w:r>
      <w:r w:rsidRPr="003F31C7">
        <w:rPr>
          <w:rFonts w:asciiTheme="majorBidi" w:hAnsiTheme="majorBidi" w:cstheme="majorBidi"/>
          <w:i/>
          <w:iCs/>
          <w:sz w:val="24"/>
          <w:szCs w:val="24"/>
          <w:lang w:val="en-GB"/>
        </w:rPr>
        <w:t>Banking performance and liquidity ratios: Analysis of lending practices and sustainability</w:t>
      </w:r>
      <w:r w:rsidRPr="003F31C7">
        <w:rPr>
          <w:rFonts w:asciiTheme="majorBidi" w:hAnsiTheme="majorBidi" w:cstheme="majorBidi"/>
          <w:sz w:val="24"/>
          <w:szCs w:val="24"/>
          <w:lang w:val="en-GB"/>
        </w:rPr>
        <w:t>. Sage Publications.</w:t>
      </w:r>
    </w:p>
    <w:p w14:paraId="5BBD891E" w14:textId="77777777" w:rsidR="003F31C7" w:rsidRPr="003F31C7" w:rsidRDefault="003F31C7" w:rsidP="003F31C7">
      <w:pPr>
        <w:spacing w:after="0" w:line="360" w:lineRule="auto"/>
        <w:ind w:left="720" w:hanging="720"/>
        <w:jc w:val="both"/>
        <w:rPr>
          <w:rFonts w:asciiTheme="majorBidi" w:hAnsiTheme="majorBidi" w:cstheme="majorBidi"/>
          <w:sz w:val="24"/>
          <w:szCs w:val="24"/>
          <w:lang w:val="en-GB"/>
        </w:rPr>
      </w:pPr>
      <w:r w:rsidRPr="003F31C7">
        <w:rPr>
          <w:rFonts w:asciiTheme="majorBidi" w:hAnsiTheme="majorBidi" w:cstheme="majorBidi"/>
          <w:sz w:val="24"/>
          <w:szCs w:val="24"/>
          <w:lang w:val="en-GB"/>
        </w:rPr>
        <w:t xml:space="preserve">Gupta, A. (2018). </w:t>
      </w:r>
      <w:r w:rsidRPr="003F31C7">
        <w:rPr>
          <w:rFonts w:asciiTheme="majorBidi" w:hAnsiTheme="majorBidi" w:cstheme="majorBidi"/>
          <w:i/>
          <w:iCs/>
          <w:sz w:val="24"/>
          <w:szCs w:val="24"/>
          <w:lang w:val="en-GB"/>
        </w:rPr>
        <w:t>Financial management in banking: Cash reserves and liquidity management</w:t>
      </w:r>
      <w:r w:rsidRPr="003F31C7">
        <w:rPr>
          <w:rFonts w:asciiTheme="majorBidi" w:hAnsiTheme="majorBidi" w:cstheme="majorBidi"/>
          <w:sz w:val="24"/>
          <w:szCs w:val="24"/>
          <w:lang w:val="en-GB"/>
        </w:rPr>
        <w:t>. Sage Publications.</w:t>
      </w:r>
    </w:p>
    <w:p w14:paraId="11422349" w14:textId="77777777" w:rsidR="003F31C7" w:rsidRPr="003F31C7" w:rsidRDefault="003F31C7" w:rsidP="003F31C7">
      <w:pPr>
        <w:spacing w:after="0" w:line="360" w:lineRule="auto"/>
        <w:ind w:left="720" w:hanging="720"/>
        <w:jc w:val="both"/>
        <w:rPr>
          <w:rFonts w:asciiTheme="majorBidi" w:hAnsiTheme="majorBidi" w:cstheme="majorBidi"/>
          <w:sz w:val="24"/>
          <w:szCs w:val="24"/>
          <w:lang w:val="en-GB"/>
        </w:rPr>
      </w:pPr>
      <w:r w:rsidRPr="003F31C7">
        <w:rPr>
          <w:rFonts w:asciiTheme="majorBidi" w:hAnsiTheme="majorBidi" w:cstheme="majorBidi"/>
          <w:sz w:val="24"/>
          <w:szCs w:val="24"/>
          <w:lang w:val="en-GB"/>
        </w:rPr>
        <w:t xml:space="preserve">Gupta, A. (2018). </w:t>
      </w:r>
      <w:r w:rsidRPr="003F31C7">
        <w:rPr>
          <w:rFonts w:asciiTheme="majorBidi" w:hAnsiTheme="majorBidi" w:cstheme="majorBidi"/>
          <w:i/>
          <w:iCs/>
          <w:sz w:val="24"/>
          <w:szCs w:val="24"/>
          <w:lang w:val="en-GB"/>
        </w:rPr>
        <w:t>Financial management in banking: Liquidity ratios and asset management</w:t>
      </w:r>
      <w:r w:rsidRPr="003F31C7">
        <w:rPr>
          <w:rFonts w:asciiTheme="majorBidi" w:hAnsiTheme="majorBidi" w:cstheme="majorBidi"/>
          <w:sz w:val="24"/>
          <w:szCs w:val="24"/>
          <w:lang w:val="en-GB"/>
        </w:rPr>
        <w:t>. Sage Publications.</w:t>
      </w:r>
    </w:p>
    <w:p w14:paraId="315063C3"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Hahm, J. H. (2004). Financial performance and risk management in banking: A comparative study. </w:t>
      </w:r>
      <w:r w:rsidRPr="006D3D71">
        <w:rPr>
          <w:rFonts w:asciiTheme="majorBidi" w:hAnsiTheme="majorBidi" w:cstheme="majorBidi"/>
          <w:i/>
          <w:iCs/>
          <w:sz w:val="24"/>
          <w:szCs w:val="24"/>
        </w:rPr>
        <w:t>Asian Economic Policy Review, 3</w:t>
      </w:r>
      <w:r w:rsidRPr="006D3D71">
        <w:rPr>
          <w:rFonts w:asciiTheme="majorBidi" w:hAnsiTheme="majorBidi" w:cstheme="majorBidi"/>
          <w:sz w:val="24"/>
          <w:szCs w:val="24"/>
        </w:rPr>
        <w:t>(1), 89-100.</w:t>
      </w:r>
    </w:p>
    <w:p w14:paraId="74100B2D"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Hassan, M. K., &amp; Bashir, A. H. M. (2003). Determinants of Islamic banking profitability. </w:t>
      </w:r>
      <w:r w:rsidRPr="006D3D71">
        <w:rPr>
          <w:rFonts w:asciiTheme="majorBidi" w:hAnsiTheme="majorBidi" w:cstheme="majorBidi"/>
          <w:i/>
          <w:iCs/>
          <w:sz w:val="24"/>
          <w:szCs w:val="24"/>
        </w:rPr>
        <w:t>Islamic Perspectives on Wealth Creation, 1</w:t>
      </w:r>
      <w:r w:rsidRPr="006D3D71">
        <w:rPr>
          <w:rFonts w:asciiTheme="majorBidi" w:hAnsiTheme="majorBidi" w:cstheme="majorBidi"/>
          <w:sz w:val="24"/>
          <w:szCs w:val="24"/>
        </w:rPr>
        <w:t>(1), 118-140.</w:t>
      </w:r>
    </w:p>
    <w:p w14:paraId="2689A74C"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Hassan, M., Haron, H., &amp; Subramaniam, N. (2023). Impact of risk management on bank profitability: Evidence from emerging markets. </w:t>
      </w:r>
      <w:r w:rsidRPr="006D3D71">
        <w:rPr>
          <w:rFonts w:asciiTheme="majorBidi" w:hAnsiTheme="majorBidi" w:cstheme="majorBidi"/>
          <w:i/>
          <w:iCs/>
          <w:sz w:val="24"/>
          <w:szCs w:val="24"/>
        </w:rPr>
        <w:t>International Journal of Bank Management, 40</w:t>
      </w:r>
      <w:r w:rsidRPr="006D3D71">
        <w:rPr>
          <w:rFonts w:asciiTheme="majorBidi" w:hAnsiTheme="majorBidi" w:cstheme="majorBidi"/>
          <w:sz w:val="24"/>
          <w:szCs w:val="24"/>
        </w:rPr>
        <w:t>(1), 115-130.</w:t>
      </w:r>
    </w:p>
    <w:p w14:paraId="09E3E275"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Ho, T. S. Y., &amp; Saunders, A. (1981). The determinants of bank interest margins: Theory and empirical evidence. </w:t>
      </w:r>
      <w:r w:rsidRPr="006D3D71">
        <w:rPr>
          <w:rFonts w:asciiTheme="majorBidi" w:hAnsiTheme="majorBidi" w:cstheme="majorBidi"/>
          <w:i/>
          <w:iCs/>
          <w:sz w:val="24"/>
          <w:szCs w:val="24"/>
        </w:rPr>
        <w:t>Journal of Financial and Quantitative Analysis, 16</w:t>
      </w:r>
      <w:r w:rsidRPr="006D3D71">
        <w:rPr>
          <w:rFonts w:asciiTheme="majorBidi" w:hAnsiTheme="majorBidi" w:cstheme="majorBidi"/>
          <w:sz w:val="24"/>
          <w:szCs w:val="24"/>
        </w:rPr>
        <w:t>(4), 581-600.</w:t>
      </w:r>
    </w:p>
    <w:p w14:paraId="06735FCD"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lastRenderedPageBreak/>
        <w:t xml:space="preserve">Hosna, K., Agrawal, A., &amp; Asghari, B. (2009). Risk and performance in Swedish banks. </w:t>
      </w:r>
      <w:r w:rsidRPr="006D3D71">
        <w:rPr>
          <w:rFonts w:asciiTheme="majorBidi" w:hAnsiTheme="majorBidi" w:cstheme="majorBidi"/>
          <w:i/>
          <w:iCs/>
          <w:sz w:val="24"/>
          <w:szCs w:val="24"/>
        </w:rPr>
        <w:t>Journal of Financial Economics, 83</w:t>
      </w:r>
      <w:r w:rsidRPr="006D3D71">
        <w:rPr>
          <w:rFonts w:asciiTheme="majorBidi" w:hAnsiTheme="majorBidi" w:cstheme="majorBidi"/>
          <w:sz w:val="24"/>
          <w:szCs w:val="24"/>
        </w:rPr>
        <w:t>(4), 111-123.</w:t>
      </w:r>
    </w:p>
    <w:p w14:paraId="132EDEEB" w14:textId="77777777" w:rsidR="003F31C7" w:rsidRPr="003F31C7" w:rsidRDefault="003F31C7" w:rsidP="003F31C7">
      <w:pPr>
        <w:spacing w:after="0" w:line="360" w:lineRule="auto"/>
        <w:ind w:left="720" w:hanging="720"/>
        <w:jc w:val="both"/>
        <w:rPr>
          <w:rFonts w:asciiTheme="majorBidi" w:hAnsiTheme="majorBidi" w:cstheme="majorBidi"/>
          <w:sz w:val="24"/>
          <w:szCs w:val="24"/>
          <w:lang w:val="en-GB"/>
        </w:rPr>
      </w:pPr>
      <w:r w:rsidRPr="003F31C7">
        <w:rPr>
          <w:rFonts w:asciiTheme="majorBidi" w:hAnsiTheme="majorBidi" w:cstheme="majorBidi"/>
          <w:sz w:val="24"/>
          <w:szCs w:val="24"/>
          <w:lang w:val="en-GB"/>
        </w:rPr>
        <w:t xml:space="preserve">Hughes, M. (2020). </w:t>
      </w:r>
      <w:r w:rsidRPr="003F31C7">
        <w:rPr>
          <w:rFonts w:asciiTheme="majorBidi" w:hAnsiTheme="majorBidi" w:cstheme="majorBidi"/>
          <w:i/>
          <w:iCs/>
          <w:sz w:val="24"/>
          <w:szCs w:val="24"/>
          <w:lang w:val="en-GB"/>
        </w:rPr>
        <w:t>Technology in financial risk management: Trends and insights</w:t>
      </w:r>
      <w:r w:rsidRPr="003F31C7">
        <w:rPr>
          <w:rFonts w:asciiTheme="majorBidi" w:hAnsiTheme="majorBidi" w:cstheme="majorBidi"/>
          <w:sz w:val="24"/>
          <w:szCs w:val="24"/>
          <w:lang w:val="en-GB"/>
        </w:rPr>
        <w:t>. Financial Times Publishing.</w:t>
      </w:r>
    </w:p>
    <w:p w14:paraId="082A8DA1"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Janda, K., &amp; </w:t>
      </w:r>
      <w:proofErr w:type="spellStart"/>
      <w:r w:rsidRPr="006D3D71">
        <w:rPr>
          <w:rFonts w:asciiTheme="majorBidi" w:hAnsiTheme="majorBidi" w:cstheme="majorBidi"/>
          <w:sz w:val="24"/>
          <w:szCs w:val="24"/>
        </w:rPr>
        <w:t>Rausser</w:t>
      </w:r>
      <w:proofErr w:type="spellEnd"/>
      <w:r w:rsidRPr="006D3D71">
        <w:rPr>
          <w:rFonts w:asciiTheme="majorBidi" w:hAnsiTheme="majorBidi" w:cstheme="majorBidi"/>
          <w:sz w:val="24"/>
          <w:szCs w:val="24"/>
        </w:rPr>
        <w:t xml:space="preserve">, G. (2019). Collateral security in financial contracts: An empirical investigation. </w:t>
      </w:r>
      <w:r w:rsidRPr="006D3D71">
        <w:rPr>
          <w:rFonts w:asciiTheme="majorBidi" w:hAnsiTheme="majorBidi" w:cstheme="majorBidi"/>
          <w:i/>
          <w:iCs/>
          <w:sz w:val="24"/>
          <w:szCs w:val="24"/>
        </w:rPr>
        <w:t>Journal of Banking &amp; Finance, 89</w:t>
      </w:r>
      <w:r w:rsidRPr="006D3D71">
        <w:rPr>
          <w:rFonts w:asciiTheme="majorBidi" w:hAnsiTheme="majorBidi" w:cstheme="majorBidi"/>
          <w:sz w:val="24"/>
          <w:szCs w:val="24"/>
        </w:rPr>
        <w:t>(1), 215-226.</w:t>
      </w:r>
    </w:p>
    <w:p w14:paraId="63880C10"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Johnson, T., &amp; Smith, H. (2022). Risk management and asset impairment in Australian banks: A study of small institutions. </w:t>
      </w:r>
      <w:r w:rsidRPr="006D3D71">
        <w:rPr>
          <w:rFonts w:asciiTheme="majorBidi" w:hAnsiTheme="majorBidi" w:cstheme="majorBidi"/>
          <w:i/>
          <w:iCs/>
          <w:sz w:val="24"/>
          <w:szCs w:val="24"/>
        </w:rPr>
        <w:t>Australian Financial Review, 15</w:t>
      </w:r>
      <w:r w:rsidRPr="006D3D71">
        <w:rPr>
          <w:rFonts w:asciiTheme="majorBidi" w:hAnsiTheme="majorBidi" w:cstheme="majorBidi"/>
          <w:sz w:val="24"/>
          <w:szCs w:val="24"/>
        </w:rPr>
        <w:t>(1), 55–72.</w:t>
      </w:r>
    </w:p>
    <w:p w14:paraId="7543B2F4"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proofErr w:type="spellStart"/>
      <w:r w:rsidRPr="006D3D71">
        <w:rPr>
          <w:rFonts w:asciiTheme="majorBidi" w:hAnsiTheme="majorBidi" w:cstheme="majorBidi"/>
          <w:sz w:val="24"/>
          <w:szCs w:val="24"/>
        </w:rPr>
        <w:t>Jorfi</w:t>
      </w:r>
      <w:proofErr w:type="spellEnd"/>
      <w:r w:rsidRPr="006D3D71">
        <w:rPr>
          <w:rFonts w:asciiTheme="majorBidi" w:hAnsiTheme="majorBidi" w:cstheme="majorBidi"/>
          <w:sz w:val="24"/>
          <w:szCs w:val="24"/>
        </w:rPr>
        <w:t xml:space="preserve">, S., </w:t>
      </w:r>
      <w:proofErr w:type="spellStart"/>
      <w:r w:rsidRPr="006D3D71">
        <w:rPr>
          <w:rFonts w:asciiTheme="majorBidi" w:hAnsiTheme="majorBidi" w:cstheme="majorBidi"/>
          <w:sz w:val="24"/>
          <w:szCs w:val="24"/>
        </w:rPr>
        <w:t>Rasli</w:t>
      </w:r>
      <w:proofErr w:type="spellEnd"/>
      <w:r w:rsidRPr="006D3D71">
        <w:rPr>
          <w:rFonts w:asciiTheme="majorBidi" w:hAnsiTheme="majorBidi" w:cstheme="majorBidi"/>
          <w:sz w:val="24"/>
          <w:szCs w:val="24"/>
        </w:rPr>
        <w:t xml:space="preserve">, A., &amp; Aziz, Z. (2022). Risk management in commercial banks: A global perspective. </w:t>
      </w:r>
      <w:r w:rsidRPr="006D3D71">
        <w:rPr>
          <w:rFonts w:asciiTheme="majorBidi" w:hAnsiTheme="majorBidi" w:cstheme="majorBidi"/>
          <w:i/>
          <w:iCs/>
          <w:sz w:val="24"/>
          <w:szCs w:val="24"/>
        </w:rPr>
        <w:t>International Journal of Economics and Finance, 14</w:t>
      </w:r>
      <w:r w:rsidRPr="006D3D71">
        <w:rPr>
          <w:rFonts w:asciiTheme="majorBidi" w:hAnsiTheme="majorBidi" w:cstheme="majorBidi"/>
          <w:sz w:val="24"/>
          <w:szCs w:val="24"/>
        </w:rPr>
        <w:t>(3), 25-42.</w:t>
      </w:r>
    </w:p>
    <w:p w14:paraId="41351F1F"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Kamau, D., &amp; Waweru, M. (2022). The impact of loan approval processes on banking stability in Kenya. </w:t>
      </w:r>
      <w:r w:rsidRPr="006D3D71">
        <w:rPr>
          <w:rFonts w:asciiTheme="majorBidi" w:hAnsiTheme="majorBidi" w:cstheme="majorBidi"/>
          <w:i/>
          <w:iCs/>
          <w:sz w:val="24"/>
          <w:szCs w:val="24"/>
        </w:rPr>
        <w:t>East African Journal of Banking, 10</w:t>
      </w:r>
      <w:r w:rsidRPr="006D3D71">
        <w:rPr>
          <w:rFonts w:asciiTheme="majorBidi" w:hAnsiTheme="majorBidi" w:cstheme="majorBidi"/>
          <w:sz w:val="24"/>
          <w:szCs w:val="24"/>
        </w:rPr>
        <w:t>(2), 87–102.</w:t>
      </w:r>
    </w:p>
    <w:p w14:paraId="2DF7B211"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Kamau, G., &amp; Were, M. (2018). Analyzing the determinants of loans to deposit ratio in Sub-Saharan banks. </w:t>
      </w:r>
      <w:r w:rsidRPr="006D3D71">
        <w:rPr>
          <w:rFonts w:asciiTheme="majorBidi" w:hAnsiTheme="majorBidi" w:cstheme="majorBidi"/>
          <w:i/>
          <w:iCs/>
          <w:sz w:val="24"/>
          <w:szCs w:val="24"/>
        </w:rPr>
        <w:t>African Journal of Financial Economics, 9</w:t>
      </w:r>
      <w:r w:rsidRPr="006D3D71">
        <w:rPr>
          <w:rFonts w:asciiTheme="majorBidi" w:hAnsiTheme="majorBidi" w:cstheme="majorBidi"/>
          <w:sz w:val="24"/>
          <w:szCs w:val="24"/>
        </w:rPr>
        <w:t>(1), 23–39.</w:t>
      </w:r>
    </w:p>
    <w:p w14:paraId="12770CCC"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Kamau, L. (2022). Relationship between credit risk management and profitability of commercial banks in Uganda. </w:t>
      </w:r>
      <w:r w:rsidRPr="006D3D71">
        <w:rPr>
          <w:rFonts w:asciiTheme="majorBidi" w:hAnsiTheme="majorBidi" w:cstheme="majorBidi"/>
          <w:i/>
          <w:iCs/>
          <w:sz w:val="24"/>
          <w:szCs w:val="24"/>
        </w:rPr>
        <w:t>East African Business Review, 16</w:t>
      </w:r>
      <w:r w:rsidRPr="006D3D71">
        <w:rPr>
          <w:rFonts w:asciiTheme="majorBidi" w:hAnsiTheme="majorBidi" w:cstheme="majorBidi"/>
          <w:sz w:val="24"/>
          <w:szCs w:val="24"/>
        </w:rPr>
        <w:t>(2), 120-135.</w:t>
      </w:r>
    </w:p>
    <w:p w14:paraId="7C32A0AF"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Kanan, J., Kumar, S., &amp; Das, S. (2016). Net interest margin determinants: Insights from banking systems in developing economies. </w:t>
      </w:r>
      <w:r w:rsidRPr="006D3D71">
        <w:rPr>
          <w:rFonts w:asciiTheme="majorBidi" w:hAnsiTheme="majorBidi" w:cstheme="majorBidi"/>
          <w:i/>
          <w:iCs/>
          <w:sz w:val="24"/>
          <w:szCs w:val="24"/>
        </w:rPr>
        <w:t>International Journal of Banking Studies, 14</w:t>
      </w:r>
      <w:r w:rsidRPr="006D3D71">
        <w:rPr>
          <w:rFonts w:asciiTheme="majorBidi" w:hAnsiTheme="majorBidi" w:cstheme="majorBidi"/>
          <w:sz w:val="24"/>
          <w:szCs w:val="24"/>
        </w:rPr>
        <w:t>(2), 102–117.</w:t>
      </w:r>
    </w:p>
    <w:p w14:paraId="3D4B4AB7"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Kanga, P., &amp; Otieno, R. (2017). Analyzing return on assets in commercial banks in Sub-Saharan Africa. </w:t>
      </w:r>
      <w:r w:rsidRPr="006D3D71">
        <w:rPr>
          <w:rFonts w:asciiTheme="majorBidi" w:hAnsiTheme="majorBidi" w:cstheme="majorBidi"/>
          <w:i/>
          <w:iCs/>
          <w:sz w:val="24"/>
          <w:szCs w:val="24"/>
        </w:rPr>
        <w:t>African Journal of Business Economics, 9</w:t>
      </w:r>
      <w:r w:rsidRPr="006D3D71">
        <w:rPr>
          <w:rFonts w:asciiTheme="majorBidi" w:hAnsiTheme="majorBidi" w:cstheme="majorBidi"/>
          <w:sz w:val="24"/>
          <w:szCs w:val="24"/>
        </w:rPr>
        <w:t>(1), 27–43.</w:t>
      </w:r>
    </w:p>
    <w:p w14:paraId="0C7E331D" w14:textId="77777777" w:rsidR="003F31C7" w:rsidRPr="003F31C7" w:rsidRDefault="003F31C7" w:rsidP="003F31C7">
      <w:pPr>
        <w:spacing w:after="0" w:line="360" w:lineRule="auto"/>
        <w:ind w:left="720" w:hanging="720"/>
        <w:jc w:val="both"/>
        <w:rPr>
          <w:rFonts w:asciiTheme="majorBidi" w:hAnsiTheme="majorBidi" w:cstheme="majorBidi"/>
          <w:sz w:val="24"/>
          <w:szCs w:val="24"/>
          <w:lang w:val="en-GB"/>
        </w:rPr>
      </w:pPr>
      <w:r w:rsidRPr="003F31C7">
        <w:rPr>
          <w:rFonts w:asciiTheme="majorBidi" w:hAnsiTheme="majorBidi" w:cstheme="majorBidi"/>
          <w:sz w:val="24"/>
          <w:szCs w:val="24"/>
          <w:lang w:val="en-GB"/>
        </w:rPr>
        <w:t xml:space="preserve">Kapoor, S. (2020). </w:t>
      </w:r>
      <w:r w:rsidRPr="003F31C7">
        <w:rPr>
          <w:rFonts w:asciiTheme="majorBidi" w:hAnsiTheme="majorBidi" w:cstheme="majorBidi"/>
          <w:i/>
          <w:iCs/>
          <w:sz w:val="24"/>
          <w:szCs w:val="24"/>
          <w:lang w:val="en-GB"/>
        </w:rPr>
        <w:t>Liquidity and financial stability: The role of cash ratio in banking institutions</w:t>
      </w:r>
      <w:r w:rsidRPr="003F31C7">
        <w:rPr>
          <w:rFonts w:asciiTheme="majorBidi" w:hAnsiTheme="majorBidi" w:cstheme="majorBidi"/>
          <w:sz w:val="24"/>
          <w:szCs w:val="24"/>
          <w:lang w:val="en-GB"/>
        </w:rPr>
        <w:t>. Routledge.</w:t>
      </w:r>
    </w:p>
    <w:p w14:paraId="607B90D6" w14:textId="77777777" w:rsidR="003F31C7" w:rsidRPr="003F31C7" w:rsidRDefault="003F31C7" w:rsidP="003F31C7">
      <w:pPr>
        <w:spacing w:after="0" w:line="360" w:lineRule="auto"/>
        <w:ind w:left="720" w:hanging="720"/>
        <w:jc w:val="both"/>
        <w:rPr>
          <w:rFonts w:asciiTheme="majorBidi" w:hAnsiTheme="majorBidi" w:cstheme="majorBidi"/>
          <w:sz w:val="24"/>
          <w:szCs w:val="24"/>
          <w:lang w:val="en-GB"/>
        </w:rPr>
      </w:pPr>
      <w:r w:rsidRPr="003F31C7">
        <w:rPr>
          <w:rFonts w:asciiTheme="majorBidi" w:hAnsiTheme="majorBidi" w:cstheme="majorBidi"/>
          <w:sz w:val="24"/>
          <w:szCs w:val="24"/>
          <w:lang w:val="en-GB"/>
        </w:rPr>
        <w:t xml:space="preserve">Kapoor, S. (2020). </w:t>
      </w:r>
      <w:r w:rsidRPr="003F31C7">
        <w:rPr>
          <w:rFonts w:asciiTheme="majorBidi" w:hAnsiTheme="majorBidi" w:cstheme="majorBidi"/>
          <w:i/>
          <w:iCs/>
          <w:sz w:val="24"/>
          <w:szCs w:val="24"/>
          <w:lang w:val="en-GB"/>
        </w:rPr>
        <w:t>Liquidity management in banks: The role of liquidity to assets ratio</w:t>
      </w:r>
      <w:r w:rsidRPr="003F31C7">
        <w:rPr>
          <w:rFonts w:asciiTheme="majorBidi" w:hAnsiTheme="majorBidi" w:cstheme="majorBidi"/>
          <w:sz w:val="24"/>
          <w:szCs w:val="24"/>
          <w:lang w:val="en-GB"/>
        </w:rPr>
        <w:t>. Routledge.</w:t>
      </w:r>
    </w:p>
    <w:p w14:paraId="7F704F82"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Karanja, G., Muturi, W., &amp; </w:t>
      </w:r>
      <w:proofErr w:type="spellStart"/>
      <w:r w:rsidRPr="006D3D71">
        <w:rPr>
          <w:rFonts w:asciiTheme="majorBidi" w:hAnsiTheme="majorBidi" w:cstheme="majorBidi"/>
          <w:sz w:val="24"/>
          <w:szCs w:val="24"/>
        </w:rPr>
        <w:t>Ngumi</w:t>
      </w:r>
      <w:proofErr w:type="spellEnd"/>
      <w:r w:rsidRPr="006D3D71">
        <w:rPr>
          <w:rFonts w:asciiTheme="majorBidi" w:hAnsiTheme="majorBidi" w:cstheme="majorBidi"/>
          <w:sz w:val="24"/>
          <w:szCs w:val="24"/>
        </w:rPr>
        <w:t xml:space="preserve">, P. (2016). Effect of credit monitoring on the financial performance of commercial banks in Kenya. </w:t>
      </w:r>
      <w:r w:rsidRPr="006D3D71">
        <w:rPr>
          <w:rFonts w:asciiTheme="majorBidi" w:hAnsiTheme="majorBidi" w:cstheme="majorBidi"/>
          <w:i/>
          <w:iCs/>
          <w:sz w:val="24"/>
          <w:szCs w:val="24"/>
        </w:rPr>
        <w:t>International Journal of Finance and Accounting, 8</w:t>
      </w:r>
      <w:r w:rsidRPr="006D3D71">
        <w:rPr>
          <w:rFonts w:asciiTheme="majorBidi" w:hAnsiTheme="majorBidi" w:cstheme="majorBidi"/>
          <w:sz w:val="24"/>
          <w:szCs w:val="24"/>
        </w:rPr>
        <w:t>(1), 15-24.</w:t>
      </w:r>
    </w:p>
    <w:p w14:paraId="12A73267"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proofErr w:type="spellStart"/>
      <w:r w:rsidRPr="006D3D71">
        <w:rPr>
          <w:rFonts w:asciiTheme="majorBidi" w:hAnsiTheme="majorBidi" w:cstheme="majorBidi"/>
          <w:sz w:val="24"/>
          <w:szCs w:val="24"/>
        </w:rPr>
        <w:t>Kimondo</w:t>
      </w:r>
      <w:proofErr w:type="spellEnd"/>
      <w:r w:rsidRPr="006D3D71">
        <w:rPr>
          <w:rFonts w:asciiTheme="majorBidi" w:hAnsiTheme="majorBidi" w:cstheme="majorBidi"/>
          <w:sz w:val="24"/>
          <w:szCs w:val="24"/>
        </w:rPr>
        <w:t xml:space="preserve">, A., &amp; Kihara, A. (2020). Monitoring frequency and regulatory compliance in risk management: Evidence from African banks. </w:t>
      </w:r>
      <w:r w:rsidRPr="006D3D71">
        <w:rPr>
          <w:rFonts w:asciiTheme="majorBidi" w:hAnsiTheme="majorBidi" w:cstheme="majorBidi"/>
          <w:i/>
          <w:iCs/>
          <w:sz w:val="24"/>
          <w:szCs w:val="24"/>
        </w:rPr>
        <w:t>African Journal of Business Studies, 14</w:t>
      </w:r>
      <w:r w:rsidRPr="006D3D71">
        <w:rPr>
          <w:rFonts w:asciiTheme="majorBidi" w:hAnsiTheme="majorBidi" w:cstheme="majorBidi"/>
          <w:sz w:val="24"/>
          <w:szCs w:val="24"/>
        </w:rPr>
        <w:t>(4), 199-213.</w:t>
      </w:r>
    </w:p>
    <w:p w14:paraId="33455CC8"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proofErr w:type="spellStart"/>
      <w:r w:rsidRPr="006D3D71">
        <w:rPr>
          <w:rFonts w:asciiTheme="majorBidi" w:hAnsiTheme="majorBidi" w:cstheme="majorBidi"/>
          <w:sz w:val="24"/>
          <w:szCs w:val="24"/>
        </w:rPr>
        <w:t>Kipesha</w:t>
      </w:r>
      <w:proofErr w:type="spellEnd"/>
      <w:r w:rsidRPr="006D3D71">
        <w:rPr>
          <w:rFonts w:asciiTheme="majorBidi" w:hAnsiTheme="majorBidi" w:cstheme="majorBidi"/>
          <w:sz w:val="24"/>
          <w:szCs w:val="24"/>
        </w:rPr>
        <w:t xml:space="preserve">, E. F., &amp; Moshi, J. B. (2019). Risk management practices and financial performance of commercial banks: Evidence from East Africa. </w:t>
      </w:r>
      <w:r w:rsidRPr="006D3D71">
        <w:rPr>
          <w:rFonts w:asciiTheme="majorBidi" w:hAnsiTheme="majorBidi" w:cstheme="majorBidi"/>
          <w:i/>
          <w:iCs/>
          <w:sz w:val="24"/>
          <w:szCs w:val="24"/>
        </w:rPr>
        <w:t>Journal of Finance and Banking Studies, 8</w:t>
      </w:r>
      <w:r w:rsidRPr="006D3D71">
        <w:rPr>
          <w:rFonts w:asciiTheme="majorBidi" w:hAnsiTheme="majorBidi" w:cstheme="majorBidi"/>
          <w:sz w:val="24"/>
          <w:szCs w:val="24"/>
        </w:rPr>
        <w:t>(2), 24-.</w:t>
      </w:r>
    </w:p>
    <w:p w14:paraId="07052373"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lastRenderedPageBreak/>
        <w:t xml:space="preserve">Kithinji, A. M. (2010). Credit risk management and financial performance of commercial banks in Kenya. </w:t>
      </w:r>
      <w:r w:rsidRPr="006D3D71">
        <w:rPr>
          <w:rFonts w:asciiTheme="majorBidi" w:hAnsiTheme="majorBidi" w:cstheme="majorBidi"/>
          <w:i/>
          <w:iCs/>
          <w:sz w:val="24"/>
          <w:szCs w:val="24"/>
        </w:rPr>
        <w:t>International Journal of Economics and Finance, 2</w:t>
      </w:r>
      <w:r w:rsidRPr="006D3D71">
        <w:rPr>
          <w:rFonts w:asciiTheme="majorBidi" w:hAnsiTheme="majorBidi" w:cstheme="majorBidi"/>
          <w:sz w:val="24"/>
          <w:szCs w:val="24"/>
        </w:rPr>
        <w:t>(3), 47-57.</w:t>
      </w:r>
    </w:p>
    <w:p w14:paraId="6B2DAE7E" w14:textId="77777777" w:rsidR="003F31C7" w:rsidRPr="003F31C7" w:rsidRDefault="003F31C7" w:rsidP="003F31C7">
      <w:pPr>
        <w:spacing w:after="0" w:line="360" w:lineRule="auto"/>
        <w:ind w:left="720" w:hanging="720"/>
        <w:jc w:val="both"/>
        <w:rPr>
          <w:rFonts w:asciiTheme="majorBidi" w:hAnsiTheme="majorBidi" w:cstheme="majorBidi"/>
          <w:bCs/>
          <w:sz w:val="24"/>
          <w:szCs w:val="24"/>
          <w:lang w:val="en-GB"/>
        </w:rPr>
      </w:pPr>
      <w:r w:rsidRPr="003F31C7">
        <w:rPr>
          <w:rFonts w:asciiTheme="majorBidi" w:hAnsiTheme="majorBidi" w:cstheme="majorBidi"/>
          <w:bCs/>
          <w:sz w:val="24"/>
          <w:szCs w:val="24"/>
          <w:lang w:val="en-GB"/>
        </w:rPr>
        <w:t xml:space="preserve">Kumar, P. (2020). </w:t>
      </w:r>
      <w:r w:rsidRPr="003F31C7">
        <w:rPr>
          <w:rFonts w:asciiTheme="majorBidi" w:hAnsiTheme="majorBidi" w:cstheme="majorBidi"/>
          <w:bCs/>
          <w:i/>
          <w:iCs/>
          <w:sz w:val="24"/>
          <w:szCs w:val="24"/>
          <w:lang w:val="en-GB"/>
        </w:rPr>
        <w:t>Bank financial management: Optimizing net interest margin for profitability</w:t>
      </w:r>
      <w:r w:rsidRPr="003F31C7">
        <w:rPr>
          <w:rFonts w:asciiTheme="majorBidi" w:hAnsiTheme="majorBidi" w:cstheme="majorBidi"/>
          <w:bCs/>
          <w:sz w:val="24"/>
          <w:szCs w:val="24"/>
          <w:lang w:val="en-GB"/>
        </w:rPr>
        <w:t>. Routledge.</w:t>
      </w:r>
    </w:p>
    <w:p w14:paraId="528C0F0F" w14:textId="77777777" w:rsidR="003F31C7" w:rsidRPr="003F31C7" w:rsidRDefault="003F31C7" w:rsidP="003F31C7">
      <w:pPr>
        <w:spacing w:after="0" w:line="360" w:lineRule="auto"/>
        <w:ind w:left="720" w:hanging="720"/>
        <w:jc w:val="both"/>
        <w:rPr>
          <w:rFonts w:asciiTheme="majorBidi" w:hAnsiTheme="majorBidi" w:cstheme="majorBidi"/>
          <w:sz w:val="24"/>
          <w:szCs w:val="24"/>
          <w:lang w:val="en-GB"/>
        </w:rPr>
      </w:pPr>
      <w:r w:rsidRPr="003F31C7">
        <w:rPr>
          <w:rFonts w:asciiTheme="majorBidi" w:hAnsiTheme="majorBidi" w:cstheme="majorBidi"/>
          <w:sz w:val="24"/>
          <w:szCs w:val="24"/>
          <w:lang w:val="en-GB"/>
        </w:rPr>
        <w:t xml:space="preserve">Kumar, P. (2020). </w:t>
      </w:r>
      <w:r w:rsidRPr="003F31C7">
        <w:rPr>
          <w:rFonts w:asciiTheme="majorBidi" w:hAnsiTheme="majorBidi" w:cstheme="majorBidi"/>
          <w:i/>
          <w:iCs/>
          <w:sz w:val="24"/>
          <w:szCs w:val="24"/>
          <w:lang w:val="en-GB"/>
        </w:rPr>
        <w:t>Financial performance and risk management in banks: Evaluating loan and deposit ratios</w:t>
      </w:r>
      <w:r w:rsidRPr="003F31C7">
        <w:rPr>
          <w:rFonts w:asciiTheme="majorBidi" w:hAnsiTheme="majorBidi" w:cstheme="majorBidi"/>
          <w:sz w:val="24"/>
          <w:szCs w:val="24"/>
          <w:lang w:val="en-GB"/>
        </w:rPr>
        <w:t>. Routledge</w:t>
      </w:r>
    </w:p>
    <w:p w14:paraId="622A92E1"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Lam, J. (2011). </w:t>
      </w:r>
      <w:r w:rsidRPr="006D3D71">
        <w:rPr>
          <w:rFonts w:asciiTheme="majorBidi" w:hAnsiTheme="majorBidi" w:cstheme="majorBidi"/>
          <w:i/>
          <w:iCs/>
          <w:sz w:val="24"/>
          <w:szCs w:val="24"/>
        </w:rPr>
        <w:t>Enterprise Risk Management: From Risk to Opportunity</w:t>
      </w:r>
      <w:r w:rsidRPr="006D3D71">
        <w:rPr>
          <w:rFonts w:asciiTheme="majorBidi" w:hAnsiTheme="majorBidi" w:cstheme="majorBidi"/>
          <w:sz w:val="24"/>
          <w:szCs w:val="24"/>
        </w:rPr>
        <w:t xml:space="preserve"> (3rd ed.). Wiley Finance.</w:t>
      </w:r>
    </w:p>
    <w:p w14:paraId="1651B92D"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Lee, C., Park, S., &amp; Choi, H. (2022). Liquidity risk and its effect on bank profitability: Evidence from Asia and Europe. </w:t>
      </w:r>
      <w:r w:rsidRPr="006D3D71">
        <w:rPr>
          <w:rFonts w:asciiTheme="majorBidi" w:hAnsiTheme="majorBidi" w:cstheme="majorBidi"/>
          <w:i/>
          <w:iCs/>
          <w:sz w:val="24"/>
          <w:szCs w:val="24"/>
        </w:rPr>
        <w:t>Journal of Banking Regulation, 24</w:t>
      </w:r>
      <w:r w:rsidRPr="006D3D71">
        <w:rPr>
          <w:rFonts w:asciiTheme="majorBidi" w:hAnsiTheme="majorBidi" w:cstheme="majorBidi"/>
          <w:sz w:val="24"/>
          <w:szCs w:val="24"/>
        </w:rPr>
        <w:t>(1), 45-58.</w:t>
      </w:r>
    </w:p>
    <w:p w14:paraId="5839BB5A"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Li, X., Lu, W., &amp; Lee, S. (2014). The relationship between risk management and financial performance: Evidence from European banks. </w:t>
      </w:r>
      <w:r w:rsidRPr="006D3D71">
        <w:rPr>
          <w:rFonts w:asciiTheme="majorBidi" w:hAnsiTheme="majorBidi" w:cstheme="majorBidi"/>
          <w:i/>
          <w:iCs/>
          <w:sz w:val="24"/>
          <w:szCs w:val="24"/>
        </w:rPr>
        <w:t>International Journal of Financial Studies, 3</w:t>
      </w:r>
      <w:r w:rsidRPr="006D3D71">
        <w:rPr>
          <w:rFonts w:asciiTheme="majorBidi" w:hAnsiTheme="majorBidi" w:cstheme="majorBidi"/>
          <w:sz w:val="24"/>
          <w:szCs w:val="24"/>
        </w:rPr>
        <w:t>(2), 210-227.</w:t>
      </w:r>
    </w:p>
    <w:p w14:paraId="39D55AE4"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Lin, Y., &amp; Huang, J. (2018). Cash ratio and operational efficiency: Evidence from East Asian banks. </w:t>
      </w:r>
      <w:r w:rsidRPr="006D3D71">
        <w:rPr>
          <w:rFonts w:asciiTheme="majorBidi" w:hAnsiTheme="majorBidi" w:cstheme="majorBidi"/>
          <w:i/>
          <w:iCs/>
          <w:sz w:val="24"/>
          <w:szCs w:val="24"/>
        </w:rPr>
        <w:t>Asian Financial Review, 12</w:t>
      </w:r>
      <w:r w:rsidRPr="006D3D71">
        <w:rPr>
          <w:rFonts w:asciiTheme="majorBidi" w:hAnsiTheme="majorBidi" w:cstheme="majorBidi"/>
          <w:sz w:val="24"/>
          <w:szCs w:val="24"/>
        </w:rPr>
        <w:t>(4), 89–106.</w:t>
      </w:r>
    </w:p>
    <w:p w14:paraId="490CA595"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proofErr w:type="spellStart"/>
      <w:r w:rsidRPr="006D3D71">
        <w:rPr>
          <w:rFonts w:asciiTheme="majorBidi" w:hAnsiTheme="majorBidi" w:cstheme="majorBidi"/>
          <w:sz w:val="24"/>
          <w:szCs w:val="24"/>
        </w:rPr>
        <w:t>Louzis</w:t>
      </w:r>
      <w:proofErr w:type="spellEnd"/>
      <w:r w:rsidRPr="006D3D71">
        <w:rPr>
          <w:rFonts w:asciiTheme="majorBidi" w:hAnsiTheme="majorBidi" w:cstheme="majorBidi"/>
          <w:sz w:val="24"/>
          <w:szCs w:val="24"/>
        </w:rPr>
        <w:t xml:space="preserve">, D. P., </w:t>
      </w:r>
      <w:proofErr w:type="spellStart"/>
      <w:r w:rsidRPr="006D3D71">
        <w:rPr>
          <w:rFonts w:asciiTheme="majorBidi" w:hAnsiTheme="majorBidi" w:cstheme="majorBidi"/>
          <w:sz w:val="24"/>
          <w:szCs w:val="24"/>
        </w:rPr>
        <w:t>Vouldis</w:t>
      </w:r>
      <w:proofErr w:type="spellEnd"/>
      <w:r w:rsidRPr="006D3D71">
        <w:rPr>
          <w:rFonts w:asciiTheme="majorBidi" w:hAnsiTheme="majorBidi" w:cstheme="majorBidi"/>
          <w:sz w:val="24"/>
          <w:szCs w:val="24"/>
        </w:rPr>
        <w:t xml:space="preserve">, A. T., &amp; Metaxas, V. L. (2012). Macroeconomic and bank-specific determinants of non-performing loans in Greece. </w:t>
      </w:r>
      <w:r w:rsidRPr="006D3D71">
        <w:rPr>
          <w:rFonts w:asciiTheme="majorBidi" w:hAnsiTheme="majorBidi" w:cstheme="majorBidi"/>
          <w:i/>
          <w:iCs/>
          <w:sz w:val="24"/>
          <w:szCs w:val="24"/>
        </w:rPr>
        <w:t>Journal of Banking &amp; Finance, 36</w:t>
      </w:r>
      <w:r w:rsidRPr="006D3D71">
        <w:rPr>
          <w:rFonts w:asciiTheme="majorBidi" w:hAnsiTheme="majorBidi" w:cstheme="majorBidi"/>
          <w:sz w:val="24"/>
          <w:szCs w:val="24"/>
        </w:rPr>
        <w:t>(4), 1012-1027.</w:t>
      </w:r>
    </w:p>
    <w:p w14:paraId="05392D48"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Makri, V., </w:t>
      </w:r>
      <w:proofErr w:type="spellStart"/>
      <w:r w:rsidRPr="006D3D71">
        <w:rPr>
          <w:rFonts w:asciiTheme="majorBidi" w:hAnsiTheme="majorBidi" w:cstheme="majorBidi"/>
          <w:sz w:val="24"/>
          <w:szCs w:val="24"/>
        </w:rPr>
        <w:t>Tsagkanos</w:t>
      </w:r>
      <w:proofErr w:type="spellEnd"/>
      <w:r w:rsidRPr="006D3D71">
        <w:rPr>
          <w:rFonts w:asciiTheme="majorBidi" w:hAnsiTheme="majorBidi" w:cstheme="majorBidi"/>
          <w:sz w:val="24"/>
          <w:szCs w:val="24"/>
        </w:rPr>
        <w:t xml:space="preserve">, A., &amp; Bellas, A. (2015). Determinants of non-performing loans: The case of Eurozone countries. </w:t>
      </w:r>
      <w:r w:rsidRPr="006D3D71">
        <w:rPr>
          <w:rFonts w:asciiTheme="majorBidi" w:hAnsiTheme="majorBidi" w:cstheme="majorBidi"/>
          <w:i/>
          <w:iCs/>
          <w:sz w:val="24"/>
          <w:szCs w:val="24"/>
        </w:rPr>
        <w:t>Journal of Finance and Economics, 4</w:t>
      </w:r>
      <w:r w:rsidRPr="006D3D71">
        <w:rPr>
          <w:rFonts w:asciiTheme="majorBidi" w:hAnsiTheme="majorBidi" w:cstheme="majorBidi"/>
          <w:sz w:val="24"/>
          <w:szCs w:val="24"/>
        </w:rPr>
        <w:t>(2), 29-35.</w:t>
      </w:r>
    </w:p>
    <w:p w14:paraId="7D8AE910"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proofErr w:type="spellStart"/>
      <w:r w:rsidRPr="006D3D71">
        <w:rPr>
          <w:rFonts w:asciiTheme="majorBidi" w:hAnsiTheme="majorBidi" w:cstheme="majorBidi"/>
          <w:sz w:val="24"/>
          <w:szCs w:val="24"/>
        </w:rPr>
        <w:t>Mileris</w:t>
      </w:r>
      <w:proofErr w:type="spellEnd"/>
      <w:r w:rsidRPr="006D3D71">
        <w:rPr>
          <w:rFonts w:asciiTheme="majorBidi" w:hAnsiTheme="majorBidi" w:cstheme="majorBidi"/>
          <w:sz w:val="24"/>
          <w:szCs w:val="24"/>
        </w:rPr>
        <w:t xml:space="preserve">, R. (2018). Predictive credit risk assessment: The role of monitoring in dynamic economic environments. </w:t>
      </w:r>
      <w:r w:rsidRPr="006D3D71">
        <w:rPr>
          <w:rFonts w:asciiTheme="majorBidi" w:hAnsiTheme="majorBidi" w:cstheme="majorBidi"/>
          <w:i/>
          <w:iCs/>
          <w:sz w:val="24"/>
          <w:szCs w:val="24"/>
        </w:rPr>
        <w:t>Journal of Banking Regulation, 19</w:t>
      </w:r>
      <w:r w:rsidRPr="006D3D71">
        <w:rPr>
          <w:rFonts w:asciiTheme="majorBidi" w:hAnsiTheme="majorBidi" w:cstheme="majorBidi"/>
          <w:sz w:val="24"/>
          <w:szCs w:val="24"/>
        </w:rPr>
        <w:t>(1), 37-52.</w:t>
      </w:r>
    </w:p>
    <w:p w14:paraId="551BF6B5"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Modigliani, F., &amp; Miller, M. H. (1958). The cost of capital, corporation finance, and the theory of investment. </w:t>
      </w:r>
      <w:r w:rsidRPr="006D3D71">
        <w:rPr>
          <w:rFonts w:asciiTheme="majorBidi" w:hAnsiTheme="majorBidi" w:cstheme="majorBidi"/>
          <w:i/>
          <w:iCs/>
          <w:sz w:val="24"/>
          <w:szCs w:val="24"/>
        </w:rPr>
        <w:t>American Economic Review, 48</w:t>
      </w:r>
      <w:r w:rsidRPr="006D3D71">
        <w:rPr>
          <w:rFonts w:asciiTheme="majorBidi" w:hAnsiTheme="majorBidi" w:cstheme="majorBidi"/>
          <w:sz w:val="24"/>
          <w:szCs w:val="24"/>
        </w:rPr>
        <w:t>(3), 261-297.</w:t>
      </w:r>
    </w:p>
    <w:p w14:paraId="2CD46D2C"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Mugenda, D., Ouma, P., &amp; Waweru, K. (2020). Capital adequacy and its influence on financial performance in Kenyan banks. </w:t>
      </w:r>
      <w:r w:rsidRPr="006D3D71">
        <w:rPr>
          <w:rFonts w:asciiTheme="majorBidi" w:hAnsiTheme="majorBidi" w:cstheme="majorBidi"/>
          <w:i/>
          <w:iCs/>
          <w:sz w:val="24"/>
          <w:szCs w:val="24"/>
        </w:rPr>
        <w:t>Journal of Economics and Banking Research, 18</w:t>
      </w:r>
      <w:r w:rsidRPr="006D3D71">
        <w:rPr>
          <w:rFonts w:asciiTheme="majorBidi" w:hAnsiTheme="majorBidi" w:cstheme="majorBidi"/>
          <w:sz w:val="24"/>
          <w:szCs w:val="24"/>
        </w:rPr>
        <w:t>(3), 112–130.</w:t>
      </w:r>
    </w:p>
    <w:p w14:paraId="6C6D0EA4"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proofErr w:type="spellStart"/>
      <w:r w:rsidRPr="006D3D71">
        <w:rPr>
          <w:rFonts w:asciiTheme="majorBidi" w:hAnsiTheme="majorBidi" w:cstheme="majorBidi"/>
          <w:sz w:val="24"/>
          <w:szCs w:val="24"/>
        </w:rPr>
        <w:t>Mukamana</w:t>
      </w:r>
      <w:proofErr w:type="spellEnd"/>
      <w:r w:rsidRPr="006D3D71">
        <w:rPr>
          <w:rFonts w:asciiTheme="majorBidi" w:hAnsiTheme="majorBidi" w:cstheme="majorBidi"/>
          <w:sz w:val="24"/>
          <w:szCs w:val="24"/>
        </w:rPr>
        <w:t xml:space="preserve">, A., Nsabimana, E., &amp; </w:t>
      </w:r>
      <w:proofErr w:type="spellStart"/>
      <w:r w:rsidRPr="006D3D71">
        <w:rPr>
          <w:rFonts w:asciiTheme="majorBidi" w:hAnsiTheme="majorBidi" w:cstheme="majorBidi"/>
          <w:sz w:val="24"/>
          <w:szCs w:val="24"/>
        </w:rPr>
        <w:t>Kayitesi</w:t>
      </w:r>
      <w:proofErr w:type="spellEnd"/>
      <w:r w:rsidRPr="006D3D71">
        <w:rPr>
          <w:rFonts w:asciiTheme="majorBidi" w:hAnsiTheme="majorBidi" w:cstheme="majorBidi"/>
          <w:sz w:val="24"/>
          <w:szCs w:val="24"/>
        </w:rPr>
        <w:t xml:space="preserve">, J. (2021). Enhancing risk management in Rwandan banks through digital transformation. </w:t>
      </w:r>
      <w:r w:rsidRPr="006D3D71">
        <w:rPr>
          <w:rFonts w:asciiTheme="majorBidi" w:hAnsiTheme="majorBidi" w:cstheme="majorBidi"/>
          <w:i/>
          <w:iCs/>
          <w:sz w:val="24"/>
          <w:szCs w:val="24"/>
        </w:rPr>
        <w:t>Journal of African Banking and Finance, 10</w:t>
      </w:r>
      <w:r w:rsidRPr="006D3D71">
        <w:rPr>
          <w:rFonts w:asciiTheme="majorBidi" w:hAnsiTheme="majorBidi" w:cstheme="majorBidi"/>
          <w:sz w:val="24"/>
          <w:szCs w:val="24"/>
        </w:rPr>
        <w:t>(2), 120–138.</w:t>
      </w:r>
    </w:p>
    <w:p w14:paraId="2ED7ABBB"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Musah, A., &amp; Poku, K. (2020). The effect of collateral on loan recovery in Ghanaian banks. </w:t>
      </w:r>
      <w:r w:rsidRPr="006D3D71">
        <w:rPr>
          <w:rFonts w:asciiTheme="majorBidi" w:hAnsiTheme="majorBidi" w:cstheme="majorBidi"/>
          <w:i/>
          <w:iCs/>
          <w:sz w:val="24"/>
          <w:szCs w:val="24"/>
        </w:rPr>
        <w:t>Journal of Risk Management, 5</w:t>
      </w:r>
      <w:r w:rsidRPr="006D3D71">
        <w:rPr>
          <w:rFonts w:asciiTheme="majorBidi" w:hAnsiTheme="majorBidi" w:cstheme="majorBidi"/>
          <w:sz w:val="24"/>
          <w:szCs w:val="24"/>
        </w:rPr>
        <w:t>(3), 142-158.</w:t>
      </w:r>
    </w:p>
    <w:p w14:paraId="22E3EC0B"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Muthoni, A., &amp; Kamau, G. (2019). The impact of asset quality on the financial performance of Kenyan commercial banks. </w:t>
      </w:r>
      <w:r w:rsidRPr="006D3D71">
        <w:rPr>
          <w:rFonts w:asciiTheme="majorBidi" w:hAnsiTheme="majorBidi" w:cstheme="majorBidi"/>
          <w:i/>
          <w:iCs/>
          <w:sz w:val="24"/>
          <w:szCs w:val="24"/>
        </w:rPr>
        <w:t>Journal of Banking and Finance, 15</w:t>
      </w:r>
      <w:r w:rsidRPr="006D3D71">
        <w:rPr>
          <w:rFonts w:asciiTheme="majorBidi" w:hAnsiTheme="majorBidi" w:cstheme="majorBidi"/>
          <w:sz w:val="24"/>
          <w:szCs w:val="24"/>
        </w:rPr>
        <w:t>(4), 34–56.</w:t>
      </w:r>
    </w:p>
    <w:p w14:paraId="1CE323EF"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lastRenderedPageBreak/>
        <w:t xml:space="preserve">Muthoni, A., &amp; Ndungu, L. (2020). Evaluating loans to deposit ratio and financial sustainability in commercial banks. </w:t>
      </w:r>
      <w:r w:rsidRPr="006D3D71">
        <w:rPr>
          <w:rFonts w:asciiTheme="majorBidi" w:hAnsiTheme="majorBidi" w:cstheme="majorBidi"/>
          <w:i/>
          <w:iCs/>
          <w:sz w:val="24"/>
          <w:szCs w:val="24"/>
        </w:rPr>
        <w:t>Journal of Banking Studies, 15</w:t>
      </w:r>
      <w:r w:rsidRPr="006D3D71">
        <w:rPr>
          <w:rFonts w:asciiTheme="majorBidi" w:hAnsiTheme="majorBidi" w:cstheme="majorBidi"/>
          <w:sz w:val="24"/>
          <w:szCs w:val="24"/>
        </w:rPr>
        <w:t>(2), 45–67.</w:t>
      </w:r>
    </w:p>
    <w:p w14:paraId="50E65BAB"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Mwangi, J., &amp; Njoroge, S. (2021). Credit risk management strategies and financial performance of commercial banks in Kenya. </w:t>
      </w:r>
      <w:r w:rsidRPr="006D3D71">
        <w:rPr>
          <w:rFonts w:asciiTheme="majorBidi" w:hAnsiTheme="majorBidi" w:cstheme="majorBidi"/>
          <w:i/>
          <w:iCs/>
          <w:sz w:val="24"/>
          <w:szCs w:val="24"/>
        </w:rPr>
        <w:t>African Journal of Finance, 13</w:t>
      </w:r>
      <w:r w:rsidRPr="006D3D71">
        <w:rPr>
          <w:rFonts w:asciiTheme="majorBidi" w:hAnsiTheme="majorBidi" w:cstheme="majorBidi"/>
          <w:sz w:val="24"/>
          <w:szCs w:val="24"/>
        </w:rPr>
        <w:t>(3), 224-239.</w:t>
      </w:r>
    </w:p>
    <w:p w14:paraId="305792C7"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Nasir, H., Zubair, S., &amp; Imran, A. (2022). Capital structure, equity ratios, and profitability in banking institutions. </w:t>
      </w:r>
      <w:r w:rsidRPr="006D3D71">
        <w:rPr>
          <w:rFonts w:asciiTheme="majorBidi" w:hAnsiTheme="majorBidi" w:cstheme="majorBidi"/>
          <w:i/>
          <w:iCs/>
          <w:sz w:val="24"/>
          <w:szCs w:val="24"/>
        </w:rPr>
        <w:t>Financial Studies Review, 17</w:t>
      </w:r>
      <w:r w:rsidRPr="006D3D71">
        <w:rPr>
          <w:rFonts w:asciiTheme="majorBidi" w:hAnsiTheme="majorBidi" w:cstheme="majorBidi"/>
          <w:sz w:val="24"/>
          <w:szCs w:val="24"/>
        </w:rPr>
        <w:t>(3), 102-115.</w:t>
      </w:r>
    </w:p>
    <w:p w14:paraId="2AA6A619" w14:textId="77777777" w:rsidR="003F31C7" w:rsidRPr="003F31C7" w:rsidRDefault="003F31C7" w:rsidP="003F31C7">
      <w:pPr>
        <w:spacing w:after="0" w:line="360" w:lineRule="auto"/>
        <w:ind w:left="720" w:hanging="720"/>
        <w:jc w:val="both"/>
        <w:rPr>
          <w:rFonts w:asciiTheme="majorBidi" w:hAnsiTheme="majorBidi" w:cstheme="majorBidi"/>
          <w:sz w:val="24"/>
          <w:szCs w:val="24"/>
          <w:lang w:val="en-GB"/>
        </w:rPr>
      </w:pPr>
      <w:r w:rsidRPr="003F31C7">
        <w:rPr>
          <w:rFonts w:asciiTheme="majorBidi" w:hAnsiTheme="majorBidi" w:cstheme="majorBidi"/>
          <w:sz w:val="24"/>
          <w:szCs w:val="24"/>
          <w:lang w:val="en-GB"/>
        </w:rPr>
        <w:t xml:space="preserve">Neely, A. (2017). </w:t>
      </w:r>
      <w:r w:rsidRPr="003F31C7">
        <w:rPr>
          <w:rFonts w:asciiTheme="majorBidi" w:hAnsiTheme="majorBidi" w:cstheme="majorBidi"/>
          <w:i/>
          <w:iCs/>
          <w:sz w:val="24"/>
          <w:szCs w:val="24"/>
          <w:lang w:val="en-GB"/>
        </w:rPr>
        <w:t>Risk management in financial institutions: A holistic approach</w:t>
      </w:r>
      <w:r w:rsidRPr="003F31C7">
        <w:rPr>
          <w:rFonts w:asciiTheme="majorBidi" w:hAnsiTheme="majorBidi" w:cstheme="majorBidi"/>
          <w:sz w:val="24"/>
          <w:szCs w:val="24"/>
          <w:lang w:val="en-GB"/>
        </w:rPr>
        <w:t>. Wiley-Blackwell.</w:t>
      </w:r>
    </w:p>
    <w:p w14:paraId="563EE3B3"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Nguyen, T. T. (2016). Efficiency in credit approval processes: Evidence from Asian banks. </w:t>
      </w:r>
      <w:r w:rsidRPr="006D3D71">
        <w:rPr>
          <w:rFonts w:asciiTheme="majorBidi" w:hAnsiTheme="majorBidi" w:cstheme="majorBidi"/>
          <w:i/>
          <w:iCs/>
          <w:sz w:val="24"/>
          <w:szCs w:val="24"/>
        </w:rPr>
        <w:t>Journal of Banking and Finance Research, 9</w:t>
      </w:r>
      <w:r w:rsidRPr="006D3D71">
        <w:rPr>
          <w:rFonts w:asciiTheme="majorBidi" w:hAnsiTheme="majorBidi" w:cstheme="majorBidi"/>
          <w:sz w:val="24"/>
          <w:szCs w:val="24"/>
        </w:rPr>
        <w:t>(4), 234-247.</w:t>
      </w:r>
    </w:p>
    <w:p w14:paraId="45B222F8"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proofErr w:type="spellStart"/>
      <w:r w:rsidRPr="006D3D71">
        <w:rPr>
          <w:rFonts w:asciiTheme="majorBidi" w:hAnsiTheme="majorBidi" w:cstheme="majorBidi"/>
          <w:sz w:val="24"/>
          <w:szCs w:val="24"/>
        </w:rPr>
        <w:t>Nshuti</w:t>
      </w:r>
      <w:proofErr w:type="spellEnd"/>
      <w:r w:rsidRPr="006D3D71">
        <w:rPr>
          <w:rFonts w:asciiTheme="majorBidi" w:hAnsiTheme="majorBidi" w:cstheme="majorBidi"/>
          <w:sz w:val="24"/>
          <w:szCs w:val="24"/>
        </w:rPr>
        <w:t xml:space="preserve">, T., &amp; </w:t>
      </w:r>
      <w:proofErr w:type="spellStart"/>
      <w:r w:rsidRPr="006D3D71">
        <w:rPr>
          <w:rFonts w:asciiTheme="majorBidi" w:hAnsiTheme="majorBidi" w:cstheme="majorBidi"/>
          <w:sz w:val="24"/>
          <w:szCs w:val="24"/>
        </w:rPr>
        <w:t>Uwase</w:t>
      </w:r>
      <w:proofErr w:type="spellEnd"/>
      <w:r w:rsidRPr="006D3D71">
        <w:rPr>
          <w:rFonts w:asciiTheme="majorBidi" w:hAnsiTheme="majorBidi" w:cstheme="majorBidi"/>
          <w:sz w:val="24"/>
          <w:szCs w:val="24"/>
        </w:rPr>
        <w:t xml:space="preserve">, J. (2023). The impact of comprehensive risk management on financial stability in Rwanda: Evidence from commercial banks. </w:t>
      </w:r>
      <w:r w:rsidRPr="006D3D71">
        <w:rPr>
          <w:rFonts w:asciiTheme="majorBidi" w:hAnsiTheme="majorBidi" w:cstheme="majorBidi"/>
          <w:i/>
          <w:iCs/>
          <w:sz w:val="24"/>
          <w:szCs w:val="24"/>
        </w:rPr>
        <w:t>East African Journal of Financial Studies, 15</w:t>
      </w:r>
      <w:r w:rsidRPr="006D3D71">
        <w:rPr>
          <w:rFonts w:asciiTheme="majorBidi" w:hAnsiTheme="majorBidi" w:cstheme="majorBidi"/>
          <w:sz w:val="24"/>
          <w:szCs w:val="24"/>
        </w:rPr>
        <w:t>(1), 50–67.</w:t>
      </w:r>
    </w:p>
    <w:p w14:paraId="5DF44EDF"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Okeke, I., &amp; Chukwu, P. (2023). Risk management challenges in Nigerian banks: The role of non-performing loans. </w:t>
      </w:r>
      <w:r w:rsidRPr="006D3D71">
        <w:rPr>
          <w:rFonts w:asciiTheme="majorBidi" w:hAnsiTheme="majorBidi" w:cstheme="majorBidi"/>
          <w:i/>
          <w:iCs/>
          <w:sz w:val="24"/>
          <w:szCs w:val="24"/>
        </w:rPr>
        <w:t>Journal of African Business, 24</w:t>
      </w:r>
      <w:r w:rsidRPr="006D3D71">
        <w:rPr>
          <w:rFonts w:asciiTheme="majorBidi" w:hAnsiTheme="majorBidi" w:cstheme="majorBidi"/>
          <w:sz w:val="24"/>
          <w:szCs w:val="24"/>
        </w:rPr>
        <w:t>(1), 45–63.</w:t>
      </w:r>
    </w:p>
    <w:p w14:paraId="0082A57F"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Olamide, J., Adeyemi, R., &amp; Hassan, F. (2015). Risk management and non-performing loans in Nigerian banks. </w:t>
      </w:r>
      <w:r w:rsidRPr="006D3D71">
        <w:rPr>
          <w:rFonts w:asciiTheme="majorBidi" w:hAnsiTheme="majorBidi" w:cstheme="majorBidi"/>
          <w:i/>
          <w:iCs/>
          <w:sz w:val="24"/>
          <w:szCs w:val="24"/>
        </w:rPr>
        <w:t>International Journal of Financial Research, 6</w:t>
      </w:r>
      <w:r w:rsidRPr="006D3D71">
        <w:rPr>
          <w:rFonts w:asciiTheme="majorBidi" w:hAnsiTheme="majorBidi" w:cstheme="majorBidi"/>
          <w:sz w:val="24"/>
          <w:szCs w:val="24"/>
        </w:rPr>
        <w:t>(4), 42-53.</w:t>
      </w:r>
    </w:p>
    <w:p w14:paraId="2F139C81"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Olaniyi, T. A. (2017). Determinants of financial performance in commercial banks: Evidence from Sub-Saharan Africa. </w:t>
      </w:r>
      <w:r w:rsidRPr="006D3D71">
        <w:rPr>
          <w:rFonts w:asciiTheme="majorBidi" w:hAnsiTheme="majorBidi" w:cstheme="majorBidi"/>
          <w:i/>
          <w:iCs/>
          <w:sz w:val="24"/>
          <w:szCs w:val="24"/>
        </w:rPr>
        <w:t>International Journal of Banking and Finance, 14</w:t>
      </w:r>
      <w:r w:rsidRPr="006D3D71">
        <w:rPr>
          <w:rFonts w:asciiTheme="majorBidi" w:hAnsiTheme="majorBidi" w:cstheme="majorBidi"/>
          <w:sz w:val="24"/>
          <w:szCs w:val="24"/>
        </w:rPr>
        <w:t>(1), 12-33.</w:t>
      </w:r>
    </w:p>
    <w:p w14:paraId="1E67D084" w14:textId="77777777" w:rsidR="003F31C7" w:rsidRPr="003F31C7" w:rsidRDefault="003F31C7" w:rsidP="003F31C7">
      <w:pPr>
        <w:spacing w:after="0" w:line="360" w:lineRule="auto"/>
        <w:ind w:left="720" w:hanging="720"/>
        <w:jc w:val="both"/>
        <w:rPr>
          <w:rFonts w:asciiTheme="majorBidi" w:hAnsiTheme="majorBidi" w:cstheme="majorBidi"/>
          <w:sz w:val="24"/>
          <w:szCs w:val="24"/>
          <w:lang w:val="en-GB"/>
        </w:rPr>
      </w:pPr>
      <w:r w:rsidRPr="003F31C7">
        <w:rPr>
          <w:rFonts w:asciiTheme="majorBidi" w:hAnsiTheme="majorBidi" w:cstheme="majorBidi"/>
          <w:sz w:val="24"/>
          <w:szCs w:val="24"/>
          <w:lang w:val="en-GB"/>
        </w:rPr>
        <w:t xml:space="preserve">O'Neill, G. (2019). </w:t>
      </w:r>
      <w:r w:rsidRPr="003F31C7">
        <w:rPr>
          <w:rFonts w:asciiTheme="majorBidi" w:hAnsiTheme="majorBidi" w:cstheme="majorBidi"/>
          <w:i/>
          <w:iCs/>
          <w:sz w:val="24"/>
          <w:szCs w:val="24"/>
          <w:lang w:val="en-GB"/>
        </w:rPr>
        <w:t>Corporate governance and risk management in banking: Practices and challenges</w:t>
      </w:r>
      <w:r w:rsidRPr="003F31C7">
        <w:rPr>
          <w:rFonts w:asciiTheme="majorBidi" w:hAnsiTheme="majorBidi" w:cstheme="majorBidi"/>
          <w:sz w:val="24"/>
          <w:szCs w:val="24"/>
          <w:lang w:val="en-GB"/>
        </w:rPr>
        <w:t>. Routledge.</w:t>
      </w:r>
    </w:p>
    <w:p w14:paraId="0FB71A28"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Qi, M., &amp; Yang, X. (2019). Default recovery strategies: A study of effectiveness and efficiency in emerging markets. </w:t>
      </w:r>
      <w:r w:rsidRPr="006D3D71">
        <w:rPr>
          <w:rFonts w:asciiTheme="majorBidi" w:hAnsiTheme="majorBidi" w:cstheme="majorBidi"/>
          <w:i/>
          <w:iCs/>
          <w:sz w:val="24"/>
          <w:szCs w:val="24"/>
        </w:rPr>
        <w:t>Asia-Pacific Journal of Financial Studies, 10</w:t>
      </w:r>
      <w:r w:rsidRPr="006D3D71">
        <w:rPr>
          <w:rFonts w:asciiTheme="majorBidi" w:hAnsiTheme="majorBidi" w:cstheme="majorBidi"/>
          <w:sz w:val="24"/>
          <w:szCs w:val="24"/>
        </w:rPr>
        <w:t>(2), 101-118.</w:t>
      </w:r>
    </w:p>
    <w:p w14:paraId="7E732337"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Rose, P. S., &amp; Hudgins, S. C. (2012). </w:t>
      </w:r>
      <w:r w:rsidRPr="006D3D71">
        <w:rPr>
          <w:rFonts w:asciiTheme="majorBidi" w:hAnsiTheme="majorBidi" w:cstheme="majorBidi"/>
          <w:i/>
          <w:iCs/>
          <w:sz w:val="24"/>
          <w:szCs w:val="24"/>
        </w:rPr>
        <w:t>Bank management and financial services.</w:t>
      </w:r>
      <w:r w:rsidRPr="006D3D71">
        <w:rPr>
          <w:rFonts w:asciiTheme="majorBidi" w:hAnsiTheme="majorBidi" w:cstheme="majorBidi"/>
          <w:sz w:val="24"/>
          <w:szCs w:val="24"/>
        </w:rPr>
        <w:t xml:space="preserve"> McGraw-Hill.</w:t>
      </w:r>
    </w:p>
    <w:p w14:paraId="221B03C2"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Saeed, A., &amp; Zahid, Z. (2017). Interest rate management and its effect on net interest margin in commercial banks. </w:t>
      </w:r>
      <w:r w:rsidRPr="006D3D71">
        <w:rPr>
          <w:rFonts w:asciiTheme="majorBidi" w:hAnsiTheme="majorBidi" w:cstheme="majorBidi"/>
          <w:i/>
          <w:iCs/>
          <w:sz w:val="24"/>
          <w:szCs w:val="24"/>
        </w:rPr>
        <w:t>Journal of Economic Perspectives, 12</w:t>
      </w:r>
      <w:r w:rsidRPr="006D3D71">
        <w:rPr>
          <w:rFonts w:asciiTheme="majorBidi" w:hAnsiTheme="majorBidi" w:cstheme="majorBidi"/>
          <w:sz w:val="24"/>
          <w:szCs w:val="24"/>
        </w:rPr>
        <w:t>(3), 68–79.</w:t>
      </w:r>
    </w:p>
    <w:p w14:paraId="016BF4A2"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Saiti, B., </w:t>
      </w:r>
      <w:proofErr w:type="spellStart"/>
      <w:r w:rsidRPr="006D3D71">
        <w:rPr>
          <w:rFonts w:asciiTheme="majorBidi" w:hAnsiTheme="majorBidi" w:cstheme="majorBidi"/>
          <w:sz w:val="24"/>
          <w:szCs w:val="24"/>
        </w:rPr>
        <w:t>Bellalah</w:t>
      </w:r>
      <w:proofErr w:type="spellEnd"/>
      <w:r w:rsidRPr="006D3D71">
        <w:rPr>
          <w:rFonts w:asciiTheme="majorBidi" w:hAnsiTheme="majorBidi" w:cstheme="majorBidi"/>
          <w:sz w:val="24"/>
          <w:szCs w:val="24"/>
        </w:rPr>
        <w:t xml:space="preserve">, M., &amp; </w:t>
      </w:r>
      <w:proofErr w:type="spellStart"/>
      <w:r w:rsidRPr="006D3D71">
        <w:rPr>
          <w:rFonts w:asciiTheme="majorBidi" w:hAnsiTheme="majorBidi" w:cstheme="majorBidi"/>
          <w:sz w:val="24"/>
          <w:szCs w:val="24"/>
        </w:rPr>
        <w:t>Yousfi</w:t>
      </w:r>
      <w:proofErr w:type="spellEnd"/>
      <w:r w:rsidRPr="006D3D71">
        <w:rPr>
          <w:rFonts w:asciiTheme="majorBidi" w:hAnsiTheme="majorBidi" w:cstheme="majorBidi"/>
          <w:sz w:val="24"/>
          <w:szCs w:val="24"/>
        </w:rPr>
        <w:t xml:space="preserve">, D. (2023). Risk management and bank performance: A study of emerging markets. </w:t>
      </w:r>
      <w:r w:rsidRPr="006D3D71">
        <w:rPr>
          <w:rFonts w:asciiTheme="majorBidi" w:hAnsiTheme="majorBidi" w:cstheme="majorBidi"/>
          <w:i/>
          <w:iCs/>
          <w:sz w:val="24"/>
          <w:szCs w:val="24"/>
        </w:rPr>
        <w:t>International Journal of Finance &amp; Economics, 28</w:t>
      </w:r>
      <w:r w:rsidRPr="006D3D71">
        <w:rPr>
          <w:rFonts w:asciiTheme="majorBidi" w:hAnsiTheme="majorBidi" w:cstheme="majorBidi"/>
          <w:sz w:val="24"/>
          <w:szCs w:val="24"/>
        </w:rPr>
        <w:t>(2), 65-83.</w:t>
      </w:r>
    </w:p>
    <w:p w14:paraId="2594A573"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lastRenderedPageBreak/>
        <w:t xml:space="preserve">Schuermann, T. (2004). What do we know about loss given default? </w:t>
      </w:r>
      <w:r w:rsidRPr="006D3D71">
        <w:rPr>
          <w:rFonts w:asciiTheme="majorBidi" w:hAnsiTheme="majorBidi" w:cstheme="majorBidi"/>
          <w:i/>
          <w:iCs/>
          <w:sz w:val="24"/>
          <w:szCs w:val="24"/>
        </w:rPr>
        <w:t>Wharton Financial Institutions Center Working Paper</w:t>
      </w:r>
      <w:r w:rsidRPr="006D3D71">
        <w:rPr>
          <w:rFonts w:asciiTheme="majorBidi" w:hAnsiTheme="majorBidi" w:cstheme="majorBidi"/>
          <w:sz w:val="24"/>
          <w:szCs w:val="24"/>
        </w:rPr>
        <w:t>.</w:t>
      </w:r>
    </w:p>
    <w:p w14:paraId="529BE1E7"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Singh, R., &amp; Gupta, P. (2023). Collateral coverage and financial performance of commercial banks in India: Evidence from a six-year panel study. </w:t>
      </w:r>
      <w:r w:rsidRPr="006D3D71">
        <w:rPr>
          <w:rFonts w:asciiTheme="majorBidi" w:hAnsiTheme="majorBidi" w:cstheme="majorBidi"/>
          <w:i/>
          <w:iCs/>
          <w:sz w:val="24"/>
          <w:szCs w:val="24"/>
        </w:rPr>
        <w:t>International Journal of Banking Studies, 19</w:t>
      </w:r>
      <w:r w:rsidRPr="006D3D71">
        <w:rPr>
          <w:rFonts w:asciiTheme="majorBidi" w:hAnsiTheme="majorBidi" w:cstheme="majorBidi"/>
          <w:sz w:val="24"/>
          <w:szCs w:val="24"/>
        </w:rPr>
        <w:t>(1), 76-92.</w:t>
      </w:r>
    </w:p>
    <w:p w14:paraId="413637F1"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Stulz, R. M. (2008). Risk management failures during the financial crisis. </w:t>
      </w:r>
      <w:r w:rsidRPr="006D3D71">
        <w:rPr>
          <w:rFonts w:asciiTheme="majorBidi" w:hAnsiTheme="majorBidi" w:cstheme="majorBidi"/>
          <w:i/>
          <w:iCs/>
          <w:sz w:val="24"/>
          <w:szCs w:val="24"/>
        </w:rPr>
        <w:t>Journal of Financial Economics, 88</w:t>
      </w:r>
      <w:r w:rsidRPr="006D3D71">
        <w:rPr>
          <w:rFonts w:asciiTheme="majorBidi" w:hAnsiTheme="majorBidi" w:cstheme="majorBidi"/>
          <w:sz w:val="24"/>
          <w:szCs w:val="24"/>
        </w:rPr>
        <w:t>(3), 263-271.</w:t>
      </w:r>
    </w:p>
    <w:p w14:paraId="580CF29D"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Tarek, M., &amp; Youssef, N. (2020). Risk management and return on equity: Evidence from MENA region banks. </w:t>
      </w:r>
      <w:r w:rsidRPr="006D3D71">
        <w:rPr>
          <w:rFonts w:asciiTheme="majorBidi" w:hAnsiTheme="majorBidi" w:cstheme="majorBidi"/>
          <w:i/>
          <w:iCs/>
          <w:sz w:val="24"/>
          <w:szCs w:val="24"/>
        </w:rPr>
        <w:t>Middle East Journal of Financial Studies, 10</w:t>
      </w:r>
      <w:r w:rsidRPr="006D3D71">
        <w:rPr>
          <w:rFonts w:asciiTheme="majorBidi" w:hAnsiTheme="majorBidi" w:cstheme="majorBidi"/>
          <w:sz w:val="24"/>
          <w:szCs w:val="24"/>
        </w:rPr>
        <w:t>(1), 57–72.</w:t>
      </w:r>
    </w:p>
    <w:p w14:paraId="03C4579E" w14:textId="77777777" w:rsidR="003F31C7" w:rsidRPr="006D3D71"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Trujillo-Ponce, A. (2022). Risk management practices and their influence on bank profitability in emerging economies. </w:t>
      </w:r>
      <w:r w:rsidRPr="006D3D71">
        <w:rPr>
          <w:rFonts w:asciiTheme="majorBidi" w:hAnsiTheme="majorBidi" w:cstheme="majorBidi"/>
          <w:i/>
          <w:iCs/>
          <w:sz w:val="24"/>
          <w:szCs w:val="24"/>
        </w:rPr>
        <w:t>Journal of Applied Finance, 14</w:t>
      </w:r>
      <w:r w:rsidRPr="006D3D71">
        <w:rPr>
          <w:rFonts w:asciiTheme="majorBidi" w:hAnsiTheme="majorBidi" w:cstheme="majorBidi"/>
          <w:sz w:val="24"/>
          <w:szCs w:val="24"/>
        </w:rPr>
        <w:t>(3), 103-115.</w:t>
      </w:r>
    </w:p>
    <w:p w14:paraId="1E61EF10" w14:textId="1FC96B3A" w:rsidR="003F31C7" w:rsidRDefault="003F31C7" w:rsidP="006D3D71">
      <w:pPr>
        <w:spacing w:after="0" w:line="360" w:lineRule="auto"/>
        <w:ind w:left="720" w:hanging="720"/>
        <w:jc w:val="both"/>
        <w:rPr>
          <w:rFonts w:asciiTheme="majorBidi" w:hAnsiTheme="majorBidi" w:cstheme="majorBidi"/>
          <w:sz w:val="24"/>
          <w:szCs w:val="24"/>
        </w:rPr>
      </w:pPr>
      <w:r w:rsidRPr="006D3D71">
        <w:rPr>
          <w:rFonts w:asciiTheme="majorBidi" w:hAnsiTheme="majorBidi" w:cstheme="majorBidi"/>
          <w:sz w:val="24"/>
          <w:szCs w:val="24"/>
        </w:rPr>
        <w:t xml:space="preserve">Uwimana, P. (2024). Challenges in risk management and their effects on financial performance in Rwandan banks. </w:t>
      </w:r>
      <w:r w:rsidRPr="006D3D71">
        <w:rPr>
          <w:rFonts w:asciiTheme="majorBidi" w:hAnsiTheme="majorBidi" w:cstheme="majorBidi"/>
          <w:i/>
          <w:iCs/>
          <w:sz w:val="24"/>
          <w:szCs w:val="24"/>
        </w:rPr>
        <w:t>African Journal of Finance and Banking, 9</w:t>
      </w:r>
      <w:r w:rsidRPr="006D3D71">
        <w:rPr>
          <w:rFonts w:asciiTheme="majorBidi" w:hAnsiTheme="majorBidi" w:cstheme="majorBidi"/>
          <w:sz w:val="24"/>
          <w:szCs w:val="24"/>
        </w:rPr>
        <w:t>(1), 35–52.</w:t>
      </w:r>
    </w:p>
    <w:p w14:paraId="0D235203" w14:textId="66BD9D50" w:rsidR="00C90E40" w:rsidRDefault="00C90E40" w:rsidP="006D3D71">
      <w:pPr>
        <w:spacing w:after="0" w:line="360" w:lineRule="auto"/>
        <w:ind w:left="720" w:hanging="720"/>
        <w:jc w:val="both"/>
        <w:rPr>
          <w:rFonts w:asciiTheme="majorBidi" w:hAnsiTheme="majorBidi" w:cstheme="majorBidi"/>
          <w:sz w:val="24"/>
          <w:szCs w:val="24"/>
        </w:rPr>
      </w:pPr>
    </w:p>
    <w:p w14:paraId="1348E201" w14:textId="6CA85442" w:rsidR="00C90E40" w:rsidRDefault="00C90E40" w:rsidP="006D3D71">
      <w:pPr>
        <w:spacing w:after="0" w:line="360" w:lineRule="auto"/>
        <w:ind w:left="720" w:hanging="720"/>
        <w:jc w:val="both"/>
        <w:rPr>
          <w:rFonts w:asciiTheme="majorBidi" w:hAnsiTheme="majorBidi" w:cstheme="majorBidi"/>
          <w:sz w:val="24"/>
          <w:szCs w:val="24"/>
        </w:rPr>
      </w:pPr>
    </w:p>
    <w:p w14:paraId="10B54D22" w14:textId="44100964" w:rsidR="00C90E40" w:rsidRDefault="00C90E40" w:rsidP="006D3D71">
      <w:pPr>
        <w:spacing w:after="0" w:line="360" w:lineRule="auto"/>
        <w:ind w:left="720" w:hanging="720"/>
        <w:jc w:val="both"/>
        <w:rPr>
          <w:rFonts w:asciiTheme="majorBidi" w:hAnsiTheme="majorBidi" w:cstheme="majorBidi"/>
          <w:sz w:val="24"/>
          <w:szCs w:val="24"/>
        </w:rPr>
      </w:pPr>
    </w:p>
    <w:p w14:paraId="36452429" w14:textId="231EF9B9" w:rsidR="00C90E40" w:rsidRDefault="00C90E40" w:rsidP="006D3D71">
      <w:pPr>
        <w:spacing w:after="0" w:line="360" w:lineRule="auto"/>
        <w:ind w:left="720" w:hanging="720"/>
        <w:jc w:val="both"/>
        <w:rPr>
          <w:rFonts w:asciiTheme="majorBidi" w:hAnsiTheme="majorBidi" w:cstheme="majorBidi"/>
          <w:sz w:val="24"/>
          <w:szCs w:val="24"/>
        </w:rPr>
      </w:pPr>
    </w:p>
    <w:p w14:paraId="765EF95B" w14:textId="16A73AD1" w:rsidR="00C90E40" w:rsidRDefault="00C90E40" w:rsidP="006D3D71">
      <w:pPr>
        <w:spacing w:after="0" w:line="360" w:lineRule="auto"/>
        <w:ind w:left="720" w:hanging="720"/>
        <w:jc w:val="both"/>
        <w:rPr>
          <w:rFonts w:asciiTheme="majorBidi" w:hAnsiTheme="majorBidi" w:cstheme="majorBidi"/>
          <w:sz w:val="24"/>
          <w:szCs w:val="24"/>
        </w:rPr>
      </w:pPr>
    </w:p>
    <w:p w14:paraId="28882E1B" w14:textId="12ED6157" w:rsidR="00C90E40" w:rsidRDefault="00C90E40" w:rsidP="006D3D71">
      <w:pPr>
        <w:spacing w:after="0" w:line="360" w:lineRule="auto"/>
        <w:ind w:left="720" w:hanging="720"/>
        <w:jc w:val="both"/>
        <w:rPr>
          <w:rFonts w:asciiTheme="majorBidi" w:hAnsiTheme="majorBidi" w:cstheme="majorBidi"/>
          <w:sz w:val="24"/>
          <w:szCs w:val="24"/>
        </w:rPr>
      </w:pPr>
    </w:p>
    <w:p w14:paraId="37BC015A" w14:textId="77777777" w:rsidR="00C90E40" w:rsidRPr="006D3D71" w:rsidRDefault="00C90E40" w:rsidP="006D3D71">
      <w:pPr>
        <w:spacing w:after="0" w:line="360" w:lineRule="auto"/>
        <w:ind w:left="720" w:hanging="720"/>
        <w:jc w:val="both"/>
        <w:rPr>
          <w:rFonts w:asciiTheme="majorBidi" w:hAnsiTheme="majorBidi" w:cstheme="majorBidi"/>
          <w:sz w:val="24"/>
          <w:szCs w:val="24"/>
        </w:rPr>
      </w:pPr>
    </w:p>
    <w:p w14:paraId="7265D638" w14:textId="77777777" w:rsidR="003F0834" w:rsidRPr="006D3D71" w:rsidRDefault="003F0834" w:rsidP="006D3D71">
      <w:pPr>
        <w:spacing w:line="360" w:lineRule="auto"/>
        <w:jc w:val="both"/>
        <w:rPr>
          <w:rFonts w:asciiTheme="majorBidi" w:hAnsiTheme="majorBidi" w:cstheme="majorBidi"/>
          <w:sz w:val="24"/>
          <w:szCs w:val="24"/>
        </w:rPr>
      </w:pPr>
    </w:p>
    <w:p w14:paraId="6C8FFBBD" w14:textId="5BFB9703" w:rsidR="00DD5DA7" w:rsidRPr="006D3D71" w:rsidRDefault="00C90E40" w:rsidP="006D3D71">
      <w:pPr>
        <w:pStyle w:val="Heading2"/>
        <w:spacing w:line="360" w:lineRule="auto"/>
        <w:jc w:val="center"/>
        <w:rPr>
          <w:rFonts w:asciiTheme="majorBidi" w:hAnsiTheme="majorBidi"/>
          <w:color w:val="auto"/>
          <w:sz w:val="24"/>
          <w:szCs w:val="24"/>
        </w:rPr>
      </w:pPr>
      <w:bookmarkStart w:id="1518" w:name="_Toc193846508"/>
      <w:r w:rsidRPr="00C90E40">
        <w:rPr>
          <w:rFonts w:ascii="Times New Roman" w:hAnsi="Times New Roman" w:cs="Times New Roman"/>
          <w:b/>
          <w:bCs/>
          <w:iCs/>
          <w:sz w:val="24"/>
          <w:szCs w:val="24"/>
          <w:lang w:val="en-GB"/>
        </w:rPr>
        <w:t>A</w:t>
      </w:r>
      <w:r>
        <w:rPr>
          <w:rFonts w:ascii="Times New Roman" w:hAnsi="Times New Roman" w:cs="Times New Roman"/>
          <w:b/>
          <w:bCs/>
          <w:iCs/>
          <w:sz w:val="24"/>
          <w:szCs w:val="24"/>
          <w:lang w:val="en-GB"/>
        </w:rPr>
        <w:t>PPENDICES</w:t>
      </w:r>
      <w:bookmarkEnd w:id="1518"/>
    </w:p>
    <w:bookmarkEnd w:id="9"/>
    <w:p w14:paraId="424970C9" w14:textId="77777777" w:rsidR="00805BDA" w:rsidRPr="006D3D71" w:rsidRDefault="00805BDA" w:rsidP="006D3D71">
      <w:pPr>
        <w:pStyle w:val="Heading3"/>
        <w:spacing w:line="360" w:lineRule="auto"/>
        <w:rPr>
          <w:rFonts w:asciiTheme="majorBidi" w:hAnsiTheme="majorBidi"/>
          <w:color w:val="auto"/>
          <w:sz w:val="24"/>
          <w:szCs w:val="24"/>
        </w:rPr>
      </w:pPr>
    </w:p>
    <w:p w14:paraId="5060A5C8" w14:textId="77777777" w:rsidR="00C90E40" w:rsidRDefault="00C90E40" w:rsidP="00C90E40">
      <w:pPr>
        <w:spacing w:line="360" w:lineRule="auto"/>
        <w:jc w:val="both"/>
        <w:rPr>
          <w:rFonts w:ascii="Times New Roman" w:hAnsi="Times New Roman" w:cs="Times New Roman"/>
          <w:b/>
          <w:bCs/>
          <w:iCs/>
          <w:sz w:val="24"/>
          <w:szCs w:val="24"/>
          <w:lang w:val="en-GB"/>
        </w:rPr>
      </w:pPr>
      <w:bookmarkStart w:id="1519" w:name="_Toc165640150"/>
      <w:bookmarkStart w:id="1520" w:name="_Toc165639941"/>
      <w:bookmarkStart w:id="1521" w:name="_Toc163808596"/>
      <w:bookmarkStart w:id="1522" w:name="_Toc163808473"/>
      <w:bookmarkStart w:id="1523" w:name="_Toc163808300"/>
      <w:bookmarkStart w:id="1524" w:name="_Toc163807724"/>
      <w:bookmarkStart w:id="1525" w:name="_Toc163052558"/>
      <w:bookmarkStart w:id="1526" w:name="_Toc160712945"/>
      <w:bookmarkStart w:id="1527" w:name="_Toc160712510"/>
      <w:bookmarkStart w:id="1528" w:name="_Toc160712419"/>
      <w:bookmarkStart w:id="1529" w:name="_Toc183425028"/>
      <w:bookmarkStart w:id="1530" w:name="_Toc183425272"/>
      <w:bookmarkStart w:id="1531" w:name="_Toc183426960"/>
    </w:p>
    <w:p w14:paraId="50CF3603" w14:textId="77777777" w:rsidR="00C90E40" w:rsidRDefault="00C90E40" w:rsidP="00C90E40">
      <w:pPr>
        <w:spacing w:line="360" w:lineRule="auto"/>
        <w:jc w:val="both"/>
        <w:rPr>
          <w:rFonts w:ascii="Times New Roman" w:hAnsi="Times New Roman" w:cs="Times New Roman"/>
          <w:b/>
          <w:bCs/>
          <w:iCs/>
          <w:sz w:val="24"/>
          <w:szCs w:val="24"/>
          <w:lang w:val="en-GB"/>
        </w:rPr>
      </w:pPr>
    </w:p>
    <w:p w14:paraId="3F7BF63C" w14:textId="77777777" w:rsidR="00C90E40" w:rsidRDefault="00C90E40" w:rsidP="00C90E40">
      <w:pPr>
        <w:spacing w:line="360" w:lineRule="auto"/>
        <w:jc w:val="both"/>
        <w:rPr>
          <w:rFonts w:ascii="Times New Roman" w:hAnsi="Times New Roman" w:cs="Times New Roman"/>
          <w:b/>
          <w:bCs/>
          <w:iCs/>
          <w:sz w:val="24"/>
          <w:szCs w:val="24"/>
          <w:lang w:val="en-GB"/>
        </w:rPr>
      </w:pPr>
    </w:p>
    <w:p w14:paraId="289259E0" w14:textId="77777777" w:rsidR="00C90E40" w:rsidRDefault="00C90E40" w:rsidP="00C90E40">
      <w:pPr>
        <w:spacing w:line="360" w:lineRule="auto"/>
        <w:jc w:val="both"/>
        <w:rPr>
          <w:rFonts w:ascii="Times New Roman" w:hAnsi="Times New Roman" w:cs="Times New Roman"/>
          <w:b/>
          <w:bCs/>
          <w:iCs/>
          <w:sz w:val="24"/>
          <w:szCs w:val="24"/>
          <w:lang w:val="en-GB"/>
        </w:rPr>
      </w:pPr>
    </w:p>
    <w:p w14:paraId="35262A9D" w14:textId="77777777" w:rsidR="007D2E93" w:rsidRDefault="007D2E93" w:rsidP="00C90E40">
      <w:pPr>
        <w:spacing w:line="360" w:lineRule="auto"/>
        <w:jc w:val="both"/>
        <w:rPr>
          <w:rFonts w:ascii="Times New Roman" w:hAnsi="Times New Roman" w:cs="Times New Roman"/>
          <w:b/>
          <w:bCs/>
          <w:iCs/>
          <w:sz w:val="24"/>
          <w:szCs w:val="24"/>
          <w:lang w:val="en-GB"/>
        </w:rPr>
      </w:pPr>
    </w:p>
    <w:p w14:paraId="194857F3" w14:textId="77777777" w:rsidR="007D2E93" w:rsidRDefault="007D2E93" w:rsidP="00C90E40">
      <w:pPr>
        <w:spacing w:line="360" w:lineRule="auto"/>
        <w:jc w:val="both"/>
        <w:rPr>
          <w:rFonts w:ascii="Times New Roman" w:hAnsi="Times New Roman" w:cs="Times New Roman"/>
          <w:b/>
          <w:bCs/>
          <w:iCs/>
          <w:sz w:val="24"/>
          <w:szCs w:val="24"/>
          <w:lang w:val="en-GB"/>
        </w:rPr>
      </w:pPr>
    </w:p>
    <w:p w14:paraId="733F3FCC" w14:textId="77777777" w:rsidR="007D2E93" w:rsidRDefault="007D2E93" w:rsidP="00C90E40">
      <w:pPr>
        <w:spacing w:line="360" w:lineRule="auto"/>
        <w:jc w:val="both"/>
        <w:rPr>
          <w:rFonts w:ascii="Times New Roman" w:hAnsi="Times New Roman" w:cs="Times New Roman"/>
          <w:b/>
          <w:bCs/>
          <w:iCs/>
          <w:sz w:val="24"/>
          <w:szCs w:val="24"/>
          <w:lang w:val="en-GB"/>
        </w:rPr>
      </w:pPr>
    </w:p>
    <w:p w14:paraId="1F31E1EB" w14:textId="77777777" w:rsidR="007D2E93" w:rsidRDefault="007D2E93" w:rsidP="00C90E40">
      <w:pPr>
        <w:spacing w:line="360" w:lineRule="auto"/>
        <w:jc w:val="both"/>
        <w:rPr>
          <w:rFonts w:ascii="Times New Roman" w:hAnsi="Times New Roman" w:cs="Times New Roman"/>
          <w:b/>
          <w:bCs/>
          <w:iCs/>
          <w:sz w:val="24"/>
          <w:szCs w:val="24"/>
          <w:lang w:val="en-GB"/>
        </w:rPr>
      </w:pPr>
    </w:p>
    <w:p w14:paraId="027B397E" w14:textId="77777777" w:rsidR="00C90E40" w:rsidRDefault="00C90E40" w:rsidP="00C90E40">
      <w:pPr>
        <w:spacing w:line="360" w:lineRule="auto"/>
        <w:jc w:val="both"/>
        <w:rPr>
          <w:rFonts w:ascii="Times New Roman" w:hAnsi="Times New Roman" w:cs="Times New Roman"/>
          <w:b/>
          <w:bCs/>
          <w:iCs/>
          <w:sz w:val="24"/>
          <w:szCs w:val="24"/>
          <w:lang w:val="en-GB"/>
        </w:rPr>
      </w:pPr>
    </w:p>
    <w:p w14:paraId="2E791208" w14:textId="77777777" w:rsidR="00C90E40" w:rsidRDefault="00C90E40" w:rsidP="00C90E40">
      <w:pPr>
        <w:spacing w:line="360" w:lineRule="auto"/>
        <w:jc w:val="both"/>
        <w:rPr>
          <w:rFonts w:ascii="Times New Roman" w:hAnsi="Times New Roman" w:cs="Times New Roman"/>
          <w:b/>
          <w:bCs/>
          <w:iCs/>
          <w:sz w:val="24"/>
          <w:szCs w:val="24"/>
          <w:lang w:val="en-GB"/>
        </w:rPr>
      </w:pPr>
    </w:p>
    <w:p w14:paraId="503857B3" w14:textId="77777777" w:rsidR="00C90E40" w:rsidRDefault="00C90E40" w:rsidP="00C90E40">
      <w:pPr>
        <w:spacing w:line="360" w:lineRule="auto"/>
        <w:jc w:val="both"/>
        <w:rPr>
          <w:rFonts w:ascii="Times New Roman" w:hAnsi="Times New Roman" w:cs="Times New Roman"/>
          <w:b/>
          <w:bCs/>
          <w:iCs/>
          <w:sz w:val="24"/>
          <w:szCs w:val="24"/>
          <w:lang w:val="en-GB"/>
        </w:rPr>
      </w:pPr>
    </w:p>
    <w:p w14:paraId="038A1E77" w14:textId="77777777" w:rsidR="00C90E40" w:rsidRDefault="00C90E40" w:rsidP="00C90E40">
      <w:pPr>
        <w:spacing w:line="360" w:lineRule="auto"/>
        <w:jc w:val="both"/>
        <w:rPr>
          <w:rFonts w:ascii="Times New Roman" w:hAnsi="Times New Roman" w:cs="Times New Roman"/>
          <w:b/>
          <w:bCs/>
          <w:iCs/>
          <w:sz w:val="24"/>
          <w:szCs w:val="24"/>
          <w:lang w:val="en-GB"/>
        </w:rPr>
      </w:pPr>
    </w:p>
    <w:p w14:paraId="76713CAA" w14:textId="33955928" w:rsidR="00C90E40" w:rsidRPr="00C90E40" w:rsidRDefault="00C90E40" w:rsidP="00C90E40">
      <w:pPr>
        <w:spacing w:line="360" w:lineRule="auto"/>
        <w:jc w:val="both"/>
        <w:rPr>
          <w:rFonts w:ascii="Times New Roman" w:hAnsi="Times New Roman" w:cs="Times New Roman"/>
          <w:b/>
          <w:bCs/>
          <w:iCs/>
          <w:sz w:val="24"/>
          <w:szCs w:val="24"/>
          <w:lang w:val="en-GB"/>
        </w:rPr>
      </w:pPr>
      <w:r w:rsidRPr="00C90E40">
        <w:rPr>
          <w:rFonts w:ascii="Times New Roman" w:hAnsi="Times New Roman" w:cs="Times New Roman"/>
          <w:b/>
          <w:bCs/>
          <w:iCs/>
          <w:sz w:val="24"/>
          <w:szCs w:val="24"/>
          <w:lang w:val="en-GB"/>
        </w:rPr>
        <w:t xml:space="preserve">Appendix 1: Questionnaire addressed to the employees of </w:t>
      </w:r>
      <w:bookmarkEnd w:id="1519"/>
      <w:bookmarkEnd w:id="1520"/>
      <w:bookmarkEnd w:id="1521"/>
      <w:bookmarkEnd w:id="1522"/>
      <w:bookmarkEnd w:id="1523"/>
      <w:bookmarkEnd w:id="1524"/>
      <w:bookmarkEnd w:id="1525"/>
      <w:bookmarkEnd w:id="1526"/>
      <w:bookmarkEnd w:id="1527"/>
      <w:bookmarkEnd w:id="1528"/>
      <w:r w:rsidRPr="00C90E40">
        <w:rPr>
          <w:rFonts w:ascii="Times New Roman" w:hAnsi="Times New Roman" w:cs="Times New Roman"/>
          <w:bCs/>
          <w:iCs/>
          <w:sz w:val="24"/>
          <w:szCs w:val="24"/>
          <w:lang w:val="en-GB"/>
        </w:rPr>
        <w:t>GT Bank Rwanda</w:t>
      </w:r>
      <w:bookmarkEnd w:id="1529"/>
      <w:bookmarkEnd w:id="1530"/>
      <w:bookmarkEnd w:id="1531"/>
    </w:p>
    <w:p w14:paraId="71314A61" w14:textId="77777777" w:rsidR="00C90E40" w:rsidRPr="00C90E40" w:rsidRDefault="00C90E40" w:rsidP="00C90E40">
      <w:pPr>
        <w:spacing w:line="360" w:lineRule="auto"/>
        <w:jc w:val="both"/>
        <w:rPr>
          <w:rFonts w:ascii="Times New Roman" w:hAnsi="Times New Roman" w:cs="Times New Roman"/>
          <w:sz w:val="24"/>
          <w:szCs w:val="24"/>
        </w:rPr>
      </w:pPr>
    </w:p>
    <w:p w14:paraId="0AFF5890" w14:textId="77777777" w:rsidR="00C90E40" w:rsidRPr="00C90E40" w:rsidRDefault="00C90E40" w:rsidP="00C90E40">
      <w:pPr>
        <w:spacing w:line="360" w:lineRule="auto"/>
        <w:jc w:val="both"/>
        <w:rPr>
          <w:rFonts w:ascii="Times New Roman" w:hAnsi="Times New Roman" w:cs="Times New Roman"/>
          <w:bCs/>
          <w:sz w:val="24"/>
          <w:szCs w:val="24"/>
        </w:rPr>
      </w:pPr>
      <w:r w:rsidRPr="00C90E40">
        <w:rPr>
          <w:rFonts w:ascii="Times New Roman" w:hAnsi="Times New Roman" w:cs="Times New Roman"/>
          <w:bCs/>
          <w:sz w:val="24"/>
          <w:szCs w:val="24"/>
        </w:rPr>
        <w:t xml:space="preserve">Dear Respondent, </w:t>
      </w:r>
    </w:p>
    <w:p w14:paraId="00F54064" w14:textId="77777777" w:rsidR="00C90E40" w:rsidRPr="00C90E40" w:rsidRDefault="00C90E40" w:rsidP="00C90E40">
      <w:pPr>
        <w:spacing w:line="360" w:lineRule="auto"/>
        <w:jc w:val="both"/>
        <w:rPr>
          <w:rFonts w:ascii="Times New Roman" w:hAnsi="Times New Roman" w:cs="Times New Roman"/>
          <w:b/>
          <w:i/>
          <w:sz w:val="24"/>
          <w:szCs w:val="24"/>
        </w:rPr>
      </w:pPr>
      <w:bookmarkStart w:id="1532" w:name="_Toc183425029"/>
      <w:bookmarkStart w:id="1533" w:name="_Toc183425273"/>
      <w:bookmarkStart w:id="1534" w:name="_Toc183426961"/>
      <w:r w:rsidRPr="00C90E40">
        <w:rPr>
          <w:rFonts w:ascii="Times New Roman" w:hAnsi="Times New Roman" w:cs="Times New Roman"/>
          <w:sz w:val="24"/>
          <w:szCs w:val="24"/>
        </w:rPr>
        <w:t xml:space="preserve">I am </w:t>
      </w:r>
      <w:r w:rsidRPr="00C90E40">
        <w:rPr>
          <w:rFonts w:ascii="Times New Roman" w:hAnsi="Times New Roman" w:cs="Times New Roman"/>
          <w:b/>
          <w:sz w:val="24"/>
          <w:szCs w:val="24"/>
        </w:rPr>
        <w:t>AHISHAKIYE Patrick,</w:t>
      </w:r>
      <w:r w:rsidRPr="00C90E40">
        <w:rPr>
          <w:rFonts w:ascii="Times New Roman" w:hAnsi="Times New Roman" w:cs="Times New Roman"/>
          <w:sz w:val="24"/>
          <w:szCs w:val="24"/>
        </w:rPr>
        <w:t xml:space="preserve"> a final year student at UNILAK, in the Faculty of Economic Sciences and management, Department of Finance conducting research on “</w:t>
      </w:r>
      <w:r w:rsidRPr="00C90E40">
        <w:rPr>
          <w:rFonts w:ascii="Times New Roman" w:hAnsi="Times New Roman" w:cs="Times New Roman"/>
          <w:b/>
          <w:i/>
          <w:sz w:val="24"/>
          <w:szCs w:val="24"/>
        </w:rPr>
        <w:t xml:space="preserve">EFFECT OF RISK MANAGEMENT ON FINANCIAL PERFORMANCE OF COMMERCIAL BANKS IN RWANDA”, Headquarters (2019-2023)’’.  </w:t>
      </w:r>
      <w:r w:rsidRPr="00C90E40">
        <w:rPr>
          <w:rFonts w:ascii="Times New Roman" w:hAnsi="Times New Roman" w:cs="Times New Roman"/>
          <w:sz w:val="24"/>
          <w:szCs w:val="24"/>
        </w:rPr>
        <w:t>This questionnaire is intended to get information only for academic purpose and the information given will be treated with high level of confidentiality. Please spare your time to answer to these questionnaires to help the researcher to get the needed information towards the completion of this research.</w:t>
      </w:r>
      <w:bookmarkEnd w:id="1532"/>
      <w:bookmarkEnd w:id="1533"/>
      <w:bookmarkEnd w:id="1534"/>
    </w:p>
    <w:p w14:paraId="5BB3F905" w14:textId="77777777" w:rsidR="00C90E40" w:rsidRPr="00C90E40" w:rsidRDefault="00C90E40" w:rsidP="00C90E40">
      <w:pPr>
        <w:spacing w:line="360" w:lineRule="auto"/>
        <w:jc w:val="both"/>
        <w:rPr>
          <w:rFonts w:ascii="Times New Roman" w:hAnsi="Times New Roman" w:cs="Times New Roman"/>
          <w:sz w:val="24"/>
          <w:szCs w:val="24"/>
        </w:rPr>
      </w:pPr>
    </w:p>
    <w:p w14:paraId="2265139B" w14:textId="77777777" w:rsidR="00C90E40" w:rsidRPr="00C90E40" w:rsidRDefault="00C90E40" w:rsidP="00C90E40">
      <w:pPr>
        <w:spacing w:line="360" w:lineRule="auto"/>
        <w:jc w:val="both"/>
        <w:rPr>
          <w:rFonts w:ascii="Times New Roman" w:hAnsi="Times New Roman" w:cs="Times New Roman"/>
          <w:b/>
          <w:bCs/>
          <w:sz w:val="24"/>
          <w:szCs w:val="24"/>
        </w:rPr>
      </w:pPr>
      <w:bookmarkStart w:id="1535" w:name="_Toc183425030"/>
      <w:bookmarkStart w:id="1536" w:name="_Toc183425274"/>
      <w:bookmarkStart w:id="1537" w:name="_Toc183426962"/>
      <w:r w:rsidRPr="00C90E40">
        <w:rPr>
          <w:rFonts w:ascii="Times New Roman" w:hAnsi="Times New Roman" w:cs="Times New Roman"/>
          <w:b/>
          <w:sz w:val="24"/>
          <w:szCs w:val="24"/>
        </w:rPr>
        <w:t>AHISHAKIYE Patrick</w:t>
      </w:r>
      <w:bookmarkEnd w:id="1535"/>
      <w:bookmarkEnd w:id="1536"/>
      <w:bookmarkEnd w:id="1537"/>
    </w:p>
    <w:p w14:paraId="1AADD7A2" w14:textId="77777777" w:rsidR="00C90E40" w:rsidRPr="00C90E40" w:rsidRDefault="00C90E40" w:rsidP="00C90E40">
      <w:pPr>
        <w:spacing w:line="360" w:lineRule="auto"/>
        <w:jc w:val="both"/>
        <w:rPr>
          <w:rFonts w:ascii="Times New Roman" w:hAnsi="Times New Roman" w:cs="Times New Roman"/>
          <w:sz w:val="24"/>
          <w:szCs w:val="24"/>
        </w:rPr>
      </w:pPr>
    </w:p>
    <w:p w14:paraId="1A362FC8" w14:textId="77777777" w:rsidR="00C90E40" w:rsidRPr="00C90E40" w:rsidRDefault="00C90E40" w:rsidP="00C90E40">
      <w:pPr>
        <w:spacing w:line="360" w:lineRule="auto"/>
        <w:jc w:val="both"/>
        <w:rPr>
          <w:rFonts w:ascii="Times New Roman" w:hAnsi="Times New Roman" w:cs="Times New Roman"/>
          <w:bCs/>
          <w:sz w:val="24"/>
          <w:szCs w:val="24"/>
        </w:rPr>
      </w:pPr>
      <w:r w:rsidRPr="00C90E40">
        <w:rPr>
          <w:rFonts w:ascii="Times New Roman" w:hAnsi="Times New Roman" w:cs="Times New Roman"/>
          <w:bCs/>
          <w:sz w:val="24"/>
          <w:szCs w:val="24"/>
        </w:rPr>
        <w:t>Thank you for your cooperation.</w:t>
      </w:r>
      <w:r w:rsidRPr="00C90E40">
        <w:rPr>
          <w:rFonts w:ascii="Times New Roman" w:hAnsi="Times New Roman" w:cs="Times New Roman"/>
          <w:bCs/>
          <w:sz w:val="24"/>
          <w:szCs w:val="24"/>
        </w:rPr>
        <w:tab/>
      </w:r>
    </w:p>
    <w:p w14:paraId="2BD3BB89" w14:textId="77777777" w:rsidR="00C90E40" w:rsidRPr="00C90E40" w:rsidRDefault="00C90E40" w:rsidP="00C90E40">
      <w:pPr>
        <w:spacing w:line="360" w:lineRule="auto"/>
        <w:jc w:val="both"/>
        <w:rPr>
          <w:rFonts w:ascii="Times New Roman" w:hAnsi="Times New Roman" w:cs="Times New Roman"/>
          <w:b/>
          <w:sz w:val="24"/>
          <w:szCs w:val="24"/>
        </w:rPr>
      </w:pPr>
      <w:bookmarkStart w:id="1538" w:name="_Toc398795888"/>
      <w:bookmarkStart w:id="1539" w:name="_Toc416936756"/>
      <w:r w:rsidRPr="00C90E40">
        <w:rPr>
          <w:rFonts w:ascii="Times New Roman" w:hAnsi="Times New Roman" w:cs="Times New Roman"/>
          <w:b/>
          <w:sz w:val="24"/>
          <w:szCs w:val="24"/>
        </w:rPr>
        <w:t>SECTION I. Identification of respondents</w:t>
      </w:r>
      <w:bookmarkEnd w:id="1538"/>
      <w:bookmarkEnd w:id="1539"/>
      <w:r w:rsidRPr="00C90E40">
        <w:rPr>
          <w:rFonts w:ascii="Times New Roman" w:hAnsi="Times New Roman" w:cs="Times New Roman"/>
          <w:b/>
          <w:sz w:val="24"/>
          <w:szCs w:val="24"/>
        </w:rPr>
        <w:t xml:space="preserve"> (Profile)</w:t>
      </w:r>
    </w:p>
    <w:p w14:paraId="74CE533A" w14:textId="77777777" w:rsidR="00C90E40" w:rsidRPr="00C90E40" w:rsidRDefault="00C90E40" w:rsidP="00C90E40">
      <w:pPr>
        <w:spacing w:line="360" w:lineRule="auto"/>
        <w:jc w:val="both"/>
        <w:rPr>
          <w:rFonts w:ascii="Times New Roman" w:hAnsi="Times New Roman" w:cs="Times New Roman"/>
          <w:sz w:val="24"/>
          <w:szCs w:val="24"/>
        </w:rPr>
      </w:pPr>
      <w:bookmarkStart w:id="1540" w:name="_Toc398795889"/>
      <w:bookmarkStart w:id="1541" w:name="_Toc416936757"/>
      <w:r w:rsidRPr="00C90E40">
        <w:rPr>
          <w:rFonts w:ascii="Times New Roman" w:hAnsi="Times New Roman" w:cs="Times New Roman"/>
          <w:sz w:val="24"/>
          <w:szCs w:val="24"/>
        </w:rPr>
        <w:t>Instructions:  Please tick as appropriate</w:t>
      </w:r>
    </w:p>
    <w:p w14:paraId="2A5BDDD2" w14:textId="77777777" w:rsidR="00C90E40" w:rsidRPr="00C90E40" w:rsidRDefault="00C90E40" w:rsidP="00C90E40">
      <w:pPr>
        <w:numPr>
          <w:ilvl w:val="0"/>
          <w:numId w:val="19"/>
        </w:num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 xml:space="preserve">Gender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810"/>
      </w:tblGrid>
      <w:tr w:rsidR="00C90E40" w:rsidRPr="00C90E40" w14:paraId="56F6BDDD" w14:textId="77777777" w:rsidTr="000A3769">
        <w:tc>
          <w:tcPr>
            <w:tcW w:w="3397" w:type="dxa"/>
            <w:tcBorders>
              <w:top w:val="single" w:sz="4" w:space="0" w:color="auto"/>
              <w:left w:val="single" w:sz="4" w:space="0" w:color="auto"/>
              <w:bottom w:val="single" w:sz="4" w:space="0" w:color="auto"/>
              <w:right w:val="single" w:sz="4" w:space="0" w:color="auto"/>
            </w:tcBorders>
            <w:hideMark/>
          </w:tcPr>
          <w:p w14:paraId="21597D9C"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 xml:space="preserve">(1) Male </w:t>
            </w:r>
            <w:r w:rsidRPr="00C90E40">
              <w:rPr>
                <w:rFonts w:ascii="Times New Roman" w:hAnsi="Times New Roman" w:cs="Times New Roman"/>
                <w:sz w:val="24"/>
                <w:szCs w:val="24"/>
              </w:rPr>
              <w:tab/>
            </w:r>
            <w:r w:rsidRPr="00C90E40">
              <w:rPr>
                <w:rFonts w:ascii="Times New Roman" w:hAnsi="Times New Roman" w:cs="Times New Roman"/>
                <w:sz w:val="24"/>
                <w:szCs w:val="24"/>
              </w:rPr>
              <w:tab/>
            </w:r>
            <w:r w:rsidRPr="00C90E40">
              <w:rPr>
                <w:rFonts w:ascii="Times New Roman" w:hAnsi="Times New Roman" w:cs="Times New Roman"/>
                <w:sz w:val="24"/>
                <w:szCs w:val="24"/>
              </w:rPr>
              <w:tab/>
            </w:r>
          </w:p>
        </w:tc>
        <w:tc>
          <w:tcPr>
            <w:tcW w:w="810" w:type="dxa"/>
            <w:tcBorders>
              <w:top w:val="single" w:sz="4" w:space="0" w:color="auto"/>
              <w:left w:val="single" w:sz="4" w:space="0" w:color="auto"/>
              <w:bottom w:val="single" w:sz="4" w:space="0" w:color="auto"/>
              <w:right w:val="single" w:sz="4" w:space="0" w:color="auto"/>
            </w:tcBorders>
          </w:tcPr>
          <w:p w14:paraId="0134859E" w14:textId="77777777" w:rsidR="00C90E40" w:rsidRPr="00C90E40" w:rsidRDefault="00C90E40" w:rsidP="00C90E40">
            <w:pPr>
              <w:spacing w:line="360" w:lineRule="auto"/>
              <w:jc w:val="both"/>
              <w:rPr>
                <w:rFonts w:ascii="Times New Roman" w:hAnsi="Times New Roman" w:cs="Times New Roman"/>
                <w:sz w:val="24"/>
                <w:szCs w:val="24"/>
              </w:rPr>
            </w:pPr>
          </w:p>
        </w:tc>
      </w:tr>
      <w:tr w:rsidR="00C90E40" w:rsidRPr="00C90E40" w14:paraId="70FFA1A1" w14:textId="77777777" w:rsidTr="000A3769">
        <w:tc>
          <w:tcPr>
            <w:tcW w:w="3397" w:type="dxa"/>
            <w:tcBorders>
              <w:top w:val="single" w:sz="4" w:space="0" w:color="auto"/>
              <w:left w:val="single" w:sz="4" w:space="0" w:color="auto"/>
              <w:bottom w:val="single" w:sz="4" w:space="0" w:color="auto"/>
              <w:right w:val="single" w:sz="4" w:space="0" w:color="auto"/>
            </w:tcBorders>
            <w:hideMark/>
          </w:tcPr>
          <w:p w14:paraId="52DE9B5B"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(2) Female</w:t>
            </w:r>
            <w:r w:rsidRPr="00C90E40">
              <w:rPr>
                <w:rFonts w:ascii="Times New Roman" w:hAnsi="Times New Roman" w:cs="Times New Roman"/>
                <w:sz w:val="24"/>
                <w:szCs w:val="24"/>
              </w:rPr>
              <w:tab/>
            </w:r>
          </w:p>
        </w:tc>
        <w:tc>
          <w:tcPr>
            <w:tcW w:w="810" w:type="dxa"/>
            <w:tcBorders>
              <w:top w:val="single" w:sz="4" w:space="0" w:color="auto"/>
              <w:left w:val="single" w:sz="4" w:space="0" w:color="auto"/>
              <w:bottom w:val="single" w:sz="4" w:space="0" w:color="auto"/>
              <w:right w:val="single" w:sz="4" w:space="0" w:color="auto"/>
            </w:tcBorders>
          </w:tcPr>
          <w:p w14:paraId="40FACFB8" w14:textId="77777777" w:rsidR="00C90E40" w:rsidRPr="00C90E40" w:rsidRDefault="00C90E40" w:rsidP="00C90E40">
            <w:pPr>
              <w:spacing w:line="360" w:lineRule="auto"/>
              <w:jc w:val="both"/>
              <w:rPr>
                <w:rFonts w:ascii="Times New Roman" w:hAnsi="Times New Roman" w:cs="Times New Roman"/>
                <w:sz w:val="24"/>
                <w:szCs w:val="24"/>
              </w:rPr>
            </w:pPr>
          </w:p>
        </w:tc>
      </w:tr>
    </w:tbl>
    <w:p w14:paraId="19E88AE3" w14:textId="77777777" w:rsidR="00C90E40" w:rsidRPr="00C90E40" w:rsidRDefault="00C90E40" w:rsidP="00C90E40">
      <w:pPr>
        <w:spacing w:line="360" w:lineRule="auto"/>
        <w:jc w:val="both"/>
        <w:rPr>
          <w:rFonts w:ascii="Times New Roman" w:hAnsi="Times New Roman" w:cs="Times New Roman"/>
          <w:sz w:val="24"/>
          <w:szCs w:val="24"/>
        </w:rPr>
      </w:pPr>
    </w:p>
    <w:p w14:paraId="0924E170" w14:textId="77777777" w:rsidR="00C90E40" w:rsidRPr="00C90E40" w:rsidRDefault="00C90E40" w:rsidP="00C90E40">
      <w:pPr>
        <w:numPr>
          <w:ilvl w:val="0"/>
          <w:numId w:val="19"/>
        </w:numPr>
        <w:spacing w:line="360" w:lineRule="auto"/>
        <w:jc w:val="both"/>
        <w:rPr>
          <w:rFonts w:ascii="Times New Roman" w:hAnsi="Times New Roman" w:cs="Times New Roman"/>
          <w:b/>
          <w:sz w:val="24"/>
          <w:szCs w:val="24"/>
        </w:rPr>
      </w:pPr>
      <w:r w:rsidRPr="00C90E40">
        <w:rPr>
          <w:rFonts w:ascii="Times New Roman" w:hAnsi="Times New Roman" w:cs="Times New Roman"/>
          <w:b/>
          <w:sz w:val="24"/>
          <w:szCs w:val="24"/>
        </w:rPr>
        <w:lastRenderedPageBreak/>
        <w: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720"/>
      </w:tblGrid>
      <w:tr w:rsidR="00C90E40" w:rsidRPr="00C90E40" w14:paraId="059C1996" w14:textId="77777777" w:rsidTr="000A3769">
        <w:trPr>
          <w:trHeight w:val="269"/>
        </w:trPr>
        <w:tc>
          <w:tcPr>
            <w:tcW w:w="3145" w:type="dxa"/>
            <w:tcBorders>
              <w:top w:val="single" w:sz="4" w:space="0" w:color="auto"/>
              <w:left w:val="single" w:sz="4" w:space="0" w:color="auto"/>
              <w:bottom w:val="single" w:sz="4" w:space="0" w:color="auto"/>
              <w:right w:val="single" w:sz="4" w:space="0" w:color="auto"/>
            </w:tcBorders>
            <w:hideMark/>
          </w:tcPr>
          <w:p w14:paraId="66E9374A" w14:textId="49CB93AA" w:rsidR="00C90E40" w:rsidRPr="00C90E40" w:rsidRDefault="007D2E93"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Below than</w:t>
            </w:r>
            <w:r w:rsidR="00C90E40" w:rsidRPr="00C90E40">
              <w:rPr>
                <w:rFonts w:ascii="Times New Roman" w:hAnsi="Times New Roman" w:cs="Times New Roman"/>
                <w:sz w:val="24"/>
                <w:szCs w:val="24"/>
              </w:rPr>
              <w:t xml:space="preserve"> 20 years      </w:t>
            </w:r>
          </w:p>
        </w:tc>
        <w:tc>
          <w:tcPr>
            <w:tcW w:w="720" w:type="dxa"/>
            <w:tcBorders>
              <w:top w:val="single" w:sz="4" w:space="0" w:color="auto"/>
              <w:left w:val="single" w:sz="4" w:space="0" w:color="auto"/>
              <w:bottom w:val="single" w:sz="4" w:space="0" w:color="auto"/>
              <w:right w:val="single" w:sz="4" w:space="0" w:color="auto"/>
            </w:tcBorders>
          </w:tcPr>
          <w:p w14:paraId="1BFAF52A" w14:textId="77777777" w:rsidR="00C90E40" w:rsidRPr="00C90E40" w:rsidRDefault="00C90E40" w:rsidP="00C90E40">
            <w:pPr>
              <w:spacing w:line="360" w:lineRule="auto"/>
              <w:jc w:val="both"/>
              <w:rPr>
                <w:rFonts w:ascii="Times New Roman" w:hAnsi="Times New Roman" w:cs="Times New Roman"/>
                <w:sz w:val="24"/>
                <w:szCs w:val="24"/>
              </w:rPr>
            </w:pPr>
          </w:p>
        </w:tc>
      </w:tr>
      <w:tr w:rsidR="00C90E40" w:rsidRPr="00C90E40" w14:paraId="5BD0303A" w14:textId="77777777" w:rsidTr="000A3769">
        <w:tc>
          <w:tcPr>
            <w:tcW w:w="3145" w:type="dxa"/>
            <w:tcBorders>
              <w:top w:val="single" w:sz="4" w:space="0" w:color="auto"/>
              <w:left w:val="single" w:sz="4" w:space="0" w:color="auto"/>
              <w:bottom w:val="single" w:sz="4" w:space="0" w:color="auto"/>
              <w:right w:val="single" w:sz="4" w:space="0" w:color="auto"/>
            </w:tcBorders>
            <w:hideMark/>
          </w:tcPr>
          <w:p w14:paraId="508E545A"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 xml:space="preserve">        21 -30   years              </w:t>
            </w:r>
          </w:p>
        </w:tc>
        <w:tc>
          <w:tcPr>
            <w:tcW w:w="720" w:type="dxa"/>
            <w:tcBorders>
              <w:top w:val="single" w:sz="4" w:space="0" w:color="auto"/>
              <w:left w:val="single" w:sz="4" w:space="0" w:color="auto"/>
              <w:bottom w:val="single" w:sz="4" w:space="0" w:color="auto"/>
              <w:right w:val="single" w:sz="4" w:space="0" w:color="auto"/>
            </w:tcBorders>
          </w:tcPr>
          <w:p w14:paraId="7F46D7C2" w14:textId="77777777" w:rsidR="00C90E40" w:rsidRPr="00C90E40" w:rsidRDefault="00C90E40" w:rsidP="00C90E40">
            <w:pPr>
              <w:spacing w:line="360" w:lineRule="auto"/>
              <w:jc w:val="both"/>
              <w:rPr>
                <w:rFonts w:ascii="Times New Roman" w:hAnsi="Times New Roman" w:cs="Times New Roman"/>
                <w:sz w:val="24"/>
                <w:szCs w:val="24"/>
              </w:rPr>
            </w:pPr>
          </w:p>
        </w:tc>
      </w:tr>
      <w:tr w:rsidR="00C90E40" w:rsidRPr="00C90E40" w14:paraId="71C120C8" w14:textId="77777777" w:rsidTr="000A3769">
        <w:tc>
          <w:tcPr>
            <w:tcW w:w="3145" w:type="dxa"/>
            <w:tcBorders>
              <w:top w:val="single" w:sz="4" w:space="0" w:color="auto"/>
              <w:left w:val="single" w:sz="4" w:space="0" w:color="auto"/>
              <w:bottom w:val="single" w:sz="4" w:space="0" w:color="auto"/>
              <w:right w:val="single" w:sz="4" w:space="0" w:color="auto"/>
            </w:tcBorders>
            <w:hideMark/>
          </w:tcPr>
          <w:p w14:paraId="5CD6F98F"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 xml:space="preserve">        31-40 years                </w:t>
            </w:r>
          </w:p>
        </w:tc>
        <w:tc>
          <w:tcPr>
            <w:tcW w:w="720" w:type="dxa"/>
            <w:tcBorders>
              <w:top w:val="single" w:sz="4" w:space="0" w:color="auto"/>
              <w:left w:val="single" w:sz="4" w:space="0" w:color="auto"/>
              <w:bottom w:val="single" w:sz="4" w:space="0" w:color="auto"/>
              <w:right w:val="single" w:sz="4" w:space="0" w:color="auto"/>
            </w:tcBorders>
          </w:tcPr>
          <w:p w14:paraId="3E30D0A5" w14:textId="77777777" w:rsidR="00C90E40" w:rsidRPr="00C90E40" w:rsidRDefault="00C90E40" w:rsidP="00C90E40">
            <w:pPr>
              <w:spacing w:line="360" w:lineRule="auto"/>
              <w:jc w:val="both"/>
              <w:rPr>
                <w:rFonts w:ascii="Times New Roman" w:hAnsi="Times New Roman" w:cs="Times New Roman"/>
                <w:sz w:val="24"/>
                <w:szCs w:val="24"/>
              </w:rPr>
            </w:pPr>
          </w:p>
        </w:tc>
      </w:tr>
      <w:tr w:rsidR="00C90E40" w:rsidRPr="00C90E40" w14:paraId="4CD86623" w14:textId="77777777" w:rsidTr="000A3769">
        <w:tc>
          <w:tcPr>
            <w:tcW w:w="3145" w:type="dxa"/>
            <w:tcBorders>
              <w:top w:val="single" w:sz="4" w:space="0" w:color="auto"/>
              <w:left w:val="single" w:sz="4" w:space="0" w:color="auto"/>
              <w:bottom w:val="single" w:sz="4" w:space="0" w:color="auto"/>
              <w:right w:val="single" w:sz="4" w:space="0" w:color="auto"/>
            </w:tcBorders>
            <w:hideMark/>
          </w:tcPr>
          <w:p w14:paraId="19138681"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 xml:space="preserve">        41-50 year                  </w:t>
            </w:r>
          </w:p>
        </w:tc>
        <w:tc>
          <w:tcPr>
            <w:tcW w:w="720" w:type="dxa"/>
            <w:tcBorders>
              <w:top w:val="single" w:sz="4" w:space="0" w:color="auto"/>
              <w:left w:val="single" w:sz="4" w:space="0" w:color="auto"/>
              <w:bottom w:val="single" w:sz="4" w:space="0" w:color="auto"/>
              <w:right w:val="single" w:sz="4" w:space="0" w:color="auto"/>
            </w:tcBorders>
          </w:tcPr>
          <w:p w14:paraId="1D1BC16E" w14:textId="77777777" w:rsidR="00C90E40" w:rsidRPr="00C90E40" w:rsidRDefault="00C90E40" w:rsidP="00C90E40">
            <w:pPr>
              <w:spacing w:line="360" w:lineRule="auto"/>
              <w:jc w:val="both"/>
              <w:rPr>
                <w:rFonts w:ascii="Times New Roman" w:hAnsi="Times New Roman" w:cs="Times New Roman"/>
                <w:sz w:val="24"/>
                <w:szCs w:val="24"/>
              </w:rPr>
            </w:pPr>
          </w:p>
        </w:tc>
      </w:tr>
      <w:tr w:rsidR="00C90E40" w:rsidRPr="00C90E40" w14:paraId="7DADAF55" w14:textId="77777777" w:rsidTr="000A3769">
        <w:tc>
          <w:tcPr>
            <w:tcW w:w="3145" w:type="dxa"/>
            <w:tcBorders>
              <w:top w:val="single" w:sz="4" w:space="0" w:color="auto"/>
              <w:left w:val="single" w:sz="4" w:space="0" w:color="auto"/>
              <w:bottom w:val="single" w:sz="4" w:space="0" w:color="auto"/>
              <w:right w:val="single" w:sz="4" w:space="0" w:color="auto"/>
            </w:tcBorders>
            <w:hideMark/>
          </w:tcPr>
          <w:p w14:paraId="24D32A01"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 xml:space="preserve">        51 and above               </w:t>
            </w:r>
          </w:p>
        </w:tc>
        <w:tc>
          <w:tcPr>
            <w:tcW w:w="720" w:type="dxa"/>
            <w:tcBorders>
              <w:top w:val="single" w:sz="4" w:space="0" w:color="auto"/>
              <w:left w:val="single" w:sz="4" w:space="0" w:color="auto"/>
              <w:bottom w:val="single" w:sz="4" w:space="0" w:color="auto"/>
              <w:right w:val="single" w:sz="4" w:space="0" w:color="auto"/>
            </w:tcBorders>
          </w:tcPr>
          <w:p w14:paraId="53FF214F" w14:textId="77777777" w:rsidR="00C90E40" w:rsidRPr="00C90E40" w:rsidRDefault="00C90E40" w:rsidP="00C90E40">
            <w:pPr>
              <w:spacing w:line="360" w:lineRule="auto"/>
              <w:jc w:val="both"/>
              <w:rPr>
                <w:rFonts w:ascii="Times New Roman" w:hAnsi="Times New Roman" w:cs="Times New Roman"/>
                <w:sz w:val="24"/>
                <w:szCs w:val="24"/>
              </w:rPr>
            </w:pPr>
          </w:p>
        </w:tc>
      </w:tr>
    </w:tbl>
    <w:p w14:paraId="0B2C55B4" w14:textId="77777777" w:rsidR="00C90E40" w:rsidRPr="00C90E40" w:rsidRDefault="00C90E40" w:rsidP="00C90E40">
      <w:pPr>
        <w:spacing w:line="360" w:lineRule="auto"/>
        <w:jc w:val="both"/>
        <w:rPr>
          <w:rFonts w:ascii="Times New Roman" w:hAnsi="Times New Roman" w:cs="Times New Roman"/>
          <w:sz w:val="24"/>
          <w:szCs w:val="24"/>
        </w:rPr>
      </w:pPr>
    </w:p>
    <w:p w14:paraId="3EE09DC0" w14:textId="77777777" w:rsidR="00C90E40" w:rsidRPr="00C90E40" w:rsidRDefault="00C90E40" w:rsidP="00C90E40">
      <w:pPr>
        <w:spacing w:line="360" w:lineRule="auto"/>
        <w:jc w:val="both"/>
        <w:rPr>
          <w:rFonts w:ascii="Times New Roman" w:hAnsi="Times New Roman" w:cs="Times New Roman"/>
          <w:sz w:val="24"/>
          <w:szCs w:val="24"/>
        </w:rPr>
      </w:pPr>
    </w:p>
    <w:p w14:paraId="4A10B3E7" w14:textId="77777777" w:rsidR="00C90E40" w:rsidRPr="00C90E40" w:rsidRDefault="00C90E40" w:rsidP="00C90E40">
      <w:pPr>
        <w:spacing w:line="360" w:lineRule="auto"/>
        <w:jc w:val="both"/>
        <w:rPr>
          <w:rFonts w:ascii="Times New Roman" w:hAnsi="Times New Roman" w:cs="Times New Roman"/>
          <w:sz w:val="24"/>
          <w:szCs w:val="24"/>
        </w:rPr>
      </w:pPr>
    </w:p>
    <w:p w14:paraId="7DD286FF" w14:textId="77777777" w:rsidR="00C90E40" w:rsidRPr="00C90E40" w:rsidRDefault="00C90E40" w:rsidP="00C90E40">
      <w:pPr>
        <w:spacing w:line="360" w:lineRule="auto"/>
        <w:jc w:val="both"/>
        <w:rPr>
          <w:rFonts w:ascii="Times New Roman" w:hAnsi="Times New Roman" w:cs="Times New Roman"/>
          <w:b/>
          <w:sz w:val="24"/>
          <w:szCs w:val="24"/>
        </w:rPr>
      </w:pPr>
      <w:r w:rsidRPr="00C90E40">
        <w:rPr>
          <w:rFonts w:ascii="Times New Roman" w:hAnsi="Times New Roman" w:cs="Times New Roman"/>
          <w:b/>
          <w:sz w:val="24"/>
          <w:szCs w:val="24"/>
        </w:rPr>
        <w:t>3. Level of Education</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810"/>
      </w:tblGrid>
      <w:tr w:rsidR="00C90E40" w:rsidRPr="00C90E40" w14:paraId="3B01BBB2" w14:textId="77777777" w:rsidTr="000A3769">
        <w:tc>
          <w:tcPr>
            <w:tcW w:w="3397" w:type="dxa"/>
            <w:tcBorders>
              <w:top w:val="single" w:sz="4" w:space="0" w:color="auto"/>
              <w:left w:val="single" w:sz="4" w:space="0" w:color="auto"/>
              <w:bottom w:val="single" w:sz="4" w:space="0" w:color="auto"/>
              <w:right w:val="single" w:sz="4" w:space="0" w:color="auto"/>
            </w:tcBorders>
            <w:hideMark/>
          </w:tcPr>
          <w:p w14:paraId="1091DBED"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 xml:space="preserve">Master                      </w:t>
            </w:r>
          </w:p>
        </w:tc>
        <w:tc>
          <w:tcPr>
            <w:tcW w:w="810" w:type="dxa"/>
            <w:tcBorders>
              <w:top w:val="single" w:sz="4" w:space="0" w:color="auto"/>
              <w:left w:val="single" w:sz="4" w:space="0" w:color="auto"/>
              <w:bottom w:val="single" w:sz="4" w:space="0" w:color="auto"/>
              <w:right w:val="single" w:sz="4" w:space="0" w:color="auto"/>
            </w:tcBorders>
          </w:tcPr>
          <w:p w14:paraId="46AECD2B" w14:textId="77777777" w:rsidR="00C90E40" w:rsidRPr="00C90E40" w:rsidRDefault="00C90E40" w:rsidP="00C90E40">
            <w:pPr>
              <w:spacing w:line="360" w:lineRule="auto"/>
              <w:jc w:val="both"/>
              <w:rPr>
                <w:rFonts w:ascii="Times New Roman" w:hAnsi="Times New Roman" w:cs="Times New Roman"/>
                <w:sz w:val="24"/>
                <w:szCs w:val="24"/>
              </w:rPr>
            </w:pPr>
          </w:p>
        </w:tc>
      </w:tr>
      <w:tr w:rsidR="00C90E40" w:rsidRPr="00C90E40" w14:paraId="52139A2E" w14:textId="77777777" w:rsidTr="000A3769">
        <w:tc>
          <w:tcPr>
            <w:tcW w:w="3397" w:type="dxa"/>
            <w:tcBorders>
              <w:top w:val="single" w:sz="4" w:space="0" w:color="auto"/>
              <w:left w:val="single" w:sz="4" w:space="0" w:color="auto"/>
              <w:bottom w:val="single" w:sz="4" w:space="0" w:color="auto"/>
              <w:right w:val="single" w:sz="4" w:space="0" w:color="auto"/>
            </w:tcBorders>
            <w:hideMark/>
          </w:tcPr>
          <w:p w14:paraId="4C8A63AB" w14:textId="77777777" w:rsidR="00C90E40" w:rsidRPr="00C90E40" w:rsidRDefault="00C90E40" w:rsidP="00C90E40">
            <w:pPr>
              <w:spacing w:line="360" w:lineRule="auto"/>
              <w:jc w:val="both"/>
              <w:rPr>
                <w:rFonts w:ascii="Times New Roman" w:hAnsi="Times New Roman" w:cs="Times New Roman"/>
                <w:sz w:val="24"/>
                <w:szCs w:val="24"/>
              </w:rPr>
            </w:pPr>
            <w:proofErr w:type="spellStart"/>
            <w:r w:rsidRPr="00C90E40">
              <w:rPr>
                <w:rFonts w:ascii="Times New Roman" w:hAnsi="Times New Roman" w:cs="Times New Roman"/>
                <w:sz w:val="24"/>
                <w:szCs w:val="24"/>
              </w:rPr>
              <w:t>Bacheelors</w:t>
            </w:r>
            <w:proofErr w:type="spellEnd"/>
          </w:p>
        </w:tc>
        <w:tc>
          <w:tcPr>
            <w:tcW w:w="810" w:type="dxa"/>
            <w:tcBorders>
              <w:top w:val="single" w:sz="4" w:space="0" w:color="auto"/>
              <w:left w:val="single" w:sz="4" w:space="0" w:color="auto"/>
              <w:bottom w:val="single" w:sz="4" w:space="0" w:color="auto"/>
              <w:right w:val="single" w:sz="4" w:space="0" w:color="auto"/>
            </w:tcBorders>
          </w:tcPr>
          <w:p w14:paraId="741E8650" w14:textId="77777777" w:rsidR="00C90E40" w:rsidRPr="00C90E40" w:rsidRDefault="00C90E40" w:rsidP="00C90E40">
            <w:pPr>
              <w:spacing w:line="360" w:lineRule="auto"/>
              <w:jc w:val="both"/>
              <w:rPr>
                <w:rFonts w:ascii="Times New Roman" w:hAnsi="Times New Roman" w:cs="Times New Roman"/>
                <w:sz w:val="24"/>
                <w:szCs w:val="24"/>
              </w:rPr>
            </w:pPr>
          </w:p>
        </w:tc>
      </w:tr>
    </w:tbl>
    <w:p w14:paraId="550EBEEF" w14:textId="77777777" w:rsidR="00C90E40" w:rsidRPr="00C90E40" w:rsidRDefault="00C90E40" w:rsidP="00C90E40">
      <w:pPr>
        <w:spacing w:line="360" w:lineRule="auto"/>
        <w:jc w:val="both"/>
        <w:rPr>
          <w:rFonts w:ascii="Times New Roman" w:hAnsi="Times New Roman" w:cs="Times New Roman"/>
          <w:sz w:val="24"/>
          <w:szCs w:val="24"/>
        </w:rPr>
      </w:pPr>
    </w:p>
    <w:p w14:paraId="31BFCA11" w14:textId="77777777" w:rsidR="00C90E40" w:rsidRPr="00C90E40" w:rsidRDefault="00C90E40" w:rsidP="00C90E40">
      <w:pPr>
        <w:spacing w:line="360" w:lineRule="auto"/>
        <w:jc w:val="both"/>
        <w:rPr>
          <w:rFonts w:ascii="Times New Roman" w:hAnsi="Times New Roman" w:cs="Times New Roman"/>
          <w:b/>
          <w:sz w:val="24"/>
          <w:szCs w:val="24"/>
        </w:rPr>
      </w:pPr>
      <w:r w:rsidRPr="00C90E40">
        <w:rPr>
          <w:rFonts w:ascii="Times New Roman" w:hAnsi="Times New Roman" w:cs="Times New Roman"/>
          <w:b/>
          <w:bCs/>
          <w:sz w:val="24"/>
          <w:szCs w:val="24"/>
        </w:rPr>
        <w:t xml:space="preserve">4. Membership experience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720"/>
      </w:tblGrid>
      <w:tr w:rsidR="00C90E40" w:rsidRPr="00C90E40" w14:paraId="031CB3AA" w14:textId="77777777" w:rsidTr="000A3769">
        <w:tc>
          <w:tcPr>
            <w:tcW w:w="3415" w:type="dxa"/>
            <w:tcBorders>
              <w:top w:val="single" w:sz="4" w:space="0" w:color="auto"/>
              <w:left w:val="single" w:sz="4" w:space="0" w:color="auto"/>
              <w:bottom w:val="single" w:sz="4" w:space="0" w:color="auto"/>
              <w:right w:val="single" w:sz="4" w:space="0" w:color="auto"/>
            </w:tcBorders>
            <w:hideMark/>
          </w:tcPr>
          <w:p w14:paraId="25B7AF97"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 xml:space="preserve">            Less than 1 year      </w:t>
            </w:r>
          </w:p>
        </w:tc>
        <w:tc>
          <w:tcPr>
            <w:tcW w:w="720" w:type="dxa"/>
            <w:tcBorders>
              <w:top w:val="single" w:sz="4" w:space="0" w:color="auto"/>
              <w:left w:val="single" w:sz="4" w:space="0" w:color="auto"/>
              <w:bottom w:val="single" w:sz="4" w:space="0" w:color="auto"/>
              <w:right w:val="single" w:sz="4" w:space="0" w:color="auto"/>
            </w:tcBorders>
          </w:tcPr>
          <w:p w14:paraId="12D7FD4A" w14:textId="77777777" w:rsidR="00C90E40" w:rsidRPr="00C90E40" w:rsidRDefault="00C90E40" w:rsidP="00C90E40">
            <w:pPr>
              <w:spacing w:line="360" w:lineRule="auto"/>
              <w:jc w:val="both"/>
              <w:rPr>
                <w:rFonts w:ascii="Times New Roman" w:hAnsi="Times New Roman" w:cs="Times New Roman"/>
                <w:sz w:val="24"/>
                <w:szCs w:val="24"/>
              </w:rPr>
            </w:pPr>
          </w:p>
        </w:tc>
      </w:tr>
      <w:tr w:rsidR="00C90E40" w:rsidRPr="00C90E40" w14:paraId="03E1F437" w14:textId="77777777" w:rsidTr="000A3769">
        <w:tc>
          <w:tcPr>
            <w:tcW w:w="3415" w:type="dxa"/>
            <w:tcBorders>
              <w:top w:val="single" w:sz="4" w:space="0" w:color="auto"/>
              <w:left w:val="single" w:sz="4" w:space="0" w:color="auto"/>
              <w:bottom w:val="single" w:sz="4" w:space="0" w:color="auto"/>
              <w:right w:val="single" w:sz="4" w:space="0" w:color="auto"/>
            </w:tcBorders>
            <w:hideMark/>
          </w:tcPr>
          <w:p w14:paraId="7F252193"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 xml:space="preserve">            1-3 years                 </w:t>
            </w:r>
          </w:p>
        </w:tc>
        <w:tc>
          <w:tcPr>
            <w:tcW w:w="720" w:type="dxa"/>
            <w:tcBorders>
              <w:top w:val="single" w:sz="4" w:space="0" w:color="auto"/>
              <w:left w:val="single" w:sz="4" w:space="0" w:color="auto"/>
              <w:bottom w:val="single" w:sz="4" w:space="0" w:color="auto"/>
              <w:right w:val="single" w:sz="4" w:space="0" w:color="auto"/>
            </w:tcBorders>
          </w:tcPr>
          <w:p w14:paraId="4E85F3AC" w14:textId="77777777" w:rsidR="00C90E40" w:rsidRPr="00C90E40" w:rsidRDefault="00C90E40" w:rsidP="00C90E40">
            <w:pPr>
              <w:spacing w:line="360" w:lineRule="auto"/>
              <w:jc w:val="both"/>
              <w:rPr>
                <w:rFonts w:ascii="Times New Roman" w:hAnsi="Times New Roman" w:cs="Times New Roman"/>
                <w:sz w:val="24"/>
                <w:szCs w:val="24"/>
              </w:rPr>
            </w:pPr>
          </w:p>
        </w:tc>
      </w:tr>
      <w:tr w:rsidR="00C90E40" w:rsidRPr="00C90E40" w14:paraId="2AFE7B19" w14:textId="77777777" w:rsidTr="000A3769">
        <w:tc>
          <w:tcPr>
            <w:tcW w:w="3415" w:type="dxa"/>
            <w:tcBorders>
              <w:top w:val="single" w:sz="4" w:space="0" w:color="auto"/>
              <w:left w:val="single" w:sz="4" w:space="0" w:color="auto"/>
              <w:bottom w:val="single" w:sz="4" w:space="0" w:color="auto"/>
              <w:right w:val="single" w:sz="4" w:space="0" w:color="auto"/>
            </w:tcBorders>
            <w:hideMark/>
          </w:tcPr>
          <w:p w14:paraId="0E629695"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 xml:space="preserve">            4- 6 years                </w:t>
            </w:r>
          </w:p>
        </w:tc>
        <w:tc>
          <w:tcPr>
            <w:tcW w:w="720" w:type="dxa"/>
            <w:tcBorders>
              <w:top w:val="single" w:sz="4" w:space="0" w:color="auto"/>
              <w:left w:val="single" w:sz="4" w:space="0" w:color="auto"/>
              <w:bottom w:val="single" w:sz="4" w:space="0" w:color="auto"/>
              <w:right w:val="single" w:sz="4" w:space="0" w:color="auto"/>
            </w:tcBorders>
          </w:tcPr>
          <w:p w14:paraId="7737993C" w14:textId="77777777" w:rsidR="00C90E40" w:rsidRPr="00C90E40" w:rsidRDefault="00C90E40" w:rsidP="00C90E40">
            <w:pPr>
              <w:spacing w:line="360" w:lineRule="auto"/>
              <w:jc w:val="both"/>
              <w:rPr>
                <w:rFonts w:ascii="Times New Roman" w:hAnsi="Times New Roman" w:cs="Times New Roman"/>
                <w:sz w:val="24"/>
                <w:szCs w:val="24"/>
              </w:rPr>
            </w:pPr>
          </w:p>
        </w:tc>
      </w:tr>
      <w:tr w:rsidR="00C90E40" w:rsidRPr="00C90E40" w14:paraId="1CE62A12" w14:textId="77777777" w:rsidTr="000A3769">
        <w:tc>
          <w:tcPr>
            <w:tcW w:w="3415" w:type="dxa"/>
            <w:tcBorders>
              <w:top w:val="single" w:sz="4" w:space="0" w:color="auto"/>
              <w:left w:val="single" w:sz="4" w:space="0" w:color="auto"/>
              <w:bottom w:val="single" w:sz="4" w:space="0" w:color="auto"/>
              <w:right w:val="single" w:sz="4" w:space="0" w:color="auto"/>
            </w:tcBorders>
            <w:hideMark/>
          </w:tcPr>
          <w:p w14:paraId="7FC541EC"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 xml:space="preserve">           7-10 years                </w:t>
            </w:r>
          </w:p>
        </w:tc>
        <w:tc>
          <w:tcPr>
            <w:tcW w:w="720" w:type="dxa"/>
            <w:tcBorders>
              <w:top w:val="single" w:sz="4" w:space="0" w:color="auto"/>
              <w:left w:val="single" w:sz="4" w:space="0" w:color="auto"/>
              <w:bottom w:val="single" w:sz="4" w:space="0" w:color="auto"/>
              <w:right w:val="single" w:sz="4" w:space="0" w:color="auto"/>
            </w:tcBorders>
          </w:tcPr>
          <w:p w14:paraId="4D7F04C0" w14:textId="77777777" w:rsidR="00C90E40" w:rsidRPr="00C90E40" w:rsidRDefault="00C90E40" w:rsidP="00C90E40">
            <w:pPr>
              <w:spacing w:line="360" w:lineRule="auto"/>
              <w:jc w:val="both"/>
              <w:rPr>
                <w:rFonts w:ascii="Times New Roman" w:hAnsi="Times New Roman" w:cs="Times New Roman"/>
                <w:sz w:val="24"/>
                <w:szCs w:val="24"/>
              </w:rPr>
            </w:pPr>
          </w:p>
        </w:tc>
      </w:tr>
      <w:tr w:rsidR="00C90E40" w:rsidRPr="00C90E40" w14:paraId="3CDC9261" w14:textId="77777777" w:rsidTr="000A3769">
        <w:tc>
          <w:tcPr>
            <w:tcW w:w="3415" w:type="dxa"/>
            <w:tcBorders>
              <w:top w:val="single" w:sz="4" w:space="0" w:color="auto"/>
              <w:left w:val="single" w:sz="4" w:space="0" w:color="auto"/>
              <w:bottom w:val="single" w:sz="4" w:space="0" w:color="auto"/>
              <w:right w:val="single" w:sz="4" w:space="0" w:color="auto"/>
            </w:tcBorders>
            <w:hideMark/>
          </w:tcPr>
          <w:p w14:paraId="44E8B2BB"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 xml:space="preserve">           10 years and   above</w:t>
            </w:r>
          </w:p>
        </w:tc>
        <w:tc>
          <w:tcPr>
            <w:tcW w:w="720" w:type="dxa"/>
            <w:tcBorders>
              <w:top w:val="single" w:sz="4" w:space="0" w:color="auto"/>
              <w:left w:val="single" w:sz="4" w:space="0" w:color="auto"/>
              <w:bottom w:val="single" w:sz="4" w:space="0" w:color="auto"/>
              <w:right w:val="single" w:sz="4" w:space="0" w:color="auto"/>
            </w:tcBorders>
          </w:tcPr>
          <w:p w14:paraId="2E1D80A2" w14:textId="77777777" w:rsidR="00C90E40" w:rsidRPr="00C90E40" w:rsidRDefault="00C90E40" w:rsidP="00C90E40">
            <w:pPr>
              <w:spacing w:line="360" w:lineRule="auto"/>
              <w:jc w:val="both"/>
              <w:rPr>
                <w:rFonts w:ascii="Times New Roman" w:hAnsi="Times New Roman" w:cs="Times New Roman"/>
                <w:sz w:val="24"/>
                <w:szCs w:val="24"/>
              </w:rPr>
            </w:pPr>
          </w:p>
        </w:tc>
      </w:tr>
    </w:tbl>
    <w:p w14:paraId="74E870AC" w14:textId="77777777" w:rsidR="00C90E40" w:rsidRPr="00C90E40" w:rsidRDefault="00C90E40" w:rsidP="00C90E40">
      <w:pPr>
        <w:spacing w:line="360" w:lineRule="auto"/>
        <w:jc w:val="both"/>
        <w:rPr>
          <w:rFonts w:ascii="Times New Roman" w:hAnsi="Times New Roman" w:cs="Times New Roman"/>
          <w:sz w:val="24"/>
          <w:szCs w:val="24"/>
        </w:rPr>
      </w:pPr>
    </w:p>
    <w:bookmarkEnd w:id="1540"/>
    <w:bookmarkEnd w:id="1541"/>
    <w:p w14:paraId="143763BC" w14:textId="77777777" w:rsidR="00C90E40" w:rsidRPr="00C90E40" w:rsidRDefault="00C90E40" w:rsidP="00C90E40">
      <w:pPr>
        <w:spacing w:line="360" w:lineRule="auto"/>
        <w:jc w:val="both"/>
        <w:rPr>
          <w:rFonts w:ascii="Times New Roman" w:hAnsi="Times New Roman" w:cs="Times New Roman"/>
          <w:b/>
          <w:sz w:val="24"/>
          <w:szCs w:val="24"/>
          <w:u w:val="single"/>
        </w:rPr>
      </w:pPr>
      <w:r w:rsidRPr="00C90E40">
        <w:rPr>
          <w:rFonts w:ascii="Times New Roman" w:hAnsi="Times New Roman" w:cs="Times New Roman"/>
          <w:b/>
          <w:sz w:val="24"/>
          <w:szCs w:val="24"/>
        </w:rPr>
        <w:t xml:space="preserve">PART II: QUESTIONS ON   CREDIT RISK MANAGEMENT </w:t>
      </w:r>
    </w:p>
    <w:p w14:paraId="2BF9D07B" w14:textId="77777777" w:rsidR="00C90E40" w:rsidRPr="00C90E40" w:rsidRDefault="00C90E40" w:rsidP="00C90E40">
      <w:pPr>
        <w:spacing w:line="360" w:lineRule="auto"/>
        <w:jc w:val="both"/>
        <w:rPr>
          <w:rFonts w:ascii="Times New Roman" w:hAnsi="Times New Roman" w:cs="Times New Roman"/>
          <w:b/>
          <w:sz w:val="24"/>
          <w:szCs w:val="24"/>
        </w:rPr>
      </w:pPr>
    </w:p>
    <w:p w14:paraId="29BFC677" w14:textId="77777777" w:rsidR="00C90E40" w:rsidRPr="00C90E40" w:rsidRDefault="00C90E40" w:rsidP="00C90E40">
      <w:pPr>
        <w:spacing w:line="360" w:lineRule="auto"/>
        <w:jc w:val="both"/>
        <w:rPr>
          <w:rFonts w:ascii="Times New Roman" w:hAnsi="Times New Roman" w:cs="Times New Roman"/>
          <w:bCs/>
          <w:i/>
          <w:sz w:val="24"/>
          <w:szCs w:val="24"/>
        </w:rPr>
      </w:pPr>
      <w:r w:rsidRPr="00C90E40">
        <w:rPr>
          <w:rFonts w:ascii="Times New Roman" w:hAnsi="Times New Roman" w:cs="Times New Roman"/>
          <w:bCs/>
          <w:i/>
          <w:sz w:val="24"/>
          <w:szCs w:val="24"/>
        </w:rPr>
        <w:t xml:space="preserve"> (Tick in appropriate answer)</w:t>
      </w:r>
    </w:p>
    <w:p w14:paraId="3D2D9D85"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lastRenderedPageBreak/>
        <w:t>Please give your opinion by choosing among the scoring system below. Write your rating in the space provided.</w:t>
      </w:r>
    </w:p>
    <w:p w14:paraId="1A00CC70" w14:textId="77777777" w:rsidR="00C90E40" w:rsidRPr="00C90E40" w:rsidRDefault="00C90E40" w:rsidP="00C90E40">
      <w:pPr>
        <w:spacing w:line="360" w:lineRule="auto"/>
        <w:jc w:val="both"/>
        <w:rPr>
          <w:rFonts w:ascii="Times New Roman" w:hAnsi="Times New Roman" w:cs="Times New Roman"/>
          <w:b/>
          <w:sz w:val="24"/>
          <w:szCs w:val="24"/>
        </w:rPr>
      </w:pPr>
      <w:r w:rsidRPr="00C90E40">
        <w:rPr>
          <w:rFonts w:ascii="Times New Roman" w:hAnsi="Times New Roman" w:cs="Times New Roman"/>
          <w:b/>
          <w:bCs/>
          <w:sz w:val="24"/>
          <w:szCs w:val="24"/>
        </w:rPr>
        <w:t>PART II: QUESTIONS ON CREDIT RISK MANAGEMENT</w:t>
      </w:r>
    </w:p>
    <w:p w14:paraId="2BAFA55A"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Instructions: Please give your opinion by choosing among the scoring system below. Tick (</w:t>
      </w:r>
      <w:r w:rsidRPr="00C90E40">
        <w:rPr>
          <w:rFonts w:ascii="Segoe UI Symbol" w:hAnsi="Segoe UI Symbol" w:cs="Segoe UI Symbol"/>
          <w:sz w:val="24"/>
          <w:szCs w:val="24"/>
        </w:rPr>
        <w:t>✓</w:t>
      </w:r>
      <w:r w:rsidRPr="00C90E40">
        <w:rPr>
          <w:rFonts w:ascii="Times New Roman" w:hAnsi="Times New Roman" w:cs="Times New Roman"/>
          <w:sz w:val="24"/>
          <w:szCs w:val="24"/>
        </w:rPr>
        <w:t>) the number that best represents your answer for each statement.</w:t>
      </w:r>
    </w:p>
    <w:p w14:paraId="0C673E2C" w14:textId="77777777" w:rsidR="00C90E40" w:rsidRPr="00C90E40" w:rsidRDefault="00C90E40" w:rsidP="00C90E40">
      <w:pPr>
        <w:spacing w:line="360" w:lineRule="auto"/>
        <w:jc w:val="both"/>
        <w:rPr>
          <w:rFonts w:ascii="Times New Roman" w:hAnsi="Times New Roman" w:cs="Times New Roman"/>
          <w:b/>
          <w:bCs/>
          <w:sz w:val="24"/>
          <w:szCs w:val="24"/>
        </w:rPr>
      </w:pPr>
      <w:r w:rsidRPr="00C90E40">
        <w:rPr>
          <w:rFonts w:ascii="Times New Roman" w:hAnsi="Times New Roman" w:cs="Times New Roman"/>
          <w:b/>
          <w:bCs/>
          <w:sz w:val="24"/>
          <w:szCs w:val="24"/>
        </w:rPr>
        <w:t>Response Mode &amp; Scoring System:</w:t>
      </w:r>
    </w:p>
    <w:p w14:paraId="6FC8D49B" w14:textId="77777777" w:rsidR="00C90E40" w:rsidRPr="00C90E40" w:rsidRDefault="00C90E40" w:rsidP="00C90E40">
      <w:pPr>
        <w:numPr>
          <w:ilvl w:val="0"/>
          <w:numId w:val="23"/>
        </w:num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Strongly Agree (SA): You agree with no doubt at all (5)</w:t>
      </w:r>
    </w:p>
    <w:p w14:paraId="0691281C" w14:textId="77777777" w:rsidR="00C90E40" w:rsidRPr="00C90E40" w:rsidRDefault="00C90E40" w:rsidP="00C90E40">
      <w:pPr>
        <w:numPr>
          <w:ilvl w:val="0"/>
          <w:numId w:val="23"/>
        </w:num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Agree (A): You agree with some doubt (4)</w:t>
      </w:r>
    </w:p>
    <w:p w14:paraId="09BC7FEF" w14:textId="77777777" w:rsidR="00C90E40" w:rsidRPr="00C90E40" w:rsidRDefault="00C90E40" w:rsidP="00C90E40">
      <w:pPr>
        <w:numPr>
          <w:ilvl w:val="0"/>
          <w:numId w:val="23"/>
        </w:num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Neutral (N): Not Sure (3)</w:t>
      </w:r>
    </w:p>
    <w:p w14:paraId="1F84AB6C" w14:textId="77777777" w:rsidR="00C90E40" w:rsidRPr="00C90E40" w:rsidRDefault="00C90E40" w:rsidP="00C90E40">
      <w:pPr>
        <w:numPr>
          <w:ilvl w:val="0"/>
          <w:numId w:val="23"/>
        </w:num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Disagree (D): You disagree with some doubt (2)</w:t>
      </w:r>
    </w:p>
    <w:p w14:paraId="3FB11F88" w14:textId="77777777" w:rsidR="00C90E40" w:rsidRPr="00C90E40" w:rsidRDefault="00C90E40" w:rsidP="00C90E40">
      <w:pPr>
        <w:numPr>
          <w:ilvl w:val="0"/>
          <w:numId w:val="23"/>
        </w:num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Strongly Disagree (SD): You disagree with no doubt at all (1)</w:t>
      </w:r>
    </w:p>
    <w:p w14:paraId="09138152" w14:textId="77777777" w:rsidR="00C90E40" w:rsidRPr="00C90E40" w:rsidRDefault="00C90E40" w:rsidP="00C90E40">
      <w:pPr>
        <w:spacing w:line="360" w:lineRule="auto"/>
        <w:jc w:val="both"/>
        <w:rPr>
          <w:rFonts w:ascii="Times New Roman" w:hAnsi="Times New Roman" w:cs="Times New Roman"/>
          <w:sz w:val="24"/>
          <w:szCs w:val="24"/>
        </w:rPr>
      </w:pPr>
    </w:p>
    <w:p w14:paraId="4C54E341" w14:textId="77777777" w:rsidR="00C90E40" w:rsidRPr="00C90E40" w:rsidRDefault="00C90E40" w:rsidP="00C90E40">
      <w:pPr>
        <w:spacing w:line="360" w:lineRule="auto"/>
        <w:jc w:val="both"/>
        <w:rPr>
          <w:rFonts w:ascii="Times New Roman" w:hAnsi="Times New Roman" w:cs="Times New Roman"/>
          <w:b/>
          <w:sz w:val="24"/>
          <w:szCs w:val="24"/>
        </w:rPr>
      </w:pPr>
    </w:p>
    <w:p w14:paraId="1CC199C2" w14:textId="77777777" w:rsidR="00C90E40" w:rsidRPr="00C90E40" w:rsidRDefault="00C90E40" w:rsidP="007D2E93">
      <w:pPr>
        <w:spacing w:line="360" w:lineRule="auto"/>
        <w:ind w:left="720"/>
        <w:jc w:val="both"/>
        <w:rPr>
          <w:rFonts w:ascii="Times New Roman" w:hAnsi="Times New Roman" w:cs="Times New Roman"/>
          <w:sz w:val="24"/>
          <w:szCs w:val="24"/>
        </w:rPr>
      </w:pPr>
    </w:p>
    <w:tbl>
      <w:tblPr>
        <w:tblW w:w="0" w:type="auto"/>
        <w:tblLook w:val="04A0" w:firstRow="1" w:lastRow="0" w:firstColumn="1" w:lastColumn="0" w:noHBand="0" w:noVBand="1"/>
      </w:tblPr>
      <w:tblGrid>
        <w:gridCol w:w="2690"/>
        <w:gridCol w:w="4437"/>
        <w:gridCol w:w="423"/>
        <w:gridCol w:w="423"/>
        <w:gridCol w:w="423"/>
        <w:gridCol w:w="423"/>
        <w:gridCol w:w="423"/>
      </w:tblGrid>
      <w:tr w:rsidR="00C90E40" w:rsidRPr="00C90E40" w14:paraId="2A1C2EB0" w14:textId="77777777" w:rsidTr="000A3769">
        <w:tc>
          <w:tcPr>
            <w:tcW w:w="0" w:type="auto"/>
            <w:hideMark/>
          </w:tcPr>
          <w:p w14:paraId="4A3471F4" w14:textId="77777777" w:rsidR="00C90E40" w:rsidRPr="00C90E40" w:rsidRDefault="00C90E40" w:rsidP="00C90E40">
            <w:pPr>
              <w:spacing w:line="360" w:lineRule="auto"/>
              <w:jc w:val="both"/>
              <w:rPr>
                <w:rFonts w:ascii="Times New Roman" w:hAnsi="Times New Roman" w:cs="Times New Roman"/>
                <w:b/>
                <w:bCs/>
                <w:sz w:val="24"/>
                <w:szCs w:val="24"/>
              </w:rPr>
            </w:pPr>
            <w:r w:rsidRPr="00C90E40">
              <w:rPr>
                <w:rFonts w:ascii="Times New Roman" w:hAnsi="Times New Roman" w:cs="Times New Roman"/>
                <w:b/>
                <w:bCs/>
                <w:sz w:val="24"/>
                <w:szCs w:val="24"/>
              </w:rPr>
              <w:t>Category</w:t>
            </w:r>
          </w:p>
        </w:tc>
        <w:tc>
          <w:tcPr>
            <w:tcW w:w="0" w:type="auto"/>
            <w:hideMark/>
          </w:tcPr>
          <w:p w14:paraId="59048C9C" w14:textId="77777777" w:rsidR="00C90E40" w:rsidRPr="00C90E40" w:rsidRDefault="00C90E40" w:rsidP="00C90E40">
            <w:pPr>
              <w:spacing w:line="360" w:lineRule="auto"/>
              <w:jc w:val="both"/>
              <w:rPr>
                <w:rFonts w:ascii="Times New Roman" w:hAnsi="Times New Roman" w:cs="Times New Roman"/>
                <w:b/>
                <w:bCs/>
                <w:sz w:val="24"/>
                <w:szCs w:val="24"/>
              </w:rPr>
            </w:pPr>
            <w:r w:rsidRPr="00C90E40">
              <w:rPr>
                <w:rFonts w:ascii="Times New Roman" w:hAnsi="Times New Roman" w:cs="Times New Roman"/>
                <w:b/>
                <w:bCs/>
                <w:sz w:val="24"/>
                <w:szCs w:val="24"/>
              </w:rPr>
              <w:t>Statement</w:t>
            </w:r>
          </w:p>
        </w:tc>
        <w:tc>
          <w:tcPr>
            <w:tcW w:w="0" w:type="auto"/>
            <w:hideMark/>
          </w:tcPr>
          <w:p w14:paraId="1E9316E3" w14:textId="77777777" w:rsidR="00C90E40" w:rsidRPr="00C90E40" w:rsidRDefault="00C90E40" w:rsidP="00C90E40">
            <w:pPr>
              <w:spacing w:line="360" w:lineRule="auto"/>
              <w:jc w:val="both"/>
              <w:rPr>
                <w:rFonts w:ascii="Times New Roman" w:hAnsi="Times New Roman" w:cs="Times New Roman"/>
                <w:b/>
                <w:bCs/>
                <w:sz w:val="24"/>
                <w:szCs w:val="24"/>
              </w:rPr>
            </w:pPr>
            <w:r w:rsidRPr="00C90E40">
              <w:rPr>
                <w:rFonts w:ascii="Times New Roman" w:hAnsi="Times New Roman" w:cs="Times New Roman"/>
                <w:b/>
                <w:bCs/>
                <w:sz w:val="24"/>
                <w:szCs w:val="24"/>
              </w:rPr>
              <w:t>1</w:t>
            </w:r>
          </w:p>
        </w:tc>
        <w:tc>
          <w:tcPr>
            <w:tcW w:w="0" w:type="auto"/>
            <w:hideMark/>
          </w:tcPr>
          <w:p w14:paraId="0BE1D09E" w14:textId="77777777" w:rsidR="00C90E40" w:rsidRPr="00C90E40" w:rsidRDefault="00C90E40" w:rsidP="00C90E40">
            <w:pPr>
              <w:spacing w:line="360" w:lineRule="auto"/>
              <w:jc w:val="both"/>
              <w:rPr>
                <w:rFonts w:ascii="Times New Roman" w:hAnsi="Times New Roman" w:cs="Times New Roman"/>
                <w:b/>
                <w:bCs/>
                <w:sz w:val="24"/>
                <w:szCs w:val="24"/>
              </w:rPr>
            </w:pPr>
            <w:r w:rsidRPr="00C90E40">
              <w:rPr>
                <w:rFonts w:ascii="Times New Roman" w:hAnsi="Times New Roman" w:cs="Times New Roman"/>
                <w:b/>
                <w:bCs/>
                <w:sz w:val="24"/>
                <w:szCs w:val="24"/>
              </w:rPr>
              <w:t>2</w:t>
            </w:r>
          </w:p>
        </w:tc>
        <w:tc>
          <w:tcPr>
            <w:tcW w:w="0" w:type="auto"/>
            <w:hideMark/>
          </w:tcPr>
          <w:p w14:paraId="710D022E" w14:textId="77777777" w:rsidR="00C90E40" w:rsidRPr="00C90E40" w:rsidRDefault="00C90E40" w:rsidP="00C90E40">
            <w:pPr>
              <w:spacing w:line="360" w:lineRule="auto"/>
              <w:jc w:val="both"/>
              <w:rPr>
                <w:rFonts w:ascii="Times New Roman" w:hAnsi="Times New Roman" w:cs="Times New Roman"/>
                <w:b/>
                <w:bCs/>
                <w:sz w:val="24"/>
                <w:szCs w:val="24"/>
              </w:rPr>
            </w:pPr>
            <w:r w:rsidRPr="00C90E40">
              <w:rPr>
                <w:rFonts w:ascii="Times New Roman" w:hAnsi="Times New Roman" w:cs="Times New Roman"/>
                <w:b/>
                <w:bCs/>
                <w:sz w:val="24"/>
                <w:szCs w:val="24"/>
              </w:rPr>
              <w:t>3</w:t>
            </w:r>
          </w:p>
        </w:tc>
        <w:tc>
          <w:tcPr>
            <w:tcW w:w="0" w:type="auto"/>
            <w:hideMark/>
          </w:tcPr>
          <w:p w14:paraId="1B19952D" w14:textId="77777777" w:rsidR="00C90E40" w:rsidRPr="00C90E40" w:rsidRDefault="00C90E40" w:rsidP="00C90E40">
            <w:pPr>
              <w:spacing w:line="360" w:lineRule="auto"/>
              <w:jc w:val="both"/>
              <w:rPr>
                <w:rFonts w:ascii="Times New Roman" w:hAnsi="Times New Roman" w:cs="Times New Roman"/>
                <w:b/>
                <w:bCs/>
                <w:sz w:val="24"/>
                <w:szCs w:val="24"/>
              </w:rPr>
            </w:pPr>
            <w:r w:rsidRPr="00C90E40">
              <w:rPr>
                <w:rFonts w:ascii="Times New Roman" w:hAnsi="Times New Roman" w:cs="Times New Roman"/>
                <w:b/>
                <w:bCs/>
                <w:sz w:val="24"/>
                <w:szCs w:val="24"/>
              </w:rPr>
              <w:t>4</w:t>
            </w:r>
          </w:p>
        </w:tc>
        <w:tc>
          <w:tcPr>
            <w:tcW w:w="0" w:type="auto"/>
            <w:hideMark/>
          </w:tcPr>
          <w:p w14:paraId="3F7C9991" w14:textId="77777777" w:rsidR="00C90E40" w:rsidRPr="00C90E40" w:rsidRDefault="00C90E40" w:rsidP="00C90E40">
            <w:pPr>
              <w:spacing w:line="360" w:lineRule="auto"/>
              <w:jc w:val="both"/>
              <w:rPr>
                <w:rFonts w:ascii="Times New Roman" w:hAnsi="Times New Roman" w:cs="Times New Roman"/>
                <w:b/>
                <w:bCs/>
                <w:sz w:val="24"/>
                <w:szCs w:val="24"/>
              </w:rPr>
            </w:pPr>
            <w:r w:rsidRPr="00C90E40">
              <w:rPr>
                <w:rFonts w:ascii="Times New Roman" w:hAnsi="Times New Roman" w:cs="Times New Roman"/>
                <w:b/>
                <w:bCs/>
                <w:sz w:val="24"/>
                <w:szCs w:val="24"/>
              </w:rPr>
              <w:t>5</w:t>
            </w:r>
          </w:p>
        </w:tc>
      </w:tr>
      <w:tr w:rsidR="00C90E40" w:rsidRPr="00C90E40" w14:paraId="20E9C1F4" w14:textId="77777777" w:rsidTr="000A3769">
        <w:tc>
          <w:tcPr>
            <w:tcW w:w="0" w:type="auto"/>
            <w:hideMark/>
          </w:tcPr>
          <w:p w14:paraId="1637D5B4"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Borrower Creditworthiness Assessment</w:t>
            </w:r>
          </w:p>
        </w:tc>
        <w:tc>
          <w:tcPr>
            <w:tcW w:w="0" w:type="auto"/>
            <w:hideMark/>
          </w:tcPr>
          <w:p w14:paraId="770E23F8"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The credit department regularly assesses the borrower's creditworthiness before loan approval.</w:t>
            </w:r>
          </w:p>
        </w:tc>
        <w:tc>
          <w:tcPr>
            <w:tcW w:w="0" w:type="auto"/>
            <w:hideMark/>
          </w:tcPr>
          <w:p w14:paraId="7486C92B"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71E05BFF"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47363CB3"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06C36AA2"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11DE86E5"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1143FE1D" w14:textId="77777777" w:rsidTr="000A3769">
        <w:tc>
          <w:tcPr>
            <w:tcW w:w="0" w:type="auto"/>
            <w:hideMark/>
          </w:tcPr>
          <w:p w14:paraId="42C28169" w14:textId="77777777" w:rsidR="00C90E40" w:rsidRPr="00C90E40" w:rsidRDefault="00C90E40" w:rsidP="00C90E40">
            <w:pPr>
              <w:spacing w:line="360" w:lineRule="auto"/>
              <w:jc w:val="both"/>
              <w:rPr>
                <w:rFonts w:ascii="Times New Roman" w:hAnsi="Times New Roman" w:cs="Times New Roman"/>
                <w:sz w:val="24"/>
                <w:szCs w:val="24"/>
              </w:rPr>
            </w:pPr>
          </w:p>
        </w:tc>
        <w:tc>
          <w:tcPr>
            <w:tcW w:w="0" w:type="auto"/>
            <w:hideMark/>
          </w:tcPr>
          <w:p w14:paraId="3AEB75D5"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Borrower financial statements and repayment history are reviewed in detail.</w:t>
            </w:r>
          </w:p>
        </w:tc>
        <w:tc>
          <w:tcPr>
            <w:tcW w:w="0" w:type="auto"/>
            <w:hideMark/>
          </w:tcPr>
          <w:p w14:paraId="76143A4D"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010D9895"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01A3424E"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6F336A53"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2282DC23"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0E388207" w14:textId="77777777" w:rsidTr="000A3769">
        <w:tc>
          <w:tcPr>
            <w:tcW w:w="0" w:type="auto"/>
            <w:hideMark/>
          </w:tcPr>
          <w:p w14:paraId="78785860" w14:textId="77777777" w:rsidR="00C90E40" w:rsidRPr="00C90E40" w:rsidRDefault="00C90E40" w:rsidP="00C90E40">
            <w:pPr>
              <w:spacing w:line="360" w:lineRule="auto"/>
              <w:jc w:val="both"/>
              <w:rPr>
                <w:rFonts w:ascii="Times New Roman" w:hAnsi="Times New Roman" w:cs="Times New Roman"/>
                <w:sz w:val="24"/>
                <w:szCs w:val="24"/>
              </w:rPr>
            </w:pPr>
          </w:p>
        </w:tc>
        <w:tc>
          <w:tcPr>
            <w:tcW w:w="0" w:type="auto"/>
            <w:hideMark/>
          </w:tcPr>
          <w:p w14:paraId="3BE363C5"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Borrower creditworthiness assessment considers market conditions and economic factors.</w:t>
            </w:r>
          </w:p>
        </w:tc>
        <w:tc>
          <w:tcPr>
            <w:tcW w:w="0" w:type="auto"/>
            <w:hideMark/>
          </w:tcPr>
          <w:p w14:paraId="1D775103"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056BAEC5"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0F1C6468"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4F449D08"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16491F0A"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1F3C064C" w14:textId="77777777" w:rsidTr="000A3769">
        <w:tc>
          <w:tcPr>
            <w:tcW w:w="0" w:type="auto"/>
            <w:hideMark/>
          </w:tcPr>
          <w:p w14:paraId="28E0ED48" w14:textId="77777777" w:rsidR="00C90E40" w:rsidRPr="00C90E40" w:rsidRDefault="00C90E40" w:rsidP="00C90E40">
            <w:pPr>
              <w:spacing w:line="360" w:lineRule="auto"/>
              <w:jc w:val="both"/>
              <w:rPr>
                <w:rFonts w:ascii="Times New Roman" w:hAnsi="Times New Roman" w:cs="Times New Roman"/>
                <w:sz w:val="24"/>
                <w:szCs w:val="24"/>
              </w:rPr>
            </w:pPr>
          </w:p>
        </w:tc>
        <w:tc>
          <w:tcPr>
            <w:tcW w:w="0" w:type="auto"/>
            <w:hideMark/>
          </w:tcPr>
          <w:p w14:paraId="57FBB979"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The credit department uses credit scores to assess borrower risk.</w:t>
            </w:r>
          </w:p>
        </w:tc>
        <w:tc>
          <w:tcPr>
            <w:tcW w:w="0" w:type="auto"/>
            <w:hideMark/>
          </w:tcPr>
          <w:p w14:paraId="6F073A62"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0357C33B"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58E96B33"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0DC26949"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764DBC41"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7AB0185D" w14:textId="77777777" w:rsidTr="000A3769">
        <w:tc>
          <w:tcPr>
            <w:tcW w:w="0" w:type="auto"/>
            <w:hideMark/>
          </w:tcPr>
          <w:p w14:paraId="5CCA4EAD" w14:textId="77777777" w:rsidR="00C90E40" w:rsidRPr="00C90E40" w:rsidRDefault="00C90E40" w:rsidP="00C90E40">
            <w:pPr>
              <w:spacing w:line="360" w:lineRule="auto"/>
              <w:jc w:val="both"/>
              <w:rPr>
                <w:rFonts w:ascii="Times New Roman" w:hAnsi="Times New Roman" w:cs="Times New Roman"/>
                <w:sz w:val="24"/>
                <w:szCs w:val="24"/>
              </w:rPr>
            </w:pPr>
          </w:p>
        </w:tc>
        <w:tc>
          <w:tcPr>
            <w:tcW w:w="0" w:type="auto"/>
            <w:hideMark/>
          </w:tcPr>
          <w:p w14:paraId="58391E1C"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 xml:space="preserve">Borrowers' payment capacity is assessed by </w:t>
            </w:r>
            <w:r w:rsidRPr="00C90E40">
              <w:rPr>
                <w:rFonts w:ascii="Times New Roman" w:hAnsi="Times New Roman" w:cs="Times New Roman"/>
                <w:sz w:val="24"/>
                <w:szCs w:val="24"/>
              </w:rPr>
              <w:lastRenderedPageBreak/>
              <w:t>considering both income and other liabilities.</w:t>
            </w:r>
          </w:p>
        </w:tc>
        <w:tc>
          <w:tcPr>
            <w:tcW w:w="0" w:type="auto"/>
            <w:hideMark/>
          </w:tcPr>
          <w:p w14:paraId="2244FB27"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lastRenderedPageBreak/>
              <w:t>☐</w:t>
            </w:r>
          </w:p>
        </w:tc>
        <w:tc>
          <w:tcPr>
            <w:tcW w:w="0" w:type="auto"/>
            <w:hideMark/>
          </w:tcPr>
          <w:p w14:paraId="4B63DEFC"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516E3EE4"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0D6F8666"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0A83BB2B"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13316AC8" w14:textId="77777777" w:rsidTr="000A3769">
        <w:tc>
          <w:tcPr>
            <w:tcW w:w="0" w:type="auto"/>
            <w:hideMark/>
          </w:tcPr>
          <w:p w14:paraId="50A3AD62" w14:textId="77777777" w:rsidR="00C90E40" w:rsidRPr="00C90E40" w:rsidRDefault="00C90E40" w:rsidP="00C90E40">
            <w:pPr>
              <w:spacing w:line="360" w:lineRule="auto"/>
              <w:jc w:val="both"/>
              <w:rPr>
                <w:rFonts w:ascii="Times New Roman" w:hAnsi="Times New Roman" w:cs="Times New Roman"/>
                <w:sz w:val="24"/>
                <w:szCs w:val="24"/>
              </w:rPr>
            </w:pPr>
          </w:p>
        </w:tc>
        <w:tc>
          <w:tcPr>
            <w:tcW w:w="0" w:type="auto"/>
            <w:hideMark/>
          </w:tcPr>
          <w:p w14:paraId="323F5D59"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The credit department assesses the borrower's character and integrity during the loan evaluation.</w:t>
            </w:r>
          </w:p>
        </w:tc>
        <w:tc>
          <w:tcPr>
            <w:tcW w:w="0" w:type="auto"/>
            <w:hideMark/>
          </w:tcPr>
          <w:p w14:paraId="43ECE384"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71E12407"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65302204"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0295EEDD"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4CF94DFB"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43C3A91D" w14:textId="77777777" w:rsidTr="000A3769">
        <w:tc>
          <w:tcPr>
            <w:tcW w:w="0" w:type="auto"/>
            <w:hideMark/>
          </w:tcPr>
          <w:p w14:paraId="69DA47E8"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Credit Concentration Risk</w:t>
            </w:r>
          </w:p>
        </w:tc>
        <w:tc>
          <w:tcPr>
            <w:tcW w:w="0" w:type="auto"/>
            <w:hideMark/>
          </w:tcPr>
          <w:p w14:paraId="76057388"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The institution monitors credit exposure to ensure diversification.</w:t>
            </w:r>
          </w:p>
        </w:tc>
        <w:tc>
          <w:tcPr>
            <w:tcW w:w="0" w:type="auto"/>
            <w:hideMark/>
          </w:tcPr>
          <w:p w14:paraId="4A2E29F5"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680C7817"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4167ED43"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4B05F430"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3E75AEE7"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26A913F8" w14:textId="77777777" w:rsidTr="000A3769">
        <w:tc>
          <w:tcPr>
            <w:tcW w:w="0" w:type="auto"/>
            <w:hideMark/>
          </w:tcPr>
          <w:p w14:paraId="443B852B" w14:textId="77777777" w:rsidR="00C90E40" w:rsidRPr="00C90E40" w:rsidRDefault="00C90E40" w:rsidP="00C90E40">
            <w:pPr>
              <w:spacing w:line="360" w:lineRule="auto"/>
              <w:jc w:val="both"/>
              <w:rPr>
                <w:rFonts w:ascii="Times New Roman" w:hAnsi="Times New Roman" w:cs="Times New Roman"/>
                <w:sz w:val="24"/>
                <w:szCs w:val="24"/>
              </w:rPr>
            </w:pPr>
          </w:p>
        </w:tc>
        <w:tc>
          <w:tcPr>
            <w:tcW w:w="0" w:type="auto"/>
            <w:hideMark/>
          </w:tcPr>
          <w:p w14:paraId="3A708EF9"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Policies are in place to prevent excessive credit exposure to a single borrower or sector.</w:t>
            </w:r>
          </w:p>
        </w:tc>
        <w:tc>
          <w:tcPr>
            <w:tcW w:w="0" w:type="auto"/>
            <w:hideMark/>
          </w:tcPr>
          <w:p w14:paraId="0B29C3D2"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5C4A0F34"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20361569"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55E0169D"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10D06B17"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0CC4D98C" w14:textId="77777777" w:rsidTr="000A3769">
        <w:tc>
          <w:tcPr>
            <w:tcW w:w="0" w:type="auto"/>
            <w:hideMark/>
          </w:tcPr>
          <w:p w14:paraId="3F6FD6ED" w14:textId="77777777" w:rsidR="00C90E40" w:rsidRPr="00C90E40" w:rsidRDefault="00C90E40" w:rsidP="00C90E40">
            <w:pPr>
              <w:spacing w:line="360" w:lineRule="auto"/>
              <w:jc w:val="both"/>
              <w:rPr>
                <w:rFonts w:ascii="Times New Roman" w:hAnsi="Times New Roman" w:cs="Times New Roman"/>
                <w:sz w:val="24"/>
                <w:szCs w:val="24"/>
              </w:rPr>
            </w:pPr>
          </w:p>
        </w:tc>
        <w:tc>
          <w:tcPr>
            <w:tcW w:w="0" w:type="auto"/>
            <w:hideMark/>
          </w:tcPr>
          <w:p w14:paraId="40952707"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Credit concentration risk is regularly evaluated and mitigated.</w:t>
            </w:r>
          </w:p>
        </w:tc>
        <w:tc>
          <w:tcPr>
            <w:tcW w:w="0" w:type="auto"/>
            <w:hideMark/>
          </w:tcPr>
          <w:p w14:paraId="350704B8"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694CE421"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45D8A54C"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234A3040"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7029C058"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361EF115" w14:textId="77777777" w:rsidTr="000A3769">
        <w:tc>
          <w:tcPr>
            <w:tcW w:w="0" w:type="auto"/>
            <w:hideMark/>
          </w:tcPr>
          <w:p w14:paraId="76DA80C9" w14:textId="77777777" w:rsidR="00C90E40" w:rsidRPr="00C90E40" w:rsidRDefault="00C90E40" w:rsidP="00C90E40">
            <w:pPr>
              <w:spacing w:line="360" w:lineRule="auto"/>
              <w:jc w:val="both"/>
              <w:rPr>
                <w:rFonts w:ascii="Times New Roman" w:hAnsi="Times New Roman" w:cs="Times New Roman"/>
                <w:sz w:val="24"/>
                <w:szCs w:val="24"/>
              </w:rPr>
            </w:pPr>
          </w:p>
        </w:tc>
        <w:tc>
          <w:tcPr>
            <w:tcW w:w="0" w:type="auto"/>
            <w:hideMark/>
          </w:tcPr>
          <w:p w14:paraId="378B9050"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The institution implements strategies to spread credit risk across multiple sectors and regions.</w:t>
            </w:r>
          </w:p>
        </w:tc>
        <w:tc>
          <w:tcPr>
            <w:tcW w:w="0" w:type="auto"/>
            <w:hideMark/>
          </w:tcPr>
          <w:p w14:paraId="002C191E"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36CC5563"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57F4875D"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5AF9DF30"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3EF41D90"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0ED83DB3" w14:textId="77777777" w:rsidTr="000A3769">
        <w:tc>
          <w:tcPr>
            <w:tcW w:w="0" w:type="auto"/>
            <w:hideMark/>
          </w:tcPr>
          <w:p w14:paraId="5C138F50" w14:textId="77777777" w:rsidR="00C90E40" w:rsidRPr="00C90E40" w:rsidRDefault="00C90E40" w:rsidP="00C90E40">
            <w:pPr>
              <w:spacing w:line="360" w:lineRule="auto"/>
              <w:jc w:val="both"/>
              <w:rPr>
                <w:rFonts w:ascii="Times New Roman" w:hAnsi="Times New Roman" w:cs="Times New Roman"/>
                <w:sz w:val="24"/>
                <w:szCs w:val="24"/>
              </w:rPr>
            </w:pPr>
          </w:p>
        </w:tc>
        <w:tc>
          <w:tcPr>
            <w:tcW w:w="0" w:type="auto"/>
            <w:hideMark/>
          </w:tcPr>
          <w:p w14:paraId="756DE459"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Limits are set on the maximum exposure to a single borrower or industry sector.</w:t>
            </w:r>
          </w:p>
        </w:tc>
        <w:tc>
          <w:tcPr>
            <w:tcW w:w="0" w:type="auto"/>
            <w:hideMark/>
          </w:tcPr>
          <w:p w14:paraId="13DE26F1"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4C88A1B9"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30B11C8F"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15A17870"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6E961609"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6C33C1FD" w14:textId="77777777" w:rsidTr="000A3769">
        <w:tc>
          <w:tcPr>
            <w:tcW w:w="0" w:type="auto"/>
            <w:hideMark/>
          </w:tcPr>
          <w:p w14:paraId="18C3BB32" w14:textId="77777777" w:rsidR="00C90E40" w:rsidRPr="00C90E40" w:rsidRDefault="00C90E40" w:rsidP="00C90E40">
            <w:pPr>
              <w:spacing w:line="360" w:lineRule="auto"/>
              <w:jc w:val="both"/>
              <w:rPr>
                <w:rFonts w:ascii="Times New Roman" w:hAnsi="Times New Roman" w:cs="Times New Roman"/>
                <w:sz w:val="24"/>
                <w:szCs w:val="24"/>
              </w:rPr>
            </w:pPr>
          </w:p>
        </w:tc>
        <w:tc>
          <w:tcPr>
            <w:tcW w:w="0" w:type="auto"/>
            <w:hideMark/>
          </w:tcPr>
          <w:p w14:paraId="27F1255D"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Credit concentration is regularly reviewed in risk management meetings.</w:t>
            </w:r>
          </w:p>
        </w:tc>
        <w:tc>
          <w:tcPr>
            <w:tcW w:w="0" w:type="auto"/>
            <w:hideMark/>
          </w:tcPr>
          <w:p w14:paraId="69331D1A"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68F050C0"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6656BB93"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2866F0D6"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103213F1"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149E978F" w14:textId="77777777" w:rsidTr="000A3769">
        <w:tc>
          <w:tcPr>
            <w:tcW w:w="0" w:type="auto"/>
            <w:hideMark/>
          </w:tcPr>
          <w:p w14:paraId="18A60504"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Debt Restructuring &amp; Recovery Strategies</w:t>
            </w:r>
          </w:p>
        </w:tc>
        <w:tc>
          <w:tcPr>
            <w:tcW w:w="0" w:type="auto"/>
            <w:hideMark/>
          </w:tcPr>
          <w:p w14:paraId="341B38E7"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Debt restructuring policies are effectively implemented to support struggling borrowers.</w:t>
            </w:r>
          </w:p>
        </w:tc>
        <w:tc>
          <w:tcPr>
            <w:tcW w:w="0" w:type="auto"/>
            <w:hideMark/>
          </w:tcPr>
          <w:p w14:paraId="1362D694"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51CEAB61"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00918A40"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6A715CD7"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1A0388AA"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2FFABE0B" w14:textId="77777777" w:rsidTr="000A3769">
        <w:tc>
          <w:tcPr>
            <w:tcW w:w="0" w:type="auto"/>
            <w:hideMark/>
          </w:tcPr>
          <w:p w14:paraId="23290C76" w14:textId="77777777" w:rsidR="00C90E40" w:rsidRPr="00C90E40" w:rsidRDefault="00C90E40" w:rsidP="00C90E40">
            <w:pPr>
              <w:spacing w:line="360" w:lineRule="auto"/>
              <w:jc w:val="both"/>
              <w:rPr>
                <w:rFonts w:ascii="Times New Roman" w:hAnsi="Times New Roman" w:cs="Times New Roman"/>
                <w:sz w:val="24"/>
                <w:szCs w:val="24"/>
              </w:rPr>
            </w:pPr>
          </w:p>
        </w:tc>
        <w:tc>
          <w:tcPr>
            <w:tcW w:w="0" w:type="auto"/>
            <w:hideMark/>
          </w:tcPr>
          <w:p w14:paraId="78CFD797"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Recovery strategies are in place to minimize non-performing loans.</w:t>
            </w:r>
          </w:p>
        </w:tc>
        <w:tc>
          <w:tcPr>
            <w:tcW w:w="0" w:type="auto"/>
            <w:hideMark/>
          </w:tcPr>
          <w:p w14:paraId="588EBC0E"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76D15D31"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58F12785"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368609EF"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4F37EFE3"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641CB01C" w14:textId="77777777" w:rsidTr="000A3769">
        <w:tc>
          <w:tcPr>
            <w:tcW w:w="0" w:type="auto"/>
            <w:hideMark/>
          </w:tcPr>
          <w:p w14:paraId="41597906" w14:textId="77777777" w:rsidR="00C90E40" w:rsidRPr="00C90E40" w:rsidRDefault="00C90E40" w:rsidP="00C90E40">
            <w:pPr>
              <w:spacing w:line="360" w:lineRule="auto"/>
              <w:jc w:val="both"/>
              <w:rPr>
                <w:rFonts w:ascii="Times New Roman" w:hAnsi="Times New Roman" w:cs="Times New Roman"/>
                <w:sz w:val="24"/>
                <w:szCs w:val="24"/>
              </w:rPr>
            </w:pPr>
          </w:p>
        </w:tc>
        <w:tc>
          <w:tcPr>
            <w:tcW w:w="0" w:type="auto"/>
            <w:hideMark/>
          </w:tcPr>
          <w:p w14:paraId="2084AA88"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The institution has a structured approach to handling delinquent loans.</w:t>
            </w:r>
          </w:p>
        </w:tc>
        <w:tc>
          <w:tcPr>
            <w:tcW w:w="0" w:type="auto"/>
            <w:hideMark/>
          </w:tcPr>
          <w:p w14:paraId="1C8EE499"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30E4761C"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4793D04F"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0CAB5320"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23A09FBC"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0ED1FAF7" w14:textId="77777777" w:rsidTr="000A3769">
        <w:tc>
          <w:tcPr>
            <w:tcW w:w="0" w:type="auto"/>
            <w:hideMark/>
          </w:tcPr>
          <w:p w14:paraId="3B9D0095" w14:textId="77777777" w:rsidR="00C90E40" w:rsidRPr="00C90E40" w:rsidRDefault="00C90E40" w:rsidP="00C90E40">
            <w:pPr>
              <w:spacing w:line="360" w:lineRule="auto"/>
              <w:jc w:val="both"/>
              <w:rPr>
                <w:rFonts w:ascii="Times New Roman" w:hAnsi="Times New Roman" w:cs="Times New Roman"/>
                <w:sz w:val="24"/>
                <w:szCs w:val="24"/>
              </w:rPr>
            </w:pPr>
          </w:p>
        </w:tc>
        <w:tc>
          <w:tcPr>
            <w:tcW w:w="0" w:type="auto"/>
            <w:hideMark/>
          </w:tcPr>
          <w:p w14:paraId="112C28E0"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The institution has a clear framework for negotiating with defaulting borrowers.</w:t>
            </w:r>
          </w:p>
        </w:tc>
        <w:tc>
          <w:tcPr>
            <w:tcW w:w="0" w:type="auto"/>
            <w:hideMark/>
          </w:tcPr>
          <w:p w14:paraId="6628DD8F"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48C89C07"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531693A8"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242B6914"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306ADDF6"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4955545F" w14:textId="77777777" w:rsidTr="000A3769">
        <w:tc>
          <w:tcPr>
            <w:tcW w:w="0" w:type="auto"/>
            <w:hideMark/>
          </w:tcPr>
          <w:p w14:paraId="28958BFB" w14:textId="77777777" w:rsidR="00C90E40" w:rsidRPr="00C90E40" w:rsidRDefault="00C90E40" w:rsidP="00C90E40">
            <w:pPr>
              <w:spacing w:line="360" w:lineRule="auto"/>
              <w:jc w:val="both"/>
              <w:rPr>
                <w:rFonts w:ascii="Times New Roman" w:hAnsi="Times New Roman" w:cs="Times New Roman"/>
                <w:sz w:val="24"/>
                <w:szCs w:val="24"/>
              </w:rPr>
            </w:pPr>
          </w:p>
        </w:tc>
        <w:tc>
          <w:tcPr>
            <w:tcW w:w="0" w:type="auto"/>
            <w:hideMark/>
          </w:tcPr>
          <w:p w14:paraId="0C27E325"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The institution's recovery strategies are tailored to individual borrower circumstances.</w:t>
            </w:r>
          </w:p>
        </w:tc>
        <w:tc>
          <w:tcPr>
            <w:tcW w:w="0" w:type="auto"/>
            <w:hideMark/>
          </w:tcPr>
          <w:p w14:paraId="7141B670"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0100E924"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1AFCC6B3"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6E5F727B"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5EB7B987"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63649740" w14:textId="77777777" w:rsidTr="000A3769">
        <w:tc>
          <w:tcPr>
            <w:tcW w:w="0" w:type="auto"/>
            <w:hideMark/>
          </w:tcPr>
          <w:p w14:paraId="6992A2AA" w14:textId="77777777" w:rsidR="00C90E40" w:rsidRPr="00C90E40" w:rsidRDefault="00C90E40" w:rsidP="00C90E40">
            <w:pPr>
              <w:spacing w:line="360" w:lineRule="auto"/>
              <w:jc w:val="both"/>
              <w:rPr>
                <w:rFonts w:ascii="Times New Roman" w:hAnsi="Times New Roman" w:cs="Times New Roman"/>
                <w:sz w:val="24"/>
                <w:szCs w:val="24"/>
              </w:rPr>
            </w:pPr>
          </w:p>
        </w:tc>
        <w:tc>
          <w:tcPr>
            <w:tcW w:w="0" w:type="auto"/>
            <w:hideMark/>
          </w:tcPr>
          <w:p w14:paraId="39775203"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Default and recovery rates are regularly analyzed to improve strategies.</w:t>
            </w:r>
          </w:p>
        </w:tc>
        <w:tc>
          <w:tcPr>
            <w:tcW w:w="0" w:type="auto"/>
            <w:hideMark/>
          </w:tcPr>
          <w:p w14:paraId="31921967"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4CE555DD"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151BEA23"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6AF1F4F0"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5F4E8C2E"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4D5143C7" w14:textId="77777777" w:rsidTr="000A3769">
        <w:tc>
          <w:tcPr>
            <w:tcW w:w="0" w:type="auto"/>
            <w:hideMark/>
          </w:tcPr>
          <w:p w14:paraId="250B6A96"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Credit Risk Rating Systems</w:t>
            </w:r>
          </w:p>
        </w:tc>
        <w:tc>
          <w:tcPr>
            <w:tcW w:w="0" w:type="auto"/>
            <w:hideMark/>
          </w:tcPr>
          <w:p w14:paraId="4204CB64"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A structured credit risk rating system is in place to assess borrower risk.</w:t>
            </w:r>
          </w:p>
        </w:tc>
        <w:tc>
          <w:tcPr>
            <w:tcW w:w="0" w:type="auto"/>
            <w:hideMark/>
          </w:tcPr>
          <w:p w14:paraId="4CFB9F6F"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6C203293"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2A4115A8"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1DE8A95F"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01B6651A"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3E570D36" w14:textId="77777777" w:rsidTr="000A3769">
        <w:tc>
          <w:tcPr>
            <w:tcW w:w="0" w:type="auto"/>
            <w:hideMark/>
          </w:tcPr>
          <w:p w14:paraId="41A1FF03" w14:textId="77777777" w:rsidR="00C90E40" w:rsidRPr="00C90E40" w:rsidRDefault="00C90E40" w:rsidP="00C90E40">
            <w:pPr>
              <w:spacing w:line="360" w:lineRule="auto"/>
              <w:jc w:val="both"/>
              <w:rPr>
                <w:rFonts w:ascii="Times New Roman" w:hAnsi="Times New Roman" w:cs="Times New Roman"/>
                <w:sz w:val="24"/>
                <w:szCs w:val="24"/>
              </w:rPr>
            </w:pPr>
          </w:p>
        </w:tc>
        <w:tc>
          <w:tcPr>
            <w:tcW w:w="0" w:type="auto"/>
            <w:hideMark/>
          </w:tcPr>
          <w:p w14:paraId="7EC0FF23"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The credit risk rating system is regularly updated based on market trends.</w:t>
            </w:r>
          </w:p>
        </w:tc>
        <w:tc>
          <w:tcPr>
            <w:tcW w:w="0" w:type="auto"/>
            <w:hideMark/>
          </w:tcPr>
          <w:p w14:paraId="4D08D4E1"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66DB9C9E"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12145449"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30F223CD"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54543A8D"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4E5B0CD3" w14:textId="77777777" w:rsidTr="000A3769">
        <w:tc>
          <w:tcPr>
            <w:tcW w:w="0" w:type="auto"/>
            <w:hideMark/>
          </w:tcPr>
          <w:p w14:paraId="2CA2B03A" w14:textId="77777777" w:rsidR="00C90E40" w:rsidRPr="00C90E40" w:rsidRDefault="00C90E40" w:rsidP="00C90E40">
            <w:pPr>
              <w:spacing w:line="360" w:lineRule="auto"/>
              <w:jc w:val="both"/>
              <w:rPr>
                <w:rFonts w:ascii="Times New Roman" w:hAnsi="Times New Roman" w:cs="Times New Roman"/>
                <w:sz w:val="24"/>
                <w:szCs w:val="24"/>
              </w:rPr>
            </w:pPr>
          </w:p>
        </w:tc>
        <w:tc>
          <w:tcPr>
            <w:tcW w:w="0" w:type="auto"/>
            <w:hideMark/>
          </w:tcPr>
          <w:p w14:paraId="784F7237"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Risk rating methodologies are transparent and consistently applied.</w:t>
            </w:r>
          </w:p>
        </w:tc>
        <w:tc>
          <w:tcPr>
            <w:tcW w:w="0" w:type="auto"/>
            <w:hideMark/>
          </w:tcPr>
          <w:p w14:paraId="1ADD9D52"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42E917A6"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033D1260"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58F6A2E6"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08D429FA"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6BA9E3F7" w14:textId="77777777" w:rsidTr="000A3769">
        <w:tc>
          <w:tcPr>
            <w:tcW w:w="0" w:type="auto"/>
            <w:hideMark/>
          </w:tcPr>
          <w:p w14:paraId="1607CC8D" w14:textId="77777777" w:rsidR="00C90E40" w:rsidRPr="00C90E40" w:rsidRDefault="00C90E40" w:rsidP="00C90E40">
            <w:pPr>
              <w:spacing w:line="360" w:lineRule="auto"/>
              <w:jc w:val="both"/>
              <w:rPr>
                <w:rFonts w:ascii="Times New Roman" w:hAnsi="Times New Roman" w:cs="Times New Roman"/>
                <w:sz w:val="24"/>
                <w:szCs w:val="24"/>
              </w:rPr>
            </w:pPr>
          </w:p>
        </w:tc>
        <w:tc>
          <w:tcPr>
            <w:tcW w:w="0" w:type="auto"/>
            <w:hideMark/>
          </w:tcPr>
          <w:p w14:paraId="443F0527"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Credit ratings are assigned using objective and quantifiable metrics.</w:t>
            </w:r>
          </w:p>
        </w:tc>
        <w:tc>
          <w:tcPr>
            <w:tcW w:w="0" w:type="auto"/>
            <w:hideMark/>
          </w:tcPr>
          <w:p w14:paraId="40B59165"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10979C92"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235E4E74"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73F48191"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061B982F"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7A8BF073" w14:textId="77777777" w:rsidTr="000A3769">
        <w:tc>
          <w:tcPr>
            <w:tcW w:w="0" w:type="auto"/>
            <w:hideMark/>
          </w:tcPr>
          <w:p w14:paraId="6F9B70F7" w14:textId="77777777" w:rsidR="00C90E40" w:rsidRPr="00C90E40" w:rsidRDefault="00C90E40" w:rsidP="00C90E40">
            <w:pPr>
              <w:spacing w:line="360" w:lineRule="auto"/>
              <w:jc w:val="both"/>
              <w:rPr>
                <w:rFonts w:ascii="Times New Roman" w:hAnsi="Times New Roman" w:cs="Times New Roman"/>
                <w:sz w:val="24"/>
                <w:szCs w:val="24"/>
              </w:rPr>
            </w:pPr>
          </w:p>
        </w:tc>
        <w:tc>
          <w:tcPr>
            <w:tcW w:w="0" w:type="auto"/>
            <w:hideMark/>
          </w:tcPr>
          <w:p w14:paraId="3949A5D9"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The credit rating system incorporates macroeconomic and industry-specific risks.</w:t>
            </w:r>
          </w:p>
        </w:tc>
        <w:tc>
          <w:tcPr>
            <w:tcW w:w="0" w:type="auto"/>
            <w:hideMark/>
          </w:tcPr>
          <w:p w14:paraId="596C41E2"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292862F4"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0D68FB0B"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0F7384A7"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5DB4C239"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1046042E" w14:textId="77777777" w:rsidTr="000A3769">
        <w:tc>
          <w:tcPr>
            <w:tcW w:w="0" w:type="auto"/>
            <w:hideMark/>
          </w:tcPr>
          <w:p w14:paraId="6594739F" w14:textId="77777777" w:rsidR="00C90E40" w:rsidRPr="00C90E40" w:rsidRDefault="00C90E40" w:rsidP="00C90E40">
            <w:pPr>
              <w:spacing w:line="360" w:lineRule="auto"/>
              <w:jc w:val="both"/>
              <w:rPr>
                <w:rFonts w:ascii="Times New Roman" w:hAnsi="Times New Roman" w:cs="Times New Roman"/>
                <w:sz w:val="24"/>
                <w:szCs w:val="24"/>
              </w:rPr>
            </w:pPr>
          </w:p>
        </w:tc>
        <w:tc>
          <w:tcPr>
            <w:tcW w:w="0" w:type="auto"/>
            <w:hideMark/>
          </w:tcPr>
          <w:p w14:paraId="0B2480BE"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The credit rating system is integrated into the overall risk management framework.</w:t>
            </w:r>
          </w:p>
        </w:tc>
        <w:tc>
          <w:tcPr>
            <w:tcW w:w="0" w:type="auto"/>
            <w:hideMark/>
          </w:tcPr>
          <w:p w14:paraId="126BB4AB"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48FECE13"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72349374"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6609C033"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1F1F567F"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58AF338C" w14:textId="77777777" w:rsidTr="000A3769">
        <w:tc>
          <w:tcPr>
            <w:tcW w:w="0" w:type="auto"/>
            <w:hideMark/>
          </w:tcPr>
          <w:p w14:paraId="691B1B78"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Collateral Management</w:t>
            </w:r>
          </w:p>
        </w:tc>
        <w:tc>
          <w:tcPr>
            <w:tcW w:w="0" w:type="auto"/>
            <w:hideMark/>
          </w:tcPr>
          <w:p w14:paraId="4FF9C4BA"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Collateral is assessed thoroughly before approving loans.</w:t>
            </w:r>
          </w:p>
        </w:tc>
        <w:tc>
          <w:tcPr>
            <w:tcW w:w="0" w:type="auto"/>
            <w:hideMark/>
          </w:tcPr>
          <w:p w14:paraId="3BFCF042"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7199E1E6"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377C3129"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3276CE6F"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12DA3851"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3198D351" w14:textId="77777777" w:rsidTr="000A3769">
        <w:tc>
          <w:tcPr>
            <w:tcW w:w="0" w:type="auto"/>
            <w:hideMark/>
          </w:tcPr>
          <w:p w14:paraId="54595D92" w14:textId="77777777" w:rsidR="00C90E40" w:rsidRPr="00C90E40" w:rsidRDefault="00C90E40" w:rsidP="00C90E40">
            <w:pPr>
              <w:spacing w:line="360" w:lineRule="auto"/>
              <w:jc w:val="both"/>
              <w:rPr>
                <w:rFonts w:ascii="Times New Roman" w:hAnsi="Times New Roman" w:cs="Times New Roman"/>
                <w:sz w:val="24"/>
                <w:szCs w:val="24"/>
              </w:rPr>
            </w:pPr>
          </w:p>
        </w:tc>
        <w:tc>
          <w:tcPr>
            <w:tcW w:w="0" w:type="auto"/>
            <w:hideMark/>
          </w:tcPr>
          <w:p w14:paraId="03679078"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The institution maintains proper documentation of all collateral assets.</w:t>
            </w:r>
          </w:p>
        </w:tc>
        <w:tc>
          <w:tcPr>
            <w:tcW w:w="0" w:type="auto"/>
            <w:hideMark/>
          </w:tcPr>
          <w:p w14:paraId="371E0AAF"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168CB32B"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2EC23910"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6C13D661"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50143096"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7673513A" w14:textId="77777777" w:rsidTr="000A3769">
        <w:tc>
          <w:tcPr>
            <w:tcW w:w="0" w:type="auto"/>
            <w:hideMark/>
          </w:tcPr>
          <w:p w14:paraId="4EEFA8AF" w14:textId="77777777" w:rsidR="00C90E40" w:rsidRPr="00C90E40" w:rsidRDefault="00C90E40" w:rsidP="00C90E40">
            <w:pPr>
              <w:spacing w:line="360" w:lineRule="auto"/>
              <w:jc w:val="both"/>
              <w:rPr>
                <w:rFonts w:ascii="Times New Roman" w:hAnsi="Times New Roman" w:cs="Times New Roman"/>
                <w:sz w:val="24"/>
                <w:szCs w:val="24"/>
              </w:rPr>
            </w:pPr>
          </w:p>
        </w:tc>
        <w:tc>
          <w:tcPr>
            <w:tcW w:w="0" w:type="auto"/>
            <w:hideMark/>
          </w:tcPr>
          <w:p w14:paraId="5B272EBE"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Collateral valuation methods are accurate and regularly reviewed.</w:t>
            </w:r>
          </w:p>
        </w:tc>
        <w:tc>
          <w:tcPr>
            <w:tcW w:w="0" w:type="auto"/>
            <w:hideMark/>
          </w:tcPr>
          <w:p w14:paraId="093921D1"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6FD30CE4"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0EA268FD"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07A26397"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7BD35BBD"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3597EE60" w14:textId="77777777" w:rsidTr="000A3769">
        <w:tc>
          <w:tcPr>
            <w:tcW w:w="0" w:type="auto"/>
            <w:hideMark/>
          </w:tcPr>
          <w:p w14:paraId="410009BE" w14:textId="77777777" w:rsidR="00C90E40" w:rsidRPr="00C90E40" w:rsidRDefault="00C90E40" w:rsidP="00C90E40">
            <w:pPr>
              <w:spacing w:line="360" w:lineRule="auto"/>
              <w:jc w:val="both"/>
              <w:rPr>
                <w:rFonts w:ascii="Times New Roman" w:hAnsi="Times New Roman" w:cs="Times New Roman"/>
                <w:sz w:val="24"/>
                <w:szCs w:val="24"/>
              </w:rPr>
            </w:pPr>
          </w:p>
        </w:tc>
        <w:tc>
          <w:tcPr>
            <w:tcW w:w="0" w:type="auto"/>
            <w:hideMark/>
          </w:tcPr>
          <w:p w14:paraId="3982989D"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Collateral is properly secured to mitigate risks.</w:t>
            </w:r>
          </w:p>
        </w:tc>
        <w:tc>
          <w:tcPr>
            <w:tcW w:w="0" w:type="auto"/>
            <w:hideMark/>
          </w:tcPr>
          <w:p w14:paraId="622589A9"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551F154D"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2480FCF2"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03749ED1"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2BFD75AB"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6AEE5B19" w14:textId="77777777" w:rsidTr="000A3769">
        <w:tc>
          <w:tcPr>
            <w:tcW w:w="0" w:type="auto"/>
            <w:hideMark/>
          </w:tcPr>
          <w:p w14:paraId="20A096C5" w14:textId="77777777" w:rsidR="00C90E40" w:rsidRPr="00C90E40" w:rsidRDefault="00C90E40" w:rsidP="00C90E40">
            <w:pPr>
              <w:spacing w:line="360" w:lineRule="auto"/>
              <w:jc w:val="both"/>
              <w:rPr>
                <w:rFonts w:ascii="Times New Roman" w:hAnsi="Times New Roman" w:cs="Times New Roman"/>
                <w:sz w:val="24"/>
                <w:szCs w:val="24"/>
              </w:rPr>
            </w:pPr>
          </w:p>
        </w:tc>
        <w:tc>
          <w:tcPr>
            <w:tcW w:w="0" w:type="auto"/>
            <w:hideMark/>
          </w:tcPr>
          <w:p w14:paraId="4BC4B864"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Collateral is re-assessed if there is a significant change in market conditions.</w:t>
            </w:r>
          </w:p>
        </w:tc>
        <w:tc>
          <w:tcPr>
            <w:tcW w:w="0" w:type="auto"/>
            <w:hideMark/>
          </w:tcPr>
          <w:p w14:paraId="54E2B057"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1793D58C"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1D740A78"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07C25053"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44903281"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6D258756" w14:textId="77777777" w:rsidTr="000A3769">
        <w:tc>
          <w:tcPr>
            <w:tcW w:w="0" w:type="auto"/>
            <w:hideMark/>
          </w:tcPr>
          <w:p w14:paraId="5529BEEC" w14:textId="77777777" w:rsidR="00C90E40" w:rsidRPr="00C90E40" w:rsidRDefault="00C90E40" w:rsidP="00C90E40">
            <w:pPr>
              <w:spacing w:line="360" w:lineRule="auto"/>
              <w:jc w:val="both"/>
              <w:rPr>
                <w:rFonts w:ascii="Times New Roman" w:hAnsi="Times New Roman" w:cs="Times New Roman"/>
                <w:sz w:val="24"/>
                <w:szCs w:val="24"/>
              </w:rPr>
            </w:pPr>
          </w:p>
        </w:tc>
        <w:tc>
          <w:tcPr>
            <w:tcW w:w="0" w:type="auto"/>
            <w:hideMark/>
          </w:tcPr>
          <w:p w14:paraId="3D8E52DA"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 xml:space="preserve">Collateral management practices are </w:t>
            </w:r>
            <w:r w:rsidRPr="00C90E40">
              <w:rPr>
                <w:rFonts w:ascii="Times New Roman" w:hAnsi="Times New Roman" w:cs="Times New Roman"/>
                <w:sz w:val="24"/>
                <w:szCs w:val="24"/>
              </w:rPr>
              <w:lastRenderedPageBreak/>
              <w:t>aligned with the institution's risk management policy.</w:t>
            </w:r>
          </w:p>
        </w:tc>
        <w:tc>
          <w:tcPr>
            <w:tcW w:w="0" w:type="auto"/>
            <w:hideMark/>
          </w:tcPr>
          <w:p w14:paraId="180D5D59"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lastRenderedPageBreak/>
              <w:t>☐</w:t>
            </w:r>
          </w:p>
        </w:tc>
        <w:tc>
          <w:tcPr>
            <w:tcW w:w="0" w:type="auto"/>
            <w:hideMark/>
          </w:tcPr>
          <w:p w14:paraId="53C2E53D"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76E1410E"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3A89A581"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4D9F2399"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67A9AC18" w14:textId="77777777" w:rsidTr="000A3769">
        <w:tc>
          <w:tcPr>
            <w:tcW w:w="0" w:type="auto"/>
            <w:hideMark/>
          </w:tcPr>
          <w:p w14:paraId="53C5D784"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lastRenderedPageBreak/>
              <w:t>Credit Risk Monitoring Frequency</w:t>
            </w:r>
          </w:p>
        </w:tc>
        <w:tc>
          <w:tcPr>
            <w:tcW w:w="0" w:type="auto"/>
            <w:hideMark/>
          </w:tcPr>
          <w:p w14:paraId="67E9C4BC"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Credit risk exposure is monitored frequently to detect early warning signs.</w:t>
            </w:r>
          </w:p>
        </w:tc>
        <w:tc>
          <w:tcPr>
            <w:tcW w:w="0" w:type="auto"/>
            <w:hideMark/>
          </w:tcPr>
          <w:p w14:paraId="0E2D3BB6"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78587FAB"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7626B90E"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46964AB1"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0EBC44D7"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28C4C15F" w14:textId="77777777" w:rsidTr="000A3769">
        <w:tc>
          <w:tcPr>
            <w:tcW w:w="0" w:type="auto"/>
            <w:hideMark/>
          </w:tcPr>
          <w:p w14:paraId="733BF333" w14:textId="77777777" w:rsidR="00C90E40" w:rsidRPr="00C90E40" w:rsidRDefault="00C90E40" w:rsidP="00C90E40">
            <w:pPr>
              <w:spacing w:line="360" w:lineRule="auto"/>
              <w:jc w:val="both"/>
              <w:rPr>
                <w:rFonts w:ascii="Times New Roman" w:hAnsi="Times New Roman" w:cs="Times New Roman"/>
                <w:sz w:val="24"/>
                <w:szCs w:val="24"/>
              </w:rPr>
            </w:pPr>
          </w:p>
        </w:tc>
        <w:tc>
          <w:tcPr>
            <w:tcW w:w="0" w:type="auto"/>
            <w:hideMark/>
          </w:tcPr>
          <w:p w14:paraId="5DEDED9A"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Regular reports on credit risk are submitted to senior management.</w:t>
            </w:r>
          </w:p>
        </w:tc>
        <w:tc>
          <w:tcPr>
            <w:tcW w:w="0" w:type="auto"/>
            <w:hideMark/>
          </w:tcPr>
          <w:p w14:paraId="0BC11360"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091108F8"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6D91C352"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0BFF0798"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51D30DC9"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346A0FEF" w14:textId="77777777" w:rsidTr="000A3769">
        <w:tc>
          <w:tcPr>
            <w:tcW w:w="0" w:type="auto"/>
            <w:hideMark/>
          </w:tcPr>
          <w:p w14:paraId="1F3B1BD3" w14:textId="77777777" w:rsidR="00C90E40" w:rsidRPr="00C90E40" w:rsidRDefault="00C90E40" w:rsidP="00C90E40">
            <w:pPr>
              <w:spacing w:line="360" w:lineRule="auto"/>
              <w:jc w:val="both"/>
              <w:rPr>
                <w:rFonts w:ascii="Times New Roman" w:hAnsi="Times New Roman" w:cs="Times New Roman"/>
                <w:sz w:val="24"/>
                <w:szCs w:val="24"/>
              </w:rPr>
            </w:pPr>
          </w:p>
        </w:tc>
        <w:tc>
          <w:tcPr>
            <w:tcW w:w="0" w:type="auto"/>
            <w:hideMark/>
          </w:tcPr>
          <w:p w14:paraId="39A73DFA"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Automated systems are in place to track and analyze credit risk.</w:t>
            </w:r>
          </w:p>
        </w:tc>
        <w:tc>
          <w:tcPr>
            <w:tcW w:w="0" w:type="auto"/>
            <w:hideMark/>
          </w:tcPr>
          <w:p w14:paraId="60016EDE"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32072CB1"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584A474F"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349E86B4"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40A27B89"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31BAC25B" w14:textId="77777777" w:rsidTr="000A3769">
        <w:tc>
          <w:tcPr>
            <w:tcW w:w="0" w:type="auto"/>
            <w:hideMark/>
          </w:tcPr>
          <w:p w14:paraId="63F22381" w14:textId="77777777" w:rsidR="00C90E40" w:rsidRPr="00C90E40" w:rsidRDefault="00C90E40" w:rsidP="00C90E40">
            <w:pPr>
              <w:spacing w:line="360" w:lineRule="auto"/>
              <w:jc w:val="both"/>
              <w:rPr>
                <w:rFonts w:ascii="Times New Roman" w:hAnsi="Times New Roman" w:cs="Times New Roman"/>
                <w:sz w:val="24"/>
                <w:szCs w:val="24"/>
              </w:rPr>
            </w:pPr>
          </w:p>
        </w:tc>
        <w:tc>
          <w:tcPr>
            <w:tcW w:w="0" w:type="auto"/>
            <w:hideMark/>
          </w:tcPr>
          <w:p w14:paraId="5B490A57"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Credit risk monitoring processes are integrated into daily operations.</w:t>
            </w:r>
          </w:p>
        </w:tc>
        <w:tc>
          <w:tcPr>
            <w:tcW w:w="0" w:type="auto"/>
            <w:hideMark/>
          </w:tcPr>
          <w:p w14:paraId="1C1E9CD3"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5D730FBC"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222F8B45"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14FEA618"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083699E6"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62D28714" w14:textId="77777777" w:rsidTr="000A3769">
        <w:tc>
          <w:tcPr>
            <w:tcW w:w="0" w:type="auto"/>
            <w:hideMark/>
          </w:tcPr>
          <w:p w14:paraId="64BEE091" w14:textId="77777777" w:rsidR="00C90E40" w:rsidRPr="00C90E40" w:rsidRDefault="00C90E40" w:rsidP="00C90E40">
            <w:pPr>
              <w:spacing w:line="360" w:lineRule="auto"/>
              <w:jc w:val="both"/>
              <w:rPr>
                <w:rFonts w:ascii="Times New Roman" w:hAnsi="Times New Roman" w:cs="Times New Roman"/>
                <w:sz w:val="24"/>
                <w:szCs w:val="24"/>
              </w:rPr>
            </w:pPr>
          </w:p>
        </w:tc>
        <w:tc>
          <w:tcPr>
            <w:tcW w:w="0" w:type="auto"/>
            <w:hideMark/>
          </w:tcPr>
          <w:p w14:paraId="09BA0DC5"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Credit risk is reviewed in detail during monthly risk management meetings.</w:t>
            </w:r>
          </w:p>
        </w:tc>
        <w:tc>
          <w:tcPr>
            <w:tcW w:w="0" w:type="auto"/>
            <w:hideMark/>
          </w:tcPr>
          <w:p w14:paraId="41AEF20B"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6F8861AA"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5E17B682"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4EC18DE4"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726D368C"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6252AC19" w14:textId="77777777" w:rsidTr="000A3769">
        <w:tc>
          <w:tcPr>
            <w:tcW w:w="0" w:type="auto"/>
            <w:hideMark/>
          </w:tcPr>
          <w:p w14:paraId="4194EB99" w14:textId="77777777" w:rsidR="00C90E40" w:rsidRPr="00C90E40" w:rsidRDefault="00C90E40" w:rsidP="00C90E40">
            <w:pPr>
              <w:spacing w:line="360" w:lineRule="auto"/>
              <w:jc w:val="both"/>
              <w:rPr>
                <w:rFonts w:ascii="Times New Roman" w:hAnsi="Times New Roman" w:cs="Times New Roman"/>
                <w:sz w:val="24"/>
                <w:szCs w:val="24"/>
              </w:rPr>
            </w:pPr>
          </w:p>
        </w:tc>
        <w:tc>
          <w:tcPr>
            <w:tcW w:w="0" w:type="auto"/>
            <w:hideMark/>
          </w:tcPr>
          <w:p w14:paraId="091F248D"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Regular updates are provided to stakeholders on changes in credit risk exposure.</w:t>
            </w:r>
          </w:p>
        </w:tc>
        <w:tc>
          <w:tcPr>
            <w:tcW w:w="0" w:type="auto"/>
            <w:hideMark/>
          </w:tcPr>
          <w:p w14:paraId="0AC9F225"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005B1C69"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425D86A4"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190318A6"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26D55CB7"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bl>
    <w:p w14:paraId="18A13033" w14:textId="77777777" w:rsidR="00C90E40" w:rsidRPr="00C90E40" w:rsidRDefault="00C90E40" w:rsidP="00C90E40">
      <w:pPr>
        <w:spacing w:line="360" w:lineRule="auto"/>
        <w:jc w:val="both"/>
        <w:rPr>
          <w:rFonts w:ascii="Times New Roman" w:hAnsi="Times New Roman" w:cs="Times New Roman"/>
          <w:sz w:val="24"/>
          <w:szCs w:val="24"/>
        </w:rPr>
      </w:pPr>
    </w:p>
    <w:p w14:paraId="7AC2C454" w14:textId="77777777" w:rsidR="00C90E40" w:rsidRPr="00C90E40" w:rsidRDefault="00C90E40" w:rsidP="00C90E40">
      <w:pPr>
        <w:spacing w:line="360" w:lineRule="auto"/>
        <w:jc w:val="both"/>
        <w:rPr>
          <w:rFonts w:ascii="Times New Roman" w:hAnsi="Times New Roman" w:cs="Times New Roman"/>
          <w:b/>
          <w:sz w:val="24"/>
          <w:szCs w:val="24"/>
        </w:rPr>
      </w:pPr>
    </w:p>
    <w:p w14:paraId="1CF2C660" w14:textId="77777777" w:rsidR="00C90E40" w:rsidRPr="00C90E40" w:rsidRDefault="00C90E40" w:rsidP="00C90E40">
      <w:pPr>
        <w:spacing w:line="360" w:lineRule="auto"/>
        <w:jc w:val="both"/>
        <w:rPr>
          <w:rFonts w:ascii="Times New Roman" w:hAnsi="Times New Roman" w:cs="Times New Roman"/>
          <w:b/>
          <w:sz w:val="24"/>
          <w:szCs w:val="24"/>
        </w:rPr>
      </w:pPr>
    </w:p>
    <w:p w14:paraId="28B10E18" w14:textId="77777777" w:rsidR="00C90E40" w:rsidRPr="00C90E40" w:rsidRDefault="00C90E40" w:rsidP="00C90E40">
      <w:pPr>
        <w:spacing w:line="360" w:lineRule="auto"/>
        <w:jc w:val="both"/>
        <w:rPr>
          <w:rFonts w:ascii="Times New Roman" w:hAnsi="Times New Roman" w:cs="Times New Roman"/>
          <w:b/>
          <w:sz w:val="24"/>
          <w:szCs w:val="24"/>
        </w:rPr>
      </w:pPr>
    </w:p>
    <w:p w14:paraId="2B76718E" w14:textId="77777777" w:rsidR="00C90E40" w:rsidRPr="00C90E40" w:rsidRDefault="00C90E40" w:rsidP="00C90E40">
      <w:pPr>
        <w:spacing w:line="360" w:lineRule="auto"/>
        <w:jc w:val="both"/>
        <w:rPr>
          <w:rFonts w:ascii="Times New Roman" w:hAnsi="Times New Roman" w:cs="Times New Roman"/>
          <w:b/>
          <w:sz w:val="24"/>
          <w:szCs w:val="24"/>
        </w:rPr>
      </w:pPr>
      <w:r w:rsidRPr="00C90E40">
        <w:rPr>
          <w:rFonts w:ascii="Times New Roman" w:hAnsi="Times New Roman" w:cs="Times New Roman"/>
          <w:b/>
          <w:sz w:val="24"/>
          <w:szCs w:val="24"/>
        </w:rPr>
        <w:t xml:space="preserve">PART III: Financial performance of GT Bank  </w:t>
      </w:r>
    </w:p>
    <w:p w14:paraId="79EF2F52"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States whether the bank has known the financial performance on its indicators where 1= Strongly disagree, 2=Disagree, 3=Not sure, 4=Agree, 5= Strongly agree</w:t>
      </w:r>
    </w:p>
    <w:p w14:paraId="67F75BB7" w14:textId="77777777" w:rsidR="00C90E40" w:rsidRPr="00C90E40" w:rsidRDefault="00C90E40" w:rsidP="00C90E40">
      <w:pPr>
        <w:numPr>
          <w:ilvl w:val="0"/>
          <w:numId w:val="22"/>
        </w:numPr>
        <w:spacing w:line="360" w:lineRule="auto"/>
        <w:jc w:val="both"/>
        <w:rPr>
          <w:rFonts w:ascii="Times New Roman" w:hAnsi="Times New Roman" w:cs="Times New Roman"/>
          <w:b/>
          <w:bCs/>
          <w:sz w:val="24"/>
          <w:szCs w:val="24"/>
        </w:rPr>
      </w:pPr>
      <w:r w:rsidRPr="00C90E40">
        <w:rPr>
          <w:rFonts w:ascii="Times New Roman" w:hAnsi="Times New Roman" w:cs="Times New Roman"/>
          <w:b/>
          <w:bCs/>
          <w:sz w:val="24"/>
          <w:szCs w:val="24"/>
        </w:rPr>
        <w:t>Financial Performance of GT Bank</w:t>
      </w:r>
    </w:p>
    <w:tbl>
      <w:tblPr>
        <w:tblW w:w="0" w:type="auto"/>
        <w:tblLook w:val="04A0" w:firstRow="1" w:lastRow="0" w:firstColumn="1" w:lastColumn="0" w:noHBand="0" w:noVBand="1"/>
      </w:tblPr>
      <w:tblGrid>
        <w:gridCol w:w="7127"/>
        <w:gridCol w:w="423"/>
        <w:gridCol w:w="423"/>
        <w:gridCol w:w="423"/>
        <w:gridCol w:w="423"/>
        <w:gridCol w:w="423"/>
      </w:tblGrid>
      <w:tr w:rsidR="00C90E40" w:rsidRPr="00C90E40" w14:paraId="5E0C34DB" w14:textId="77777777" w:rsidTr="000A3769">
        <w:tc>
          <w:tcPr>
            <w:tcW w:w="0" w:type="auto"/>
            <w:hideMark/>
          </w:tcPr>
          <w:p w14:paraId="1786704C"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b/>
                <w:bCs/>
                <w:sz w:val="24"/>
                <w:szCs w:val="24"/>
              </w:rPr>
              <w:t>Statement</w:t>
            </w:r>
          </w:p>
        </w:tc>
        <w:tc>
          <w:tcPr>
            <w:tcW w:w="0" w:type="auto"/>
            <w:hideMark/>
          </w:tcPr>
          <w:p w14:paraId="1B8ECDE8"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b/>
                <w:bCs/>
                <w:sz w:val="24"/>
                <w:szCs w:val="24"/>
              </w:rPr>
              <w:t>1</w:t>
            </w:r>
          </w:p>
        </w:tc>
        <w:tc>
          <w:tcPr>
            <w:tcW w:w="0" w:type="auto"/>
            <w:hideMark/>
          </w:tcPr>
          <w:p w14:paraId="507DFCE5"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b/>
                <w:bCs/>
                <w:sz w:val="24"/>
                <w:szCs w:val="24"/>
              </w:rPr>
              <w:t>2</w:t>
            </w:r>
          </w:p>
        </w:tc>
        <w:tc>
          <w:tcPr>
            <w:tcW w:w="0" w:type="auto"/>
            <w:hideMark/>
          </w:tcPr>
          <w:p w14:paraId="0C5BBF33"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b/>
                <w:bCs/>
                <w:sz w:val="24"/>
                <w:szCs w:val="24"/>
              </w:rPr>
              <w:t>3</w:t>
            </w:r>
          </w:p>
        </w:tc>
        <w:tc>
          <w:tcPr>
            <w:tcW w:w="0" w:type="auto"/>
            <w:hideMark/>
          </w:tcPr>
          <w:p w14:paraId="36C2D17C"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b/>
                <w:bCs/>
                <w:sz w:val="24"/>
                <w:szCs w:val="24"/>
              </w:rPr>
              <w:t>4</w:t>
            </w:r>
          </w:p>
        </w:tc>
        <w:tc>
          <w:tcPr>
            <w:tcW w:w="0" w:type="auto"/>
            <w:hideMark/>
          </w:tcPr>
          <w:p w14:paraId="6AEB403C"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b/>
                <w:bCs/>
                <w:sz w:val="24"/>
                <w:szCs w:val="24"/>
              </w:rPr>
              <w:t>5</w:t>
            </w:r>
          </w:p>
        </w:tc>
      </w:tr>
      <w:tr w:rsidR="00C90E40" w:rsidRPr="00C90E40" w14:paraId="1101AAE4" w14:textId="77777777" w:rsidTr="000A3769">
        <w:tc>
          <w:tcPr>
            <w:tcW w:w="0" w:type="auto"/>
            <w:hideMark/>
          </w:tcPr>
          <w:p w14:paraId="1554A787"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The Net Interest Margin has been improving over the years.</w:t>
            </w:r>
          </w:p>
        </w:tc>
        <w:tc>
          <w:tcPr>
            <w:tcW w:w="0" w:type="auto"/>
            <w:hideMark/>
          </w:tcPr>
          <w:p w14:paraId="6BABA415"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32C2A2C1"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6FEA99F5"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16212FA9"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122E305A"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4F417D05" w14:textId="77777777" w:rsidTr="000A3769">
        <w:tc>
          <w:tcPr>
            <w:tcW w:w="0" w:type="auto"/>
            <w:hideMark/>
          </w:tcPr>
          <w:p w14:paraId="0805972B"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The Return on Equity reflects strong financial performance.</w:t>
            </w:r>
          </w:p>
        </w:tc>
        <w:tc>
          <w:tcPr>
            <w:tcW w:w="0" w:type="auto"/>
            <w:hideMark/>
          </w:tcPr>
          <w:p w14:paraId="5984F1C9"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5C3C8974"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19721464"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4884ED5C"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2E92C2A2"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2E4EFF61" w14:textId="77777777" w:rsidTr="000A3769">
        <w:tc>
          <w:tcPr>
            <w:tcW w:w="0" w:type="auto"/>
            <w:hideMark/>
          </w:tcPr>
          <w:p w14:paraId="1E65FD30"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lastRenderedPageBreak/>
              <w:t>The Return on Assets indicates efficiency in asset utilization.</w:t>
            </w:r>
          </w:p>
        </w:tc>
        <w:tc>
          <w:tcPr>
            <w:tcW w:w="0" w:type="auto"/>
            <w:hideMark/>
          </w:tcPr>
          <w:p w14:paraId="49AEE225"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552678C3"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3FF3AA14"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01D0A7EC"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3CC6B65E"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7C2F1D92" w14:textId="77777777" w:rsidTr="000A3769">
        <w:tc>
          <w:tcPr>
            <w:tcW w:w="0" w:type="auto"/>
            <w:hideMark/>
          </w:tcPr>
          <w:p w14:paraId="27A804CE"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The Cash Ratio ensures adequate liquidity for bank operations.</w:t>
            </w:r>
          </w:p>
        </w:tc>
        <w:tc>
          <w:tcPr>
            <w:tcW w:w="0" w:type="auto"/>
            <w:hideMark/>
          </w:tcPr>
          <w:p w14:paraId="73CD2122"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1F7D0E70"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1B9FA68C"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56C503C0"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5F2DD41C"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66B8F0A3" w14:textId="77777777" w:rsidTr="000A3769">
        <w:tc>
          <w:tcPr>
            <w:tcW w:w="0" w:type="auto"/>
            <w:hideMark/>
          </w:tcPr>
          <w:p w14:paraId="368E5D5B"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The Liquidity to Assets Ratio shows the bank's ability to meet obligations.</w:t>
            </w:r>
          </w:p>
        </w:tc>
        <w:tc>
          <w:tcPr>
            <w:tcW w:w="0" w:type="auto"/>
            <w:hideMark/>
          </w:tcPr>
          <w:p w14:paraId="0EA03485"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330B783B"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5A1045D3"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3D539A0D"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4B49BBDD"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r w:rsidR="00C90E40" w:rsidRPr="00C90E40" w14:paraId="1FC1A00C" w14:textId="77777777" w:rsidTr="000A3769">
        <w:tc>
          <w:tcPr>
            <w:tcW w:w="0" w:type="auto"/>
            <w:hideMark/>
          </w:tcPr>
          <w:p w14:paraId="5FF497DF"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The Loans to Deposit Ratio is well-balanced for financial stability.</w:t>
            </w:r>
          </w:p>
        </w:tc>
        <w:tc>
          <w:tcPr>
            <w:tcW w:w="0" w:type="auto"/>
            <w:hideMark/>
          </w:tcPr>
          <w:p w14:paraId="45732D1D"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6E9688F9"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2011B7B0"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62C09EE5"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c>
          <w:tcPr>
            <w:tcW w:w="0" w:type="auto"/>
            <w:hideMark/>
          </w:tcPr>
          <w:p w14:paraId="129CADBB"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Segoe UI Symbol" w:hAnsi="Segoe UI Symbol" w:cs="Segoe UI Symbol"/>
                <w:sz w:val="24"/>
                <w:szCs w:val="24"/>
              </w:rPr>
              <w:t>☐</w:t>
            </w:r>
          </w:p>
        </w:tc>
      </w:tr>
    </w:tbl>
    <w:p w14:paraId="1177797C" w14:textId="302FAA4B" w:rsidR="00C90E40" w:rsidRPr="00C90E40" w:rsidRDefault="00C90E40" w:rsidP="000A3769">
      <w:pPr>
        <w:spacing w:line="360" w:lineRule="auto"/>
        <w:jc w:val="both"/>
        <w:rPr>
          <w:rFonts w:ascii="Times New Roman" w:hAnsi="Times New Roman" w:cs="Times New Roman"/>
          <w:sz w:val="24"/>
          <w:szCs w:val="24"/>
        </w:rPr>
      </w:pPr>
    </w:p>
    <w:p w14:paraId="2F7C3D73" w14:textId="5FE5553D" w:rsidR="00C90E40" w:rsidRPr="000A3769" w:rsidRDefault="000A3769" w:rsidP="000A3769">
      <w:pPr>
        <w:pStyle w:val="Heading2"/>
        <w:spacing w:line="360" w:lineRule="auto"/>
        <w:rPr>
          <w:rFonts w:ascii="Times New Roman" w:hAnsi="Times New Roman" w:cs="Times New Roman"/>
          <w:sz w:val="24"/>
          <w:szCs w:val="24"/>
          <w:lang w:val="en-GB"/>
        </w:rPr>
      </w:pPr>
      <w:bookmarkStart w:id="1542" w:name="_Toc165640151"/>
      <w:bookmarkStart w:id="1543" w:name="_Toc165639942"/>
      <w:bookmarkStart w:id="1544" w:name="_Toc163808597"/>
      <w:bookmarkStart w:id="1545" w:name="_Toc163808474"/>
      <w:bookmarkStart w:id="1546" w:name="_Toc163808301"/>
      <w:bookmarkStart w:id="1547" w:name="_Toc163807725"/>
      <w:bookmarkStart w:id="1548" w:name="_Toc163052559"/>
      <w:bookmarkStart w:id="1549" w:name="_Toc160712946"/>
      <w:bookmarkStart w:id="1550" w:name="_Toc160712511"/>
      <w:bookmarkStart w:id="1551" w:name="_Toc160712420"/>
      <w:bookmarkStart w:id="1552" w:name="_Toc128311008"/>
      <w:bookmarkStart w:id="1553" w:name="_Toc128310680"/>
      <w:bookmarkStart w:id="1554" w:name="_Toc125879493"/>
      <w:bookmarkStart w:id="1555" w:name="_Toc125878922"/>
      <w:bookmarkStart w:id="1556" w:name="_Toc125878371"/>
      <w:bookmarkStart w:id="1557" w:name="_Toc183425031"/>
      <w:bookmarkStart w:id="1558" w:name="_Toc183425275"/>
      <w:bookmarkStart w:id="1559" w:name="_Toc183426963"/>
      <w:bookmarkStart w:id="1560" w:name="_Toc193846509"/>
      <w:r>
        <w:rPr>
          <w:rFonts w:ascii="Times New Roman" w:hAnsi="Times New Roman" w:cs="Times New Roman"/>
          <w:sz w:val="24"/>
          <w:szCs w:val="24"/>
          <w:lang w:val="en-GB"/>
        </w:rPr>
        <w:t>Appendix II</w:t>
      </w:r>
      <w:r w:rsidR="00C90E40" w:rsidRPr="000A3769">
        <w:rPr>
          <w:rFonts w:ascii="Times New Roman" w:hAnsi="Times New Roman" w:cs="Times New Roman"/>
          <w:sz w:val="24"/>
          <w:szCs w:val="24"/>
          <w:lang w:val="en-GB"/>
        </w:rPr>
        <w:t>: Interview guide with the Manager</w:t>
      </w:r>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p>
    <w:p w14:paraId="4C4E2F7B"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Dear Participant,</w:t>
      </w:r>
    </w:p>
    <w:p w14:paraId="6E805F31"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1. What are the current interventions used in your Bank to assist in the loan decision process?</w:t>
      </w:r>
    </w:p>
    <w:p w14:paraId="4DD0CF04" w14:textId="77777777" w:rsidR="00C90E40" w:rsidRP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2. What bank specific factors do you think are causing the occurrence of nonperforming loans in GT Bank?</w:t>
      </w:r>
    </w:p>
    <w:p w14:paraId="5EA29BCD" w14:textId="1ED771F2" w:rsidR="00C90E40" w:rsidRDefault="00C90E40" w:rsidP="00C90E40">
      <w:pPr>
        <w:spacing w:line="360" w:lineRule="auto"/>
        <w:jc w:val="both"/>
        <w:rPr>
          <w:rFonts w:ascii="Times New Roman" w:hAnsi="Times New Roman" w:cs="Times New Roman"/>
          <w:sz w:val="24"/>
          <w:szCs w:val="24"/>
        </w:rPr>
      </w:pPr>
      <w:r w:rsidRPr="00C90E40">
        <w:rPr>
          <w:rFonts w:ascii="Times New Roman" w:hAnsi="Times New Roman" w:cs="Times New Roman"/>
          <w:sz w:val="24"/>
          <w:szCs w:val="24"/>
        </w:rPr>
        <w:t>Q3. What are the strategies that could be used by GT Bank in order to minimize nonperforming loan?</w:t>
      </w:r>
    </w:p>
    <w:p w14:paraId="6E915DD4" w14:textId="77777777" w:rsidR="000A3769" w:rsidRPr="00C90E40" w:rsidRDefault="000A3769" w:rsidP="000A3769">
      <w:pPr>
        <w:spacing w:line="360" w:lineRule="auto"/>
        <w:jc w:val="both"/>
        <w:rPr>
          <w:rFonts w:ascii="Times New Roman" w:hAnsi="Times New Roman" w:cs="Times New Roman"/>
          <w:sz w:val="24"/>
          <w:szCs w:val="24"/>
        </w:rPr>
      </w:pPr>
      <w:r w:rsidRPr="00C90E40">
        <w:rPr>
          <w:rFonts w:ascii="Times New Roman" w:hAnsi="Times New Roman" w:cs="Times New Roman"/>
          <w:b/>
          <w:sz w:val="24"/>
          <w:szCs w:val="24"/>
        </w:rPr>
        <w:t xml:space="preserve">Thanks for your participation </w:t>
      </w:r>
    </w:p>
    <w:p w14:paraId="59C988F9" w14:textId="77777777" w:rsidR="000A3769" w:rsidRPr="00C90E40" w:rsidRDefault="000A3769" w:rsidP="000A3769">
      <w:pPr>
        <w:spacing w:line="360" w:lineRule="auto"/>
        <w:jc w:val="both"/>
        <w:rPr>
          <w:rFonts w:ascii="Times New Roman" w:hAnsi="Times New Roman" w:cs="Times New Roman"/>
          <w:sz w:val="24"/>
          <w:szCs w:val="24"/>
        </w:rPr>
      </w:pPr>
      <w:bookmarkStart w:id="1561" w:name="_Toc463785450"/>
      <w:r w:rsidRPr="00C90E40">
        <w:rPr>
          <w:rFonts w:ascii="Times New Roman" w:hAnsi="Times New Roman" w:cs="Times New Roman"/>
          <w:sz w:val="24"/>
          <w:szCs w:val="24"/>
        </w:rPr>
        <w:t>En</w:t>
      </w:r>
      <w:bookmarkEnd w:id="1561"/>
      <w:r w:rsidRPr="00C90E40">
        <w:rPr>
          <w:rFonts w:ascii="Times New Roman" w:hAnsi="Times New Roman" w:cs="Times New Roman"/>
          <w:sz w:val="24"/>
          <w:szCs w:val="24"/>
        </w:rPr>
        <w:t>d</w:t>
      </w:r>
    </w:p>
    <w:p w14:paraId="4A3B0CDB" w14:textId="4E64C6A8" w:rsidR="000A3769" w:rsidRDefault="000A3769" w:rsidP="00C90E40">
      <w:pPr>
        <w:spacing w:line="360" w:lineRule="auto"/>
        <w:jc w:val="both"/>
        <w:rPr>
          <w:rFonts w:ascii="Times New Roman" w:hAnsi="Times New Roman" w:cs="Times New Roman"/>
          <w:sz w:val="24"/>
          <w:szCs w:val="24"/>
        </w:rPr>
      </w:pPr>
    </w:p>
    <w:p w14:paraId="0B25E9DC" w14:textId="57A962F1" w:rsidR="000A3769" w:rsidRDefault="000A3769" w:rsidP="00C90E40">
      <w:pPr>
        <w:spacing w:line="360" w:lineRule="auto"/>
        <w:jc w:val="both"/>
        <w:rPr>
          <w:rFonts w:ascii="Times New Roman" w:hAnsi="Times New Roman" w:cs="Times New Roman"/>
          <w:sz w:val="24"/>
          <w:szCs w:val="24"/>
        </w:rPr>
      </w:pPr>
    </w:p>
    <w:p w14:paraId="18459E0E" w14:textId="6506C5EA" w:rsidR="000A3769" w:rsidRDefault="000A3769" w:rsidP="00C90E40">
      <w:pPr>
        <w:spacing w:line="360" w:lineRule="auto"/>
        <w:jc w:val="both"/>
        <w:rPr>
          <w:rFonts w:ascii="Times New Roman" w:hAnsi="Times New Roman" w:cs="Times New Roman"/>
          <w:sz w:val="24"/>
          <w:szCs w:val="24"/>
        </w:rPr>
      </w:pPr>
    </w:p>
    <w:p w14:paraId="4FE398EB" w14:textId="088183D1" w:rsidR="000A3769" w:rsidRDefault="000A3769" w:rsidP="00C90E40">
      <w:pPr>
        <w:spacing w:line="360" w:lineRule="auto"/>
        <w:jc w:val="both"/>
        <w:rPr>
          <w:rFonts w:ascii="Times New Roman" w:hAnsi="Times New Roman" w:cs="Times New Roman"/>
          <w:sz w:val="24"/>
          <w:szCs w:val="24"/>
        </w:rPr>
      </w:pPr>
    </w:p>
    <w:p w14:paraId="6BAAABFC" w14:textId="14544E2F" w:rsidR="000A3769" w:rsidRDefault="000A3769" w:rsidP="00C90E40">
      <w:pPr>
        <w:spacing w:line="360" w:lineRule="auto"/>
        <w:jc w:val="both"/>
        <w:rPr>
          <w:rFonts w:ascii="Times New Roman" w:hAnsi="Times New Roman" w:cs="Times New Roman"/>
          <w:sz w:val="24"/>
          <w:szCs w:val="24"/>
        </w:rPr>
      </w:pPr>
    </w:p>
    <w:p w14:paraId="01481801" w14:textId="121FA4D0" w:rsidR="000A3769" w:rsidRDefault="000A3769" w:rsidP="00C90E40">
      <w:pPr>
        <w:spacing w:line="360" w:lineRule="auto"/>
        <w:jc w:val="both"/>
        <w:rPr>
          <w:rFonts w:ascii="Times New Roman" w:hAnsi="Times New Roman" w:cs="Times New Roman"/>
          <w:sz w:val="24"/>
          <w:szCs w:val="24"/>
        </w:rPr>
      </w:pPr>
    </w:p>
    <w:p w14:paraId="63028A0A" w14:textId="230156A9" w:rsidR="000A3769" w:rsidRDefault="000A3769" w:rsidP="00C90E40">
      <w:pPr>
        <w:spacing w:line="360" w:lineRule="auto"/>
        <w:jc w:val="both"/>
        <w:rPr>
          <w:rFonts w:ascii="Times New Roman" w:hAnsi="Times New Roman" w:cs="Times New Roman"/>
          <w:sz w:val="24"/>
          <w:szCs w:val="24"/>
        </w:rPr>
      </w:pPr>
    </w:p>
    <w:p w14:paraId="056643E6" w14:textId="7FDF0374" w:rsidR="000A3769" w:rsidRDefault="000A3769" w:rsidP="00C90E40">
      <w:pPr>
        <w:spacing w:line="360" w:lineRule="auto"/>
        <w:jc w:val="both"/>
        <w:rPr>
          <w:rFonts w:ascii="Times New Roman" w:hAnsi="Times New Roman" w:cs="Times New Roman"/>
          <w:sz w:val="24"/>
          <w:szCs w:val="24"/>
        </w:rPr>
      </w:pPr>
    </w:p>
    <w:p w14:paraId="299475C0" w14:textId="40B49D78" w:rsidR="000A3769" w:rsidRDefault="000A3769" w:rsidP="00C90E40">
      <w:pPr>
        <w:spacing w:line="360" w:lineRule="auto"/>
        <w:jc w:val="both"/>
        <w:rPr>
          <w:rFonts w:ascii="Times New Roman" w:hAnsi="Times New Roman" w:cs="Times New Roman"/>
          <w:sz w:val="24"/>
          <w:szCs w:val="24"/>
        </w:rPr>
      </w:pPr>
    </w:p>
    <w:p w14:paraId="6C09EB65" w14:textId="6C375EB7" w:rsidR="000A3769" w:rsidRDefault="000A3769" w:rsidP="00C90E40">
      <w:pPr>
        <w:spacing w:line="360" w:lineRule="auto"/>
        <w:jc w:val="both"/>
        <w:rPr>
          <w:rFonts w:ascii="Times New Roman" w:hAnsi="Times New Roman" w:cs="Times New Roman"/>
          <w:sz w:val="24"/>
          <w:szCs w:val="24"/>
        </w:rPr>
      </w:pPr>
    </w:p>
    <w:p w14:paraId="2339850C" w14:textId="31283602" w:rsidR="000A3769" w:rsidRDefault="000A3769" w:rsidP="00C90E40">
      <w:pPr>
        <w:spacing w:line="360" w:lineRule="auto"/>
        <w:jc w:val="both"/>
        <w:rPr>
          <w:rFonts w:ascii="Times New Roman" w:hAnsi="Times New Roman" w:cs="Times New Roman"/>
          <w:sz w:val="24"/>
          <w:szCs w:val="24"/>
        </w:rPr>
      </w:pPr>
    </w:p>
    <w:p w14:paraId="6EACABB0" w14:textId="01AF16EF" w:rsidR="000A3769" w:rsidRDefault="000A3769" w:rsidP="00C90E40">
      <w:pPr>
        <w:spacing w:line="360" w:lineRule="auto"/>
        <w:jc w:val="both"/>
        <w:rPr>
          <w:rFonts w:ascii="Times New Roman" w:hAnsi="Times New Roman" w:cs="Times New Roman"/>
          <w:sz w:val="24"/>
          <w:szCs w:val="24"/>
        </w:rPr>
      </w:pPr>
    </w:p>
    <w:p w14:paraId="350F8539" w14:textId="02D09F50" w:rsidR="000A3769" w:rsidRDefault="000A3769" w:rsidP="00C90E40">
      <w:pPr>
        <w:spacing w:line="360" w:lineRule="auto"/>
        <w:jc w:val="both"/>
        <w:rPr>
          <w:rFonts w:ascii="Times New Roman" w:hAnsi="Times New Roman" w:cs="Times New Roman"/>
          <w:sz w:val="24"/>
          <w:szCs w:val="24"/>
        </w:rPr>
      </w:pPr>
    </w:p>
    <w:p w14:paraId="187C768A" w14:textId="43B6E645" w:rsidR="000A3769" w:rsidRDefault="000A3769" w:rsidP="00C90E40">
      <w:pPr>
        <w:spacing w:line="360" w:lineRule="auto"/>
        <w:jc w:val="both"/>
        <w:rPr>
          <w:rFonts w:ascii="Times New Roman" w:hAnsi="Times New Roman" w:cs="Times New Roman"/>
          <w:sz w:val="24"/>
          <w:szCs w:val="24"/>
        </w:rPr>
      </w:pPr>
    </w:p>
    <w:p w14:paraId="5AACBD2E" w14:textId="7E0F0177" w:rsidR="000A3769" w:rsidRDefault="000A3769" w:rsidP="00C90E40">
      <w:pPr>
        <w:spacing w:line="360" w:lineRule="auto"/>
        <w:jc w:val="both"/>
        <w:rPr>
          <w:rFonts w:ascii="Times New Roman" w:hAnsi="Times New Roman" w:cs="Times New Roman"/>
          <w:sz w:val="24"/>
          <w:szCs w:val="24"/>
        </w:rPr>
      </w:pPr>
    </w:p>
    <w:p w14:paraId="7B9A5151" w14:textId="26A294D2" w:rsidR="000A3769" w:rsidRDefault="000A3769" w:rsidP="00C90E40">
      <w:pPr>
        <w:spacing w:line="360" w:lineRule="auto"/>
        <w:jc w:val="both"/>
        <w:rPr>
          <w:rFonts w:ascii="Times New Roman" w:hAnsi="Times New Roman" w:cs="Times New Roman"/>
          <w:sz w:val="24"/>
          <w:szCs w:val="24"/>
        </w:rPr>
      </w:pPr>
    </w:p>
    <w:p w14:paraId="78434810" w14:textId="76EDCDB1" w:rsidR="000A3769" w:rsidRPr="007B40C9" w:rsidRDefault="000A3769" w:rsidP="007B40C9">
      <w:pPr>
        <w:pStyle w:val="Heading2"/>
        <w:rPr>
          <w:rFonts w:ascii="Times New Roman" w:hAnsi="Times New Roman" w:cs="Times New Roman"/>
          <w:sz w:val="24"/>
          <w:szCs w:val="24"/>
        </w:rPr>
      </w:pPr>
      <w:bookmarkStart w:id="1562" w:name="_Toc123084200"/>
      <w:bookmarkStart w:id="1563" w:name="_Toc142479529"/>
      <w:bookmarkStart w:id="1564" w:name="_Toc143958592"/>
      <w:bookmarkStart w:id="1565" w:name="_Toc150098905"/>
      <w:bookmarkStart w:id="1566" w:name="_Toc163490996"/>
      <w:bookmarkStart w:id="1567" w:name="_Toc167610549"/>
      <w:bookmarkStart w:id="1568" w:name="_Toc193715971"/>
      <w:bookmarkStart w:id="1569" w:name="_Toc193846510"/>
      <w:r w:rsidRPr="007B40C9">
        <w:rPr>
          <w:rFonts w:ascii="Times New Roman" w:hAnsi="Times New Roman" w:cs="Times New Roman"/>
          <w:sz w:val="24"/>
          <w:szCs w:val="24"/>
        </w:rPr>
        <w:t xml:space="preserve">APPENDIX III: ACCEPTANCE LETTER FROM </w:t>
      </w:r>
      <w:bookmarkEnd w:id="1562"/>
      <w:bookmarkEnd w:id="1563"/>
      <w:bookmarkEnd w:id="1564"/>
      <w:bookmarkEnd w:id="1565"/>
      <w:bookmarkEnd w:id="1566"/>
      <w:bookmarkEnd w:id="1567"/>
      <w:bookmarkEnd w:id="1568"/>
      <w:r w:rsidR="00E17130" w:rsidRPr="007B40C9">
        <w:rPr>
          <w:rFonts w:ascii="Times New Roman" w:hAnsi="Times New Roman" w:cs="Times New Roman"/>
          <w:sz w:val="24"/>
          <w:szCs w:val="24"/>
        </w:rPr>
        <w:t>UNLAK UNIVERSITY</w:t>
      </w:r>
      <w:bookmarkEnd w:id="1569"/>
    </w:p>
    <w:p w14:paraId="1F3FEF07" w14:textId="77777777" w:rsidR="00C90E40" w:rsidRPr="00C90E40" w:rsidRDefault="00C90E40" w:rsidP="00C90E40">
      <w:pPr>
        <w:spacing w:line="360" w:lineRule="auto"/>
        <w:jc w:val="both"/>
        <w:rPr>
          <w:rFonts w:ascii="Times New Roman" w:hAnsi="Times New Roman" w:cs="Times New Roman"/>
          <w:sz w:val="24"/>
          <w:szCs w:val="24"/>
        </w:rPr>
      </w:pPr>
    </w:p>
    <w:p w14:paraId="2F48E235" w14:textId="77777777" w:rsidR="00805BDA" w:rsidRPr="00C90E40" w:rsidRDefault="00805BDA" w:rsidP="00C90E40">
      <w:pPr>
        <w:spacing w:line="360" w:lineRule="auto"/>
        <w:jc w:val="both"/>
        <w:rPr>
          <w:rFonts w:ascii="Times New Roman" w:hAnsi="Times New Roman" w:cs="Times New Roman"/>
          <w:sz w:val="24"/>
          <w:szCs w:val="24"/>
        </w:rPr>
      </w:pPr>
    </w:p>
    <w:p w14:paraId="1041B008" w14:textId="77777777" w:rsidR="00805BDA" w:rsidRPr="00C90E40" w:rsidRDefault="00805BDA" w:rsidP="00C90E40">
      <w:pPr>
        <w:spacing w:line="360" w:lineRule="auto"/>
        <w:jc w:val="both"/>
        <w:rPr>
          <w:rFonts w:ascii="Times New Roman" w:hAnsi="Times New Roman" w:cs="Times New Roman"/>
          <w:sz w:val="24"/>
          <w:szCs w:val="24"/>
        </w:rPr>
      </w:pPr>
    </w:p>
    <w:p w14:paraId="1022F28C" w14:textId="77777777" w:rsidR="00805BDA" w:rsidRPr="006D3D71" w:rsidRDefault="00805BDA" w:rsidP="006D3D71">
      <w:pPr>
        <w:pStyle w:val="Heading3"/>
        <w:spacing w:line="360" w:lineRule="auto"/>
        <w:rPr>
          <w:rFonts w:asciiTheme="majorBidi" w:hAnsiTheme="majorBidi"/>
          <w:color w:val="auto"/>
          <w:sz w:val="24"/>
          <w:szCs w:val="24"/>
        </w:rPr>
      </w:pPr>
    </w:p>
    <w:p w14:paraId="7C3B4D4C" w14:textId="77777777" w:rsidR="00805BDA" w:rsidRPr="006D3D71" w:rsidRDefault="00805BDA" w:rsidP="000A3769"/>
    <w:p w14:paraId="58EB74D2" w14:textId="77777777" w:rsidR="00805BDA" w:rsidRPr="006D3D71" w:rsidRDefault="00805BDA" w:rsidP="000A3769"/>
    <w:p w14:paraId="41692FAF" w14:textId="77777777" w:rsidR="00805BDA" w:rsidRPr="006D3D71" w:rsidRDefault="00805BDA" w:rsidP="000A3769"/>
    <w:p w14:paraId="59BCDE6E" w14:textId="77777777" w:rsidR="00805BDA" w:rsidRPr="006D3D71" w:rsidRDefault="00805BDA" w:rsidP="000A3769"/>
    <w:p w14:paraId="55E9C16C" w14:textId="77777777" w:rsidR="00805BDA" w:rsidRPr="006D3D71" w:rsidRDefault="00805BDA" w:rsidP="000A3769"/>
    <w:p w14:paraId="4A2E41A0" w14:textId="77777777" w:rsidR="00805BDA" w:rsidRPr="006D3D71" w:rsidRDefault="00805BDA" w:rsidP="000A3769"/>
    <w:p w14:paraId="551DE3C7" w14:textId="77777777" w:rsidR="00805BDA" w:rsidRPr="006D3D71" w:rsidRDefault="00805BDA" w:rsidP="000A3769"/>
    <w:p w14:paraId="11849CE3" w14:textId="77777777" w:rsidR="00805BDA" w:rsidRPr="006D3D71" w:rsidRDefault="00805BDA" w:rsidP="000A3769"/>
    <w:p w14:paraId="79CE417E" w14:textId="77777777" w:rsidR="00805BDA" w:rsidRPr="006D3D71" w:rsidRDefault="00805BDA" w:rsidP="000A3769"/>
    <w:p w14:paraId="161E70F8" w14:textId="77777777" w:rsidR="00805BDA" w:rsidRPr="006D3D71" w:rsidRDefault="00805BDA" w:rsidP="000A3769"/>
    <w:p w14:paraId="4DEDFA4F" w14:textId="21FCF773" w:rsidR="00805BDA" w:rsidRDefault="00805BDA" w:rsidP="006D3D71">
      <w:pPr>
        <w:pStyle w:val="Heading3"/>
        <w:spacing w:line="360" w:lineRule="auto"/>
        <w:rPr>
          <w:rFonts w:asciiTheme="majorBidi" w:hAnsiTheme="majorBidi"/>
          <w:color w:val="auto"/>
          <w:sz w:val="24"/>
          <w:szCs w:val="24"/>
        </w:rPr>
      </w:pPr>
    </w:p>
    <w:p w14:paraId="00ADAE9A" w14:textId="25718E22" w:rsidR="000A3769" w:rsidRDefault="000A3769" w:rsidP="000A3769"/>
    <w:p w14:paraId="10667C48" w14:textId="42915C51" w:rsidR="000A3769" w:rsidRDefault="000A3769" w:rsidP="000A3769"/>
    <w:p w14:paraId="5D8F721B" w14:textId="2C7061DB" w:rsidR="000A3769" w:rsidRDefault="000A3769" w:rsidP="000A3769"/>
    <w:p w14:paraId="6E66E0C1" w14:textId="676980FC" w:rsidR="000A3769" w:rsidRDefault="000A3769" w:rsidP="000A3769"/>
    <w:p w14:paraId="55862447" w14:textId="54C6F930" w:rsidR="000A3769" w:rsidRDefault="000A3769" w:rsidP="000A3769"/>
    <w:p w14:paraId="70528778" w14:textId="472A0832" w:rsidR="000A3769" w:rsidRDefault="000A3769" w:rsidP="000A3769"/>
    <w:p w14:paraId="328930DE" w14:textId="3F77FAA9" w:rsidR="000A3769" w:rsidRDefault="000A3769" w:rsidP="000A3769"/>
    <w:p w14:paraId="78D805F9" w14:textId="49144A05" w:rsidR="000A3769" w:rsidRDefault="000A3769" w:rsidP="000A3769"/>
    <w:p w14:paraId="2A6889E5" w14:textId="08EE6C69" w:rsidR="000A3769" w:rsidRDefault="000A3769" w:rsidP="000A3769"/>
    <w:p w14:paraId="3DC1B2F7" w14:textId="044D8195" w:rsidR="000A3769" w:rsidRDefault="000A3769" w:rsidP="000A3769"/>
    <w:p w14:paraId="2C70D6AB" w14:textId="314984FD" w:rsidR="000A3769" w:rsidRDefault="000A3769" w:rsidP="000A3769"/>
    <w:p w14:paraId="4C8EB281" w14:textId="1B70DB24" w:rsidR="000A3769" w:rsidRPr="00E67A9C" w:rsidRDefault="00E17130" w:rsidP="000A3769">
      <w:pPr>
        <w:pStyle w:val="Heading2"/>
        <w:spacing w:line="360" w:lineRule="auto"/>
        <w:rPr>
          <w:rFonts w:ascii="Times New Roman" w:hAnsi="Times New Roman" w:cs="Times New Roman"/>
          <w:b/>
          <w:color w:val="000000" w:themeColor="text1"/>
          <w:sz w:val="24"/>
          <w:szCs w:val="24"/>
        </w:rPr>
      </w:pPr>
      <w:bookmarkStart w:id="1570" w:name="_Toc193846511"/>
      <w:r>
        <w:rPr>
          <w:rFonts w:ascii="Times New Roman" w:hAnsi="Times New Roman" w:cs="Times New Roman"/>
          <w:b/>
          <w:color w:val="000000" w:themeColor="text1"/>
          <w:sz w:val="24"/>
          <w:szCs w:val="24"/>
        </w:rPr>
        <w:t>APPENDIX IV</w:t>
      </w:r>
      <w:r w:rsidR="000A3769" w:rsidRPr="00E67A9C">
        <w:rPr>
          <w:rFonts w:ascii="Times New Roman" w:hAnsi="Times New Roman" w:cs="Times New Roman"/>
          <w:b/>
          <w:color w:val="000000" w:themeColor="text1"/>
          <w:sz w:val="24"/>
          <w:szCs w:val="24"/>
        </w:rPr>
        <w:t xml:space="preserve">: ACCEPTANCE LETTER FROM </w:t>
      </w:r>
      <w:r>
        <w:rPr>
          <w:rFonts w:ascii="Times New Roman" w:hAnsi="Times New Roman" w:cs="Times New Roman"/>
          <w:b/>
          <w:color w:val="000000" w:themeColor="text1"/>
          <w:sz w:val="24"/>
          <w:szCs w:val="24"/>
        </w:rPr>
        <w:t xml:space="preserve">GT </w:t>
      </w:r>
      <w:r w:rsidR="000A3769" w:rsidRPr="00E67A9C">
        <w:rPr>
          <w:rFonts w:ascii="Times New Roman" w:hAnsi="Times New Roman" w:cs="Times New Roman"/>
          <w:b/>
          <w:color w:val="000000" w:themeColor="text1"/>
          <w:sz w:val="24"/>
          <w:szCs w:val="24"/>
        </w:rPr>
        <w:t>COMMERCIAL BANKS</w:t>
      </w:r>
      <w:bookmarkEnd w:id="1570"/>
    </w:p>
    <w:p w14:paraId="6C7FB37A" w14:textId="495492C0" w:rsidR="000A3769" w:rsidRPr="000A3769" w:rsidRDefault="000A3769" w:rsidP="000A3769"/>
    <w:sectPr w:rsidR="000A3769" w:rsidRPr="000A3769" w:rsidSect="006B08B0">
      <w:footerReference w:type="default" r:id="rId22"/>
      <w:pgSz w:w="11906" w:h="16838" w:code="9"/>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47" w:author="Kadhafi" w:date="2025-03-20T09:50:00Z" w:initials="DK">
    <w:p w14:paraId="3B2B742C" w14:textId="77777777" w:rsidR="000A3769" w:rsidRDefault="000A3769">
      <w:pPr>
        <w:pStyle w:val="CommentText"/>
      </w:pPr>
      <w:r>
        <w:rPr>
          <w:rStyle w:val="CommentReference"/>
        </w:rPr>
        <w:annotationRef/>
      </w:r>
      <w:r>
        <w:t>I don’t see anything relating to credit risk management.</w:t>
      </w:r>
    </w:p>
    <w:p w14:paraId="293047EC" w14:textId="26DCEB48" w:rsidR="000A3769" w:rsidRDefault="000A3769">
      <w:pPr>
        <w:pStyle w:val="CommentText"/>
      </w:pPr>
      <w:r>
        <w:t>Rather show us how the credit risk is managed?</w:t>
      </w:r>
    </w:p>
  </w:comment>
  <w:comment w:id="499" w:author="Kadhafi" w:date="2025-03-20T09:51:00Z" w:initials="DK">
    <w:p w14:paraId="175AEBD8" w14:textId="4A2F3DC3" w:rsidR="000A3769" w:rsidRDefault="000A3769">
      <w:pPr>
        <w:pStyle w:val="CommentText"/>
      </w:pPr>
      <w:r>
        <w:rPr>
          <w:rStyle w:val="CommentReference"/>
        </w:rPr>
        <w:annotationRef/>
      </w:r>
      <w:r>
        <w:t>Use thus while shaping the indicators of independent variable s</w:t>
      </w:r>
    </w:p>
  </w:comment>
  <w:comment w:id="563" w:author="Kadhafi" w:date="2025-03-20T09:53:00Z" w:initials="DK">
    <w:p w14:paraId="142D7ABC" w14:textId="1C186472" w:rsidR="000A3769" w:rsidRDefault="000A3769">
      <w:pPr>
        <w:pStyle w:val="CommentText"/>
      </w:pPr>
      <w:r>
        <w:rPr>
          <w:rStyle w:val="CommentReference"/>
        </w:rPr>
        <w:annotationRef/>
      </w:r>
      <w:r>
        <w:t xml:space="preserve">After changing the conceptual framework, the chapter 2 will be revised also </w:t>
      </w:r>
    </w:p>
  </w:comment>
  <w:comment w:id="846" w:author="Kadhafi" w:date="2025-03-20T09:54:00Z" w:initials="DK">
    <w:p w14:paraId="10CE2492" w14:textId="2290BF16" w:rsidR="000A3769" w:rsidRDefault="000A3769" w:rsidP="00F649DF">
      <w:pPr>
        <w:pStyle w:val="CommentText"/>
      </w:pPr>
      <w:r>
        <w:rPr>
          <w:rStyle w:val="CommentReference"/>
        </w:rPr>
        <w:annotationRef/>
      </w:r>
      <w:r>
        <w:t xml:space="preserve">After changing the conceptual framework, the chapter 3 will be revised also </w:t>
      </w:r>
    </w:p>
    <w:p w14:paraId="53C07D7F" w14:textId="1A9B61FB" w:rsidR="000A3769" w:rsidRDefault="000A3769">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3047EC" w15:done="0"/>
  <w15:commentEx w15:paraId="175AEBD8" w15:done="0"/>
  <w15:commentEx w15:paraId="142D7ABC" w15:done="0"/>
  <w15:commentEx w15:paraId="53C07D7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3047EC" w16cid:durableId="293047EC"/>
  <w16cid:commentId w16cid:paraId="175AEBD8" w16cid:durableId="175AEBD8"/>
  <w16cid:commentId w16cid:paraId="142D7ABC" w16cid:durableId="142D7ABC"/>
  <w16cid:commentId w16cid:paraId="53C07D7F" w16cid:durableId="53C07D7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7E397F" w14:textId="77777777" w:rsidR="00C40875" w:rsidRDefault="00C40875" w:rsidP="006B08B0">
      <w:pPr>
        <w:spacing w:after="0" w:line="240" w:lineRule="auto"/>
      </w:pPr>
      <w:r>
        <w:separator/>
      </w:r>
    </w:p>
  </w:endnote>
  <w:endnote w:type="continuationSeparator" w:id="0">
    <w:p w14:paraId="6A9CDD32" w14:textId="77777777" w:rsidR="00C40875" w:rsidRDefault="00C40875" w:rsidP="006B0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dalus">
    <w:altName w:val="Times New Roman"/>
    <w:charset w:val="00"/>
    <w:family w:val="roman"/>
    <w:pitch w:val="variable"/>
    <w:sig w:usb0="00000000"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633369"/>
      <w:docPartObj>
        <w:docPartGallery w:val="Page Numbers (Bottom of Page)"/>
        <w:docPartUnique/>
      </w:docPartObj>
    </w:sdtPr>
    <w:sdtEndPr>
      <w:rPr>
        <w:noProof/>
      </w:rPr>
    </w:sdtEndPr>
    <w:sdtContent>
      <w:p w14:paraId="0C1D0D70" w14:textId="2700AD13" w:rsidR="000A3769" w:rsidRDefault="000A3769">
        <w:pPr>
          <w:pStyle w:val="Footer"/>
          <w:jc w:val="center"/>
        </w:pPr>
        <w:r>
          <w:fldChar w:fldCharType="begin"/>
        </w:r>
        <w:r>
          <w:instrText xml:space="preserve"> PAGE   \* MERGEFORMAT </w:instrText>
        </w:r>
        <w:r>
          <w:fldChar w:fldCharType="separate"/>
        </w:r>
        <w:r w:rsidR="009B3BC9">
          <w:rPr>
            <w:noProof/>
          </w:rPr>
          <w:t>2</w:t>
        </w:r>
        <w:r>
          <w:rPr>
            <w:noProof/>
          </w:rPr>
          <w:fldChar w:fldCharType="end"/>
        </w:r>
      </w:p>
    </w:sdtContent>
  </w:sdt>
  <w:p w14:paraId="4E4023AE" w14:textId="77777777" w:rsidR="000A3769" w:rsidRDefault="000A37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3BF24F" w14:textId="77777777" w:rsidR="00C40875" w:rsidRDefault="00C40875" w:rsidP="006B08B0">
      <w:pPr>
        <w:spacing w:after="0" w:line="240" w:lineRule="auto"/>
      </w:pPr>
      <w:r>
        <w:separator/>
      </w:r>
    </w:p>
  </w:footnote>
  <w:footnote w:type="continuationSeparator" w:id="0">
    <w:p w14:paraId="12431360" w14:textId="77777777" w:rsidR="00C40875" w:rsidRDefault="00C40875" w:rsidP="006B08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nsid w:val="08CC20E9"/>
    <w:multiLevelType w:val="hybridMultilevel"/>
    <w:tmpl w:val="124E99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1941BD"/>
    <w:multiLevelType w:val="multilevel"/>
    <w:tmpl w:val="FA6EE8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D55B76"/>
    <w:multiLevelType w:val="multilevel"/>
    <w:tmpl w:val="1652C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2A409D"/>
    <w:multiLevelType w:val="hybridMultilevel"/>
    <w:tmpl w:val="124E99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073E2D"/>
    <w:multiLevelType w:val="multilevel"/>
    <w:tmpl w:val="FA6EE8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636CEB"/>
    <w:multiLevelType w:val="multilevel"/>
    <w:tmpl w:val="A746A9C2"/>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E30334B"/>
    <w:multiLevelType w:val="multilevel"/>
    <w:tmpl w:val="FA6EE8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664185"/>
    <w:multiLevelType w:val="multilevel"/>
    <w:tmpl w:val="BD2CC6E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36A6492D"/>
    <w:multiLevelType w:val="multilevel"/>
    <w:tmpl w:val="0D049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B14678"/>
    <w:multiLevelType w:val="hybridMultilevel"/>
    <w:tmpl w:val="3FA2B53A"/>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nsid w:val="45701536"/>
    <w:multiLevelType w:val="multilevel"/>
    <w:tmpl w:val="04090025"/>
    <w:lvl w:ilvl="0">
      <w:start w:val="1"/>
      <w:numFmt w:val="decimal"/>
      <w:lvlText w:val="%1"/>
      <w:lvlJc w:val="left"/>
      <w:pPr>
        <w:ind w:left="432" w:hanging="432"/>
      </w:pPr>
      <w:rPr>
        <w:rFonts w:cs="Times New Roman"/>
      </w:rPr>
    </w:lvl>
    <w:lvl w:ilvl="1">
      <w:start w:val="1"/>
      <w:numFmt w:val="decimal"/>
      <w:lvlText w:val="%1.%2"/>
      <w:lvlJc w:val="left"/>
      <w:pPr>
        <w:ind w:left="111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nsid w:val="543004F0"/>
    <w:multiLevelType w:val="hybridMultilevel"/>
    <w:tmpl w:val="F2F439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A9087A"/>
    <w:multiLevelType w:val="multilevel"/>
    <w:tmpl w:val="D11CC9BC"/>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6373513"/>
    <w:multiLevelType w:val="multilevel"/>
    <w:tmpl w:val="FA6EE8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8A45D51"/>
    <w:multiLevelType w:val="multilevel"/>
    <w:tmpl w:val="8A741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A274C8B"/>
    <w:multiLevelType w:val="hybridMultilevel"/>
    <w:tmpl w:val="7464C34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4A90421"/>
    <w:multiLevelType w:val="multilevel"/>
    <w:tmpl w:val="FA6EE8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A050880"/>
    <w:multiLevelType w:val="multilevel"/>
    <w:tmpl w:val="74902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D4B1672"/>
    <w:multiLevelType w:val="hybridMultilevel"/>
    <w:tmpl w:val="B2BC7CF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701C258D"/>
    <w:multiLevelType w:val="hybridMultilevel"/>
    <w:tmpl w:val="BCDE37F4"/>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nsid w:val="75FE52F5"/>
    <w:multiLevelType w:val="hybridMultilevel"/>
    <w:tmpl w:val="9DE83B58"/>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nsid w:val="7BCB6FF8"/>
    <w:multiLevelType w:val="multilevel"/>
    <w:tmpl w:val="FA6EE8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FC91B99"/>
    <w:multiLevelType w:val="hybridMultilevel"/>
    <w:tmpl w:val="E0468D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2"/>
  </w:num>
  <w:num w:numId="2">
    <w:abstractNumId w:val="19"/>
  </w:num>
  <w:num w:numId="3">
    <w:abstractNumId w:val="0"/>
  </w:num>
  <w:num w:numId="4">
    <w:abstractNumId w:val="16"/>
  </w:num>
  <w:num w:numId="5">
    <w:abstractNumId w:val="4"/>
  </w:num>
  <w:num w:numId="6">
    <w:abstractNumId w:val="8"/>
  </w:num>
  <w:num w:numId="7">
    <w:abstractNumId w:val="7"/>
  </w:num>
  <w:num w:numId="8">
    <w:abstractNumId w:val="22"/>
  </w:num>
  <w:num w:numId="9">
    <w:abstractNumId w:val="18"/>
  </w:num>
  <w:num w:numId="10">
    <w:abstractNumId w:val="2"/>
  </w:num>
  <w:num w:numId="11">
    <w:abstractNumId w:val="13"/>
  </w:num>
  <w:num w:numId="12">
    <w:abstractNumId w:val="5"/>
  </w:num>
  <w:num w:numId="13">
    <w:abstractNumId w:val="14"/>
  </w:num>
  <w:num w:numId="14">
    <w:abstractNumId w:val="17"/>
  </w:num>
  <w:num w:numId="15">
    <w:abstractNumId w:val="6"/>
  </w:num>
  <w:num w:numId="16">
    <w:abstractNumId w:val="20"/>
  </w:num>
  <w:num w:numId="17">
    <w:abstractNumId w:val="21"/>
  </w:num>
  <w:num w:numId="18">
    <w:abstractNumId w:val="10"/>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dhafi">
    <w15:presenceInfo w15:providerId="None" w15:userId=" Kadhaf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DA7"/>
    <w:rsid w:val="00015944"/>
    <w:rsid w:val="00022C9B"/>
    <w:rsid w:val="00045F27"/>
    <w:rsid w:val="000549A7"/>
    <w:rsid w:val="00055E33"/>
    <w:rsid w:val="00065CE4"/>
    <w:rsid w:val="00066A3D"/>
    <w:rsid w:val="00066D43"/>
    <w:rsid w:val="0007021C"/>
    <w:rsid w:val="000713B4"/>
    <w:rsid w:val="00076AB8"/>
    <w:rsid w:val="000832F1"/>
    <w:rsid w:val="0008533E"/>
    <w:rsid w:val="0009662E"/>
    <w:rsid w:val="000A1372"/>
    <w:rsid w:val="000A25E4"/>
    <w:rsid w:val="000A3769"/>
    <w:rsid w:val="000A569F"/>
    <w:rsid w:val="000B6828"/>
    <w:rsid w:val="000D58BB"/>
    <w:rsid w:val="000E5BDB"/>
    <w:rsid w:val="000F58A6"/>
    <w:rsid w:val="000F7DFA"/>
    <w:rsid w:val="00102DCF"/>
    <w:rsid w:val="00114D51"/>
    <w:rsid w:val="001226C1"/>
    <w:rsid w:val="00133FD9"/>
    <w:rsid w:val="0013778F"/>
    <w:rsid w:val="0014687B"/>
    <w:rsid w:val="00150ACA"/>
    <w:rsid w:val="00152A35"/>
    <w:rsid w:val="00160D0D"/>
    <w:rsid w:val="0016390D"/>
    <w:rsid w:val="001752F2"/>
    <w:rsid w:val="001765EA"/>
    <w:rsid w:val="00177ECF"/>
    <w:rsid w:val="0018020A"/>
    <w:rsid w:val="001803FF"/>
    <w:rsid w:val="0018300A"/>
    <w:rsid w:val="001858A9"/>
    <w:rsid w:val="001B0056"/>
    <w:rsid w:val="001B0128"/>
    <w:rsid w:val="001D7D0D"/>
    <w:rsid w:val="001E1522"/>
    <w:rsid w:val="00202319"/>
    <w:rsid w:val="00203FE5"/>
    <w:rsid w:val="002135DC"/>
    <w:rsid w:val="002143D9"/>
    <w:rsid w:val="002425F2"/>
    <w:rsid w:val="002469AF"/>
    <w:rsid w:val="002515D4"/>
    <w:rsid w:val="00264285"/>
    <w:rsid w:val="002800CB"/>
    <w:rsid w:val="002A4DC0"/>
    <w:rsid w:val="002A7D3D"/>
    <w:rsid w:val="002B4044"/>
    <w:rsid w:val="002B4E02"/>
    <w:rsid w:val="002C46FE"/>
    <w:rsid w:val="002C4E6E"/>
    <w:rsid w:val="002D007A"/>
    <w:rsid w:val="002D3DFF"/>
    <w:rsid w:val="002F5843"/>
    <w:rsid w:val="00315950"/>
    <w:rsid w:val="003240D8"/>
    <w:rsid w:val="00326F51"/>
    <w:rsid w:val="00332A43"/>
    <w:rsid w:val="00336D3E"/>
    <w:rsid w:val="003376A9"/>
    <w:rsid w:val="00340DED"/>
    <w:rsid w:val="00380244"/>
    <w:rsid w:val="003832D7"/>
    <w:rsid w:val="003858AD"/>
    <w:rsid w:val="00386B33"/>
    <w:rsid w:val="0039378B"/>
    <w:rsid w:val="00394DD1"/>
    <w:rsid w:val="003A45F6"/>
    <w:rsid w:val="003B2BB4"/>
    <w:rsid w:val="003B420A"/>
    <w:rsid w:val="003C1053"/>
    <w:rsid w:val="003C6DC5"/>
    <w:rsid w:val="003D1748"/>
    <w:rsid w:val="003D2E79"/>
    <w:rsid w:val="003E0AB5"/>
    <w:rsid w:val="003E2CDF"/>
    <w:rsid w:val="003F0758"/>
    <w:rsid w:val="003F0834"/>
    <w:rsid w:val="003F31C7"/>
    <w:rsid w:val="0040014D"/>
    <w:rsid w:val="00400A69"/>
    <w:rsid w:val="0040428A"/>
    <w:rsid w:val="004150D2"/>
    <w:rsid w:val="0043039F"/>
    <w:rsid w:val="00431E00"/>
    <w:rsid w:val="00452EA5"/>
    <w:rsid w:val="00464994"/>
    <w:rsid w:val="00464C8D"/>
    <w:rsid w:val="0047302E"/>
    <w:rsid w:val="0047315B"/>
    <w:rsid w:val="00477D4A"/>
    <w:rsid w:val="00495AA1"/>
    <w:rsid w:val="004A103D"/>
    <w:rsid w:val="004A2F44"/>
    <w:rsid w:val="004C30FD"/>
    <w:rsid w:val="004C65B0"/>
    <w:rsid w:val="004D140A"/>
    <w:rsid w:val="004F165C"/>
    <w:rsid w:val="004F2780"/>
    <w:rsid w:val="004F5F61"/>
    <w:rsid w:val="00504E71"/>
    <w:rsid w:val="0052070F"/>
    <w:rsid w:val="005238EF"/>
    <w:rsid w:val="00530A0E"/>
    <w:rsid w:val="005377AA"/>
    <w:rsid w:val="005447AE"/>
    <w:rsid w:val="00562F84"/>
    <w:rsid w:val="00567127"/>
    <w:rsid w:val="00575F6F"/>
    <w:rsid w:val="005760C8"/>
    <w:rsid w:val="00577EF9"/>
    <w:rsid w:val="00580DE2"/>
    <w:rsid w:val="00597F9E"/>
    <w:rsid w:val="005B61D1"/>
    <w:rsid w:val="005E5EF8"/>
    <w:rsid w:val="005F09BF"/>
    <w:rsid w:val="005F6D78"/>
    <w:rsid w:val="005F6E18"/>
    <w:rsid w:val="006020E8"/>
    <w:rsid w:val="00603D6E"/>
    <w:rsid w:val="006161EE"/>
    <w:rsid w:val="00620C86"/>
    <w:rsid w:val="006448DA"/>
    <w:rsid w:val="0064519E"/>
    <w:rsid w:val="00645F63"/>
    <w:rsid w:val="00654211"/>
    <w:rsid w:val="006567C7"/>
    <w:rsid w:val="00670E8A"/>
    <w:rsid w:val="00671B51"/>
    <w:rsid w:val="006722A0"/>
    <w:rsid w:val="0067446E"/>
    <w:rsid w:val="00683484"/>
    <w:rsid w:val="00690AE7"/>
    <w:rsid w:val="00690F66"/>
    <w:rsid w:val="006937C8"/>
    <w:rsid w:val="006A1DD1"/>
    <w:rsid w:val="006A6599"/>
    <w:rsid w:val="006B08B0"/>
    <w:rsid w:val="006B0E9F"/>
    <w:rsid w:val="006B205A"/>
    <w:rsid w:val="006B34CB"/>
    <w:rsid w:val="006B5C2F"/>
    <w:rsid w:val="006C4B45"/>
    <w:rsid w:val="006D077A"/>
    <w:rsid w:val="006D3D71"/>
    <w:rsid w:val="006D5050"/>
    <w:rsid w:val="006F0528"/>
    <w:rsid w:val="006F1D4E"/>
    <w:rsid w:val="006F2EC1"/>
    <w:rsid w:val="006F5EDE"/>
    <w:rsid w:val="00710934"/>
    <w:rsid w:val="007160AF"/>
    <w:rsid w:val="00716F72"/>
    <w:rsid w:val="00717914"/>
    <w:rsid w:val="007204D0"/>
    <w:rsid w:val="0072104B"/>
    <w:rsid w:val="00726F9A"/>
    <w:rsid w:val="00734A6B"/>
    <w:rsid w:val="00735DC1"/>
    <w:rsid w:val="00737B0E"/>
    <w:rsid w:val="00756BA5"/>
    <w:rsid w:val="00763AF5"/>
    <w:rsid w:val="007709BF"/>
    <w:rsid w:val="00794071"/>
    <w:rsid w:val="007A7E42"/>
    <w:rsid w:val="007B40C9"/>
    <w:rsid w:val="007D1C44"/>
    <w:rsid w:val="007D2E93"/>
    <w:rsid w:val="007E42F6"/>
    <w:rsid w:val="007F49FB"/>
    <w:rsid w:val="007F4D54"/>
    <w:rsid w:val="007F5E4B"/>
    <w:rsid w:val="00805BDA"/>
    <w:rsid w:val="00811264"/>
    <w:rsid w:val="00813167"/>
    <w:rsid w:val="00820822"/>
    <w:rsid w:val="008268FC"/>
    <w:rsid w:val="00834718"/>
    <w:rsid w:val="0084475E"/>
    <w:rsid w:val="00846BB9"/>
    <w:rsid w:val="00847544"/>
    <w:rsid w:val="0086017A"/>
    <w:rsid w:val="00860B4D"/>
    <w:rsid w:val="008709BA"/>
    <w:rsid w:val="00883563"/>
    <w:rsid w:val="008A4D2C"/>
    <w:rsid w:val="008B14BC"/>
    <w:rsid w:val="008C44E3"/>
    <w:rsid w:val="008C6A99"/>
    <w:rsid w:val="008D0EF6"/>
    <w:rsid w:val="008F2F58"/>
    <w:rsid w:val="008F4D60"/>
    <w:rsid w:val="00903F27"/>
    <w:rsid w:val="00913121"/>
    <w:rsid w:val="009339AD"/>
    <w:rsid w:val="00935D53"/>
    <w:rsid w:val="009634E9"/>
    <w:rsid w:val="00967D6F"/>
    <w:rsid w:val="0097201D"/>
    <w:rsid w:val="00985B8E"/>
    <w:rsid w:val="009A5581"/>
    <w:rsid w:val="009B3223"/>
    <w:rsid w:val="009B3BC9"/>
    <w:rsid w:val="009E04DC"/>
    <w:rsid w:val="009F0539"/>
    <w:rsid w:val="009F3F47"/>
    <w:rsid w:val="00A10C7F"/>
    <w:rsid w:val="00A271E7"/>
    <w:rsid w:val="00A36B3E"/>
    <w:rsid w:val="00A50327"/>
    <w:rsid w:val="00A527A8"/>
    <w:rsid w:val="00A617F4"/>
    <w:rsid w:val="00A62874"/>
    <w:rsid w:val="00A82C02"/>
    <w:rsid w:val="00A83808"/>
    <w:rsid w:val="00A87FB2"/>
    <w:rsid w:val="00AA11F6"/>
    <w:rsid w:val="00AA52A0"/>
    <w:rsid w:val="00AA5B4F"/>
    <w:rsid w:val="00AC20CF"/>
    <w:rsid w:val="00AD0C7F"/>
    <w:rsid w:val="00AD4808"/>
    <w:rsid w:val="00AD76F3"/>
    <w:rsid w:val="00AE69BD"/>
    <w:rsid w:val="00AF3BB3"/>
    <w:rsid w:val="00AF4D40"/>
    <w:rsid w:val="00B027EA"/>
    <w:rsid w:val="00B036B3"/>
    <w:rsid w:val="00B3014D"/>
    <w:rsid w:val="00B40C34"/>
    <w:rsid w:val="00B57D5B"/>
    <w:rsid w:val="00B61B06"/>
    <w:rsid w:val="00B63C11"/>
    <w:rsid w:val="00B72B8B"/>
    <w:rsid w:val="00B823DA"/>
    <w:rsid w:val="00B93F7F"/>
    <w:rsid w:val="00B94DE4"/>
    <w:rsid w:val="00BA3277"/>
    <w:rsid w:val="00BA477C"/>
    <w:rsid w:val="00BA5497"/>
    <w:rsid w:val="00BA6805"/>
    <w:rsid w:val="00BB1055"/>
    <w:rsid w:val="00BB5635"/>
    <w:rsid w:val="00BB5FEF"/>
    <w:rsid w:val="00BB71F7"/>
    <w:rsid w:val="00BC6C2F"/>
    <w:rsid w:val="00BE1B4C"/>
    <w:rsid w:val="00BF01C7"/>
    <w:rsid w:val="00BF2842"/>
    <w:rsid w:val="00BF5487"/>
    <w:rsid w:val="00C02886"/>
    <w:rsid w:val="00C0683D"/>
    <w:rsid w:val="00C07B91"/>
    <w:rsid w:val="00C101C6"/>
    <w:rsid w:val="00C40875"/>
    <w:rsid w:val="00C66B54"/>
    <w:rsid w:val="00C77651"/>
    <w:rsid w:val="00C859B5"/>
    <w:rsid w:val="00C90E40"/>
    <w:rsid w:val="00CC69A7"/>
    <w:rsid w:val="00CD69D4"/>
    <w:rsid w:val="00CE4377"/>
    <w:rsid w:val="00CE54B3"/>
    <w:rsid w:val="00CE7878"/>
    <w:rsid w:val="00D411CF"/>
    <w:rsid w:val="00D43658"/>
    <w:rsid w:val="00D46FFE"/>
    <w:rsid w:val="00D475BA"/>
    <w:rsid w:val="00D62D44"/>
    <w:rsid w:val="00DA5825"/>
    <w:rsid w:val="00DC15CE"/>
    <w:rsid w:val="00DD466A"/>
    <w:rsid w:val="00DD5DA7"/>
    <w:rsid w:val="00DF3EFF"/>
    <w:rsid w:val="00E04DE3"/>
    <w:rsid w:val="00E072CA"/>
    <w:rsid w:val="00E17130"/>
    <w:rsid w:val="00E23ED8"/>
    <w:rsid w:val="00E256AB"/>
    <w:rsid w:val="00E275AB"/>
    <w:rsid w:val="00E34B42"/>
    <w:rsid w:val="00E36DD0"/>
    <w:rsid w:val="00E44486"/>
    <w:rsid w:val="00E45831"/>
    <w:rsid w:val="00E47F6A"/>
    <w:rsid w:val="00E613AA"/>
    <w:rsid w:val="00E626FE"/>
    <w:rsid w:val="00E723F3"/>
    <w:rsid w:val="00E74759"/>
    <w:rsid w:val="00E771E4"/>
    <w:rsid w:val="00E77C0E"/>
    <w:rsid w:val="00E8701B"/>
    <w:rsid w:val="00E97529"/>
    <w:rsid w:val="00EA2A24"/>
    <w:rsid w:val="00EA3F28"/>
    <w:rsid w:val="00EA6DD1"/>
    <w:rsid w:val="00EB73EC"/>
    <w:rsid w:val="00EB7C6D"/>
    <w:rsid w:val="00EC2412"/>
    <w:rsid w:val="00EC2977"/>
    <w:rsid w:val="00EC6717"/>
    <w:rsid w:val="00ED149F"/>
    <w:rsid w:val="00ED4A8A"/>
    <w:rsid w:val="00EE6E48"/>
    <w:rsid w:val="00F061BD"/>
    <w:rsid w:val="00F12EE6"/>
    <w:rsid w:val="00F13241"/>
    <w:rsid w:val="00F1589A"/>
    <w:rsid w:val="00F16DC1"/>
    <w:rsid w:val="00F35868"/>
    <w:rsid w:val="00F3620E"/>
    <w:rsid w:val="00F36F67"/>
    <w:rsid w:val="00F4796A"/>
    <w:rsid w:val="00F501F1"/>
    <w:rsid w:val="00F60FF0"/>
    <w:rsid w:val="00F62891"/>
    <w:rsid w:val="00F649DF"/>
    <w:rsid w:val="00F8173E"/>
    <w:rsid w:val="00F83397"/>
    <w:rsid w:val="00F855DD"/>
    <w:rsid w:val="00F863C4"/>
    <w:rsid w:val="00F9061E"/>
    <w:rsid w:val="00F92AFE"/>
    <w:rsid w:val="00FA5CB3"/>
    <w:rsid w:val="00FA62D7"/>
    <w:rsid w:val="00FB3057"/>
    <w:rsid w:val="00FB749C"/>
    <w:rsid w:val="00FC53E6"/>
    <w:rsid w:val="00FC7548"/>
    <w:rsid w:val="00FD137B"/>
    <w:rsid w:val="00FE7154"/>
    <w:rsid w:val="00FF21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64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6C1"/>
    <w:pPr>
      <w:spacing w:line="259" w:lineRule="auto"/>
    </w:pPr>
    <w:rPr>
      <w:kern w:val="0"/>
      <w:sz w:val="22"/>
      <w:szCs w:val="22"/>
      <w14:ligatures w14:val="none"/>
    </w:rPr>
  </w:style>
  <w:style w:type="paragraph" w:styleId="Heading1">
    <w:name w:val="heading 1"/>
    <w:aliases w:val="Main Heading,TCI 1.  Heading,1"/>
    <w:basedOn w:val="Normal"/>
    <w:next w:val="Normal"/>
    <w:link w:val="Heading1Char"/>
    <w:uiPriority w:val="9"/>
    <w:qFormat/>
    <w:rsid w:val="00DD5D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D5D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D5D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5D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5D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5D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5D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5D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5D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Heading Char,TCI 1.  Heading Char,1 Char"/>
    <w:basedOn w:val="DefaultParagraphFont"/>
    <w:link w:val="Heading1"/>
    <w:uiPriority w:val="9"/>
    <w:rsid w:val="00DD5D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D5D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D5D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5D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5D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5D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5D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5D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5DA7"/>
    <w:rPr>
      <w:rFonts w:eastAsiaTheme="majorEastAsia" w:cstheme="majorBidi"/>
      <w:color w:val="272727" w:themeColor="text1" w:themeTint="D8"/>
    </w:rPr>
  </w:style>
  <w:style w:type="paragraph" w:styleId="Title">
    <w:name w:val="Title"/>
    <w:basedOn w:val="Normal"/>
    <w:next w:val="Normal"/>
    <w:link w:val="TitleChar"/>
    <w:uiPriority w:val="10"/>
    <w:qFormat/>
    <w:rsid w:val="00DD5D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5D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5D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5D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5DA7"/>
    <w:pPr>
      <w:spacing w:before="160"/>
      <w:jc w:val="center"/>
    </w:pPr>
    <w:rPr>
      <w:i/>
      <w:iCs/>
      <w:color w:val="404040" w:themeColor="text1" w:themeTint="BF"/>
    </w:rPr>
  </w:style>
  <w:style w:type="character" w:customStyle="1" w:styleId="QuoteChar">
    <w:name w:val="Quote Char"/>
    <w:basedOn w:val="DefaultParagraphFont"/>
    <w:link w:val="Quote"/>
    <w:uiPriority w:val="29"/>
    <w:rsid w:val="00DD5DA7"/>
    <w:rPr>
      <w:i/>
      <w:iCs/>
      <w:color w:val="404040" w:themeColor="text1" w:themeTint="BF"/>
    </w:rPr>
  </w:style>
  <w:style w:type="paragraph" w:styleId="ListParagraph">
    <w:name w:val="List Paragraph"/>
    <w:aliases w:val="Heading 21,Numbered paragraph,Table,MCHIP_list paragraph,Recommendation,List Paragraph1,Ha,List Bullet Mary,Colorful List - Accent 11,heading 2,List Paragraph (numbered (a)),Numbered List Paragraph"/>
    <w:basedOn w:val="Normal"/>
    <w:link w:val="ListParagraphChar"/>
    <w:uiPriority w:val="34"/>
    <w:qFormat/>
    <w:rsid w:val="00DD5DA7"/>
    <w:pPr>
      <w:ind w:left="720"/>
      <w:contextualSpacing/>
    </w:pPr>
  </w:style>
  <w:style w:type="character" w:styleId="IntenseEmphasis">
    <w:name w:val="Intense Emphasis"/>
    <w:basedOn w:val="DefaultParagraphFont"/>
    <w:uiPriority w:val="21"/>
    <w:qFormat/>
    <w:rsid w:val="00DD5DA7"/>
    <w:rPr>
      <w:i/>
      <w:iCs/>
      <w:color w:val="2F5496" w:themeColor="accent1" w:themeShade="BF"/>
    </w:rPr>
  </w:style>
  <w:style w:type="paragraph" w:styleId="IntenseQuote">
    <w:name w:val="Intense Quote"/>
    <w:basedOn w:val="Normal"/>
    <w:next w:val="Normal"/>
    <w:link w:val="IntenseQuoteChar"/>
    <w:uiPriority w:val="30"/>
    <w:qFormat/>
    <w:rsid w:val="00DD5D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5DA7"/>
    <w:rPr>
      <w:i/>
      <w:iCs/>
      <w:color w:val="2F5496" w:themeColor="accent1" w:themeShade="BF"/>
    </w:rPr>
  </w:style>
  <w:style w:type="character" w:styleId="IntenseReference">
    <w:name w:val="Intense Reference"/>
    <w:basedOn w:val="DefaultParagraphFont"/>
    <w:uiPriority w:val="32"/>
    <w:qFormat/>
    <w:rsid w:val="00DD5DA7"/>
    <w:rPr>
      <w:b/>
      <w:bCs/>
      <w:smallCaps/>
      <w:color w:val="2F5496" w:themeColor="accent1" w:themeShade="BF"/>
      <w:spacing w:val="5"/>
    </w:rPr>
  </w:style>
  <w:style w:type="character" w:customStyle="1" w:styleId="ListParagraphChar">
    <w:name w:val="List Paragraph Char"/>
    <w:aliases w:val="Heading 21 Char,Numbered paragraph Char,Table Char,MCHIP_list paragraph Char,Recommendation Char,List Paragraph1 Char,Ha Char,List Bullet Mary Char,Colorful List - Accent 11 Char,heading 2 Char,List Paragraph (numbered (a)) Char"/>
    <w:basedOn w:val="DefaultParagraphFont"/>
    <w:link w:val="ListParagraph"/>
    <w:uiPriority w:val="34"/>
    <w:qFormat/>
    <w:locked/>
    <w:rsid w:val="00DD5DA7"/>
  </w:style>
  <w:style w:type="table" w:styleId="TableGrid">
    <w:name w:val="Table Grid"/>
    <w:basedOn w:val="TableNormal"/>
    <w:uiPriority w:val="59"/>
    <w:rsid w:val="003F0834"/>
    <w:pPr>
      <w:spacing w:after="0" w:line="240" w:lineRule="auto"/>
    </w:pPr>
    <w:rPr>
      <w:kern w:val="0"/>
      <w:sz w:val="22"/>
      <w:szCs w:val="22"/>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aliases w:val="Titre 4 Car1"/>
    <w:basedOn w:val="DefaultParagraphFont"/>
    <w:uiPriority w:val="99"/>
    <w:unhideWhenUsed/>
    <w:qFormat/>
    <w:rsid w:val="003F0834"/>
    <w:rPr>
      <w:color w:val="0000FF"/>
      <w:u w:val="single"/>
    </w:rPr>
  </w:style>
  <w:style w:type="paragraph" w:styleId="Header">
    <w:name w:val="header"/>
    <w:basedOn w:val="Normal"/>
    <w:link w:val="HeaderChar"/>
    <w:uiPriority w:val="99"/>
    <w:unhideWhenUsed/>
    <w:rsid w:val="003F0834"/>
    <w:pPr>
      <w:tabs>
        <w:tab w:val="center" w:pos="4680"/>
        <w:tab w:val="right" w:pos="9360"/>
      </w:tabs>
      <w:spacing w:after="0" w:line="240" w:lineRule="auto"/>
    </w:pPr>
    <w:rPr>
      <w:rFonts w:ascii="Andalus" w:eastAsia="Calibri" w:hAnsi="Andalus" w:cs="Andalus"/>
      <w:sz w:val="24"/>
      <w:szCs w:val="24"/>
    </w:rPr>
  </w:style>
  <w:style w:type="character" w:customStyle="1" w:styleId="HeaderChar">
    <w:name w:val="Header Char"/>
    <w:basedOn w:val="DefaultParagraphFont"/>
    <w:link w:val="Header"/>
    <w:uiPriority w:val="99"/>
    <w:rsid w:val="003F0834"/>
    <w:rPr>
      <w:rFonts w:ascii="Andalus" w:eastAsia="Calibri" w:hAnsi="Andalus" w:cs="Andalus"/>
      <w:kern w:val="0"/>
      <w14:ligatures w14:val="none"/>
    </w:rPr>
  </w:style>
  <w:style w:type="paragraph" w:styleId="Footer">
    <w:name w:val="footer"/>
    <w:basedOn w:val="Normal"/>
    <w:link w:val="FooterChar"/>
    <w:uiPriority w:val="99"/>
    <w:unhideWhenUsed/>
    <w:rsid w:val="003F0834"/>
    <w:pPr>
      <w:tabs>
        <w:tab w:val="center" w:pos="4680"/>
        <w:tab w:val="right" w:pos="9360"/>
      </w:tabs>
      <w:spacing w:after="0" w:line="240" w:lineRule="auto"/>
    </w:pPr>
    <w:rPr>
      <w:rFonts w:ascii="Andalus" w:eastAsia="Calibri" w:hAnsi="Andalus" w:cs="Andalus"/>
      <w:sz w:val="24"/>
      <w:szCs w:val="24"/>
    </w:rPr>
  </w:style>
  <w:style w:type="character" w:customStyle="1" w:styleId="FooterChar">
    <w:name w:val="Footer Char"/>
    <w:basedOn w:val="DefaultParagraphFont"/>
    <w:link w:val="Footer"/>
    <w:uiPriority w:val="99"/>
    <w:rsid w:val="003F0834"/>
    <w:rPr>
      <w:rFonts w:ascii="Andalus" w:eastAsia="Calibri" w:hAnsi="Andalus" w:cs="Andalus"/>
      <w:kern w:val="0"/>
      <w14:ligatures w14:val="none"/>
    </w:rPr>
  </w:style>
  <w:style w:type="character" w:styleId="CommentReference">
    <w:name w:val="annotation reference"/>
    <w:basedOn w:val="DefaultParagraphFont"/>
    <w:uiPriority w:val="99"/>
    <w:semiHidden/>
    <w:unhideWhenUsed/>
    <w:rsid w:val="003F0834"/>
    <w:rPr>
      <w:sz w:val="16"/>
      <w:szCs w:val="16"/>
    </w:rPr>
  </w:style>
  <w:style w:type="paragraph" w:styleId="CommentText">
    <w:name w:val="annotation text"/>
    <w:basedOn w:val="Normal"/>
    <w:link w:val="CommentTextChar"/>
    <w:uiPriority w:val="99"/>
    <w:semiHidden/>
    <w:unhideWhenUsed/>
    <w:rsid w:val="003F0834"/>
    <w:pPr>
      <w:spacing w:after="200" w:line="240" w:lineRule="auto"/>
    </w:pPr>
    <w:rPr>
      <w:rFonts w:ascii="Andalus" w:eastAsia="Calibri" w:hAnsi="Andalus" w:cs="Andalus"/>
      <w:sz w:val="20"/>
      <w:szCs w:val="20"/>
    </w:rPr>
  </w:style>
  <w:style w:type="character" w:customStyle="1" w:styleId="CommentTextChar">
    <w:name w:val="Comment Text Char"/>
    <w:basedOn w:val="DefaultParagraphFont"/>
    <w:link w:val="CommentText"/>
    <w:uiPriority w:val="99"/>
    <w:semiHidden/>
    <w:rsid w:val="003F0834"/>
    <w:rPr>
      <w:rFonts w:ascii="Andalus" w:eastAsia="Calibri" w:hAnsi="Andalus" w:cs="Andalu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F0834"/>
    <w:rPr>
      <w:b/>
      <w:bCs/>
    </w:rPr>
  </w:style>
  <w:style w:type="character" w:customStyle="1" w:styleId="CommentSubjectChar">
    <w:name w:val="Comment Subject Char"/>
    <w:basedOn w:val="CommentTextChar"/>
    <w:link w:val="CommentSubject"/>
    <w:uiPriority w:val="99"/>
    <w:semiHidden/>
    <w:rsid w:val="003F0834"/>
    <w:rPr>
      <w:rFonts w:ascii="Andalus" w:eastAsia="Calibri" w:hAnsi="Andalus" w:cs="Andalus"/>
      <w:b/>
      <w:bCs/>
      <w:kern w:val="0"/>
      <w:sz w:val="20"/>
      <w:szCs w:val="20"/>
      <w14:ligatures w14:val="none"/>
    </w:rPr>
  </w:style>
  <w:style w:type="paragraph" w:styleId="BalloonText">
    <w:name w:val="Balloon Text"/>
    <w:basedOn w:val="Normal"/>
    <w:link w:val="BalloonTextChar"/>
    <w:uiPriority w:val="99"/>
    <w:semiHidden/>
    <w:unhideWhenUsed/>
    <w:rsid w:val="003F0834"/>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3F0834"/>
    <w:rPr>
      <w:rFonts w:ascii="Segoe UI" w:eastAsia="Calibri" w:hAnsi="Segoe UI" w:cs="Segoe UI"/>
      <w:kern w:val="0"/>
      <w:sz w:val="18"/>
      <w:szCs w:val="18"/>
      <w14:ligatures w14:val="none"/>
    </w:rPr>
  </w:style>
  <w:style w:type="paragraph" w:customStyle="1" w:styleId="Style6">
    <w:name w:val="Style6"/>
    <w:basedOn w:val="Normal"/>
    <w:uiPriority w:val="99"/>
    <w:qFormat/>
    <w:rsid w:val="003F083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TableGrid13111">
    <w:name w:val="Table Grid13111"/>
    <w:basedOn w:val="TableNormal"/>
    <w:uiPriority w:val="59"/>
    <w:rsid w:val="003F0834"/>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3F0834"/>
    <w:pPr>
      <w:spacing w:after="200" w:line="276" w:lineRule="auto"/>
    </w:pPr>
    <w:rPr>
      <w:rFonts w:ascii="Calibri" w:eastAsia="Times New Roman" w:hAnsi="Calibri" w:cs="Calibri"/>
    </w:rPr>
  </w:style>
  <w:style w:type="table" w:customStyle="1" w:styleId="TableGrid1">
    <w:name w:val="Table Grid1"/>
    <w:basedOn w:val="TableNormal"/>
    <w:next w:val="TableGrid"/>
    <w:uiPriority w:val="59"/>
    <w:rsid w:val="003F0834"/>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3F0834"/>
  </w:style>
  <w:style w:type="character" w:customStyle="1" w:styleId="NormalWebChar">
    <w:name w:val="Normal (Web) Char"/>
    <w:aliases w:val="Justified Char,Line spacing:  1.5 lines Char,Normal (Web) Char Char Char Char Char Char1,Normal (Web) Char Char Char Char,Normal (Web) Char Char Char Char Char Char Char,Char Char Char"/>
    <w:basedOn w:val="DefaultParagraphFont"/>
    <w:link w:val="NormalWeb"/>
    <w:uiPriority w:val="99"/>
    <w:locked/>
    <w:rsid w:val="003F0834"/>
    <w:rPr>
      <w:rFonts w:ascii="Times New Roman" w:eastAsia="Times New Roman" w:hAnsi="Times New Roman" w:cs="Times New Roman"/>
      <w:lang w:eastAsia="ja-JP"/>
    </w:rPr>
  </w:style>
  <w:style w:type="paragraph" w:styleId="NormalWeb">
    <w:name w:val="Normal (Web)"/>
    <w:aliases w:val="Justified,Line spacing:  1.5 lines,Normal (Web) Char Char Char Char Char,Normal (Web) Char Char Char,Normal (Web) Char Char Char Char Char Char,Normal (Web) Char Char Char Char Char Char Char Char Char Char Char Char Char,Char Char"/>
    <w:link w:val="NormalWebChar"/>
    <w:uiPriority w:val="99"/>
    <w:unhideWhenUsed/>
    <w:qFormat/>
    <w:rsid w:val="003F0834"/>
    <w:pPr>
      <w:spacing w:before="240" w:after="0" w:line="240" w:lineRule="auto"/>
      <w:jc w:val="both"/>
    </w:pPr>
    <w:rPr>
      <w:rFonts w:ascii="Times New Roman" w:eastAsia="Times New Roman" w:hAnsi="Times New Roman" w:cs="Times New Roman"/>
      <w:lang w:eastAsia="ja-JP"/>
    </w:rPr>
  </w:style>
  <w:style w:type="character" w:customStyle="1" w:styleId="DefaultChar">
    <w:name w:val="Default Char"/>
    <w:link w:val="Default"/>
    <w:locked/>
    <w:rsid w:val="003F0834"/>
    <w:rPr>
      <w:rFonts w:ascii="Calibri" w:eastAsia="Calibri" w:hAnsi="Calibri" w:cs="Times New Roman"/>
      <w:color w:val="000000"/>
    </w:rPr>
  </w:style>
  <w:style w:type="paragraph" w:customStyle="1" w:styleId="Default">
    <w:name w:val="Default"/>
    <w:link w:val="DefaultChar"/>
    <w:qFormat/>
    <w:rsid w:val="003F0834"/>
    <w:pPr>
      <w:autoSpaceDE w:val="0"/>
      <w:autoSpaceDN w:val="0"/>
      <w:adjustRightInd w:val="0"/>
      <w:spacing w:after="0" w:line="240" w:lineRule="auto"/>
    </w:pPr>
    <w:rPr>
      <w:rFonts w:ascii="Calibri" w:eastAsia="Calibri" w:hAnsi="Calibri" w:cs="Times New Roman"/>
      <w:color w:val="000000"/>
    </w:rPr>
  </w:style>
  <w:style w:type="character" w:customStyle="1" w:styleId="apple-converted-space">
    <w:name w:val="apple-converted-space"/>
    <w:basedOn w:val="DefaultParagraphFont"/>
    <w:rsid w:val="003F0834"/>
  </w:style>
  <w:style w:type="character" w:customStyle="1" w:styleId="st">
    <w:name w:val="st"/>
    <w:basedOn w:val="DefaultParagraphFont"/>
    <w:rsid w:val="003F0834"/>
  </w:style>
  <w:style w:type="table" w:customStyle="1" w:styleId="TableGrid2">
    <w:name w:val="Table Grid2"/>
    <w:basedOn w:val="TableNormal"/>
    <w:uiPriority w:val="59"/>
    <w:rsid w:val="003F0834"/>
    <w:pPr>
      <w:spacing w:after="0" w:line="240" w:lineRule="auto"/>
    </w:pPr>
    <w:rPr>
      <w:rFonts w:ascii="Calibri" w:eastAsia="Calibri" w:hAnsi="Calibri" w:cs="SimSu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3F0834"/>
    <w:pPr>
      <w:tabs>
        <w:tab w:val="right" w:leader="dot" w:pos="9350"/>
      </w:tabs>
      <w:spacing w:after="0" w:line="360" w:lineRule="auto"/>
    </w:pPr>
    <w:rPr>
      <w:rFonts w:ascii="Times New Roman" w:eastAsia="Times New Roman" w:hAnsi="Times New Roman" w:cs="Times New Roman"/>
      <w:noProof/>
      <w:sz w:val="24"/>
      <w:szCs w:val="24"/>
      <w:lang w:val="en-GB" w:eastAsia="en-GB"/>
    </w:rPr>
  </w:style>
  <w:style w:type="paragraph" w:styleId="TOC2">
    <w:name w:val="toc 2"/>
    <w:basedOn w:val="Normal"/>
    <w:next w:val="Normal"/>
    <w:autoRedefine/>
    <w:uiPriority w:val="39"/>
    <w:unhideWhenUsed/>
    <w:rsid w:val="003F0834"/>
    <w:pPr>
      <w:tabs>
        <w:tab w:val="right" w:leader="dot" w:pos="9350"/>
      </w:tabs>
      <w:spacing w:after="0" w:line="360" w:lineRule="auto"/>
    </w:pPr>
    <w:rPr>
      <w:rFonts w:ascii="Calibri" w:eastAsia="Times New Roman" w:hAnsi="Calibri" w:cs="Calibri"/>
      <w:b/>
      <w:bCs/>
      <w:noProof/>
      <w:sz w:val="24"/>
      <w:szCs w:val="24"/>
      <w:lang w:val="en-GB" w:eastAsia="en-GB"/>
    </w:rPr>
  </w:style>
  <w:style w:type="paragraph" w:styleId="TOC3">
    <w:name w:val="toc 3"/>
    <w:basedOn w:val="Normal"/>
    <w:next w:val="Normal"/>
    <w:autoRedefine/>
    <w:uiPriority w:val="39"/>
    <w:unhideWhenUsed/>
    <w:rsid w:val="003F0834"/>
    <w:pPr>
      <w:spacing w:after="100" w:line="276" w:lineRule="auto"/>
      <w:ind w:left="440"/>
    </w:pPr>
    <w:rPr>
      <w:rFonts w:ascii="Calibri" w:eastAsia="Times New Roman" w:hAnsi="Calibri" w:cs="Calibri"/>
    </w:rPr>
  </w:style>
  <w:style w:type="table" w:styleId="LightShading">
    <w:name w:val="Light Shading"/>
    <w:basedOn w:val="TableNormal"/>
    <w:uiPriority w:val="60"/>
    <w:rsid w:val="003F0834"/>
    <w:pPr>
      <w:spacing w:after="0" w:line="240" w:lineRule="auto"/>
    </w:pPr>
    <w:rPr>
      <w:rFonts w:eastAsiaTheme="minorEastAsia" w:cs="Times New Roman"/>
      <w:color w:val="000000" w:themeColor="text1" w:themeShade="BF"/>
      <w:kern w:val="0"/>
      <w:sz w:val="22"/>
      <w:szCs w:val="22"/>
      <w:lang w:val="en-GB" w:eastAsia="en-GB"/>
      <w14:ligatures w14:val="none"/>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table" w:styleId="MediumList1">
    <w:name w:val="Medium List 1"/>
    <w:basedOn w:val="TableNormal"/>
    <w:uiPriority w:val="65"/>
    <w:rsid w:val="003F0834"/>
    <w:pPr>
      <w:spacing w:after="0" w:line="240" w:lineRule="auto"/>
    </w:pPr>
    <w:rPr>
      <w:rFonts w:ascii="Calibri" w:eastAsia="Calibri" w:hAnsi="Calibri" w:cs="SimSun"/>
      <w:color w:val="000000" w:themeColor="text1"/>
      <w:kern w:val="0"/>
      <w:sz w:val="22"/>
      <w:szCs w:val="22"/>
      <w14:ligatures w14:val="none"/>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TableGrid221">
    <w:name w:val="Table Grid221"/>
    <w:basedOn w:val="TableNormal"/>
    <w:next w:val="TableGrid"/>
    <w:rsid w:val="003F0834"/>
    <w:pPr>
      <w:spacing w:after="0" w:line="240" w:lineRule="auto"/>
    </w:pPr>
    <w:rPr>
      <w:rFonts w:ascii="Calibri" w:eastAsia="Calibri" w:hAnsi="Calibri" w:cs="Times New Roman"/>
      <w:kern w:val="0"/>
      <w:sz w:val="20"/>
      <w:szCs w:val="20"/>
      <w:lang w:val=""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3F0834"/>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61">
    <w:name w:val="Medium Shading 2 - Accent 61"/>
    <w:basedOn w:val="TableNormal"/>
    <w:next w:val="MediumShading2-Accent6"/>
    <w:uiPriority w:val="64"/>
    <w:rsid w:val="003F0834"/>
    <w:pPr>
      <w:spacing w:after="0" w:line="240" w:lineRule="auto"/>
    </w:pPr>
    <w:rPr>
      <w:kern w:val="0"/>
      <w:sz w:val="22"/>
      <w:szCs w:val="22"/>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F0834"/>
    <w:pPr>
      <w:spacing w:after="0" w:line="240" w:lineRule="auto"/>
    </w:pPr>
    <w:rPr>
      <w:kern w:val="0"/>
      <w:sz w:val="22"/>
      <w:szCs w:val="22"/>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next w:val="LightShading"/>
    <w:uiPriority w:val="60"/>
    <w:rsid w:val="003F0834"/>
    <w:pPr>
      <w:spacing w:after="0" w:line="240" w:lineRule="auto"/>
    </w:pPr>
    <w:rPr>
      <w:rFonts w:eastAsia="Times New Roman" w:cs="Times New Roman"/>
      <w:color w:val="000000"/>
      <w:kern w:val="0"/>
      <w:sz w:val="22"/>
      <w:szCs w:val="22"/>
      <w:lang w:val="en-GB" w:eastAsia="en-GB"/>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TableGrid131">
    <w:name w:val="Table Grid131"/>
    <w:basedOn w:val="TableNormal"/>
    <w:uiPriority w:val="59"/>
    <w:rsid w:val="003F0834"/>
    <w:pPr>
      <w:spacing w:after="0" w:line="240" w:lineRule="auto"/>
    </w:pPr>
    <w:rPr>
      <w:rFonts w:ascii="Calibri" w:eastAsia="Times New Roman" w:hAnsi="Calibri" w:cs="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3F0834"/>
  </w:style>
  <w:style w:type="table" w:customStyle="1" w:styleId="TableGrid21">
    <w:name w:val="Table Grid21"/>
    <w:basedOn w:val="TableNormal"/>
    <w:uiPriority w:val="59"/>
    <w:rsid w:val="003F0834"/>
    <w:pPr>
      <w:spacing w:after="0" w:line="240" w:lineRule="auto"/>
    </w:pPr>
    <w:rPr>
      <w:rFonts w:ascii="Calibri" w:eastAsia="Calibri" w:hAnsi="Calibri" w:cs="SimSu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3F0834"/>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2">
    <w:name w:val="Light Shading2"/>
    <w:basedOn w:val="TableNormal"/>
    <w:next w:val="LightShading"/>
    <w:uiPriority w:val="60"/>
    <w:rsid w:val="003F0834"/>
    <w:pPr>
      <w:spacing w:after="0" w:line="240" w:lineRule="auto"/>
    </w:pPr>
    <w:rPr>
      <w:rFonts w:eastAsiaTheme="minorEastAsia" w:cs="Times New Roman"/>
      <w:color w:val="000000" w:themeColor="text1" w:themeShade="BF"/>
      <w:kern w:val="0"/>
      <w:sz w:val="22"/>
      <w:szCs w:val="22"/>
      <w:lang w:val="en-GB" w:eastAsia="en-GB"/>
      <w14:ligatures w14:val="none"/>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next w:val="MediumList1"/>
    <w:uiPriority w:val="65"/>
    <w:rsid w:val="003F0834"/>
    <w:pPr>
      <w:spacing w:after="0" w:line="240" w:lineRule="auto"/>
    </w:pPr>
    <w:rPr>
      <w:rFonts w:ascii="Calibri" w:eastAsia="Calibri" w:hAnsi="Calibri" w:cs="SimSun"/>
      <w:color w:val="000000" w:themeColor="text1"/>
      <w:kern w:val="0"/>
      <w:sz w:val="22"/>
      <w:szCs w:val="22"/>
      <w14:ligatures w14:val="none"/>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TableGrid2211">
    <w:name w:val="Table Grid2211"/>
    <w:basedOn w:val="TableNormal"/>
    <w:next w:val="TableGrid"/>
    <w:rsid w:val="003F0834"/>
    <w:pPr>
      <w:spacing w:after="0" w:line="240" w:lineRule="auto"/>
    </w:pPr>
    <w:rPr>
      <w:rFonts w:ascii="Calibri" w:eastAsia="Calibri" w:hAnsi="Calibri" w:cs="Times New Roman"/>
      <w:kern w:val="0"/>
      <w:sz w:val="20"/>
      <w:szCs w:val="20"/>
      <w:lang w:val=""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611">
    <w:name w:val="Medium Shading 2 - Accent 611"/>
    <w:basedOn w:val="TableNormal"/>
    <w:next w:val="MediumShading2-Accent6"/>
    <w:uiPriority w:val="64"/>
    <w:rsid w:val="003F0834"/>
    <w:pPr>
      <w:spacing w:after="0" w:line="240" w:lineRule="auto"/>
    </w:pPr>
    <w:rPr>
      <w:kern w:val="0"/>
      <w:sz w:val="22"/>
      <w:szCs w:val="22"/>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2">
    <w:name w:val="Medium Shading 2 - Accent 62"/>
    <w:basedOn w:val="TableNormal"/>
    <w:next w:val="MediumShading2-Accent6"/>
    <w:uiPriority w:val="64"/>
    <w:rsid w:val="003F0834"/>
    <w:pPr>
      <w:spacing w:after="0" w:line="240" w:lineRule="auto"/>
    </w:pPr>
    <w:rPr>
      <w:kern w:val="0"/>
      <w:sz w:val="22"/>
      <w:szCs w:val="22"/>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1">
    <w:name w:val="Light Shading11"/>
    <w:basedOn w:val="TableNormal"/>
    <w:next w:val="LightShading"/>
    <w:uiPriority w:val="60"/>
    <w:rsid w:val="003F0834"/>
    <w:pPr>
      <w:spacing w:after="0" w:line="240" w:lineRule="auto"/>
    </w:pPr>
    <w:rPr>
      <w:rFonts w:eastAsia="Times New Roman" w:cs="Times New Roman"/>
      <w:color w:val="000000"/>
      <w:kern w:val="0"/>
      <w:sz w:val="22"/>
      <w:szCs w:val="22"/>
      <w:lang w:val="en-GB" w:eastAsia="en-GB"/>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TableGrid1311">
    <w:name w:val="Table Grid1311"/>
    <w:basedOn w:val="TableNormal"/>
    <w:uiPriority w:val="59"/>
    <w:rsid w:val="003F0834"/>
    <w:pPr>
      <w:spacing w:after="0" w:line="240" w:lineRule="auto"/>
    </w:pPr>
    <w:rPr>
      <w:rFonts w:ascii="Calibri" w:eastAsia="Times New Roman" w:hAnsi="Calibri" w:cs="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4">
    <w:name w:val="toc 4"/>
    <w:basedOn w:val="Normal"/>
    <w:next w:val="Normal"/>
    <w:autoRedefine/>
    <w:uiPriority w:val="39"/>
    <w:unhideWhenUsed/>
    <w:rsid w:val="003F0834"/>
    <w:pPr>
      <w:spacing w:after="100" w:line="276" w:lineRule="auto"/>
      <w:ind w:left="660"/>
    </w:pPr>
    <w:rPr>
      <w:rFonts w:eastAsiaTheme="minorEastAsia"/>
    </w:rPr>
  </w:style>
  <w:style w:type="paragraph" w:styleId="TOC5">
    <w:name w:val="toc 5"/>
    <w:basedOn w:val="Normal"/>
    <w:next w:val="Normal"/>
    <w:autoRedefine/>
    <w:uiPriority w:val="39"/>
    <w:unhideWhenUsed/>
    <w:rsid w:val="003F0834"/>
    <w:pPr>
      <w:spacing w:after="100" w:line="276" w:lineRule="auto"/>
      <w:ind w:left="880"/>
    </w:pPr>
    <w:rPr>
      <w:rFonts w:eastAsiaTheme="minorEastAsia"/>
    </w:rPr>
  </w:style>
  <w:style w:type="paragraph" w:styleId="TOC6">
    <w:name w:val="toc 6"/>
    <w:basedOn w:val="Normal"/>
    <w:next w:val="Normal"/>
    <w:autoRedefine/>
    <w:uiPriority w:val="39"/>
    <w:unhideWhenUsed/>
    <w:rsid w:val="003F0834"/>
    <w:pPr>
      <w:spacing w:after="100" w:line="276" w:lineRule="auto"/>
      <w:ind w:left="1100"/>
    </w:pPr>
    <w:rPr>
      <w:rFonts w:eastAsiaTheme="minorEastAsia"/>
    </w:rPr>
  </w:style>
  <w:style w:type="paragraph" w:styleId="TOC7">
    <w:name w:val="toc 7"/>
    <w:basedOn w:val="Normal"/>
    <w:next w:val="Normal"/>
    <w:autoRedefine/>
    <w:uiPriority w:val="39"/>
    <w:unhideWhenUsed/>
    <w:rsid w:val="003F0834"/>
    <w:pPr>
      <w:spacing w:after="100" w:line="276" w:lineRule="auto"/>
      <w:ind w:left="1320"/>
    </w:pPr>
    <w:rPr>
      <w:rFonts w:eastAsiaTheme="minorEastAsia"/>
    </w:rPr>
  </w:style>
  <w:style w:type="paragraph" w:styleId="TOC8">
    <w:name w:val="toc 8"/>
    <w:basedOn w:val="Normal"/>
    <w:next w:val="Normal"/>
    <w:autoRedefine/>
    <w:uiPriority w:val="39"/>
    <w:unhideWhenUsed/>
    <w:rsid w:val="003F0834"/>
    <w:pPr>
      <w:spacing w:after="100" w:line="276" w:lineRule="auto"/>
      <w:ind w:left="1540"/>
    </w:pPr>
    <w:rPr>
      <w:rFonts w:eastAsiaTheme="minorEastAsia"/>
    </w:rPr>
  </w:style>
  <w:style w:type="paragraph" w:styleId="TOC9">
    <w:name w:val="toc 9"/>
    <w:basedOn w:val="Normal"/>
    <w:next w:val="Normal"/>
    <w:autoRedefine/>
    <w:uiPriority w:val="39"/>
    <w:unhideWhenUsed/>
    <w:rsid w:val="003F0834"/>
    <w:pPr>
      <w:spacing w:after="100" w:line="276" w:lineRule="auto"/>
      <w:ind w:left="1760"/>
    </w:pPr>
    <w:rPr>
      <w:rFonts w:eastAsiaTheme="minorEastAsia"/>
    </w:rPr>
  </w:style>
  <w:style w:type="numbering" w:customStyle="1" w:styleId="NoList2">
    <w:name w:val="No List2"/>
    <w:next w:val="NoList"/>
    <w:uiPriority w:val="99"/>
    <w:semiHidden/>
    <w:unhideWhenUsed/>
    <w:rsid w:val="003F0834"/>
  </w:style>
  <w:style w:type="table" w:customStyle="1" w:styleId="TableGrid22">
    <w:name w:val="Table Grid22"/>
    <w:basedOn w:val="TableNormal"/>
    <w:uiPriority w:val="59"/>
    <w:rsid w:val="003F0834"/>
    <w:pPr>
      <w:spacing w:after="0" w:line="240" w:lineRule="auto"/>
    </w:pPr>
    <w:rPr>
      <w:rFonts w:ascii="Calibri" w:eastAsia="Calibri" w:hAnsi="Calibri" w:cs="SimSu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3F0834"/>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3">
    <w:name w:val="Light Shading3"/>
    <w:basedOn w:val="TableNormal"/>
    <w:next w:val="LightShading"/>
    <w:uiPriority w:val="60"/>
    <w:rsid w:val="003F0834"/>
    <w:pPr>
      <w:spacing w:after="0" w:line="240" w:lineRule="auto"/>
    </w:pPr>
    <w:rPr>
      <w:rFonts w:eastAsiaTheme="minorEastAsia" w:cs="Times New Roman"/>
      <w:color w:val="000000" w:themeColor="text1" w:themeShade="BF"/>
      <w:kern w:val="0"/>
      <w:sz w:val="22"/>
      <w:szCs w:val="22"/>
      <w:lang w:val="en-GB" w:eastAsia="en-GB"/>
      <w14:ligatures w14:val="none"/>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table" w:customStyle="1" w:styleId="MediumList12">
    <w:name w:val="Medium List 12"/>
    <w:basedOn w:val="TableNormal"/>
    <w:next w:val="MediumList1"/>
    <w:uiPriority w:val="65"/>
    <w:rsid w:val="003F0834"/>
    <w:pPr>
      <w:spacing w:after="0" w:line="240" w:lineRule="auto"/>
    </w:pPr>
    <w:rPr>
      <w:rFonts w:ascii="Calibri" w:eastAsia="Calibri" w:hAnsi="Calibri" w:cs="SimSun"/>
      <w:color w:val="000000" w:themeColor="text1"/>
      <w:kern w:val="0"/>
      <w:sz w:val="22"/>
      <w:szCs w:val="22"/>
      <w14:ligatures w14:val="none"/>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TableGrid2212">
    <w:name w:val="Table Grid2212"/>
    <w:basedOn w:val="TableNormal"/>
    <w:next w:val="TableGrid"/>
    <w:rsid w:val="003F0834"/>
    <w:pPr>
      <w:spacing w:after="0" w:line="240" w:lineRule="auto"/>
    </w:pPr>
    <w:rPr>
      <w:rFonts w:ascii="Calibri" w:eastAsia="Calibri" w:hAnsi="Calibri" w:cs="Times New Roman"/>
      <w:kern w:val="0"/>
      <w:sz w:val="20"/>
      <w:szCs w:val="20"/>
      <w:lang w:val=""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3F0834"/>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612">
    <w:name w:val="Medium Shading 2 - Accent 612"/>
    <w:basedOn w:val="TableNormal"/>
    <w:next w:val="MediumShading2-Accent6"/>
    <w:uiPriority w:val="64"/>
    <w:rsid w:val="003F0834"/>
    <w:pPr>
      <w:spacing w:after="0" w:line="240" w:lineRule="auto"/>
    </w:pPr>
    <w:rPr>
      <w:kern w:val="0"/>
      <w:sz w:val="22"/>
      <w:szCs w:val="22"/>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3">
    <w:name w:val="Medium Shading 2 - Accent 63"/>
    <w:basedOn w:val="TableNormal"/>
    <w:next w:val="MediumShading2-Accent6"/>
    <w:uiPriority w:val="64"/>
    <w:rsid w:val="003F0834"/>
    <w:pPr>
      <w:spacing w:after="0" w:line="240" w:lineRule="auto"/>
    </w:pPr>
    <w:rPr>
      <w:kern w:val="0"/>
      <w:sz w:val="22"/>
      <w:szCs w:val="22"/>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next w:val="LightShading"/>
    <w:uiPriority w:val="60"/>
    <w:rsid w:val="003F0834"/>
    <w:pPr>
      <w:spacing w:after="0" w:line="240" w:lineRule="auto"/>
    </w:pPr>
    <w:rPr>
      <w:rFonts w:eastAsia="Times New Roman" w:cs="Times New Roman"/>
      <w:color w:val="000000"/>
      <w:kern w:val="0"/>
      <w:sz w:val="22"/>
      <w:szCs w:val="22"/>
      <w:lang w:val="en-GB" w:eastAsia="en-GB"/>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TableGrid1312">
    <w:name w:val="Table Grid1312"/>
    <w:basedOn w:val="TableNormal"/>
    <w:uiPriority w:val="59"/>
    <w:rsid w:val="003F0834"/>
    <w:pPr>
      <w:spacing w:after="0" w:line="240" w:lineRule="auto"/>
    </w:pPr>
    <w:rPr>
      <w:rFonts w:ascii="Calibri" w:eastAsia="Times New Roman" w:hAnsi="Calibri" w:cs="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Number3">
    <w:name w:val="List Number 3"/>
    <w:basedOn w:val="Normal"/>
    <w:uiPriority w:val="99"/>
    <w:unhideWhenUsed/>
    <w:rsid w:val="003F0834"/>
    <w:pPr>
      <w:numPr>
        <w:numId w:val="3"/>
      </w:numPr>
      <w:spacing w:after="200" w:line="276" w:lineRule="auto"/>
      <w:contextualSpacing/>
    </w:pPr>
    <w:rPr>
      <w:rFonts w:eastAsiaTheme="minorEastAsia"/>
    </w:rPr>
  </w:style>
  <w:style w:type="character" w:styleId="Emphasis">
    <w:name w:val="Emphasis"/>
    <w:basedOn w:val="DefaultParagraphFont"/>
    <w:uiPriority w:val="20"/>
    <w:qFormat/>
    <w:rsid w:val="003F0834"/>
    <w:rPr>
      <w:i/>
      <w:iCs/>
    </w:rPr>
  </w:style>
  <w:style w:type="paragraph" w:customStyle="1" w:styleId="graf">
    <w:name w:val="graf"/>
    <w:basedOn w:val="Normal"/>
    <w:rsid w:val="003F08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411CF"/>
    <w:rPr>
      <w:color w:val="605E5C"/>
      <w:shd w:val="clear" w:color="auto" w:fill="E1DFDD"/>
    </w:rPr>
  </w:style>
  <w:style w:type="character" w:styleId="Strong">
    <w:name w:val="Strong"/>
    <w:basedOn w:val="DefaultParagraphFont"/>
    <w:uiPriority w:val="22"/>
    <w:qFormat/>
    <w:rsid w:val="00D475BA"/>
    <w:rPr>
      <w:b/>
      <w:bCs/>
    </w:rPr>
  </w:style>
  <w:style w:type="paragraph" w:styleId="TOCHeading">
    <w:name w:val="TOC Heading"/>
    <w:basedOn w:val="Heading1"/>
    <w:next w:val="Normal"/>
    <w:uiPriority w:val="39"/>
    <w:unhideWhenUsed/>
    <w:qFormat/>
    <w:rsid w:val="0016390D"/>
    <w:pPr>
      <w:spacing w:before="240" w:after="0"/>
      <w:outlineLvl w:val="9"/>
    </w:pPr>
    <w:rPr>
      <w:sz w:val="32"/>
      <w:szCs w:val="32"/>
    </w:rPr>
  </w:style>
  <w:style w:type="paragraph" w:styleId="NoSpacing">
    <w:name w:val="No Spacing"/>
    <w:uiPriority w:val="1"/>
    <w:qFormat/>
    <w:rsid w:val="00BE1B4C"/>
    <w:pPr>
      <w:spacing w:after="0" w:line="240" w:lineRule="auto"/>
    </w:pPr>
    <w:rPr>
      <w:kern w:val="0"/>
      <w:sz w:val="22"/>
      <w:szCs w:val="22"/>
      <w14:ligatures w14:val="none"/>
    </w:rPr>
  </w:style>
  <w:style w:type="character" w:customStyle="1" w:styleId="UnresolvedMention2">
    <w:name w:val="Unresolved Mention2"/>
    <w:basedOn w:val="DefaultParagraphFont"/>
    <w:uiPriority w:val="99"/>
    <w:semiHidden/>
    <w:unhideWhenUsed/>
    <w:rsid w:val="00FB749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6C1"/>
    <w:pPr>
      <w:spacing w:line="259" w:lineRule="auto"/>
    </w:pPr>
    <w:rPr>
      <w:kern w:val="0"/>
      <w:sz w:val="22"/>
      <w:szCs w:val="22"/>
      <w14:ligatures w14:val="none"/>
    </w:rPr>
  </w:style>
  <w:style w:type="paragraph" w:styleId="Heading1">
    <w:name w:val="heading 1"/>
    <w:aliases w:val="Main Heading,TCI 1.  Heading,1"/>
    <w:basedOn w:val="Normal"/>
    <w:next w:val="Normal"/>
    <w:link w:val="Heading1Char"/>
    <w:uiPriority w:val="9"/>
    <w:qFormat/>
    <w:rsid w:val="00DD5D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D5D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D5D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5D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5D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5D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5D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5D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5D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Heading Char,TCI 1.  Heading Char,1 Char"/>
    <w:basedOn w:val="DefaultParagraphFont"/>
    <w:link w:val="Heading1"/>
    <w:uiPriority w:val="9"/>
    <w:rsid w:val="00DD5D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D5D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D5D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5D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5D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5D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5D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5D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5DA7"/>
    <w:rPr>
      <w:rFonts w:eastAsiaTheme="majorEastAsia" w:cstheme="majorBidi"/>
      <w:color w:val="272727" w:themeColor="text1" w:themeTint="D8"/>
    </w:rPr>
  </w:style>
  <w:style w:type="paragraph" w:styleId="Title">
    <w:name w:val="Title"/>
    <w:basedOn w:val="Normal"/>
    <w:next w:val="Normal"/>
    <w:link w:val="TitleChar"/>
    <w:uiPriority w:val="10"/>
    <w:qFormat/>
    <w:rsid w:val="00DD5D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5D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5D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5D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5DA7"/>
    <w:pPr>
      <w:spacing w:before="160"/>
      <w:jc w:val="center"/>
    </w:pPr>
    <w:rPr>
      <w:i/>
      <w:iCs/>
      <w:color w:val="404040" w:themeColor="text1" w:themeTint="BF"/>
    </w:rPr>
  </w:style>
  <w:style w:type="character" w:customStyle="1" w:styleId="QuoteChar">
    <w:name w:val="Quote Char"/>
    <w:basedOn w:val="DefaultParagraphFont"/>
    <w:link w:val="Quote"/>
    <w:uiPriority w:val="29"/>
    <w:rsid w:val="00DD5DA7"/>
    <w:rPr>
      <w:i/>
      <w:iCs/>
      <w:color w:val="404040" w:themeColor="text1" w:themeTint="BF"/>
    </w:rPr>
  </w:style>
  <w:style w:type="paragraph" w:styleId="ListParagraph">
    <w:name w:val="List Paragraph"/>
    <w:aliases w:val="Heading 21,Numbered paragraph,Table,MCHIP_list paragraph,Recommendation,List Paragraph1,Ha,List Bullet Mary,Colorful List - Accent 11,heading 2,List Paragraph (numbered (a)),Numbered List Paragraph"/>
    <w:basedOn w:val="Normal"/>
    <w:link w:val="ListParagraphChar"/>
    <w:uiPriority w:val="34"/>
    <w:qFormat/>
    <w:rsid w:val="00DD5DA7"/>
    <w:pPr>
      <w:ind w:left="720"/>
      <w:contextualSpacing/>
    </w:pPr>
  </w:style>
  <w:style w:type="character" w:styleId="IntenseEmphasis">
    <w:name w:val="Intense Emphasis"/>
    <w:basedOn w:val="DefaultParagraphFont"/>
    <w:uiPriority w:val="21"/>
    <w:qFormat/>
    <w:rsid w:val="00DD5DA7"/>
    <w:rPr>
      <w:i/>
      <w:iCs/>
      <w:color w:val="2F5496" w:themeColor="accent1" w:themeShade="BF"/>
    </w:rPr>
  </w:style>
  <w:style w:type="paragraph" w:styleId="IntenseQuote">
    <w:name w:val="Intense Quote"/>
    <w:basedOn w:val="Normal"/>
    <w:next w:val="Normal"/>
    <w:link w:val="IntenseQuoteChar"/>
    <w:uiPriority w:val="30"/>
    <w:qFormat/>
    <w:rsid w:val="00DD5D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5DA7"/>
    <w:rPr>
      <w:i/>
      <w:iCs/>
      <w:color w:val="2F5496" w:themeColor="accent1" w:themeShade="BF"/>
    </w:rPr>
  </w:style>
  <w:style w:type="character" w:styleId="IntenseReference">
    <w:name w:val="Intense Reference"/>
    <w:basedOn w:val="DefaultParagraphFont"/>
    <w:uiPriority w:val="32"/>
    <w:qFormat/>
    <w:rsid w:val="00DD5DA7"/>
    <w:rPr>
      <w:b/>
      <w:bCs/>
      <w:smallCaps/>
      <w:color w:val="2F5496" w:themeColor="accent1" w:themeShade="BF"/>
      <w:spacing w:val="5"/>
    </w:rPr>
  </w:style>
  <w:style w:type="character" w:customStyle="1" w:styleId="ListParagraphChar">
    <w:name w:val="List Paragraph Char"/>
    <w:aliases w:val="Heading 21 Char,Numbered paragraph Char,Table Char,MCHIP_list paragraph Char,Recommendation Char,List Paragraph1 Char,Ha Char,List Bullet Mary Char,Colorful List - Accent 11 Char,heading 2 Char,List Paragraph (numbered (a)) Char"/>
    <w:basedOn w:val="DefaultParagraphFont"/>
    <w:link w:val="ListParagraph"/>
    <w:uiPriority w:val="34"/>
    <w:qFormat/>
    <w:locked/>
    <w:rsid w:val="00DD5DA7"/>
  </w:style>
  <w:style w:type="table" w:styleId="TableGrid">
    <w:name w:val="Table Grid"/>
    <w:basedOn w:val="TableNormal"/>
    <w:uiPriority w:val="59"/>
    <w:rsid w:val="003F0834"/>
    <w:pPr>
      <w:spacing w:after="0" w:line="240" w:lineRule="auto"/>
    </w:pPr>
    <w:rPr>
      <w:kern w:val="0"/>
      <w:sz w:val="22"/>
      <w:szCs w:val="22"/>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aliases w:val="Titre 4 Car1"/>
    <w:basedOn w:val="DefaultParagraphFont"/>
    <w:uiPriority w:val="99"/>
    <w:unhideWhenUsed/>
    <w:qFormat/>
    <w:rsid w:val="003F0834"/>
    <w:rPr>
      <w:color w:val="0000FF"/>
      <w:u w:val="single"/>
    </w:rPr>
  </w:style>
  <w:style w:type="paragraph" w:styleId="Header">
    <w:name w:val="header"/>
    <w:basedOn w:val="Normal"/>
    <w:link w:val="HeaderChar"/>
    <w:uiPriority w:val="99"/>
    <w:unhideWhenUsed/>
    <w:rsid w:val="003F0834"/>
    <w:pPr>
      <w:tabs>
        <w:tab w:val="center" w:pos="4680"/>
        <w:tab w:val="right" w:pos="9360"/>
      </w:tabs>
      <w:spacing w:after="0" w:line="240" w:lineRule="auto"/>
    </w:pPr>
    <w:rPr>
      <w:rFonts w:ascii="Andalus" w:eastAsia="Calibri" w:hAnsi="Andalus" w:cs="Andalus"/>
      <w:sz w:val="24"/>
      <w:szCs w:val="24"/>
    </w:rPr>
  </w:style>
  <w:style w:type="character" w:customStyle="1" w:styleId="HeaderChar">
    <w:name w:val="Header Char"/>
    <w:basedOn w:val="DefaultParagraphFont"/>
    <w:link w:val="Header"/>
    <w:uiPriority w:val="99"/>
    <w:rsid w:val="003F0834"/>
    <w:rPr>
      <w:rFonts w:ascii="Andalus" w:eastAsia="Calibri" w:hAnsi="Andalus" w:cs="Andalus"/>
      <w:kern w:val="0"/>
      <w14:ligatures w14:val="none"/>
    </w:rPr>
  </w:style>
  <w:style w:type="paragraph" w:styleId="Footer">
    <w:name w:val="footer"/>
    <w:basedOn w:val="Normal"/>
    <w:link w:val="FooterChar"/>
    <w:uiPriority w:val="99"/>
    <w:unhideWhenUsed/>
    <w:rsid w:val="003F0834"/>
    <w:pPr>
      <w:tabs>
        <w:tab w:val="center" w:pos="4680"/>
        <w:tab w:val="right" w:pos="9360"/>
      </w:tabs>
      <w:spacing w:after="0" w:line="240" w:lineRule="auto"/>
    </w:pPr>
    <w:rPr>
      <w:rFonts w:ascii="Andalus" w:eastAsia="Calibri" w:hAnsi="Andalus" w:cs="Andalus"/>
      <w:sz w:val="24"/>
      <w:szCs w:val="24"/>
    </w:rPr>
  </w:style>
  <w:style w:type="character" w:customStyle="1" w:styleId="FooterChar">
    <w:name w:val="Footer Char"/>
    <w:basedOn w:val="DefaultParagraphFont"/>
    <w:link w:val="Footer"/>
    <w:uiPriority w:val="99"/>
    <w:rsid w:val="003F0834"/>
    <w:rPr>
      <w:rFonts w:ascii="Andalus" w:eastAsia="Calibri" w:hAnsi="Andalus" w:cs="Andalus"/>
      <w:kern w:val="0"/>
      <w14:ligatures w14:val="none"/>
    </w:rPr>
  </w:style>
  <w:style w:type="character" w:styleId="CommentReference">
    <w:name w:val="annotation reference"/>
    <w:basedOn w:val="DefaultParagraphFont"/>
    <w:uiPriority w:val="99"/>
    <w:semiHidden/>
    <w:unhideWhenUsed/>
    <w:rsid w:val="003F0834"/>
    <w:rPr>
      <w:sz w:val="16"/>
      <w:szCs w:val="16"/>
    </w:rPr>
  </w:style>
  <w:style w:type="paragraph" w:styleId="CommentText">
    <w:name w:val="annotation text"/>
    <w:basedOn w:val="Normal"/>
    <w:link w:val="CommentTextChar"/>
    <w:uiPriority w:val="99"/>
    <w:semiHidden/>
    <w:unhideWhenUsed/>
    <w:rsid w:val="003F0834"/>
    <w:pPr>
      <w:spacing w:after="200" w:line="240" w:lineRule="auto"/>
    </w:pPr>
    <w:rPr>
      <w:rFonts w:ascii="Andalus" w:eastAsia="Calibri" w:hAnsi="Andalus" w:cs="Andalus"/>
      <w:sz w:val="20"/>
      <w:szCs w:val="20"/>
    </w:rPr>
  </w:style>
  <w:style w:type="character" w:customStyle="1" w:styleId="CommentTextChar">
    <w:name w:val="Comment Text Char"/>
    <w:basedOn w:val="DefaultParagraphFont"/>
    <w:link w:val="CommentText"/>
    <w:uiPriority w:val="99"/>
    <w:semiHidden/>
    <w:rsid w:val="003F0834"/>
    <w:rPr>
      <w:rFonts w:ascii="Andalus" w:eastAsia="Calibri" w:hAnsi="Andalus" w:cs="Andalu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F0834"/>
    <w:rPr>
      <w:b/>
      <w:bCs/>
    </w:rPr>
  </w:style>
  <w:style w:type="character" w:customStyle="1" w:styleId="CommentSubjectChar">
    <w:name w:val="Comment Subject Char"/>
    <w:basedOn w:val="CommentTextChar"/>
    <w:link w:val="CommentSubject"/>
    <w:uiPriority w:val="99"/>
    <w:semiHidden/>
    <w:rsid w:val="003F0834"/>
    <w:rPr>
      <w:rFonts w:ascii="Andalus" w:eastAsia="Calibri" w:hAnsi="Andalus" w:cs="Andalus"/>
      <w:b/>
      <w:bCs/>
      <w:kern w:val="0"/>
      <w:sz w:val="20"/>
      <w:szCs w:val="20"/>
      <w14:ligatures w14:val="none"/>
    </w:rPr>
  </w:style>
  <w:style w:type="paragraph" w:styleId="BalloonText">
    <w:name w:val="Balloon Text"/>
    <w:basedOn w:val="Normal"/>
    <w:link w:val="BalloonTextChar"/>
    <w:uiPriority w:val="99"/>
    <w:semiHidden/>
    <w:unhideWhenUsed/>
    <w:rsid w:val="003F0834"/>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3F0834"/>
    <w:rPr>
      <w:rFonts w:ascii="Segoe UI" w:eastAsia="Calibri" w:hAnsi="Segoe UI" w:cs="Segoe UI"/>
      <w:kern w:val="0"/>
      <w:sz w:val="18"/>
      <w:szCs w:val="18"/>
      <w14:ligatures w14:val="none"/>
    </w:rPr>
  </w:style>
  <w:style w:type="paragraph" w:customStyle="1" w:styleId="Style6">
    <w:name w:val="Style6"/>
    <w:basedOn w:val="Normal"/>
    <w:uiPriority w:val="99"/>
    <w:qFormat/>
    <w:rsid w:val="003F083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TableGrid13111">
    <w:name w:val="Table Grid13111"/>
    <w:basedOn w:val="TableNormal"/>
    <w:uiPriority w:val="59"/>
    <w:rsid w:val="003F0834"/>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3F0834"/>
    <w:pPr>
      <w:spacing w:after="200" w:line="276" w:lineRule="auto"/>
    </w:pPr>
    <w:rPr>
      <w:rFonts w:ascii="Calibri" w:eastAsia="Times New Roman" w:hAnsi="Calibri" w:cs="Calibri"/>
    </w:rPr>
  </w:style>
  <w:style w:type="table" w:customStyle="1" w:styleId="TableGrid1">
    <w:name w:val="Table Grid1"/>
    <w:basedOn w:val="TableNormal"/>
    <w:next w:val="TableGrid"/>
    <w:uiPriority w:val="59"/>
    <w:rsid w:val="003F0834"/>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3F0834"/>
  </w:style>
  <w:style w:type="character" w:customStyle="1" w:styleId="NormalWebChar">
    <w:name w:val="Normal (Web) Char"/>
    <w:aliases w:val="Justified Char,Line spacing:  1.5 lines Char,Normal (Web) Char Char Char Char Char Char1,Normal (Web) Char Char Char Char,Normal (Web) Char Char Char Char Char Char Char,Char Char Char"/>
    <w:basedOn w:val="DefaultParagraphFont"/>
    <w:link w:val="NormalWeb"/>
    <w:uiPriority w:val="99"/>
    <w:locked/>
    <w:rsid w:val="003F0834"/>
    <w:rPr>
      <w:rFonts w:ascii="Times New Roman" w:eastAsia="Times New Roman" w:hAnsi="Times New Roman" w:cs="Times New Roman"/>
      <w:lang w:eastAsia="ja-JP"/>
    </w:rPr>
  </w:style>
  <w:style w:type="paragraph" w:styleId="NormalWeb">
    <w:name w:val="Normal (Web)"/>
    <w:aliases w:val="Justified,Line spacing:  1.5 lines,Normal (Web) Char Char Char Char Char,Normal (Web) Char Char Char,Normal (Web) Char Char Char Char Char Char,Normal (Web) Char Char Char Char Char Char Char Char Char Char Char Char Char,Char Char"/>
    <w:link w:val="NormalWebChar"/>
    <w:uiPriority w:val="99"/>
    <w:unhideWhenUsed/>
    <w:qFormat/>
    <w:rsid w:val="003F0834"/>
    <w:pPr>
      <w:spacing w:before="240" w:after="0" w:line="240" w:lineRule="auto"/>
      <w:jc w:val="both"/>
    </w:pPr>
    <w:rPr>
      <w:rFonts w:ascii="Times New Roman" w:eastAsia="Times New Roman" w:hAnsi="Times New Roman" w:cs="Times New Roman"/>
      <w:lang w:eastAsia="ja-JP"/>
    </w:rPr>
  </w:style>
  <w:style w:type="character" w:customStyle="1" w:styleId="DefaultChar">
    <w:name w:val="Default Char"/>
    <w:link w:val="Default"/>
    <w:locked/>
    <w:rsid w:val="003F0834"/>
    <w:rPr>
      <w:rFonts w:ascii="Calibri" w:eastAsia="Calibri" w:hAnsi="Calibri" w:cs="Times New Roman"/>
      <w:color w:val="000000"/>
    </w:rPr>
  </w:style>
  <w:style w:type="paragraph" w:customStyle="1" w:styleId="Default">
    <w:name w:val="Default"/>
    <w:link w:val="DefaultChar"/>
    <w:qFormat/>
    <w:rsid w:val="003F0834"/>
    <w:pPr>
      <w:autoSpaceDE w:val="0"/>
      <w:autoSpaceDN w:val="0"/>
      <w:adjustRightInd w:val="0"/>
      <w:spacing w:after="0" w:line="240" w:lineRule="auto"/>
    </w:pPr>
    <w:rPr>
      <w:rFonts w:ascii="Calibri" w:eastAsia="Calibri" w:hAnsi="Calibri" w:cs="Times New Roman"/>
      <w:color w:val="000000"/>
    </w:rPr>
  </w:style>
  <w:style w:type="character" w:customStyle="1" w:styleId="apple-converted-space">
    <w:name w:val="apple-converted-space"/>
    <w:basedOn w:val="DefaultParagraphFont"/>
    <w:rsid w:val="003F0834"/>
  </w:style>
  <w:style w:type="character" w:customStyle="1" w:styleId="st">
    <w:name w:val="st"/>
    <w:basedOn w:val="DefaultParagraphFont"/>
    <w:rsid w:val="003F0834"/>
  </w:style>
  <w:style w:type="table" w:customStyle="1" w:styleId="TableGrid2">
    <w:name w:val="Table Grid2"/>
    <w:basedOn w:val="TableNormal"/>
    <w:uiPriority w:val="59"/>
    <w:rsid w:val="003F0834"/>
    <w:pPr>
      <w:spacing w:after="0" w:line="240" w:lineRule="auto"/>
    </w:pPr>
    <w:rPr>
      <w:rFonts w:ascii="Calibri" w:eastAsia="Calibri" w:hAnsi="Calibri" w:cs="SimSu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3F0834"/>
    <w:pPr>
      <w:tabs>
        <w:tab w:val="right" w:leader="dot" w:pos="9350"/>
      </w:tabs>
      <w:spacing w:after="0" w:line="360" w:lineRule="auto"/>
    </w:pPr>
    <w:rPr>
      <w:rFonts w:ascii="Times New Roman" w:eastAsia="Times New Roman" w:hAnsi="Times New Roman" w:cs="Times New Roman"/>
      <w:noProof/>
      <w:sz w:val="24"/>
      <w:szCs w:val="24"/>
      <w:lang w:val="en-GB" w:eastAsia="en-GB"/>
    </w:rPr>
  </w:style>
  <w:style w:type="paragraph" w:styleId="TOC2">
    <w:name w:val="toc 2"/>
    <w:basedOn w:val="Normal"/>
    <w:next w:val="Normal"/>
    <w:autoRedefine/>
    <w:uiPriority w:val="39"/>
    <w:unhideWhenUsed/>
    <w:rsid w:val="003F0834"/>
    <w:pPr>
      <w:tabs>
        <w:tab w:val="right" w:leader="dot" w:pos="9350"/>
      </w:tabs>
      <w:spacing w:after="0" w:line="360" w:lineRule="auto"/>
    </w:pPr>
    <w:rPr>
      <w:rFonts w:ascii="Calibri" w:eastAsia="Times New Roman" w:hAnsi="Calibri" w:cs="Calibri"/>
      <w:b/>
      <w:bCs/>
      <w:noProof/>
      <w:sz w:val="24"/>
      <w:szCs w:val="24"/>
      <w:lang w:val="en-GB" w:eastAsia="en-GB"/>
    </w:rPr>
  </w:style>
  <w:style w:type="paragraph" w:styleId="TOC3">
    <w:name w:val="toc 3"/>
    <w:basedOn w:val="Normal"/>
    <w:next w:val="Normal"/>
    <w:autoRedefine/>
    <w:uiPriority w:val="39"/>
    <w:unhideWhenUsed/>
    <w:rsid w:val="003F0834"/>
    <w:pPr>
      <w:spacing w:after="100" w:line="276" w:lineRule="auto"/>
      <w:ind w:left="440"/>
    </w:pPr>
    <w:rPr>
      <w:rFonts w:ascii="Calibri" w:eastAsia="Times New Roman" w:hAnsi="Calibri" w:cs="Calibri"/>
    </w:rPr>
  </w:style>
  <w:style w:type="table" w:styleId="LightShading">
    <w:name w:val="Light Shading"/>
    <w:basedOn w:val="TableNormal"/>
    <w:uiPriority w:val="60"/>
    <w:rsid w:val="003F0834"/>
    <w:pPr>
      <w:spacing w:after="0" w:line="240" w:lineRule="auto"/>
    </w:pPr>
    <w:rPr>
      <w:rFonts w:eastAsiaTheme="minorEastAsia" w:cs="Times New Roman"/>
      <w:color w:val="000000" w:themeColor="text1" w:themeShade="BF"/>
      <w:kern w:val="0"/>
      <w:sz w:val="22"/>
      <w:szCs w:val="22"/>
      <w:lang w:val="en-GB" w:eastAsia="en-GB"/>
      <w14:ligatures w14:val="none"/>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table" w:styleId="MediumList1">
    <w:name w:val="Medium List 1"/>
    <w:basedOn w:val="TableNormal"/>
    <w:uiPriority w:val="65"/>
    <w:rsid w:val="003F0834"/>
    <w:pPr>
      <w:spacing w:after="0" w:line="240" w:lineRule="auto"/>
    </w:pPr>
    <w:rPr>
      <w:rFonts w:ascii="Calibri" w:eastAsia="Calibri" w:hAnsi="Calibri" w:cs="SimSun"/>
      <w:color w:val="000000" w:themeColor="text1"/>
      <w:kern w:val="0"/>
      <w:sz w:val="22"/>
      <w:szCs w:val="22"/>
      <w14:ligatures w14:val="none"/>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TableGrid221">
    <w:name w:val="Table Grid221"/>
    <w:basedOn w:val="TableNormal"/>
    <w:next w:val="TableGrid"/>
    <w:rsid w:val="003F0834"/>
    <w:pPr>
      <w:spacing w:after="0" w:line="240" w:lineRule="auto"/>
    </w:pPr>
    <w:rPr>
      <w:rFonts w:ascii="Calibri" w:eastAsia="Calibri" w:hAnsi="Calibri" w:cs="Times New Roman"/>
      <w:kern w:val="0"/>
      <w:sz w:val="20"/>
      <w:szCs w:val="20"/>
      <w:lang w:val=""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3F0834"/>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61">
    <w:name w:val="Medium Shading 2 - Accent 61"/>
    <w:basedOn w:val="TableNormal"/>
    <w:next w:val="MediumShading2-Accent6"/>
    <w:uiPriority w:val="64"/>
    <w:rsid w:val="003F0834"/>
    <w:pPr>
      <w:spacing w:after="0" w:line="240" w:lineRule="auto"/>
    </w:pPr>
    <w:rPr>
      <w:kern w:val="0"/>
      <w:sz w:val="22"/>
      <w:szCs w:val="22"/>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F0834"/>
    <w:pPr>
      <w:spacing w:after="0" w:line="240" w:lineRule="auto"/>
    </w:pPr>
    <w:rPr>
      <w:kern w:val="0"/>
      <w:sz w:val="22"/>
      <w:szCs w:val="22"/>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next w:val="LightShading"/>
    <w:uiPriority w:val="60"/>
    <w:rsid w:val="003F0834"/>
    <w:pPr>
      <w:spacing w:after="0" w:line="240" w:lineRule="auto"/>
    </w:pPr>
    <w:rPr>
      <w:rFonts w:eastAsia="Times New Roman" w:cs="Times New Roman"/>
      <w:color w:val="000000"/>
      <w:kern w:val="0"/>
      <w:sz w:val="22"/>
      <w:szCs w:val="22"/>
      <w:lang w:val="en-GB" w:eastAsia="en-GB"/>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TableGrid131">
    <w:name w:val="Table Grid131"/>
    <w:basedOn w:val="TableNormal"/>
    <w:uiPriority w:val="59"/>
    <w:rsid w:val="003F0834"/>
    <w:pPr>
      <w:spacing w:after="0" w:line="240" w:lineRule="auto"/>
    </w:pPr>
    <w:rPr>
      <w:rFonts w:ascii="Calibri" w:eastAsia="Times New Roman" w:hAnsi="Calibri" w:cs="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3F0834"/>
  </w:style>
  <w:style w:type="table" w:customStyle="1" w:styleId="TableGrid21">
    <w:name w:val="Table Grid21"/>
    <w:basedOn w:val="TableNormal"/>
    <w:uiPriority w:val="59"/>
    <w:rsid w:val="003F0834"/>
    <w:pPr>
      <w:spacing w:after="0" w:line="240" w:lineRule="auto"/>
    </w:pPr>
    <w:rPr>
      <w:rFonts w:ascii="Calibri" w:eastAsia="Calibri" w:hAnsi="Calibri" w:cs="SimSu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3F0834"/>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2">
    <w:name w:val="Light Shading2"/>
    <w:basedOn w:val="TableNormal"/>
    <w:next w:val="LightShading"/>
    <w:uiPriority w:val="60"/>
    <w:rsid w:val="003F0834"/>
    <w:pPr>
      <w:spacing w:after="0" w:line="240" w:lineRule="auto"/>
    </w:pPr>
    <w:rPr>
      <w:rFonts w:eastAsiaTheme="minorEastAsia" w:cs="Times New Roman"/>
      <w:color w:val="000000" w:themeColor="text1" w:themeShade="BF"/>
      <w:kern w:val="0"/>
      <w:sz w:val="22"/>
      <w:szCs w:val="22"/>
      <w:lang w:val="en-GB" w:eastAsia="en-GB"/>
      <w14:ligatures w14:val="none"/>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next w:val="MediumList1"/>
    <w:uiPriority w:val="65"/>
    <w:rsid w:val="003F0834"/>
    <w:pPr>
      <w:spacing w:after="0" w:line="240" w:lineRule="auto"/>
    </w:pPr>
    <w:rPr>
      <w:rFonts w:ascii="Calibri" w:eastAsia="Calibri" w:hAnsi="Calibri" w:cs="SimSun"/>
      <w:color w:val="000000" w:themeColor="text1"/>
      <w:kern w:val="0"/>
      <w:sz w:val="22"/>
      <w:szCs w:val="22"/>
      <w14:ligatures w14:val="none"/>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TableGrid2211">
    <w:name w:val="Table Grid2211"/>
    <w:basedOn w:val="TableNormal"/>
    <w:next w:val="TableGrid"/>
    <w:rsid w:val="003F0834"/>
    <w:pPr>
      <w:spacing w:after="0" w:line="240" w:lineRule="auto"/>
    </w:pPr>
    <w:rPr>
      <w:rFonts w:ascii="Calibri" w:eastAsia="Calibri" w:hAnsi="Calibri" w:cs="Times New Roman"/>
      <w:kern w:val="0"/>
      <w:sz w:val="20"/>
      <w:szCs w:val="20"/>
      <w:lang w:val=""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611">
    <w:name w:val="Medium Shading 2 - Accent 611"/>
    <w:basedOn w:val="TableNormal"/>
    <w:next w:val="MediumShading2-Accent6"/>
    <w:uiPriority w:val="64"/>
    <w:rsid w:val="003F0834"/>
    <w:pPr>
      <w:spacing w:after="0" w:line="240" w:lineRule="auto"/>
    </w:pPr>
    <w:rPr>
      <w:kern w:val="0"/>
      <w:sz w:val="22"/>
      <w:szCs w:val="22"/>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2">
    <w:name w:val="Medium Shading 2 - Accent 62"/>
    <w:basedOn w:val="TableNormal"/>
    <w:next w:val="MediumShading2-Accent6"/>
    <w:uiPriority w:val="64"/>
    <w:rsid w:val="003F0834"/>
    <w:pPr>
      <w:spacing w:after="0" w:line="240" w:lineRule="auto"/>
    </w:pPr>
    <w:rPr>
      <w:kern w:val="0"/>
      <w:sz w:val="22"/>
      <w:szCs w:val="22"/>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1">
    <w:name w:val="Light Shading11"/>
    <w:basedOn w:val="TableNormal"/>
    <w:next w:val="LightShading"/>
    <w:uiPriority w:val="60"/>
    <w:rsid w:val="003F0834"/>
    <w:pPr>
      <w:spacing w:after="0" w:line="240" w:lineRule="auto"/>
    </w:pPr>
    <w:rPr>
      <w:rFonts w:eastAsia="Times New Roman" w:cs="Times New Roman"/>
      <w:color w:val="000000"/>
      <w:kern w:val="0"/>
      <w:sz w:val="22"/>
      <w:szCs w:val="22"/>
      <w:lang w:val="en-GB" w:eastAsia="en-GB"/>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TableGrid1311">
    <w:name w:val="Table Grid1311"/>
    <w:basedOn w:val="TableNormal"/>
    <w:uiPriority w:val="59"/>
    <w:rsid w:val="003F0834"/>
    <w:pPr>
      <w:spacing w:after="0" w:line="240" w:lineRule="auto"/>
    </w:pPr>
    <w:rPr>
      <w:rFonts w:ascii="Calibri" w:eastAsia="Times New Roman" w:hAnsi="Calibri" w:cs="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4">
    <w:name w:val="toc 4"/>
    <w:basedOn w:val="Normal"/>
    <w:next w:val="Normal"/>
    <w:autoRedefine/>
    <w:uiPriority w:val="39"/>
    <w:unhideWhenUsed/>
    <w:rsid w:val="003F0834"/>
    <w:pPr>
      <w:spacing w:after="100" w:line="276" w:lineRule="auto"/>
      <w:ind w:left="660"/>
    </w:pPr>
    <w:rPr>
      <w:rFonts w:eastAsiaTheme="minorEastAsia"/>
    </w:rPr>
  </w:style>
  <w:style w:type="paragraph" w:styleId="TOC5">
    <w:name w:val="toc 5"/>
    <w:basedOn w:val="Normal"/>
    <w:next w:val="Normal"/>
    <w:autoRedefine/>
    <w:uiPriority w:val="39"/>
    <w:unhideWhenUsed/>
    <w:rsid w:val="003F0834"/>
    <w:pPr>
      <w:spacing w:after="100" w:line="276" w:lineRule="auto"/>
      <w:ind w:left="880"/>
    </w:pPr>
    <w:rPr>
      <w:rFonts w:eastAsiaTheme="minorEastAsia"/>
    </w:rPr>
  </w:style>
  <w:style w:type="paragraph" w:styleId="TOC6">
    <w:name w:val="toc 6"/>
    <w:basedOn w:val="Normal"/>
    <w:next w:val="Normal"/>
    <w:autoRedefine/>
    <w:uiPriority w:val="39"/>
    <w:unhideWhenUsed/>
    <w:rsid w:val="003F0834"/>
    <w:pPr>
      <w:spacing w:after="100" w:line="276" w:lineRule="auto"/>
      <w:ind w:left="1100"/>
    </w:pPr>
    <w:rPr>
      <w:rFonts w:eastAsiaTheme="minorEastAsia"/>
    </w:rPr>
  </w:style>
  <w:style w:type="paragraph" w:styleId="TOC7">
    <w:name w:val="toc 7"/>
    <w:basedOn w:val="Normal"/>
    <w:next w:val="Normal"/>
    <w:autoRedefine/>
    <w:uiPriority w:val="39"/>
    <w:unhideWhenUsed/>
    <w:rsid w:val="003F0834"/>
    <w:pPr>
      <w:spacing w:after="100" w:line="276" w:lineRule="auto"/>
      <w:ind w:left="1320"/>
    </w:pPr>
    <w:rPr>
      <w:rFonts w:eastAsiaTheme="minorEastAsia"/>
    </w:rPr>
  </w:style>
  <w:style w:type="paragraph" w:styleId="TOC8">
    <w:name w:val="toc 8"/>
    <w:basedOn w:val="Normal"/>
    <w:next w:val="Normal"/>
    <w:autoRedefine/>
    <w:uiPriority w:val="39"/>
    <w:unhideWhenUsed/>
    <w:rsid w:val="003F0834"/>
    <w:pPr>
      <w:spacing w:after="100" w:line="276" w:lineRule="auto"/>
      <w:ind w:left="1540"/>
    </w:pPr>
    <w:rPr>
      <w:rFonts w:eastAsiaTheme="minorEastAsia"/>
    </w:rPr>
  </w:style>
  <w:style w:type="paragraph" w:styleId="TOC9">
    <w:name w:val="toc 9"/>
    <w:basedOn w:val="Normal"/>
    <w:next w:val="Normal"/>
    <w:autoRedefine/>
    <w:uiPriority w:val="39"/>
    <w:unhideWhenUsed/>
    <w:rsid w:val="003F0834"/>
    <w:pPr>
      <w:spacing w:after="100" w:line="276" w:lineRule="auto"/>
      <w:ind w:left="1760"/>
    </w:pPr>
    <w:rPr>
      <w:rFonts w:eastAsiaTheme="minorEastAsia"/>
    </w:rPr>
  </w:style>
  <w:style w:type="numbering" w:customStyle="1" w:styleId="NoList2">
    <w:name w:val="No List2"/>
    <w:next w:val="NoList"/>
    <w:uiPriority w:val="99"/>
    <w:semiHidden/>
    <w:unhideWhenUsed/>
    <w:rsid w:val="003F0834"/>
  </w:style>
  <w:style w:type="table" w:customStyle="1" w:styleId="TableGrid22">
    <w:name w:val="Table Grid22"/>
    <w:basedOn w:val="TableNormal"/>
    <w:uiPriority w:val="59"/>
    <w:rsid w:val="003F0834"/>
    <w:pPr>
      <w:spacing w:after="0" w:line="240" w:lineRule="auto"/>
    </w:pPr>
    <w:rPr>
      <w:rFonts w:ascii="Calibri" w:eastAsia="Calibri" w:hAnsi="Calibri" w:cs="SimSu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3F0834"/>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3">
    <w:name w:val="Light Shading3"/>
    <w:basedOn w:val="TableNormal"/>
    <w:next w:val="LightShading"/>
    <w:uiPriority w:val="60"/>
    <w:rsid w:val="003F0834"/>
    <w:pPr>
      <w:spacing w:after="0" w:line="240" w:lineRule="auto"/>
    </w:pPr>
    <w:rPr>
      <w:rFonts w:eastAsiaTheme="minorEastAsia" w:cs="Times New Roman"/>
      <w:color w:val="000000" w:themeColor="text1" w:themeShade="BF"/>
      <w:kern w:val="0"/>
      <w:sz w:val="22"/>
      <w:szCs w:val="22"/>
      <w:lang w:val="en-GB" w:eastAsia="en-GB"/>
      <w14:ligatures w14:val="none"/>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table" w:customStyle="1" w:styleId="MediumList12">
    <w:name w:val="Medium List 12"/>
    <w:basedOn w:val="TableNormal"/>
    <w:next w:val="MediumList1"/>
    <w:uiPriority w:val="65"/>
    <w:rsid w:val="003F0834"/>
    <w:pPr>
      <w:spacing w:after="0" w:line="240" w:lineRule="auto"/>
    </w:pPr>
    <w:rPr>
      <w:rFonts w:ascii="Calibri" w:eastAsia="Calibri" w:hAnsi="Calibri" w:cs="SimSun"/>
      <w:color w:val="000000" w:themeColor="text1"/>
      <w:kern w:val="0"/>
      <w:sz w:val="22"/>
      <w:szCs w:val="22"/>
      <w14:ligatures w14:val="none"/>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TableGrid2212">
    <w:name w:val="Table Grid2212"/>
    <w:basedOn w:val="TableNormal"/>
    <w:next w:val="TableGrid"/>
    <w:rsid w:val="003F0834"/>
    <w:pPr>
      <w:spacing w:after="0" w:line="240" w:lineRule="auto"/>
    </w:pPr>
    <w:rPr>
      <w:rFonts w:ascii="Calibri" w:eastAsia="Calibri" w:hAnsi="Calibri" w:cs="Times New Roman"/>
      <w:kern w:val="0"/>
      <w:sz w:val="20"/>
      <w:szCs w:val="20"/>
      <w:lang w:val=""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3F0834"/>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612">
    <w:name w:val="Medium Shading 2 - Accent 612"/>
    <w:basedOn w:val="TableNormal"/>
    <w:next w:val="MediumShading2-Accent6"/>
    <w:uiPriority w:val="64"/>
    <w:rsid w:val="003F0834"/>
    <w:pPr>
      <w:spacing w:after="0" w:line="240" w:lineRule="auto"/>
    </w:pPr>
    <w:rPr>
      <w:kern w:val="0"/>
      <w:sz w:val="22"/>
      <w:szCs w:val="22"/>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3">
    <w:name w:val="Medium Shading 2 - Accent 63"/>
    <w:basedOn w:val="TableNormal"/>
    <w:next w:val="MediumShading2-Accent6"/>
    <w:uiPriority w:val="64"/>
    <w:rsid w:val="003F0834"/>
    <w:pPr>
      <w:spacing w:after="0" w:line="240" w:lineRule="auto"/>
    </w:pPr>
    <w:rPr>
      <w:kern w:val="0"/>
      <w:sz w:val="22"/>
      <w:szCs w:val="22"/>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next w:val="LightShading"/>
    <w:uiPriority w:val="60"/>
    <w:rsid w:val="003F0834"/>
    <w:pPr>
      <w:spacing w:after="0" w:line="240" w:lineRule="auto"/>
    </w:pPr>
    <w:rPr>
      <w:rFonts w:eastAsia="Times New Roman" w:cs="Times New Roman"/>
      <w:color w:val="000000"/>
      <w:kern w:val="0"/>
      <w:sz w:val="22"/>
      <w:szCs w:val="22"/>
      <w:lang w:val="en-GB" w:eastAsia="en-GB"/>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TableGrid1312">
    <w:name w:val="Table Grid1312"/>
    <w:basedOn w:val="TableNormal"/>
    <w:uiPriority w:val="59"/>
    <w:rsid w:val="003F0834"/>
    <w:pPr>
      <w:spacing w:after="0" w:line="240" w:lineRule="auto"/>
    </w:pPr>
    <w:rPr>
      <w:rFonts w:ascii="Calibri" w:eastAsia="Times New Roman" w:hAnsi="Calibri" w:cs="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Number3">
    <w:name w:val="List Number 3"/>
    <w:basedOn w:val="Normal"/>
    <w:uiPriority w:val="99"/>
    <w:unhideWhenUsed/>
    <w:rsid w:val="003F0834"/>
    <w:pPr>
      <w:numPr>
        <w:numId w:val="3"/>
      </w:numPr>
      <w:spacing w:after="200" w:line="276" w:lineRule="auto"/>
      <w:contextualSpacing/>
    </w:pPr>
    <w:rPr>
      <w:rFonts w:eastAsiaTheme="minorEastAsia"/>
    </w:rPr>
  </w:style>
  <w:style w:type="character" w:styleId="Emphasis">
    <w:name w:val="Emphasis"/>
    <w:basedOn w:val="DefaultParagraphFont"/>
    <w:uiPriority w:val="20"/>
    <w:qFormat/>
    <w:rsid w:val="003F0834"/>
    <w:rPr>
      <w:i/>
      <w:iCs/>
    </w:rPr>
  </w:style>
  <w:style w:type="paragraph" w:customStyle="1" w:styleId="graf">
    <w:name w:val="graf"/>
    <w:basedOn w:val="Normal"/>
    <w:rsid w:val="003F08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411CF"/>
    <w:rPr>
      <w:color w:val="605E5C"/>
      <w:shd w:val="clear" w:color="auto" w:fill="E1DFDD"/>
    </w:rPr>
  </w:style>
  <w:style w:type="character" w:styleId="Strong">
    <w:name w:val="Strong"/>
    <w:basedOn w:val="DefaultParagraphFont"/>
    <w:uiPriority w:val="22"/>
    <w:qFormat/>
    <w:rsid w:val="00D475BA"/>
    <w:rPr>
      <w:b/>
      <w:bCs/>
    </w:rPr>
  </w:style>
  <w:style w:type="paragraph" w:styleId="TOCHeading">
    <w:name w:val="TOC Heading"/>
    <w:basedOn w:val="Heading1"/>
    <w:next w:val="Normal"/>
    <w:uiPriority w:val="39"/>
    <w:unhideWhenUsed/>
    <w:qFormat/>
    <w:rsid w:val="0016390D"/>
    <w:pPr>
      <w:spacing w:before="240" w:after="0"/>
      <w:outlineLvl w:val="9"/>
    </w:pPr>
    <w:rPr>
      <w:sz w:val="32"/>
      <w:szCs w:val="32"/>
    </w:rPr>
  </w:style>
  <w:style w:type="paragraph" w:styleId="NoSpacing">
    <w:name w:val="No Spacing"/>
    <w:uiPriority w:val="1"/>
    <w:qFormat/>
    <w:rsid w:val="00BE1B4C"/>
    <w:pPr>
      <w:spacing w:after="0" w:line="240" w:lineRule="auto"/>
    </w:pPr>
    <w:rPr>
      <w:kern w:val="0"/>
      <w:sz w:val="22"/>
      <w:szCs w:val="22"/>
      <w14:ligatures w14:val="none"/>
    </w:rPr>
  </w:style>
  <w:style w:type="character" w:customStyle="1" w:styleId="UnresolvedMention2">
    <w:name w:val="Unresolved Mention2"/>
    <w:basedOn w:val="DefaultParagraphFont"/>
    <w:uiPriority w:val="99"/>
    <w:semiHidden/>
    <w:unhideWhenUsed/>
    <w:rsid w:val="00FB74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15343">
      <w:bodyDiv w:val="1"/>
      <w:marLeft w:val="0"/>
      <w:marRight w:val="0"/>
      <w:marTop w:val="0"/>
      <w:marBottom w:val="0"/>
      <w:divBdr>
        <w:top w:val="none" w:sz="0" w:space="0" w:color="auto"/>
        <w:left w:val="none" w:sz="0" w:space="0" w:color="auto"/>
        <w:bottom w:val="none" w:sz="0" w:space="0" w:color="auto"/>
        <w:right w:val="none" w:sz="0" w:space="0" w:color="auto"/>
      </w:divBdr>
    </w:div>
    <w:div w:id="48959976">
      <w:bodyDiv w:val="1"/>
      <w:marLeft w:val="0"/>
      <w:marRight w:val="0"/>
      <w:marTop w:val="0"/>
      <w:marBottom w:val="0"/>
      <w:divBdr>
        <w:top w:val="none" w:sz="0" w:space="0" w:color="auto"/>
        <w:left w:val="none" w:sz="0" w:space="0" w:color="auto"/>
        <w:bottom w:val="none" w:sz="0" w:space="0" w:color="auto"/>
        <w:right w:val="none" w:sz="0" w:space="0" w:color="auto"/>
      </w:divBdr>
    </w:div>
    <w:div w:id="65222967">
      <w:bodyDiv w:val="1"/>
      <w:marLeft w:val="0"/>
      <w:marRight w:val="0"/>
      <w:marTop w:val="0"/>
      <w:marBottom w:val="0"/>
      <w:divBdr>
        <w:top w:val="none" w:sz="0" w:space="0" w:color="auto"/>
        <w:left w:val="none" w:sz="0" w:space="0" w:color="auto"/>
        <w:bottom w:val="none" w:sz="0" w:space="0" w:color="auto"/>
        <w:right w:val="none" w:sz="0" w:space="0" w:color="auto"/>
      </w:divBdr>
    </w:div>
    <w:div w:id="80494267">
      <w:bodyDiv w:val="1"/>
      <w:marLeft w:val="0"/>
      <w:marRight w:val="0"/>
      <w:marTop w:val="0"/>
      <w:marBottom w:val="0"/>
      <w:divBdr>
        <w:top w:val="none" w:sz="0" w:space="0" w:color="auto"/>
        <w:left w:val="none" w:sz="0" w:space="0" w:color="auto"/>
        <w:bottom w:val="none" w:sz="0" w:space="0" w:color="auto"/>
        <w:right w:val="none" w:sz="0" w:space="0" w:color="auto"/>
      </w:divBdr>
    </w:div>
    <w:div w:id="98456520">
      <w:bodyDiv w:val="1"/>
      <w:marLeft w:val="0"/>
      <w:marRight w:val="0"/>
      <w:marTop w:val="0"/>
      <w:marBottom w:val="0"/>
      <w:divBdr>
        <w:top w:val="none" w:sz="0" w:space="0" w:color="auto"/>
        <w:left w:val="none" w:sz="0" w:space="0" w:color="auto"/>
        <w:bottom w:val="none" w:sz="0" w:space="0" w:color="auto"/>
        <w:right w:val="none" w:sz="0" w:space="0" w:color="auto"/>
      </w:divBdr>
    </w:div>
    <w:div w:id="125635069">
      <w:bodyDiv w:val="1"/>
      <w:marLeft w:val="0"/>
      <w:marRight w:val="0"/>
      <w:marTop w:val="0"/>
      <w:marBottom w:val="0"/>
      <w:divBdr>
        <w:top w:val="none" w:sz="0" w:space="0" w:color="auto"/>
        <w:left w:val="none" w:sz="0" w:space="0" w:color="auto"/>
        <w:bottom w:val="none" w:sz="0" w:space="0" w:color="auto"/>
        <w:right w:val="none" w:sz="0" w:space="0" w:color="auto"/>
      </w:divBdr>
    </w:div>
    <w:div w:id="140468331">
      <w:bodyDiv w:val="1"/>
      <w:marLeft w:val="0"/>
      <w:marRight w:val="0"/>
      <w:marTop w:val="0"/>
      <w:marBottom w:val="0"/>
      <w:divBdr>
        <w:top w:val="none" w:sz="0" w:space="0" w:color="auto"/>
        <w:left w:val="none" w:sz="0" w:space="0" w:color="auto"/>
        <w:bottom w:val="none" w:sz="0" w:space="0" w:color="auto"/>
        <w:right w:val="none" w:sz="0" w:space="0" w:color="auto"/>
      </w:divBdr>
    </w:div>
    <w:div w:id="150567112">
      <w:bodyDiv w:val="1"/>
      <w:marLeft w:val="0"/>
      <w:marRight w:val="0"/>
      <w:marTop w:val="0"/>
      <w:marBottom w:val="0"/>
      <w:divBdr>
        <w:top w:val="none" w:sz="0" w:space="0" w:color="auto"/>
        <w:left w:val="none" w:sz="0" w:space="0" w:color="auto"/>
        <w:bottom w:val="none" w:sz="0" w:space="0" w:color="auto"/>
        <w:right w:val="none" w:sz="0" w:space="0" w:color="auto"/>
      </w:divBdr>
    </w:div>
    <w:div w:id="181480251">
      <w:bodyDiv w:val="1"/>
      <w:marLeft w:val="0"/>
      <w:marRight w:val="0"/>
      <w:marTop w:val="0"/>
      <w:marBottom w:val="0"/>
      <w:divBdr>
        <w:top w:val="none" w:sz="0" w:space="0" w:color="auto"/>
        <w:left w:val="none" w:sz="0" w:space="0" w:color="auto"/>
        <w:bottom w:val="none" w:sz="0" w:space="0" w:color="auto"/>
        <w:right w:val="none" w:sz="0" w:space="0" w:color="auto"/>
      </w:divBdr>
      <w:divsChild>
        <w:div w:id="2022118959">
          <w:marLeft w:val="0"/>
          <w:marRight w:val="0"/>
          <w:marTop w:val="0"/>
          <w:marBottom w:val="0"/>
          <w:divBdr>
            <w:top w:val="none" w:sz="0" w:space="0" w:color="auto"/>
            <w:left w:val="none" w:sz="0" w:space="0" w:color="auto"/>
            <w:bottom w:val="none" w:sz="0" w:space="0" w:color="auto"/>
            <w:right w:val="none" w:sz="0" w:space="0" w:color="auto"/>
          </w:divBdr>
        </w:div>
      </w:divsChild>
    </w:div>
    <w:div w:id="189228662">
      <w:bodyDiv w:val="1"/>
      <w:marLeft w:val="0"/>
      <w:marRight w:val="0"/>
      <w:marTop w:val="0"/>
      <w:marBottom w:val="0"/>
      <w:divBdr>
        <w:top w:val="none" w:sz="0" w:space="0" w:color="auto"/>
        <w:left w:val="none" w:sz="0" w:space="0" w:color="auto"/>
        <w:bottom w:val="none" w:sz="0" w:space="0" w:color="auto"/>
        <w:right w:val="none" w:sz="0" w:space="0" w:color="auto"/>
      </w:divBdr>
    </w:div>
    <w:div w:id="252864719">
      <w:bodyDiv w:val="1"/>
      <w:marLeft w:val="0"/>
      <w:marRight w:val="0"/>
      <w:marTop w:val="0"/>
      <w:marBottom w:val="0"/>
      <w:divBdr>
        <w:top w:val="none" w:sz="0" w:space="0" w:color="auto"/>
        <w:left w:val="none" w:sz="0" w:space="0" w:color="auto"/>
        <w:bottom w:val="none" w:sz="0" w:space="0" w:color="auto"/>
        <w:right w:val="none" w:sz="0" w:space="0" w:color="auto"/>
      </w:divBdr>
    </w:div>
    <w:div w:id="254293873">
      <w:bodyDiv w:val="1"/>
      <w:marLeft w:val="0"/>
      <w:marRight w:val="0"/>
      <w:marTop w:val="0"/>
      <w:marBottom w:val="0"/>
      <w:divBdr>
        <w:top w:val="none" w:sz="0" w:space="0" w:color="auto"/>
        <w:left w:val="none" w:sz="0" w:space="0" w:color="auto"/>
        <w:bottom w:val="none" w:sz="0" w:space="0" w:color="auto"/>
        <w:right w:val="none" w:sz="0" w:space="0" w:color="auto"/>
      </w:divBdr>
    </w:div>
    <w:div w:id="273754967">
      <w:bodyDiv w:val="1"/>
      <w:marLeft w:val="0"/>
      <w:marRight w:val="0"/>
      <w:marTop w:val="0"/>
      <w:marBottom w:val="0"/>
      <w:divBdr>
        <w:top w:val="none" w:sz="0" w:space="0" w:color="auto"/>
        <w:left w:val="none" w:sz="0" w:space="0" w:color="auto"/>
        <w:bottom w:val="none" w:sz="0" w:space="0" w:color="auto"/>
        <w:right w:val="none" w:sz="0" w:space="0" w:color="auto"/>
      </w:divBdr>
      <w:divsChild>
        <w:div w:id="558788776">
          <w:marLeft w:val="0"/>
          <w:marRight w:val="0"/>
          <w:marTop w:val="0"/>
          <w:marBottom w:val="0"/>
          <w:divBdr>
            <w:top w:val="none" w:sz="0" w:space="0" w:color="auto"/>
            <w:left w:val="none" w:sz="0" w:space="0" w:color="auto"/>
            <w:bottom w:val="none" w:sz="0" w:space="0" w:color="auto"/>
            <w:right w:val="none" w:sz="0" w:space="0" w:color="auto"/>
          </w:divBdr>
        </w:div>
      </w:divsChild>
    </w:div>
    <w:div w:id="293142789">
      <w:bodyDiv w:val="1"/>
      <w:marLeft w:val="0"/>
      <w:marRight w:val="0"/>
      <w:marTop w:val="0"/>
      <w:marBottom w:val="0"/>
      <w:divBdr>
        <w:top w:val="none" w:sz="0" w:space="0" w:color="auto"/>
        <w:left w:val="none" w:sz="0" w:space="0" w:color="auto"/>
        <w:bottom w:val="none" w:sz="0" w:space="0" w:color="auto"/>
        <w:right w:val="none" w:sz="0" w:space="0" w:color="auto"/>
      </w:divBdr>
    </w:div>
    <w:div w:id="318384143">
      <w:bodyDiv w:val="1"/>
      <w:marLeft w:val="0"/>
      <w:marRight w:val="0"/>
      <w:marTop w:val="0"/>
      <w:marBottom w:val="0"/>
      <w:divBdr>
        <w:top w:val="none" w:sz="0" w:space="0" w:color="auto"/>
        <w:left w:val="none" w:sz="0" w:space="0" w:color="auto"/>
        <w:bottom w:val="none" w:sz="0" w:space="0" w:color="auto"/>
        <w:right w:val="none" w:sz="0" w:space="0" w:color="auto"/>
      </w:divBdr>
      <w:divsChild>
        <w:div w:id="2070304784">
          <w:marLeft w:val="0"/>
          <w:marRight w:val="0"/>
          <w:marTop w:val="0"/>
          <w:marBottom w:val="0"/>
          <w:divBdr>
            <w:top w:val="none" w:sz="0" w:space="0" w:color="auto"/>
            <w:left w:val="none" w:sz="0" w:space="0" w:color="auto"/>
            <w:bottom w:val="none" w:sz="0" w:space="0" w:color="auto"/>
            <w:right w:val="none" w:sz="0" w:space="0" w:color="auto"/>
          </w:divBdr>
        </w:div>
      </w:divsChild>
    </w:div>
    <w:div w:id="331876052">
      <w:bodyDiv w:val="1"/>
      <w:marLeft w:val="0"/>
      <w:marRight w:val="0"/>
      <w:marTop w:val="0"/>
      <w:marBottom w:val="0"/>
      <w:divBdr>
        <w:top w:val="none" w:sz="0" w:space="0" w:color="auto"/>
        <w:left w:val="none" w:sz="0" w:space="0" w:color="auto"/>
        <w:bottom w:val="none" w:sz="0" w:space="0" w:color="auto"/>
        <w:right w:val="none" w:sz="0" w:space="0" w:color="auto"/>
      </w:divBdr>
    </w:div>
    <w:div w:id="334650190">
      <w:bodyDiv w:val="1"/>
      <w:marLeft w:val="0"/>
      <w:marRight w:val="0"/>
      <w:marTop w:val="0"/>
      <w:marBottom w:val="0"/>
      <w:divBdr>
        <w:top w:val="none" w:sz="0" w:space="0" w:color="auto"/>
        <w:left w:val="none" w:sz="0" w:space="0" w:color="auto"/>
        <w:bottom w:val="none" w:sz="0" w:space="0" w:color="auto"/>
        <w:right w:val="none" w:sz="0" w:space="0" w:color="auto"/>
      </w:divBdr>
    </w:div>
    <w:div w:id="348798179">
      <w:bodyDiv w:val="1"/>
      <w:marLeft w:val="0"/>
      <w:marRight w:val="0"/>
      <w:marTop w:val="0"/>
      <w:marBottom w:val="0"/>
      <w:divBdr>
        <w:top w:val="none" w:sz="0" w:space="0" w:color="auto"/>
        <w:left w:val="none" w:sz="0" w:space="0" w:color="auto"/>
        <w:bottom w:val="none" w:sz="0" w:space="0" w:color="auto"/>
        <w:right w:val="none" w:sz="0" w:space="0" w:color="auto"/>
      </w:divBdr>
    </w:div>
    <w:div w:id="358897888">
      <w:bodyDiv w:val="1"/>
      <w:marLeft w:val="0"/>
      <w:marRight w:val="0"/>
      <w:marTop w:val="0"/>
      <w:marBottom w:val="0"/>
      <w:divBdr>
        <w:top w:val="none" w:sz="0" w:space="0" w:color="auto"/>
        <w:left w:val="none" w:sz="0" w:space="0" w:color="auto"/>
        <w:bottom w:val="none" w:sz="0" w:space="0" w:color="auto"/>
        <w:right w:val="none" w:sz="0" w:space="0" w:color="auto"/>
      </w:divBdr>
    </w:div>
    <w:div w:id="398095790">
      <w:bodyDiv w:val="1"/>
      <w:marLeft w:val="0"/>
      <w:marRight w:val="0"/>
      <w:marTop w:val="0"/>
      <w:marBottom w:val="0"/>
      <w:divBdr>
        <w:top w:val="none" w:sz="0" w:space="0" w:color="auto"/>
        <w:left w:val="none" w:sz="0" w:space="0" w:color="auto"/>
        <w:bottom w:val="none" w:sz="0" w:space="0" w:color="auto"/>
        <w:right w:val="none" w:sz="0" w:space="0" w:color="auto"/>
      </w:divBdr>
    </w:div>
    <w:div w:id="426727943">
      <w:bodyDiv w:val="1"/>
      <w:marLeft w:val="0"/>
      <w:marRight w:val="0"/>
      <w:marTop w:val="0"/>
      <w:marBottom w:val="0"/>
      <w:divBdr>
        <w:top w:val="none" w:sz="0" w:space="0" w:color="auto"/>
        <w:left w:val="none" w:sz="0" w:space="0" w:color="auto"/>
        <w:bottom w:val="none" w:sz="0" w:space="0" w:color="auto"/>
        <w:right w:val="none" w:sz="0" w:space="0" w:color="auto"/>
      </w:divBdr>
    </w:div>
    <w:div w:id="427193868">
      <w:bodyDiv w:val="1"/>
      <w:marLeft w:val="0"/>
      <w:marRight w:val="0"/>
      <w:marTop w:val="0"/>
      <w:marBottom w:val="0"/>
      <w:divBdr>
        <w:top w:val="none" w:sz="0" w:space="0" w:color="auto"/>
        <w:left w:val="none" w:sz="0" w:space="0" w:color="auto"/>
        <w:bottom w:val="none" w:sz="0" w:space="0" w:color="auto"/>
        <w:right w:val="none" w:sz="0" w:space="0" w:color="auto"/>
      </w:divBdr>
    </w:div>
    <w:div w:id="440145112">
      <w:bodyDiv w:val="1"/>
      <w:marLeft w:val="0"/>
      <w:marRight w:val="0"/>
      <w:marTop w:val="0"/>
      <w:marBottom w:val="0"/>
      <w:divBdr>
        <w:top w:val="none" w:sz="0" w:space="0" w:color="auto"/>
        <w:left w:val="none" w:sz="0" w:space="0" w:color="auto"/>
        <w:bottom w:val="none" w:sz="0" w:space="0" w:color="auto"/>
        <w:right w:val="none" w:sz="0" w:space="0" w:color="auto"/>
      </w:divBdr>
    </w:div>
    <w:div w:id="464323866">
      <w:bodyDiv w:val="1"/>
      <w:marLeft w:val="0"/>
      <w:marRight w:val="0"/>
      <w:marTop w:val="0"/>
      <w:marBottom w:val="0"/>
      <w:divBdr>
        <w:top w:val="none" w:sz="0" w:space="0" w:color="auto"/>
        <w:left w:val="none" w:sz="0" w:space="0" w:color="auto"/>
        <w:bottom w:val="none" w:sz="0" w:space="0" w:color="auto"/>
        <w:right w:val="none" w:sz="0" w:space="0" w:color="auto"/>
      </w:divBdr>
    </w:div>
    <w:div w:id="484973598">
      <w:bodyDiv w:val="1"/>
      <w:marLeft w:val="0"/>
      <w:marRight w:val="0"/>
      <w:marTop w:val="0"/>
      <w:marBottom w:val="0"/>
      <w:divBdr>
        <w:top w:val="none" w:sz="0" w:space="0" w:color="auto"/>
        <w:left w:val="none" w:sz="0" w:space="0" w:color="auto"/>
        <w:bottom w:val="none" w:sz="0" w:space="0" w:color="auto"/>
        <w:right w:val="none" w:sz="0" w:space="0" w:color="auto"/>
      </w:divBdr>
    </w:div>
    <w:div w:id="499350489">
      <w:bodyDiv w:val="1"/>
      <w:marLeft w:val="0"/>
      <w:marRight w:val="0"/>
      <w:marTop w:val="0"/>
      <w:marBottom w:val="0"/>
      <w:divBdr>
        <w:top w:val="none" w:sz="0" w:space="0" w:color="auto"/>
        <w:left w:val="none" w:sz="0" w:space="0" w:color="auto"/>
        <w:bottom w:val="none" w:sz="0" w:space="0" w:color="auto"/>
        <w:right w:val="none" w:sz="0" w:space="0" w:color="auto"/>
      </w:divBdr>
    </w:div>
    <w:div w:id="501436790">
      <w:bodyDiv w:val="1"/>
      <w:marLeft w:val="0"/>
      <w:marRight w:val="0"/>
      <w:marTop w:val="0"/>
      <w:marBottom w:val="0"/>
      <w:divBdr>
        <w:top w:val="none" w:sz="0" w:space="0" w:color="auto"/>
        <w:left w:val="none" w:sz="0" w:space="0" w:color="auto"/>
        <w:bottom w:val="none" w:sz="0" w:space="0" w:color="auto"/>
        <w:right w:val="none" w:sz="0" w:space="0" w:color="auto"/>
      </w:divBdr>
    </w:div>
    <w:div w:id="523179958">
      <w:bodyDiv w:val="1"/>
      <w:marLeft w:val="0"/>
      <w:marRight w:val="0"/>
      <w:marTop w:val="0"/>
      <w:marBottom w:val="0"/>
      <w:divBdr>
        <w:top w:val="none" w:sz="0" w:space="0" w:color="auto"/>
        <w:left w:val="none" w:sz="0" w:space="0" w:color="auto"/>
        <w:bottom w:val="none" w:sz="0" w:space="0" w:color="auto"/>
        <w:right w:val="none" w:sz="0" w:space="0" w:color="auto"/>
      </w:divBdr>
      <w:divsChild>
        <w:div w:id="1116603797">
          <w:marLeft w:val="0"/>
          <w:marRight w:val="0"/>
          <w:marTop w:val="0"/>
          <w:marBottom w:val="0"/>
          <w:divBdr>
            <w:top w:val="none" w:sz="0" w:space="0" w:color="auto"/>
            <w:left w:val="none" w:sz="0" w:space="0" w:color="auto"/>
            <w:bottom w:val="none" w:sz="0" w:space="0" w:color="auto"/>
            <w:right w:val="none" w:sz="0" w:space="0" w:color="auto"/>
          </w:divBdr>
        </w:div>
      </w:divsChild>
    </w:div>
    <w:div w:id="527835943">
      <w:bodyDiv w:val="1"/>
      <w:marLeft w:val="0"/>
      <w:marRight w:val="0"/>
      <w:marTop w:val="0"/>
      <w:marBottom w:val="0"/>
      <w:divBdr>
        <w:top w:val="none" w:sz="0" w:space="0" w:color="auto"/>
        <w:left w:val="none" w:sz="0" w:space="0" w:color="auto"/>
        <w:bottom w:val="none" w:sz="0" w:space="0" w:color="auto"/>
        <w:right w:val="none" w:sz="0" w:space="0" w:color="auto"/>
      </w:divBdr>
    </w:div>
    <w:div w:id="562063611">
      <w:bodyDiv w:val="1"/>
      <w:marLeft w:val="0"/>
      <w:marRight w:val="0"/>
      <w:marTop w:val="0"/>
      <w:marBottom w:val="0"/>
      <w:divBdr>
        <w:top w:val="none" w:sz="0" w:space="0" w:color="auto"/>
        <w:left w:val="none" w:sz="0" w:space="0" w:color="auto"/>
        <w:bottom w:val="none" w:sz="0" w:space="0" w:color="auto"/>
        <w:right w:val="none" w:sz="0" w:space="0" w:color="auto"/>
      </w:divBdr>
    </w:div>
    <w:div w:id="571081754">
      <w:bodyDiv w:val="1"/>
      <w:marLeft w:val="0"/>
      <w:marRight w:val="0"/>
      <w:marTop w:val="0"/>
      <w:marBottom w:val="0"/>
      <w:divBdr>
        <w:top w:val="none" w:sz="0" w:space="0" w:color="auto"/>
        <w:left w:val="none" w:sz="0" w:space="0" w:color="auto"/>
        <w:bottom w:val="none" w:sz="0" w:space="0" w:color="auto"/>
        <w:right w:val="none" w:sz="0" w:space="0" w:color="auto"/>
      </w:divBdr>
      <w:divsChild>
        <w:div w:id="1359697673">
          <w:marLeft w:val="0"/>
          <w:marRight w:val="0"/>
          <w:marTop w:val="0"/>
          <w:marBottom w:val="0"/>
          <w:divBdr>
            <w:top w:val="none" w:sz="0" w:space="0" w:color="auto"/>
            <w:left w:val="none" w:sz="0" w:space="0" w:color="auto"/>
            <w:bottom w:val="none" w:sz="0" w:space="0" w:color="auto"/>
            <w:right w:val="none" w:sz="0" w:space="0" w:color="auto"/>
          </w:divBdr>
        </w:div>
      </w:divsChild>
    </w:div>
    <w:div w:id="571238295">
      <w:bodyDiv w:val="1"/>
      <w:marLeft w:val="0"/>
      <w:marRight w:val="0"/>
      <w:marTop w:val="0"/>
      <w:marBottom w:val="0"/>
      <w:divBdr>
        <w:top w:val="none" w:sz="0" w:space="0" w:color="auto"/>
        <w:left w:val="none" w:sz="0" w:space="0" w:color="auto"/>
        <w:bottom w:val="none" w:sz="0" w:space="0" w:color="auto"/>
        <w:right w:val="none" w:sz="0" w:space="0" w:color="auto"/>
      </w:divBdr>
    </w:div>
    <w:div w:id="571240092">
      <w:bodyDiv w:val="1"/>
      <w:marLeft w:val="0"/>
      <w:marRight w:val="0"/>
      <w:marTop w:val="0"/>
      <w:marBottom w:val="0"/>
      <w:divBdr>
        <w:top w:val="none" w:sz="0" w:space="0" w:color="auto"/>
        <w:left w:val="none" w:sz="0" w:space="0" w:color="auto"/>
        <w:bottom w:val="none" w:sz="0" w:space="0" w:color="auto"/>
        <w:right w:val="none" w:sz="0" w:space="0" w:color="auto"/>
      </w:divBdr>
    </w:div>
    <w:div w:id="593326087">
      <w:bodyDiv w:val="1"/>
      <w:marLeft w:val="0"/>
      <w:marRight w:val="0"/>
      <w:marTop w:val="0"/>
      <w:marBottom w:val="0"/>
      <w:divBdr>
        <w:top w:val="none" w:sz="0" w:space="0" w:color="auto"/>
        <w:left w:val="none" w:sz="0" w:space="0" w:color="auto"/>
        <w:bottom w:val="none" w:sz="0" w:space="0" w:color="auto"/>
        <w:right w:val="none" w:sz="0" w:space="0" w:color="auto"/>
      </w:divBdr>
    </w:div>
    <w:div w:id="595746209">
      <w:bodyDiv w:val="1"/>
      <w:marLeft w:val="0"/>
      <w:marRight w:val="0"/>
      <w:marTop w:val="0"/>
      <w:marBottom w:val="0"/>
      <w:divBdr>
        <w:top w:val="none" w:sz="0" w:space="0" w:color="auto"/>
        <w:left w:val="none" w:sz="0" w:space="0" w:color="auto"/>
        <w:bottom w:val="none" w:sz="0" w:space="0" w:color="auto"/>
        <w:right w:val="none" w:sz="0" w:space="0" w:color="auto"/>
      </w:divBdr>
    </w:div>
    <w:div w:id="604927992">
      <w:bodyDiv w:val="1"/>
      <w:marLeft w:val="0"/>
      <w:marRight w:val="0"/>
      <w:marTop w:val="0"/>
      <w:marBottom w:val="0"/>
      <w:divBdr>
        <w:top w:val="none" w:sz="0" w:space="0" w:color="auto"/>
        <w:left w:val="none" w:sz="0" w:space="0" w:color="auto"/>
        <w:bottom w:val="none" w:sz="0" w:space="0" w:color="auto"/>
        <w:right w:val="none" w:sz="0" w:space="0" w:color="auto"/>
      </w:divBdr>
      <w:divsChild>
        <w:div w:id="862399515">
          <w:marLeft w:val="0"/>
          <w:marRight w:val="0"/>
          <w:marTop w:val="0"/>
          <w:marBottom w:val="0"/>
          <w:divBdr>
            <w:top w:val="none" w:sz="0" w:space="0" w:color="auto"/>
            <w:left w:val="none" w:sz="0" w:space="0" w:color="auto"/>
            <w:bottom w:val="none" w:sz="0" w:space="0" w:color="auto"/>
            <w:right w:val="none" w:sz="0" w:space="0" w:color="auto"/>
          </w:divBdr>
        </w:div>
      </w:divsChild>
    </w:div>
    <w:div w:id="607542102">
      <w:bodyDiv w:val="1"/>
      <w:marLeft w:val="0"/>
      <w:marRight w:val="0"/>
      <w:marTop w:val="0"/>
      <w:marBottom w:val="0"/>
      <w:divBdr>
        <w:top w:val="none" w:sz="0" w:space="0" w:color="auto"/>
        <w:left w:val="none" w:sz="0" w:space="0" w:color="auto"/>
        <w:bottom w:val="none" w:sz="0" w:space="0" w:color="auto"/>
        <w:right w:val="none" w:sz="0" w:space="0" w:color="auto"/>
      </w:divBdr>
      <w:divsChild>
        <w:div w:id="1512838740">
          <w:marLeft w:val="0"/>
          <w:marRight w:val="0"/>
          <w:marTop w:val="0"/>
          <w:marBottom w:val="0"/>
          <w:divBdr>
            <w:top w:val="none" w:sz="0" w:space="0" w:color="auto"/>
            <w:left w:val="none" w:sz="0" w:space="0" w:color="auto"/>
            <w:bottom w:val="none" w:sz="0" w:space="0" w:color="auto"/>
            <w:right w:val="none" w:sz="0" w:space="0" w:color="auto"/>
          </w:divBdr>
        </w:div>
      </w:divsChild>
    </w:div>
    <w:div w:id="619729677">
      <w:bodyDiv w:val="1"/>
      <w:marLeft w:val="0"/>
      <w:marRight w:val="0"/>
      <w:marTop w:val="0"/>
      <w:marBottom w:val="0"/>
      <w:divBdr>
        <w:top w:val="none" w:sz="0" w:space="0" w:color="auto"/>
        <w:left w:val="none" w:sz="0" w:space="0" w:color="auto"/>
        <w:bottom w:val="none" w:sz="0" w:space="0" w:color="auto"/>
        <w:right w:val="none" w:sz="0" w:space="0" w:color="auto"/>
      </w:divBdr>
    </w:div>
    <w:div w:id="622807356">
      <w:bodyDiv w:val="1"/>
      <w:marLeft w:val="0"/>
      <w:marRight w:val="0"/>
      <w:marTop w:val="0"/>
      <w:marBottom w:val="0"/>
      <w:divBdr>
        <w:top w:val="none" w:sz="0" w:space="0" w:color="auto"/>
        <w:left w:val="none" w:sz="0" w:space="0" w:color="auto"/>
        <w:bottom w:val="none" w:sz="0" w:space="0" w:color="auto"/>
        <w:right w:val="none" w:sz="0" w:space="0" w:color="auto"/>
      </w:divBdr>
    </w:div>
    <w:div w:id="654649324">
      <w:bodyDiv w:val="1"/>
      <w:marLeft w:val="0"/>
      <w:marRight w:val="0"/>
      <w:marTop w:val="0"/>
      <w:marBottom w:val="0"/>
      <w:divBdr>
        <w:top w:val="none" w:sz="0" w:space="0" w:color="auto"/>
        <w:left w:val="none" w:sz="0" w:space="0" w:color="auto"/>
        <w:bottom w:val="none" w:sz="0" w:space="0" w:color="auto"/>
        <w:right w:val="none" w:sz="0" w:space="0" w:color="auto"/>
      </w:divBdr>
      <w:divsChild>
        <w:div w:id="1260677765">
          <w:marLeft w:val="0"/>
          <w:marRight w:val="0"/>
          <w:marTop w:val="0"/>
          <w:marBottom w:val="0"/>
          <w:divBdr>
            <w:top w:val="none" w:sz="0" w:space="0" w:color="auto"/>
            <w:left w:val="none" w:sz="0" w:space="0" w:color="auto"/>
            <w:bottom w:val="none" w:sz="0" w:space="0" w:color="auto"/>
            <w:right w:val="none" w:sz="0" w:space="0" w:color="auto"/>
          </w:divBdr>
        </w:div>
      </w:divsChild>
    </w:div>
    <w:div w:id="656619225">
      <w:bodyDiv w:val="1"/>
      <w:marLeft w:val="0"/>
      <w:marRight w:val="0"/>
      <w:marTop w:val="0"/>
      <w:marBottom w:val="0"/>
      <w:divBdr>
        <w:top w:val="none" w:sz="0" w:space="0" w:color="auto"/>
        <w:left w:val="none" w:sz="0" w:space="0" w:color="auto"/>
        <w:bottom w:val="none" w:sz="0" w:space="0" w:color="auto"/>
        <w:right w:val="none" w:sz="0" w:space="0" w:color="auto"/>
      </w:divBdr>
    </w:div>
    <w:div w:id="659383970">
      <w:bodyDiv w:val="1"/>
      <w:marLeft w:val="0"/>
      <w:marRight w:val="0"/>
      <w:marTop w:val="0"/>
      <w:marBottom w:val="0"/>
      <w:divBdr>
        <w:top w:val="none" w:sz="0" w:space="0" w:color="auto"/>
        <w:left w:val="none" w:sz="0" w:space="0" w:color="auto"/>
        <w:bottom w:val="none" w:sz="0" w:space="0" w:color="auto"/>
        <w:right w:val="none" w:sz="0" w:space="0" w:color="auto"/>
      </w:divBdr>
    </w:div>
    <w:div w:id="669412798">
      <w:bodyDiv w:val="1"/>
      <w:marLeft w:val="0"/>
      <w:marRight w:val="0"/>
      <w:marTop w:val="0"/>
      <w:marBottom w:val="0"/>
      <w:divBdr>
        <w:top w:val="none" w:sz="0" w:space="0" w:color="auto"/>
        <w:left w:val="none" w:sz="0" w:space="0" w:color="auto"/>
        <w:bottom w:val="none" w:sz="0" w:space="0" w:color="auto"/>
        <w:right w:val="none" w:sz="0" w:space="0" w:color="auto"/>
      </w:divBdr>
    </w:div>
    <w:div w:id="695889965">
      <w:bodyDiv w:val="1"/>
      <w:marLeft w:val="0"/>
      <w:marRight w:val="0"/>
      <w:marTop w:val="0"/>
      <w:marBottom w:val="0"/>
      <w:divBdr>
        <w:top w:val="none" w:sz="0" w:space="0" w:color="auto"/>
        <w:left w:val="none" w:sz="0" w:space="0" w:color="auto"/>
        <w:bottom w:val="none" w:sz="0" w:space="0" w:color="auto"/>
        <w:right w:val="none" w:sz="0" w:space="0" w:color="auto"/>
      </w:divBdr>
    </w:div>
    <w:div w:id="700058024">
      <w:bodyDiv w:val="1"/>
      <w:marLeft w:val="0"/>
      <w:marRight w:val="0"/>
      <w:marTop w:val="0"/>
      <w:marBottom w:val="0"/>
      <w:divBdr>
        <w:top w:val="none" w:sz="0" w:space="0" w:color="auto"/>
        <w:left w:val="none" w:sz="0" w:space="0" w:color="auto"/>
        <w:bottom w:val="none" w:sz="0" w:space="0" w:color="auto"/>
        <w:right w:val="none" w:sz="0" w:space="0" w:color="auto"/>
      </w:divBdr>
    </w:div>
    <w:div w:id="701252066">
      <w:bodyDiv w:val="1"/>
      <w:marLeft w:val="0"/>
      <w:marRight w:val="0"/>
      <w:marTop w:val="0"/>
      <w:marBottom w:val="0"/>
      <w:divBdr>
        <w:top w:val="none" w:sz="0" w:space="0" w:color="auto"/>
        <w:left w:val="none" w:sz="0" w:space="0" w:color="auto"/>
        <w:bottom w:val="none" w:sz="0" w:space="0" w:color="auto"/>
        <w:right w:val="none" w:sz="0" w:space="0" w:color="auto"/>
      </w:divBdr>
    </w:div>
    <w:div w:id="732234732">
      <w:bodyDiv w:val="1"/>
      <w:marLeft w:val="0"/>
      <w:marRight w:val="0"/>
      <w:marTop w:val="0"/>
      <w:marBottom w:val="0"/>
      <w:divBdr>
        <w:top w:val="none" w:sz="0" w:space="0" w:color="auto"/>
        <w:left w:val="none" w:sz="0" w:space="0" w:color="auto"/>
        <w:bottom w:val="none" w:sz="0" w:space="0" w:color="auto"/>
        <w:right w:val="none" w:sz="0" w:space="0" w:color="auto"/>
      </w:divBdr>
    </w:div>
    <w:div w:id="741217782">
      <w:bodyDiv w:val="1"/>
      <w:marLeft w:val="0"/>
      <w:marRight w:val="0"/>
      <w:marTop w:val="0"/>
      <w:marBottom w:val="0"/>
      <w:divBdr>
        <w:top w:val="none" w:sz="0" w:space="0" w:color="auto"/>
        <w:left w:val="none" w:sz="0" w:space="0" w:color="auto"/>
        <w:bottom w:val="none" w:sz="0" w:space="0" w:color="auto"/>
        <w:right w:val="none" w:sz="0" w:space="0" w:color="auto"/>
      </w:divBdr>
      <w:divsChild>
        <w:div w:id="765268451">
          <w:marLeft w:val="0"/>
          <w:marRight w:val="0"/>
          <w:marTop w:val="0"/>
          <w:marBottom w:val="0"/>
          <w:divBdr>
            <w:top w:val="none" w:sz="0" w:space="0" w:color="auto"/>
            <w:left w:val="none" w:sz="0" w:space="0" w:color="auto"/>
            <w:bottom w:val="none" w:sz="0" w:space="0" w:color="auto"/>
            <w:right w:val="none" w:sz="0" w:space="0" w:color="auto"/>
          </w:divBdr>
        </w:div>
      </w:divsChild>
    </w:div>
    <w:div w:id="745688824">
      <w:bodyDiv w:val="1"/>
      <w:marLeft w:val="0"/>
      <w:marRight w:val="0"/>
      <w:marTop w:val="0"/>
      <w:marBottom w:val="0"/>
      <w:divBdr>
        <w:top w:val="none" w:sz="0" w:space="0" w:color="auto"/>
        <w:left w:val="none" w:sz="0" w:space="0" w:color="auto"/>
        <w:bottom w:val="none" w:sz="0" w:space="0" w:color="auto"/>
        <w:right w:val="none" w:sz="0" w:space="0" w:color="auto"/>
      </w:divBdr>
      <w:divsChild>
        <w:div w:id="1023288697">
          <w:marLeft w:val="0"/>
          <w:marRight w:val="0"/>
          <w:marTop w:val="0"/>
          <w:marBottom w:val="0"/>
          <w:divBdr>
            <w:top w:val="none" w:sz="0" w:space="0" w:color="auto"/>
            <w:left w:val="none" w:sz="0" w:space="0" w:color="auto"/>
            <w:bottom w:val="none" w:sz="0" w:space="0" w:color="auto"/>
            <w:right w:val="none" w:sz="0" w:space="0" w:color="auto"/>
          </w:divBdr>
        </w:div>
      </w:divsChild>
    </w:div>
    <w:div w:id="771244614">
      <w:bodyDiv w:val="1"/>
      <w:marLeft w:val="0"/>
      <w:marRight w:val="0"/>
      <w:marTop w:val="0"/>
      <w:marBottom w:val="0"/>
      <w:divBdr>
        <w:top w:val="none" w:sz="0" w:space="0" w:color="auto"/>
        <w:left w:val="none" w:sz="0" w:space="0" w:color="auto"/>
        <w:bottom w:val="none" w:sz="0" w:space="0" w:color="auto"/>
        <w:right w:val="none" w:sz="0" w:space="0" w:color="auto"/>
      </w:divBdr>
      <w:divsChild>
        <w:div w:id="841356988">
          <w:marLeft w:val="0"/>
          <w:marRight w:val="0"/>
          <w:marTop w:val="0"/>
          <w:marBottom w:val="0"/>
          <w:divBdr>
            <w:top w:val="none" w:sz="0" w:space="0" w:color="auto"/>
            <w:left w:val="none" w:sz="0" w:space="0" w:color="auto"/>
            <w:bottom w:val="none" w:sz="0" w:space="0" w:color="auto"/>
            <w:right w:val="none" w:sz="0" w:space="0" w:color="auto"/>
          </w:divBdr>
          <w:divsChild>
            <w:div w:id="810630750">
              <w:marLeft w:val="0"/>
              <w:marRight w:val="0"/>
              <w:marTop w:val="0"/>
              <w:marBottom w:val="0"/>
              <w:divBdr>
                <w:top w:val="none" w:sz="0" w:space="0" w:color="auto"/>
                <w:left w:val="none" w:sz="0" w:space="0" w:color="auto"/>
                <w:bottom w:val="none" w:sz="0" w:space="0" w:color="auto"/>
                <w:right w:val="none" w:sz="0" w:space="0" w:color="auto"/>
              </w:divBdr>
              <w:divsChild>
                <w:div w:id="1614283267">
                  <w:marLeft w:val="0"/>
                  <w:marRight w:val="0"/>
                  <w:marTop w:val="0"/>
                  <w:marBottom w:val="0"/>
                  <w:divBdr>
                    <w:top w:val="none" w:sz="0" w:space="0" w:color="auto"/>
                    <w:left w:val="none" w:sz="0" w:space="0" w:color="auto"/>
                    <w:bottom w:val="none" w:sz="0" w:space="0" w:color="auto"/>
                    <w:right w:val="none" w:sz="0" w:space="0" w:color="auto"/>
                  </w:divBdr>
                  <w:divsChild>
                    <w:div w:id="1935046150">
                      <w:marLeft w:val="0"/>
                      <w:marRight w:val="0"/>
                      <w:marTop w:val="0"/>
                      <w:marBottom w:val="0"/>
                      <w:divBdr>
                        <w:top w:val="none" w:sz="0" w:space="0" w:color="auto"/>
                        <w:left w:val="none" w:sz="0" w:space="0" w:color="auto"/>
                        <w:bottom w:val="none" w:sz="0" w:space="0" w:color="auto"/>
                        <w:right w:val="none" w:sz="0" w:space="0" w:color="auto"/>
                      </w:divBdr>
                      <w:divsChild>
                        <w:div w:id="414595232">
                          <w:marLeft w:val="0"/>
                          <w:marRight w:val="0"/>
                          <w:marTop w:val="0"/>
                          <w:marBottom w:val="0"/>
                          <w:divBdr>
                            <w:top w:val="none" w:sz="0" w:space="0" w:color="auto"/>
                            <w:left w:val="none" w:sz="0" w:space="0" w:color="auto"/>
                            <w:bottom w:val="none" w:sz="0" w:space="0" w:color="auto"/>
                            <w:right w:val="none" w:sz="0" w:space="0" w:color="auto"/>
                          </w:divBdr>
                          <w:divsChild>
                            <w:div w:id="2091266596">
                              <w:marLeft w:val="0"/>
                              <w:marRight w:val="0"/>
                              <w:marTop w:val="0"/>
                              <w:marBottom w:val="0"/>
                              <w:divBdr>
                                <w:top w:val="none" w:sz="0" w:space="0" w:color="auto"/>
                                <w:left w:val="none" w:sz="0" w:space="0" w:color="auto"/>
                                <w:bottom w:val="none" w:sz="0" w:space="0" w:color="auto"/>
                                <w:right w:val="none" w:sz="0" w:space="0" w:color="auto"/>
                              </w:divBdr>
                              <w:divsChild>
                                <w:div w:id="1050224209">
                                  <w:marLeft w:val="0"/>
                                  <w:marRight w:val="0"/>
                                  <w:marTop w:val="0"/>
                                  <w:marBottom w:val="0"/>
                                  <w:divBdr>
                                    <w:top w:val="none" w:sz="0" w:space="0" w:color="auto"/>
                                    <w:left w:val="none" w:sz="0" w:space="0" w:color="auto"/>
                                    <w:bottom w:val="none" w:sz="0" w:space="0" w:color="auto"/>
                                    <w:right w:val="none" w:sz="0" w:space="0" w:color="auto"/>
                                  </w:divBdr>
                                  <w:divsChild>
                                    <w:div w:id="61074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5097043">
      <w:bodyDiv w:val="1"/>
      <w:marLeft w:val="0"/>
      <w:marRight w:val="0"/>
      <w:marTop w:val="0"/>
      <w:marBottom w:val="0"/>
      <w:divBdr>
        <w:top w:val="none" w:sz="0" w:space="0" w:color="auto"/>
        <w:left w:val="none" w:sz="0" w:space="0" w:color="auto"/>
        <w:bottom w:val="none" w:sz="0" w:space="0" w:color="auto"/>
        <w:right w:val="none" w:sz="0" w:space="0" w:color="auto"/>
      </w:divBdr>
    </w:div>
    <w:div w:id="832918986">
      <w:bodyDiv w:val="1"/>
      <w:marLeft w:val="0"/>
      <w:marRight w:val="0"/>
      <w:marTop w:val="0"/>
      <w:marBottom w:val="0"/>
      <w:divBdr>
        <w:top w:val="none" w:sz="0" w:space="0" w:color="auto"/>
        <w:left w:val="none" w:sz="0" w:space="0" w:color="auto"/>
        <w:bottom w:val="none" w:sz="0" w:space="0" w:color="auto"/>
        <w:right w:val="none" w:sz="0" w:space="0" w:color="auto"/>
      </w:divBdr>
    </w:div>
    <w:div w:id="855576668">
      <w:bodyDiv w:val="1"/>
      <w:marLeft w:val="0"/>
      <w:marRight w:val="0"/>
      <w:marTop w:val="0"/>
      <w:marBottom w:val="0"/>
      <w:divBdr>
        <w:top w:val="none" w:sz="0" w:space="0" w:color="auto"/>
        <w:left w:val="none" w:sz="0" w:space="0" w:color="auto"/>
        <w:bottom w:val="none" w:sz="0" w:space="0" w:color="auto"/>
        <w:right w:val="none" w:sz="0" w:space="0" w:color="auto"/>
      </w:divBdr>
    </w:div>
    <w:div w:id="869416183">
      <w:bodyDiv w:val="1"/>
      <w:marLeft w:val="0"/>
      <w:marRight w:val="0"/>
      <w:marTop w:val="0"/>
      <w:marBottom w:val="0"/>
      <w:divBdr>
        <w:top w:val="none" w:sz="0" w:space="0" w:color="auto"/>
        <w:left w:val="none" w:sz="0" w:space="0" w:color="auto"/>
        <w:bottom w:val="none" w:sz="0" w:space="0" w:color="auto"/>
        <w:right w:val="none" w:sz="0" w:space="0" w:color="auto"/>
      </w:divBdr>
    </w:div>
    <w:div w:id="876699840">
      <w:bodyDiv w:val="1"/>
      <w:marLeft w:val="0"/>
      <w:marRight w:val="0"/>
      <w:marTop w:val="0"/>
      <w:marBottom w:val="0"/>
      <w:divBdr>
        <w:top w:val="none" w:sz="0" w:space="0" w:color="auto"/>
        <w:left w:val="none" w:sz="0" w:space="0" w:color="auto"/>
        <w:bottom w:val="none" w:sz="0" w:space="0" w:color="auto"/>
        <w:right w:val="none" w:sz="0" w:space="0" w:color="auto"/>
      </w:divBdr>
      <w:divsChild>
        <w:div w:id="891889248">
          <w:marLeft w:val="0"/>
          <w:marRight w:val="0"/>
          <w:marTop w:val="0"/>
          <w:marBottom w:val="0"/>
          <w:divBdr>
            <w:top w:val="none" w:sz="0" w:space="0" w:color="auto"/>
            <w:left w:val="none" w:sz="0" w:space="0" w:color="auto"/>
            <w:bottom w:val="none" w:sz="0" w:space="0" w:color="auto"/>
            <w:right w:val="none" w:sz="0" w:space="0" w:color="auto"/>
          </w:divBdr>
          <w:divsChild>
            <w:div w:id="1155414391">
              <w:marLeft w:val="0"/>
              <w:marRight w:val="0"/>
              <w:marTop w:val="0"/>
              <w:marBottom w:val="0"/>
              <w:divBdr>
                <w:top w:val="none" w:sz="0" w:space="0" w:color="auto"/>
                <w:left w:val="none" w:sz="0" w:space="0" w:color="auto"/>
                <w:bottom w:val="none" w:sz="0" w:space="0" w:color="auto"/>
                <w:right w:val="none" w:sz="0" w:space="0" w:color="auto"/>
              </w:divBdr>
              <w:divsChild>
                <w:div w:id="1309941841">
                  <w:marLeft w:val="0"/>
                  <w:marRight w:val="0"/>
                  <w:marTop w:val="0"/>
                  <w:marBottom w:val="0"/>
                  <w:divBdr>
                    <w:top w:val="none" w:sz="0" w:space="0" w:color="auto"/>
                    <w:left w:val="none" w:sz="0" w:space="0" w:color="auto"/>
                    <w:bottom w:val="none" w:sz="0" w:space="0" w:color="auto"/>
                    <w:right w:val="none" w:sz="0" w:space="0" w:color="auto"/>
                  </w:divBdr>
                  <w:divsChild>
                    <w:div w:id="738403850">
                      <w:marLeft w:val="0"/>
                      <w:marRight w:val="0"/>
                      <w:marTop w:val="0"/>
                      <w:marBottom w:val="0"/>
                      <w:divBdr>
                        <w:top w:val="none" w:sz="0" w:space="0" w:color="auto"/>
                        <w:left w:val="none" w:sz="0" w:space="0" w:color="auto"/>
                        <w:bottom w:val="none" w:sz="0" w:space="0" w:color="auto"/>
                        <w:right w:val="none" w:sz="0" w:space="0" w:color="auto"/>
                      </w:divBdr>
                      <w:divsChild>
                        <w:div w:id="519513605">
                          <w:marLeft w:val="0"/>
                          <w:marRight w:val="0"/>
                          <w:marTop w:val="0"/>
                          <w:marBottom w:val="0"/>
                          <w:divBdr>
                            <w:top w:val="none" w:sz="0" w:space="0" w:color="auto"/>
                            <w:left w:val="none" w:sz="0" w:space="0" w:color="auto"/>
                            <w:bottom w:val="none" w:sz="0" w:space="0" w:color="auto"/>
                            <w:right w:val="none" w:sz="0" w:space="0" w:color="auto"/>
                          </w:divBdr>
                          <w:divsChild>
                            <w:div w:id="1151868047">
                              <w:marLeft w:val="0"/>
                              <w:marRight w:val="0"/>
                              <w:marTop w:val="0"/>
                              <w:marBottom w:val="0"/>
                              <w:divBdr>
                                <w:top w:val="none" w:sz="0" w:space="0" w:color="auto"/>
                                <w:left w:val="none" w:sz="0" w:space="0" w:color="auto"/>
                                <w:bottom w:val="none" w:sz="0" w:space="0" w:color="auto"/>
                                <w:right w:val="none" w:sz="0" w:space="0" w:color="auto"/>
                              </w:divBdr>
                              <w:divsChild>
                                <w:div w:id="223025746">
                                  <w:marLeft w:val="0"/>
                                  <w:marRight w:val="0"/>
                                  <w:marTop w:val="0"/>
                                  <w:marBottom w:val="0"/>
                                  <w:divBdr>
                                    <w:top w:val="none" w:sz="0" w:space="0" w:color="auto"/>
                                    <w:left w:val="none" w:sz="0" w:space="0" w:color="auto"/>
                                    <w:bottom w:val="none" w:sz="0" w:space="0" w:color="auto"/>
                                    <w:right w:val="none" w:sz="0" w:space="0" w:color="auto"/>
                                  </w:divBdr>
                                  <w:divsChild>
                                    <w:div w:id="176953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023464">
      <w:bodyDiv w:val="1"/>
      <w:marLeft w:val="0"/>
      <w:marRight w:val="0"/>
      <w:marTop w:val="0"/>
      <w:marBottom w:val="0"/>
      <w:divBdr>
        <w:top w:val="none" w:sz="0" w:space="0" w:color="auto"/>
        <w:left w:val="none" w:sz="0" w:space="0" w:color="auto"/>
        <w:bottom w:val="none" w:sz="0" w:space="0" w:color="auto"/>
        <w:right w:val="none" w:sz="0" w:space="0" w:color="auto"/>
      </w:divBdr>
    </w:div>
    <w:div w:id="904099077">
      <w:bodyDiv w:val="1"/>
      <w:marLeft w:val="0"/>
      <w:marRight w:val="0"/>
      <w:marTop w:val="0"/>
      <w:marBottom w:val="0"/>
      <w:divBdr>
        <w:top w:val="none" w:sz="0" w:space="0" w:color="auto"/>
        <w:left w:val="none" w:sz="0" w:space="0" w:color="auto"/>
        <w:bottom w:val="none" w:sz="0" w:space="0" w:color="auto"/>
        <w:right w:val="none" w:sz="0" w:space="0" w:color="auto"/>
      </w:divBdr>
    </w:div>
    <w:div w:id="969284570">
      <w:bodyDiv w:val="1"/>
      <w:marLeft w:val="0"/>
      <w:marRight w:val="0"/>
      <w:marTop w:val="0"/>
      <w:marBottom w:val="0"/>
      <w:divBdr>
        <w:top w:val="none" w:sz="0" w:space="0" w:color="auto"/>
        <w:left w:val="none" w:sz="0" w:space="0" w:color="auto"/>
        <w:bottom w:val="none" w:sz="0" w:space="0" w:color="auto"/>
        <w:right w:val="none" w:sz="0" w:space="0" w:color="auto"/>
      </w:divBdr>
    </w:div>
    <w:div w:id="977490835">
      <w:bodyDiv w:val="1"/>
      <w:marLeft w:val="0"/>
      <w:marRight w:val="0"/>
      <w:marTop w:val="0"/>
      <w:marBottom w:val="0"/>
      <w:divBdr>
        <w:top w:val="none" w:sz="0" w:space="0" w:color="auto"/>
        <w:left w:val="none" w:sz="0" w:space="0" w:color="auto"/>
        <w:bottom w:val="none" w:sz="0" w:space="0" w:color="auto"/>
        <w:right w:val="none" w:sz="0" w:space="0" w:color="auto"/>
      </w:divBdr>
      <w:divsChild>
        <w:div w:id="895966743">
          <w:marLeft w:val="0"/>
          <w:marRight w:val="0"/>
          <w:marTop w:val="0"/>
          <w:marBottom w:val="0"/>
          <w:divBdr>
            <w:top w:val="none" w:sz="0" w:space="0" w:color="auto"/>
            <w:left w:val="none" w:sz="0" w:space="0" w:color="auto"/>
            <w:bottom w:val="none" w:sz="0" w:space="0" w:color="auto"/>
            <w:right w:val="none" w:sz="0" w:space="0" w:color="auto"/>
          </w:divBdr>
        </w:div>
      </w:divsChild>
    </w:div>
    <w:div w:id="994796316">
      <w:bodyDiv w:val="1"/>
      <w:marLeft w:val="0"/>
      <w:marRight w:val="0"/>
      <w:marTop w:val="0"/>
      <w:marBottom w:val="0"/>
      <w:divBdr>
        <w:top w:val="none" w:sz="0" w:space="0" w:color="auto"/>
        <w:left w:val="none" w:sz="0" w:space="0" w:color="auto"/>
        <w:bottom w:val="none" w:sz="0" w:space="0" w:color="auto"/>
        <w:right w:val="none" w:sz="0" w:space="0" w:color="auto"/>
      </w:divBdr>
    </w:div>
    <w:div w:id="996958556">
      <w:bodyDiv w:val="1"/>
      <w:marLeft w:val="0"/>
      <w:marRight w:val="0"/>
      <w:marTop w:val="0"/>
      <w:marBottom w:val="0"/>
      <w:divBdr>
        <w:top w:val="none" w:sz="0" w:space="0" w:color="auto"/>
        <w:left w:val="none" w:sz="0" w:space="0" w:color="auto"/>
        <w:bottom w:val="none" w:sz="0" w:space="0" w:color="auto"/>
        <w:right w:val="none" w:sz="0" w:space="0" w:color="auto"/>
      </w:divBdr>
    </w:div>
    <w:div w:id="999385941">
      <w:bodyDiv w:val="1"/>
      <w:marLeft w:val="0"/>
      <w:marRight w:val="0"/>
      <w:marTop w:val="0"/>
      <w:marBottom w:val="0"/>
      <w:divBdr>
        <w:top w:val="none" w:sz="0" w:space="0" w:color="auto"/>
        <w:left w:val="none" w:sz="0" w:space="0" w:color="auto"/>
        <w:bottom w:val="none" w:sz="0" w:space="0" w:color="auto"/>
        <w:right w:val="none" w:sz="0" w:space="0" w:color="auto"/>
      </w:divBdr>
    </w:div>
    <w:div w:id="1016031450">
      <w:bodyDiv w:val="1"/>
      <w:marLeft w:val="0"/>
      <w:marRight w:val="0"/>
      <w:marTop w:val="0"/>
      <w:marBottom w:val="0"/>
      <w:divBdr>
        <w:top w:val="none" w:sz="0" w:space="0" w:color="auto"/>
        <w:left w:val="none" w:sz="0" w:space="0" w:color="auto"/>
        <w:bottom w:val="none" w:sz="0" w:space="0" w:color="auto"/>
        <w:right w:val="none" w:sz="0" w:space="0" w:color="auto"/>
      </w:divBdr>
    </w:div>
    <w:div w:id="1058479956">
      <w:bodyDiv w:val="1"/>
      <w:marLeft w:val="0"/>
      <w:marRight w:val="0"/>
      <w:marTop w:val="0"/>
      <w:marBottom w:val="0"/>
      <w:divBdr>
        <w:top w:val="none" w:sz="0" w:space="0" w:color="auto"/>
        <w:left w:val="none" w:sz="0" w:space="0" w:color="auto"/>
        <w:bottom w:val="none" w:sz="0" w:space="0" w:color="auto"/>
        <w:right w:val="none" w:sz="0" w:space="0" w:color="auto"/>
      </w:divBdr>
    </w:div>
    <w:div w:id="1115833230">
      <w:bodyDiv w:val="1"/>
      <w:marLeft w:val="0"/>
      <w:marRight w:val="0"/>
      <w:marTop w:val="0"/>
      <w:marBottom w:val="0"/>
      <w:divBdr>
        <w:top w:val="none" w:sz="0" w:space="0" w:color="auto"/>
        <w:left w:val="none" w:sz="0" w:space="0" w:color="auto"/>
        <w:bottom w:val="none" w:sz="0" w:space="0" w:color="auto"/>
        <w:right w:val="none" w:sz="0" w:space="0" w:color="auto"/>
      </w:divBdr>
      <w:divsChild>
        <w:div w:id="1038045942">
          <w:marLeft w:val="0"/>
          <w:marRight w:val="0"/>
          <w:marTop w:val="0"/>
          <w:marBottom w:val="0"/>
          <w:divBdr>
            <w:top w:val="none" w:sz="0" w:space="0" w:color="auto"/>
            <w:left w:val="none" w:sz="0" w:space="0" w:color="auto"/>
            <w:bottom w:val="none" w:sz="0" w:space="0" w:color="auto"/>
            <w:right w:val="none" w:sz="0" w:space="0" w:color="auto"/>
          </w:divBdr>
          <w:divsChild>
            <w:div w:id="1068455210">
              <w:marLeft w:val="0"/>
              <w:marRight w:val="0"/>
              <w:marTop w:val="0"/>
              <w:marBottom w:val="0"/>
              <w:divBdr>
                <w:top w:val="none" w:sz="0" w:space="0" w:color="auto"/>
                <w:left w:val="none" w:sz="0" w:space="0" w:color="auto"/>
                <w:bottom w:val="none" w:sz="0" w:space="0" w:color="auto"/>
                <w:right w:val="none" w:sz="0" w:space="0" w:color="auto"/>
              </w:divBdr>
              <w:divsChild>
                <w:div w:id="299918932">
                  <w:marLeft w:val="0"/>
                  <w:marRight w:val="0"/>
                  <w:marTop w:val="0"/>
                  <w:marBottom w:val="0"/>
                  <w:divBdr>
                    <w:top w:val="none" w:sz="0" w:space="0" w:color="auto"/>
                    <w:left w:val="none" w:sz="0" w:space="0" w:color="auto"/>
                    <w:bottom w:val="none" w:sz="0" w:space="0" w:color="auto"/>
                    <w:right w:val="none" w:sz="0" w:space="0" w:color="auto"/>
                  </w:divBdr>
                  <w:divsChild>
                    <w:div w:id="59058206">
                      <w:marLeft w:val="0"/>
                      <w:marRight w:val="0"/>
                      <w:marTop w:val="0"/>
                      <w:marBottom w:val="0"/>
                      <w:divBdr>
                        <w:top w:val="none" w:sz="0" w:space="0" w:color="auto"/>
                        <w:left w:val="none" w:sz="0" w:space="0" w:color="auto"/>
                        <w:bottom w:val="none" w:sz="0" w:space="0" w:color="auto"/>
                        <w:right w:val="none" w:sz="0" w:space="0" w:color="auto"/>
                      </w:divBdr>
                      <w:divsChild>
                        <w:div w:id="1540244174">
                          <w:marLeft w:val="0"/>
                          <w:marRight w:val="0"/>
                          <w:marTop w:val="0"/>
                          <w:marBottom w:val="0"/>
                          <w:divBdr>
                            <w:top w:val="none" w:sz="0" w:space="0" w:color="auto"/>
                            <w:left w:val="none" w:sz="0" w:space="0" w:color="auto"/>
                            <w:bottom w:val="none" w:sz="0" w:space="0" w:color="auto"/>
                            <w:right w:val="none" w:sz="0" w:space="0" w:color="auto"/>
                          </w:divBdr>
                          <w:divsChild>
                            <w:div w:id="297609818">
                              <w:marLeft w:val="0"/>
                              <w:marRight w:val="0"/>
                              <w:marTop w:val="0"/>
                              <w:marBottom w:val="0"/>
                              <w:divBdr>
                                <w:top w:val="none" w:sz="0" w:space="0" w:color="auto"/>
                                <w:left w:val="none" w:sz="0" w:space="0" w:color="auto"/>
                                <w:bottom w:val="none" w:sz="0" w:space="0" w:color="auto"/>
                                <w:right w:val="none" w:sz="0" w:space="0" w:color="auto"/>
                              </w:divBdr>
                              <w:divsChild>
                                <w:div w:id="297683740">
                                  <w:marLeft w:val="0"/>
                                  <w:marRight w:val="0"/>
                                  <w:marTop w:val="0"/>
                                  <w:marBottom w:val="0"/>
                                  <w:divBdr>
                                    <w:top w:val="none" w:sz="0" w:space="0" w:color="auto"/>
                                    <w:left w:val="none" w:sz="0" w:space="0" w:color="auto"/>
                                    <w:bottom w:val="none" w:sz="0" w:space="0" w:color="auto"/>
                                    <w:right w:val="none" w:sz="0" w:space="0" w:color="auto"/>
                                  </w:divBdr>
                                  <w:divsChild>
                                    <w:div w:id="56826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391197">
      <w:bodyDiv w:val="1"/>
      <w:marLeft w:val="0"/>
      <w:marRight w:val="0"/>
      <w:marTop w:val="0"/>
      <w:marBottom w:val="0"/>
      <w:divBdr>
        <w:top w:val="none" w:sz="0" w:space="0" w:color="auto"/>
        <w:left w:val="none" w:sz="0" w:space="0" w:color="auto"/>
        <w:bottom w:val="none" w:sz="0" w:space="0" w:color="auto"/>
        <w:right w:val="none" w:sz="0" w:space="0" w:color="auto"/>
      </w:divBdr>
    </w:div>
    <w:div w:id="1192887886">
      <w:bodyDiv w:val="1"/>
      <w:marLeft w:val="0"/>
      <w:marRight w:val="0"/>
      <w:marTop w:val="0"/>
      <w:marBottom w:val="0"/>
      <w:divBdr>
        <w:top w:val="none" w:sz="0" w:space="0" w:color="auto"/>
        <w:left w:val="none" w:sz="0" w:space="0" w:color="auto"/>
        <w:bottom w:val="none" w:sz="0" w:space="0" w:color="auto"/>
        <w:right w:val="none" w:sz="0" w:space="0" w:color="auto"/>
      </w:divBdr>
    </w:div>
    <w:div w:id="1194415696">
      <w:bodyDiv w:val="1"/>
      <w:marLeft w:val="0"/>
      <w:marRight w:val="0"/>
      <w:marTop w:val="0"/>
      <w:marBottom w:val="0"/>
      <w:divBdr>
        <w:top w:val="none" w:sz="0" w:space="0" w:color="auto"/>
        <w:left w:val="none" w:sz="0" w:space="0" w:color="auto"/>
        <w:bottom w:val="none" w:sz="0" w:space="0" w:color="auto"/>
        <w:right w:val="none" w:sz="0" w:space="0" w:color="auto"/>
      </w:divBdr>
    </w:div>
    <w:div w:id="1203136133">
      <w:bodyDiv w:val="1"/>
      <w:marLeft w:val="0"/>
      <w:marRight w:val="0"/>
      <w:marTop w:val="0"/>
      <w:marBottom w:val="0"/>
      <w:divBdr>
        <w:top w:val="none" w:sz="0" w:space="0" w:color="auto"/>
        <w:left w:val="none" w:sz="0" w:space="0" w:color="auto"/>
        <w:bottom w:val="none" w:sz="0" w:space="0" w:color="auto"/>
        <w:right w:val="none" w:sz="0" w:space="0" w:color="auto"/>
      </w:divBdr>
    </w:div>
    <w:div w:id="1225532498">
      <w:bodyDiv w:val="1"/>
      <w:marLeft w:val="0"/>
      <w:marRight w:val="0"/>
      <w:marTop w:val="0"/>
      <w:marBottom w:val="0"/>
      <w:divBdr>
        <w:top w:val="none" w:sz="0" w:space="0" w:color="auto"/>
        <w:left w:val="none" w:sz="0" w:space="0" w:color="auto"/>
        <w:bottom w:val="none" w:sz="0" w:space="0" w:color="auto"/>
        <w:right w:val="none" w:sz="0" w:space="0" w:color="auto"/>
      </w:divBdr>
    </w:div>
    <w:div w:id="1257054672">
      <w:bodyDiv w:val="1"/>
      <w:marLeft w:val="0"/>
      <w:marRight w:val="0"/>
      <w:marTop w:val="0"/>
      <w:marBottom w:val="0"/>
      <w:divBdr>
        <w:top w:val="none" w:sz="0" w:space="0" w:color="auto"/>
        <w:left w:val="none" w:sz="0" w:space="0" w:color="auto"/>
        <w:bottom w:val="none" w:sz="0" w:space="0" w:color="auto"/>
        <w:right w:val="none" w:sz="0" w:space="0" w:color="auto"/>
      </w:divBdr>
    </w:div>
    <w:div w:id="1261329059">
      <w:bodyDiv w:val="1"/>
      <w:marLeft w:val="0"/>
      <w:marRight w:val="0"/>
      <w:marTop w:val="0"/>
      <w:marBottom w:val="0"/>
      <w:divBdr>
        <w:top w:val="none" w:sz="0" w:space="0" w:color="auto"/>
        <w:left w:val="none" w:sz="0" w:space="0" w:color="auto"/>
        <w:bottom w:val="none" w:sz="0" w:space="0" w:color="auto"/>
        <w:right w:val="none" w:sz="0" w:space="0" w:color="auto"/>
      </w:divBdr>
    </w:div>
    <w:div w:id="1300719992">
      <w:bodyDiv w:val="1"/>
      <w:marLeft w:val="0"/>
      <w:marRight w:val="0"/>
      <w:marTop w:val="0"/>
      <w:marBottom w:val="0"/>
      <w:divBdr>
        <w:top w:val="none" w:sz="0" w:space="0" w:color="auto"/>
        <w:left w:val="none" w:sz="0" w:space="0" w:color="auto"/>
        <w:bottom w:val="none" w:sz="0" w:space="0" w:color="auto"/>
        <w:right w:val="none" w:sz="0" w:space="0" w:color="auto"/>
      </w:divBdr>
    </w:div>
    <w:div w:id="1301425229">
      <w:bodyDiv w:val="1"/>
      <w:marLeft w:val="0"/>
      <w:marRight w:val="0"/>
      <w:marTop w:val="0"/>
      <w:marBottom w:val="0"/>
      <w:divBdr>
        <w:top w:val="none" w:sz="0" w:space="0" w:color="auto"/>
        <w:left w:val="none" w:sz="0" w:space="0" w:color="auto"/>
        <w:bottom w:val="none" w:sz="0" w:space="0" w:color="auto"/>
        <w:right w:val="none" w:sz="0" w:space="0" w:color="auto"/>
      </w:divBdr>
    </w:div>
    <w:div w:id="1303848966">
      <w:bodyDiv w:val="1"/>
      <w:marLeft w:val="0"/>
      <w:marRight w:val="0"/>
      <w:marTop w:val="0"/>
      <w:marBottom w:val="0"/>
      <w:divBdr>
        <w:top w:val="none" w:sz="0" w:space="0" w:color="auto"/>
        <w:left w:val="none" w:sz="0" w:space="0" w:color="auto"/>
        <w:bottom w:val="none" w:sz="0" w:space="0" w:color="auto"/>
        <w:right w:val="none" w:sz="0" w:space="0" w:color="auto"/>
      </w:divBdr>
    </w:div>
    <w:div w:id="1323191697">
      <w:bodyDiv w:val="1"/>
      <w:marLeft w:val="0"/>
      <w:marRight w:val="0"/>
      <w:marTop w:val="0"/>
      <w:marBottom w:val="0"/>
      <w:divBdr>
        <w:top w:val="none" w:sz="0" w:space="0" w:color="auto"/>
        <w:left w:val="none" w:sz="0" w:space="0" w:color="auto"/>
        <w:bottom w:val="none" w:sz="0" w:space="0" w:color="auto"/>
        <w:right w:val="none" w:sz="0" w:space="0" w:color="auto"/>
      </w:divBdr>
    </w:div>
    <w:div w:id="1344240246">
      <w:bodyDiv w:val="1"/>
      <w:marLeft w:val="0"/>
      <w:marRight w:val="0"/>
      <w:marTop w:val="0"/>
      <w:marBottom w:val="0"/>
      <w:divBdr>
        <w:top w:val="none" w:sz="0" w:space="0" w:color="auto"/>
        <w:left w:val="none" w:sz="0" w:space="0" w:color="auto"/>
        <w:bottom w:val="none" w:sz="0" w:space="0" w:color="auto"/>
        <w:right w:val="none" w:sz="0" w:space="0" w:color="auto"/>
      </w:divBdr>
      <w:divsChild>
        <w:div w:id="63069269">
          <w:marLeft w:val="0"/>
          <w:marRight w:val="0"/>
          <w:marTop w:val="0"/>
          <w:marBottom w:val="0"/>
          <w:divBdr>
            <w:top w:val="none" w:sz="0" w:space="0" w:color="auto"/>
            <w:left w:val="none" w:sz="0" w:space="0" w:color="auto"/>
            <w:bottom w:val="none" w:sz="0" w:space="0" w:color="auto"/>
            <w:right w:val="none" w:sz="0" w:space="0" w:color="auto"/>
          </w:divBdr>
          <w:divsChild>
            <w:div w:id="1056398419">
              <w:marLeft w:val="0"/>
              <w:marRight w:val="0"/>
              <w:marTop w:val="0"/>
              <w:marBottom w:val="0"/>
              <w:divBdr>
                <w:top w:val="none" w:sz="0" w:space="0" w:color="auto"/>
                <w:left w:val="none" w:sz="0" w:space="0" w:color="auto"/>
                <w:bottom w:val="none" w:sz="0" w:space="0" w:color="auto"/>
                <w:right w:val="none" w:sz="0" w:space="0" w:color="auto"/>
              </w:divBdr>
              <w:divsChild>
                <w:div w:id="1702822754">
                  <w:marLeft w:val="0"/>
                  <w:marRight w:val="0"/>
                  <w:marTop w:val="0"/>
                  <w:marBottom w:val="0"/>
                  <w:divBdr>
                    <w:top w:val="none" w:sz="0" w:space="0" w:color="auto"/>
                    <w:left w:val="none" w:sz="0" w:space="0" w:color="auto"/>
                    <w:bottom w:val="none" w:sz="0" w:space="0" w:color="auto"/>
                    <w:right w:val="none" w:sz="0" w:space="0" w:color="auto"/>
                  </w:divBdr>
                  <w:divsChild>
                    <w:div w:id="599990630">
                      <w:marLeft w:val="0"/>
                      <w:marRight w:val="0"/>
                      <w:marTop w:val="0"/>
                      <w:marBottom w:val="0"/>
                      <w:divBdr>
                        <w:top w:val="none" w:sz="0" w:space="0" w:color="auto"/>
                        <w:left w:val="none" w:sz="0" w:space="0" w:color="auto"/>
                        <w:bottom w:val="none" w:sz="0" w:space="0" w:color="auto"/>
                        <w:right w:val="none" w:sz="0" w:space="0" w:color="auto"/>
                      </w:divBdr>
                      <w:divsChild>
                        <w:div w:id="1499685195">
                          <w:marLeft w:val="0"/>
                          <w:marRight w:val="0"/>
                          <w:marTop w:val="0"/>
                          <w:marBottom w:val="0"/>
                          <w:divBdr>
                            <w:top w:val="none" w:sz="0" w:space="0" w:color="auto"/>
                            <w:left w:val="none" w:sz="0" w:space="0" w:color="auto"/>
                            <w:bottom w:val="none" w:sz="0" w:space="0" w:color="auto"/>
                            <w:right w:val="none" w:sz="0" w:space="0" w:color="auto"/>
                          </w:divBdr>
                          <w:divsChild>
                            <w:div w:id="438839238">
                              <w:marLeft w:val="0"/>
                              <w:marRight w:val="0"/>
                              <w:marTop w:val="0"/>
                              <w:marBottom w:val="0"/>
                              <w:divBdr>
                                <w:top w:val="none" w:sz="0" w:space="0" w:color="auto"/>
                                <w:left w:val="none" w:sz="0" w:space="0" w:color="auto"/>
                                <w:bottom w:val="none" w:sz="0" w:space="0" w:color="auto"/>
                                <w:right w:val="none" w:sz="0" w:space="0" w:color="auto"/>
                              </w:divBdr>
                              <w:divsChild>
                                <w:div w:id="267129611">
                                  <w:marLeft w:val="0"/>
                                  <w:marRight w:val="0"/>
                                  <w:marTop w:val="0"/>
                                  <w:marBottom w:val="0"/>
                                  <w:divBdr>
                                    <w:top w:val="none" w:sz="0" w:space="0" w:color="auto"/>
                                    <w:left w:val="none" w:sz="0" w:space="0" w:color="auto"/>
                                    <w:bottom w:val="none" w:sz="0" w:space="0" w:color="auto"/>
                                    <w:right w:val="none" w:sz="0" w:space="0" w:color="auto"/>
                                  </w:divBdr>
                                  <w:divsChild>
                                    <w:div w:id="74615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9453970">
      <w:bodyDiv w:val="1"/>
      <w:marLeft w:val="0"/>
      <w:marRight w:val="0"/>
      <w:marTop w:val="0"/>
      <w:marBottom w:val="0"/>
      <w:divBdr>
        <w:top w:val="none" w:sz="0" w:space="0" w:color="auto"/>
        <w:left w:val="none" w:sz="0" w:space="0" w:color="auto"/>
        <w:bottom w:val="none" w:sz="0" w:space="0" w:color="auto"/>
        <w:right w:val="none" w:sz="0" w:space="0" w:color="auto"/>
      </w:divBdr>
      <w:divsChild>
        <w:div w:id="852230623">
          <w:marLeft w:val="0"/>
          <w:marRight w:val="0"/>
          <w:marTop w:val="0"/>
          <w:marBottom w:val="0"/>
          <w:divBdr>
            <w:top w:val="none" w:sz="0" w:space="0" w:color="auto"/>
            <w:left w:val="none" w:sz="0" w:space="0" w:color="auto"/>
            <w:bottom w:val="none" w:sz="0" w:space="0" w:color="auto"/>
            <w:right w:val="none" w:sz="0" w:space="0" w:color="auto"/>
          </w:divBdr>
        </w:div>
      </w:divsChild>
    </w:div>
    <w:div w:id="1361541620">
      <w:bodyDiv w:val="1"/>
      <w:marLeft w:val="0"/>
      <w:marRight w:val="0"/>
      <w:marTop w:val="0"/>
      <w:marBottom w:val="0"/>
      <w:divBdr>
        <w:top w:val="none" w:sz="0" w:space="0" w:color="auto"/>
        <w:left w:val="none" w:sz="0" w:space="0" w:color="auto"/>
        <w:bottom w:val="none" w:sz="0" w:space="0" w:color="auto"/>
        <w:right w:val="none" w:sz="0" w:space="0" w:color="auto"/>
      </w:divBdr>
    </w:div>
    <w:div w:id="1367869256">
      <w:bodyDiv w:val="1"/>
      <w:marLeft w:val="0"/>
      <w:marRight w:val="0"/>
      <w:marTop w:val="0"/>
      <w:marBottom w:val="0"/>
      <w:divBdr>
        <w:top w:val="none" w:sz="0" w:space="0" w:color="auto"/>
        <w:left w:val="none" w:sz="0" w:space="0" w:color="auto"/>
        <w:bottom w:val="none" w:sz="0" w:space="0" w:color="auto"/>
        <w:right w:val="none" w:sz="0" w:space="0" w:color="auto"/>
      </w:divBdr>
    </w:div>
    <w:div w:id="1387605257">
      <w:bodyDiv w:val="1"/>
      <w:marLeft w:val="0"/>
      <w:marRight w:val="0"/>
      <w:marTop w:val="0"/>
      <w:marBottom w:val="0"/>
      <w:divBdr>
        <w:top w:val="none" w:sz="0" w:space="0" w:color="auto"/>
        <w:left w:val="none" w:sz="0" w:space="0" w:color="auto"/>
        <w:bottom w:val="none" w:sz="0" w:space="0" w:color="auto"/>
        <w:right w:val="none" w:sz="0" w:space="0" w:color="auto"/>
      </w:divBdr>
      <w:divsChild>
        <w:div w:id="1009454787">
          <w:marLeft w:val="0"/>
          <w:marRight w:val="0"/>
          <w:marTop w:val="0"/>
          <w:marBottom w:val="0"/>
          <w:divBdr>
            <w:top w:val="none" w:sz="0" w:space="0" w:color="auto"/>
            <w:left w:val="none" w:sz="0" w:space="0" w:color="auto"/>
            <w:bottom w:val="none" w:sz="0" w:space="0" w:color="auto"/>
            <w:right w:val="none" w:sz="0" w:space="0" w:color="auto"/>
          </w:divBdr>
          <w:divsChild>
            <w:div w:id="804782982">
              <w:marLeft w:val="0"/>
              <w:marRight w:val="0"/>
              <w:marTop w:val="0"/>
              <w:marBottom w:val="0"/>
              <w:divBdr>
                <w:top w:val="none" w:sz="0" w:space="0" w:color="auto"/>
                <w:left w:val="none" w:sz="0" w:space="0" w:color="auto"/>
                <w:bottom w:val="none" w:sz="0" w:space="0" w:color="auto"/>
                <w:right w:val="none" w:sz="0" w:space="0" w:color="auto"/>
              </w:divBdr>
              <w:divsChild>
                <w:div w:id="920716783">
                  <w:marLeft w:val="0"/>
                  <w:marRight w:val="0"/>
                  <w:marTop w:val="0"/>
                  <w:marBottom w:val="0"/>
                  <w:divBdr>
                    <w:top w:val="none" w:sz="0" w:space="0" w:color="auto"/>
                    <w:left w:val="none" w:sz="0" w:space="0" w:color="auto"/>
                    <w:bottom w:val="none" w:sz="0" w:space="0" w:color="auto"/>
                    <w:right w:val="none" w:sz="0" w:space="0" w:color="auto"/>
                  </w:divBdr>
                  <w:divsChild>
                    <w:div w:id="348214192">
                      <w:marLeft w:val="0"/>
                      <w:marRight w:val="0"/>
                      <w:marTop w:val="0"/>
                      <w:marBottom w:val="0"/>
                      <w:divBdr>
                        <w:top w:val="none" w:sz="0" w:space="0" w:color="auto"/>
                        <w:left w:val="none" w:sz="0" w:space="0" w:color="auto"/>
                        <w:bottom w:val="none" w:sz="0" w:space="0" w:color="auto"/>
                        <w:right w:val="none" w:sz="0" w:space="0" w:color="auto"/>
                      </w:divBdr>
                      <w:divsChild>
                        <w:div w:id="935862321">
                          <w:marLeft w:val="0"/>
                          <w:marRight w:val="0"/>
                          <w:marTop w:val="0"/>
                          <w:marBottom w:val="0"/>
                          <w:divBdr>
                            <w:top w:val="none" w:sz="0" w:space="0" w:color="auto"/>
                            <w:left w:val="none" w:sz="0" w:space="0" w:color="auto"/>
                            <w:bottom w:val="none" w:sz="0" w:space="0" w:color="auto"/>
                            <w:right w:val="none" w:sz="0" w:space="0" w:color="auto"/>
                          </w:divBdr>
                          <w:divsChild>
                            <w:div w:id="278806921">
                              <w:marLeft w:val="0"/>
                              <w:marRight w:val="0"/>
                              <w:marTop w:val="0"/>
                              <w:marBottom w:val="0"/>
                              <w:divBdr>
                                <w:top w:val="none" w:sz="0" w:space="0" w:color="auto"/>
                                <w:left w:val="none" w:sz="0" w:space="0" w:color="auto"/>
                                <w:bottom w:val="none" w:sz="0" w:space="0" w:color="auto"/>
                                <w:right w:val="none" w:sz="0" w:space="0" w:color="auto"/>
                              </w:divBdr>
                              <w:divsChild>
                                <w:div w:id="1703706326">
                                  <w:marLeft w:val="0"/>
                                  <w:marRight w:val="0"/>
                                  <w:marTop w:val="0"/>
                                  <w:marBottom w:val="0"/>
                                  <w:divBdr>
                                    <w:top w:val="none" w:sz="0" w:space="0" w:color="auto"/>
                                    <w:left w:val="none" w:sz="0" w:space="0" w:color="auto"/>
                                    <w:bottom w:val="none" w:sz="0" w:space="0" w:color="auto"/>
                                    <w:right w:val="none" w:sz="0" w:space="0" w:color="auto"/>
                                  </w:divBdr>
                                  <w:divsChild>
                                    <w:div w:id="71527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6092">
      <w:bodyDiv w:val="1"/>
      <w:marLeft w:val="0"/>
      <w:marRight w:val="0"/>
      <w:marTop w:val="0"/>
      <w:marBottom w:val="0"/>
      <w:divBdr>
        <w:top w:val="none" w:sz="0" w:space="0" w:color="auto"/>
        <w:left w:val="none" w:sz="0" w:space="0" w:color="auto"/>
        <w:bottom w:val="none" w:sz="0" w:space="0" w:color="auto"/>
        <w:right w:val="none" w:sz="0" w:space="0" w:color="auto"/>
      </w:divBdr>
      <w:divsChild>
        <w:div w:id="1802117815">
          <w:marLeft w:val="0"/>
          <w:marRight w:val="0"/>
          <w:marTop w:val="0"/>
          <w:marBottom w:val="0"/>
          <w:divBdr>
            <w:top w:val="none" w:sz="0" w:space="0" w:color="auto"/>
            <w:left w:val="none" w:sz="0" w:space="0" w:color="auto"/>
            <w:bottom w:val="none" w:sz="0" w:space="0" w:color="auto"/>
            <w:right w:val="none" w:sz="0" w:space="0" w:color="auto"/>
          </w:divBdr>
        </w:div>
      </w:divsChild>
    </w:div>
    <w:div w:id="1418288572">
      <w:bodyDiv w:val="1"/>
      <w:marLeft w:val="0"/>
      <w:marRight w:val="0"/>
      <w:marTop w:val="0"/>
      <w:marBottom w:val="0"/>
      <w:divBdr>
        <w:top w:val="none" w:sz="0" w:space="0" w:color="auto"/>
        <w:left w:val="none" w:sz="0" w:space="0" w:color="auto"/>
        <w:bottom w:val="none" w:sz="0" w:space="0" w:color="auto"/>
        <w:right w:val="none" w:sz="0" w:space="0" w:color="auto"/>
      </w:divBdr>
      <w:divsChild>
        <w:div w:id="611210678">
          <w:marLeft w:val="0"/>
          <w:marRight w:val="0"/>
          <w:marTop w:val="0"/>
          <w:marBottom w:val="0"/>
          <w:divBdr>
            <w:top w:val="none" w:sz="0" w:space="0" w:color="auto"/>
            <w:left w:val="none" w:sz="0" w:space="0" w:color="auto"/>
            <w:bottom w:val="none" w:sz="0" w:space="0" w:color="auto"/>
            <w:right w:val="none" w:sz="0" w:space="0" w:color="auto"/>
          </w:divBdr>
        </w:div>
      </w:divsChild>
    </w:div>
    <w:div w:id="1446264434">
      <w:bodyDiv w:val="1"/>
      <w:marLeft w:val="0"/>
      <w:marRight w:val="0"/>
      <w:marTop w:val="0"/>
      <w:marBottom w:val="0"/>
      <w:divBdr>
        <w:top w:val="none" w:sz="0" w:space="0" w:color="auto"/>
        <w:left w:val="none" w:sz="0" w:space="0" w:color="auto"/>
        <w:bottom w:val="none" w:sz="0" w:space="0" w:color="auto"/>
        <w:right w:val="none" w:sz="0" w:space="0" w:color="auto"/>
      </w:divBdr>
    </w:div>
    <w:div w:id="1446850919">
      <w:bodyDiv w:val="1"/>
      <w:marLeft w:val="0"/>
      <w:marRight w:val="0"/>
      <w:marTop w:val="0"/>
      <w:marBottom w:val="0"/>
      <w:divBdr>
        <w:top w:val="none" w:sz="0" w:space="0" w:color="auto"/>
        <w:left w:val="none" w:sz="0" w:space="0" w:color="auto"/>
        <w:bottom w:val="none" w:sz="0" w:space="0" w:color="auto"/>
        <w:right w:val="none" w:sz="0" w:space="0" w:color="auto"/>
      </w:divBdr>
    </w:div>
    <w:div w:id="1452703195">
      <w:bodyDiv w:val="1"/>
      <w:marLeft w:val="0"/>
      <w:marRight w:val="0"/>
      <w:marTop w:val="0"/>
      <w:marBottom w:val="0"/>
      <w:divBdr>
        <w:top w:val="none" w:sz="0" w:space="0" w:color="auto"/>
        <w:left w:val="none" w:sz="0" w:space="0" w:color="auto"/>
        <w:bottom w:val="none" w:sz="0" w:space="0" w:color="auto"/>
        <w:right w:val="none" w:sz="0" w:space="0" w:color="auto"/>
      </w:divBdr>
    </w:div>
    <w:div w:id="1463570123">
      <w:bodyDiv w:val="1"/>
      <w:marLeft w:val="0"/>
      <w:marRight w:val="0"/>
      <w:marTop w:val="0"/>
      <w:marBottom w:val="0"/>
      <w:divBdr>
        <w:top w:val="none" w:sz="0" w:space="0" w:color="auto"/>
        <w:left w:val="none" w:sz="0" w:space="0" w:color="auto"/>
        <w:bottom w:val="none" w:sz="0" w:space="0" w:color="auto"/>
        <w:right w:val="none" w:sz="0" w:space="0" w:color="auto"/>
      </w:divBdr>
    </w:div>
    <w:div w:id="1468086770">
      <w:bodyDiv w:val="1"/>
      <w:marLeft w:val="0"/>
      <w:marRight w:val="0"/>
      <w:marTop w:val="0"/>
      <w:marBottom w:val="0"/>
      <w:divBdr>
        <w:top w:val="none" w:sz="0" w:space="0" w:color="auto"/>
        <w:left w:val="none" w:sz="0" w:space="0" w:color="auto"/>
        <w:bottom w:val="none" w:sz="0" w:space="0" w:color="auto"/>
        <w:right w:val="none" w:sz="0" w:space="0" w:color="auto"/>
      </w:divBdr>
    </w:div>
    <w:div w:id="1471706564">
      <w:bodyDiv w:val="1"/>
      <w:marLeft w:val="0"/>
      <w:marRight w:val="0"/>
      <w:marTop w:val="0"/>
      <w:marBottom w:val="0"/>
      <w:divBdr>
        <w:top w:val="none" w:sz="0" w:space="0" w:color="auto"/>
        <w:left w:val="none" w:sz="0" w:space="0" w:color="auto"/>
        <w:bottom w:val="none" w:sz="0" w:space="0" w:color="auto"/>
        <w:right w:val="none" w:sz="0" w:space="0" w:color="auto"/>
      </w:divBdr>
    </w:div>
    <w:div w:id="1564020442">
      <w:bodyDiv w:val="1"/>
      <w:marLeft w:val="0"/>
      <w:marRight w:val="0"/>
      <w:marTop w:val="0"/>
      <w:marBottom w:val="0"/>
      <w:divBdr>
        <w:top w:val="none" w:sz="0" w:space="0" w:color="auto"/>
        <w:left w:val="none" w:sz="0" w:space="0" w:color="auto"/>
        <w:bottom w:val="none" w:sz="0" w:space="0" w:color="auto"/>
        <w:right w:val="none" w:sz="0" w:space="0" w:color="auto"/>
      </w:divBdr>
      <w:divsChild>
        <w:div w:id="1742285639">
          <w:marLeft w:val="0"/>
          <w:marRight w:val="0"/>
          <w:marTop w:val="0"/>
          <w:marBottom w:val="0"/>
          <w:divBdr>
            <w:top w:val="none" w:sz="0" w:space="0" w:color="auto"/>
            <w:left w:val="none" w:sz="0" w:space="0" w:color="auto"/>
            <w:bottom w:val="none" w:sz="0" w:space="0" w:color="auto"/>
            <w:right w:val="none" w:sz="0" w:space="0" w:color="auto"/>
          </w:divBdr>
        </w:div>
      </w:divsChild>
    </w:div>
    <w:div w:id="1583486844">
      <w:bodyDiv w:val="1"/>
      <w:marLeft w:val="0"/>
      <w:marRight w:val="0"/>
      <w:marTop w:val="0"/>
      <w:marBottom w:val="0"/>
      <w:divBdr>
        <w:top w:val="none" w:sz="0" w:space="0" w:color="auto"/>
        <w:left w:val="none" w:sz="0" w:space="0" w:color="auto"/>
        <w:bottom w:val="none" w:sz="0" w:space="0" w:color="auto"/>
        <w:right w:val="none" w:sz="0" w:space="0" w:color="auto"/>
      </w:divBdr>
    </w:div>
    <w:div w:id="1621840508">
      <w:bodyDiv w:val="1"/>
      <w:marLeft w:val="0"/>
      <w:marRight w:val="0"/>
      <w:marTop w:val="0"/>
      <w:marBottom w:val="0"/>
      <w:divBdr>
        <w:top w:val="none" w:sz="0" w:space="0" w:color="auto"/>
        <w:left w:val="none" w:sz="0" w:space="0" w:color="auto"/>
        <w:bottom w:val="none" w:sz="0" w:space="0" w:color="auto"/>
        <w:right w:val="none" w:sz="0" w:space="0" w:color="auto"/>
      </w:divBdr>
    </w:div>
    <w:div w:id="1641611759">
      <w:bodyDiv w:val="1"/>
      <w:marLeft w:val="0"/>
      <w:marRight w:val="0"/>
      <w:marTop w:val="0"/>
      <w:marBottom w:val="0"/>
      <w:divBdr>
        <w:top w:val="none" w:sz="0" w:space="0" w:color="auto"/>
        <w:left w:val="none" w:sz="0" w:space="0" w:color="auto"/>
        <w:bottom w:val="none" w:sz="0" w:space="0" w:color="auto"/>
        <w:right w:val="none" w:sz="0" w:space="0" w:color="auto"/>
      </w:divBdr>
      <w:divsChild>
        <w:div w:id="2082409745">
          <w:marLeft w:val="0"/>
          <w:marRight w:val="0"/>
          <w:marTop w:val="0"/>
          <w:marBottom w:val="0"/>
          <w:divBdr>
            <w:top w:val="none" w:sz="0" w:space="0" w:color="auto"/>
            <w:left w:val="none" w:sz="0" w:space="0" w:color="auto"/>
            <w:bottom w:val="none" w:sz="0" w:space="0" w:color="auto"/>
            <w:right w:val="none" w:sz="0" w:space="0" w:color="auto"/>
          </w:divBdr>
        </w:div>
      </w:divsChild>
    </w:div>
    <w:div w:id="1690255872">
      <w:bodyDiv w:val="1"/>
      <w:marLeft w:val="0"/>
      <w:marRight w:val="0"/>
      <w:marTop w:val="0"/>
      <w:marBottom w:val="0"/>
      <w:divBdr>
        <w:top w:val="none" w:sz="0" w:space="0" w:color="auto"/>
        <w:left w:val="none" w:sz="0" w:space="0" w:color="auto"/>
        <w:bottom w:val="none" w:sz="0" w:space="0" w:color="auto"/>
        <w:right w:val="none" w:sz="0" w:space="0" w:color="auto"/>
      </w:divBdr>
    </w:div>
    <w:div w:id="1700816236">
      <w:bodyDiv w:val="1"/>
      <w:marLeft w:val="0"/>
      <w:marRight w:val="0"/>
      <w:marTop w:val="0"/>
      <w:marBottom w:val="0"/>
      <w:divBdr>
        <w:top w:val="none" w:sz="0" w:space="0" w:color="auto"/>
        <w:left w:val="none" w:sz="0" w:space="0" w:color="auto"/>
        <w:bottom w:val="none" w:sz="0" w:space="0" w:color="auto"/>
        <w:right w:val="none" w:sz="0" w:space="0" w:color="auto"/>
      </w:divBdr>
    </w:div>
    <w:div w:id="1754857919">
      <w:bodyDiv w:val="1"/>
      <w:marLeft w:val="0"/>
      <w:marRight w:val="0"/>
      <w:marTop w:val="0"/>
      <w:marBottom w:val="0"/>
      <w:divBdr>
        <w:top w:val="none" w:sz="0" w:space="0" w:color="auto"/>
        <w:left w:val="none" w:sz="0" w:space="0" w:color="auto"/>
        <w:bottom w:val="none" w:sz="0" w:space="0" w:color="auto"/>
        <w:right w:val="none" w:sz="0" w:space="0" w:color="auto"/>
      </w:divBdr>
    </w:div>
    <w:div w:id="1755935374">
      <w:bodyDiv w:val="1"/>
      <w:marLeft w:val="0"/>
      <w:marRight w:val="0"/>
      <w:marTop w:val="0"/>
      <w:marBottom w:val="0"/>
      <w:divBdr>
        <w:top w:val="none" w:sz="0" w:space="0" w:color="auto"/>
        <w:left w:val="none" w:sz="0" w:space="0" w:color="auto"/>
        <w:bottom w:val="none" w:sz="0" w:space="0" w:color="auto"/>
        <w:right w:val="none" w:sz="0" w:space="0" w:color="auto"/>
      </w:divBdr>
    </w:div>
    <w:div w:id="1794790749">
      <w:bodyDiv w:val="1"/>
      <w:marLeft w:val="0"/>
      <w:marRight w:val="0"/>
      <w:marTop w:val="0"/>
      <w:marBottom w:val="0"/>
      <w:divBdr>
        <w:top w:val="none" w:sz="0" w:space="0" w:color="auto"/>
        <w:left w:val="none" w:sz="0" w:space="0" w:color="auto"/>
        <w:bottom w:val="none" w:sz="0" w:space="0" w:color="auto"/>
        <w:right w:val="none" w:sz="0" w:space="0" w:color="auto"/>
      </w:divBdr>
    </w:div>
    <w:div w:id="1810054697">
      <w:bodyDiv w:val="1"/>
      <w:marLeft w:val="0"/>
      <w:marRight w:val="0"/>
      <w:marTop w:val="0"/>
      <w:marBottom w:val="0"/>
      <w:divBdr>
        <w:top w:val="none" w:sz="0" w:space="0" w:color="auto"/>
        <w:left w:val="none" w:sz="0" w:space="0" w:color="auto"/>
        <w:bottom w:val="none" w:sz="0" w:space="0" w:color="auto"/>
        <w:right w:val="none" w:sz="0" w:space="0" w:color="auto"/>
      </w:divBdr>
      <w:divsChild>
        <w:div w:id="61105429">
          <w:marLeft w:val="0"/>
          <w:marRight w:val="0"/>
          <w:marTop w:val="0"/>
          <w:marBottom w:val="0"/>
          <w:divBdr>
            <w:top w:val="none" w:sz="0" w:space="0" w:color="auto"/>
            <w:left w:val="none" w:sz="0" w:space="0" w:color="auto"/>
            <w:bottom w:val="none" w:sz="0" w:space="0" w:color="auto"/>
            <w:right w:val="none" w:sz="0" w:space="0" w:color="auto"/>
          </w:divBdr>
          <w:divsChild>
            <w:div w:id="733969607">
              <w:marLeft w:val="0"/>
              <w:marRight w:val="0"/>
              <w:marTop w:val="0"/>
              <w:marBottom w:val="0"/>
              <w:divBdr>
                <w:top w:val="none" w:sz="0" w:space="0" w:color="auto"/>
                <w:left w:val="none" w:sz="0" w:space="0" w:color="auto"/>
                <w:bottom w:val="none" w:sz="0" w:space="0" w:color="auto"/>
                <w:right w:val="none" w:sz="0" w:space="0" w:color="auto"/>
              </w:divBdr>
              <w:divsChild>
                <w:div w:id="1287082524">
                  <w:marLeft w:val="0"/>
                  <w:marRight w:val="0"/>
                  <w:marTop w:val="0"/>
                  <w:marBottom w:val="0"/>
                  <w:divBdr>
                    <w:top w:val="none" w:sz="0" w:space="0" w:color="auto"/>
                    <w:left w:val="none" w:sz="0" w:space="0" w:color="auto"/>
                    <w:bottom w:val="none" w:sz="0" w:space="0" w:color="auto"/>
                    <w:right w:val="none" w:sz="0" w:space="0" w:color="auto"/>
                  </w:divBdr>
                  <w:divsChild>
                    <w:div w:id="1604876959">
                      <w:marLeft w:val="0"/>
                      <w:marRight w:val="0"/>
                      <w:marTop w:val="0"/>
                      <w:marBottom w:val="0"/>
                      <w:divBdr>
                        <w:top w:val="none" w:sz="0" w:space="0" w:color="auto"/>
                        <w:left w:val="none" w:sz="0" w:space="0" w:color="auto"/>
                        <w:bottom w:val="none" w:sz="0" w:space="0" w:color="auto"/>
                        <w:right w:val="none" w:sz="0" w:space="0" w:color="auto"/>
                      </w:divBdr>
                      <w:divsChild>
                        <w:div w:id="584269684">
                          <w:marLeft w:val="0"/>
                          <w:marRight w:val="0"/>
                          <w:marTop w:val="0"/>
                          <w:marBottom w:val="0"/>
                          <w:divBdr>
                            <w:top w:val="none" w:sz="0" w:space="0" w:color="auto"/>
                            <w:left w:val="none" w:sz="0" w:space="0" w:color="auto"/>
                            <w:bottom w:val="none" w:sz="0" w:space="0" w:color="auto"/>
                            <w:right w:val="none" w:sz="0" w:space="0" w:color="auto"/>
                          </w:divBdr>
                          <w:divsChild>
                            <w:div w:id="474490143">
                              <w:marLeft w:val="0"/>
                              <w:marRight w:val="0"/>
                              <w:marTop w:val="0"/>
                              <w:marBottom w:val="0"/>
                              <w:divBdr>
                                <w:top w:val="none" w:sz="0" w:space="0" w:color="auto"/>
                                <w:left w:val="none" w:sz="0" w:space="0" w:color="auto"/>
                                <w:bottom w:val="none" w:sz="0" w:space="0" w:color="auto"/>
                                <w:right w:val="none" w:sz="0" w:space="0" w:color="auto"/>
                              </w:divBdr>
                              <w:divsChild>
                                <w:div w:id="915897283">
                                  <w:marLeft w:val="0"/>
                                  <w:marRight w:val="0"/>
                                  <w:marTop w:val="0"/>
                                  <w:marBottom w:val="0"/>
                                  <w:divBdr>
                                    <w:top w:val="none" w:sz="0" w:space="0" w:color="auto"/>
                                    <w:left w:val="none" w:sz="0" w:space="0" w:color="auto"/>
                                    <w:bottom w:val="none" w:sz="0" w:space="0" w:color="auto"/>
                                    <w:right w:val="none" w:sz="0" w:space="0" w:color="auto"/>
                                  </w:divBdr>
                                  <w:divsChild>
                                    <w:div w:id="8338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840768">
      <w:bodyDiv w:val="1"/>
      <w:marLeft w:val="0"/>
      <w:marRight w:val="0"/>
      <w:marTop w:val="0"/>
      <w:marBottom w:val="0"/>
      <w:divBdr>
        <w:top w:val="none" w:sz="0" w:space="0" w:color="auto"/>
        <w:left w:val="none" w:sz="0" w:space="0" w:color="auto"/>
        <w:bottom w:val="none" w:sz="0" w:space="0" w:color="auto"/>
        <w:right w:val="none" w:sz="0" w:space="0" w:color="auto"/>
      </w:divBdr>
      <w:divsChild>
        <w:div w:id="317853319">
          <w:marLeft w:val="0"/>
          <w:marRight w:val="0"/>
          <w:marTop w:val="0"/>
          <w:marBottom w:val="0"/>
          <w:divBdr>
            <w:top w:val="none" w:sz="0" w:space="0" w:color="auto"/>
            <w:left w:val="none" w:sz="0" w:space="0" w:color="auto"/>
            <w:bottom w:val="none" w:sz="0" w:space="0" w:color="auto"/>
            <w:right w:val="none" w:sz="0" w:space="0" w:color="auto"/>
          </w:divBdr>
        </w:div>
      </w:divsChild>
    </w:div>
    <w:div w:id="1847087764">
      <w:bodyDiv w:val="1"/>
      <w:marLeft w:val="0"/>
      <w:marRight w:val="0"/>
      <w:marTop w:val="0"/>
      <w:marBottom w:val="0"/>
      <w:divBdr>
        <w:top w:val="none" w:sz="0" w:space="0" w:color="auto"/>
        <w:left w:val="none" w:sz="0" w:space="0" w:color="auto"/>
        <w:bottom w:val="none" w:sz="0" w:space="0" w:color="auto"/>
        <w:right w:val="none" w:sz="0" w:space="0" w:color="auto"/>
      </w:divBdr>
    </w:div>
    <w:div w:id="1868635800">
      <w:bodyDiv w:val="1"/>
      <w:marLeft w:val="0"/>
      <w:marRight w:val="0"/>
      <w:marTop w:val="0"/>
      <w:marBottom w:val="0"/>
      <w:divBdr>
        <w:top w:val="none" w:sz="0" w:space="0" w:color="auto"/>
        <w:left w:val="none" w:sz="0" w:space="0" w:color="auto"/>
        <w:bottom w:val="none" w:sz="0" w:space="0" w:color="auto"/>
        <w:right w:val="none" w:sz="0" w:space="0" w:color="auto"/>
      </w:divBdr>
    </w:div>
    <w:div w:id="1881091631">
      <w:bodyDiv w:val="1"/>
      <w:marLeft w:val="0"/>
      <w:marRight w:val="0"/>
      <w:marTop w:val="0"/>
      <w:marBottom w:val="0"/>
      <w:divBdr>
        <w:top w:val="none" w:sz="0" w:space="0" w:color="auto"/>
        <w:left w:val="none" w:sz="0" w:space="0" w:color="auto"/>
        <w:bottom w:val="none" w:sz="0" w:space="0" w:color="auto"/>
        <w:right w:val="none" w:sz="0" w:space="0" w:color="auto"/>
      </w:divBdr>
    </w:div>
    <w:div w:id="1899198311">
      <w:bodyDiv w:val="1"/>
      <w:marLeft w:val="0"/>
      <w:marRight w:val="0"/>
      <w:marTop w:val="0"/>
      <w:marBottom w:val="0"/>
      <w:divBdr>
        <w:top w:val="none" w:sz="0" w:space="0" w:color="auto"/>
        <w:left w:val="none" w:sz="0" w:space="0" w:color="auto"/>
        <w:bottom w:val="none" w:sz="0" w:space="0" w:color="auto"/>
        <w:right w:val="none" w:sz="0" w:space="0" w:color="auto"/>
      </w:divBdr>
    </w:div>
    <w:div w:id="1941600489">
      <w:bodyDiv w:val="1"/>
      <w:marLeft w:val="0"/>
      <w:marRight w:val="0"/>
      <w:marTop w:val="0"/>
      <w:marBottom w:val="0"/>
      <w:divBdr>
        <w:top w:val="none" w:sz="0" w:space="0" w:color="auto"/>
        <w:left w:val="none" w:sz="0" w:space="0" w:color="auto"/>
        <w:bottom w:val="none" w:sz="0" w:space="0" w:color="auto"/>
        <w:right w:val="none" w:sz="0" w:space="0" w:color="auto"/>
      </w:divBdr>
    </w:div>
    <w:div w:id="1949505994">
      <w:bodyDiv w:val="1"/>
      <w:marLeft w:val="0"/>
      <w:marRight w:val="0"/>
      <w:marTop w:val="0"/>
      <w:marBottom w:val="0"/>
      <w:divBdr>
        <w:top w:val="none" w:sz="0" w:space="0" w:color="auto"/>
        <w:left w:val="none" w:sz="0" w:space="0" w:color="auto"/>
        <w:bottom w:val="none" w:sz="0" w:space="0" w:color="auto"/>
        <w:right w:val="none" w:sz="0" w:space="0" w:color="auto"/>
      </w:divBdr>
    </w:div>
    <w:div w:id="1987471990">
      <w:bodyDiv w:val="1"/>
      <w:marLeft w:val="0"/>
      <w:marRight w:val="0"/>
      <w:marTop w:val="0"/>
      <w:marBottom w:val="0"/>
      <w:divBdr>
        <w:top w:val="none" w:sz="0" w:space="0" w:color="auto"/>
        <w:left w:val="none" w:sz="0" w:space="0" w:color="auto"/>
        <w:bottom w:val="none" w:sz="0" w:space="0" w:color="auto"/>
        <w:right w:val="none" w:sz="0" w:space="0" w:color="auto"/>
      </w:divBdr>
    </w:div>
    <w:div w:id="1991590246">
      <w:bodyDiv w:val="1"/>
      <w:marLeft w:val="0"/>
      <w:marRight w:val="0"/>
      <w:marTop w:val="0"/>
      <w:marBottom w:val="0"/>
      <w:divBdr>
        <w:top w:val="none" w:sz="0" w:space="0" w:color="auto"/>
        <w:left w:val="none" w:sz="0" w:space="0" w:color="auto"/>
        <w:bottom w:val="none" w:sz="0" w:space="0" w:color="auto"/>
        <w:right w:val="none" w:sz="0" w:space="0" w:color="auto"/>
      </w:divBdr>
    </w:div>
    <w:div w:id="2000884105">
      <w:bodyDiv w:val="1"/>
      <w:marLeft w:val="0"/>
      <w:marRight w:val="0"/>
      <w:marTop w:val="0"/>
      <w:marBottom w:val="0"/>
      <w:divBdr>
        <w:top w:val="none" w:sz="0" w:space="0" w:color="auto"/>
        <w:left w:val="none" w:sz="0" w:space="0" w:color="auto"/>
        <w:bottom w:val="none" w:sz="0" w:space="0" w:color="auto"/>
        <w:right w:val="none" w:sz="0" w:space="0" w:color="auto"/>
      </w:divBdr>
    </w:div>
    <w:div w:id="2027518764">
      <w:bodyDiv w:val="1"/>
      <w:marLeft w:val="0"/>
      <w:marRight w:val="0"/>
      <w:marTop w:val="0"/>
      <w:marBottom w:val="0"/>
      <w:divBdr>
        <w:top w:val="none" w:sz="0" w:space="0" w:color="auto"/>
        <w:left w:val="none" w:sz="0" w:space="0" w:color="auto"/>
        <w:bottom w:val="none" w:sz="0" w:space="0" w:color="auto"/>
        <w:right w:val="none" w:sz="0" w:space="0" w:color="auto"/>
      </w:divBdr>
    </w:div>
    <w:div w:id="2038194438">
      <w:bodyDiv w:val="1"/>
      <w:marLeft w:val="0"/>
      <w:marRight w:val="0"/>
      <w:marTop w:val="0"/>
      <w:marBottom w:val="0"/>
      <w:divBdr>
        <w:top w:val="none" w:sz="0" w:space="0" w:color="auto"/>
        <w:left w:val="none" w:sz="0" w:space="0" w:color="auto"/>
        <w:bottom w:val="none" w:sz="0" w:space="0" w:color="auto"/>
        <w:right w:val="none" w:sz="0" w:space="0" w:color="auto"/>
      </w:divBdr>
    </w:div>
    <w:div w:id="2047101014">
      <w:bodyDiv w:val="1"/>
      <w:marLeft w:val="0"/>
      <w:marRight w:val="0"/>
      <w:marTop w:val="0"/>
      <w:marBottom w:val="0"/>
      <w:divBdr>
        <w:top w:val="none" w:sz="0" w:space="0" w:color="auto"/>
        <w:left w:val="none" w:sz="0" w:space="0" w:color="auto"/>
        <w:bottom w:val="none" w:sz="0" w:space="0" w:color="auto"/>
        <w:right w:val="none" w:sz="0" w:space="0" w:color="auto"/>
      </w:divBdr>
    </w:div>
    <w:div w:id="2095934642">
      <w:bodyDiv w:val="1"/>
      <w:marLeft w:val="0"/>
      <w:marRight w:val="0"/>
      <w:marTop w:val="0"/>
      <w:marBottom w:val="0"/>
      <w:divBdr>
        <w:top w:val="none" w:sz="0" w:space="0" w:color="auto"/>
        <w:left w:val="none" w:sz="0" w:space="0" w:color="auto"/>
        <w:bottom w:val="none" w:sz="0" w:space="0" w:color="auto"/>
        <w:right w:val="none" w:sz="0" w:space="0" w:color="auto"/>
      </w:divBdr>
      <w:divsChild>
        <w:div w:id="1038970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ccountingformanagement.org/net-profit-ratio/" TargetMode="External"/><Relationship Id="rId18" Type="http://schemas.openxmlformats.org/officeDocument/2006/relationships/hyperlink" Target="https://www.statisticshowto.datasciencecentral.com/probability-and-statistics/correlation-coefficient-formula/"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www.accountingformanagement.org/return-on-shareholders-investmentnet-worth/" TargetMode="External"/><Relationship Id="rId7" Type="http://schemas.openxmlformats.org/officeDocument/2006/relationships/footnotes" Target="footnotes.xml"/><Relationship Id="rId17" Type="http://schemas.openxmlformats.org/officeDocument/2006/relationships/hyperlink" Target="https://www.statisticshowto.datasciencecentral.com/linear-relationship/"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statisticshowto.datasciencecentral.com/probability-and-statistics/correlation-coefficient-formula/" TargetMode="External"/><Relationship Id="rId20" Type="http://schemas.openxmlformats.org/officeDocument/2006/relationships/hyperlink" Target="http://www.accountingformanagement.org/net-profit-rati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ccountingformanagement.org/return-on-shareholders-investmentnet-worth/"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statisticshowto.datasciencecentral.com/variable/" TargetMode="External"/><Relationship Id="rId23" Type="http://schemas.openxmlformats.org/officeDocument/2006/relationships/fontTable" Target="fontTable.xml"/><Relationship Id="rId10" Type="http://schemas.openxmlformats.org/officeDocument/2006/relationships/hyperlink" Target="http://www.accountingformanagement.org/net-profit-ratio/" TargetMode="External"/><Relationship Id="rId19"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www.accountingformanagement.org/return-on-shareholders-investmentnet-worth/" TargetMode="External"/><Relationship Id="rId22" Type="http://schemas.openxmlformats.org/officeDocument/2006/relationships/footer" Target="footer1.xml"/><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Der14</b:Tag>
    <b:SourceType>Book</b:SourceType>
    <b:Guid>{1FFF9A5A-1DA9-4B48-BF40-67389970645D}</b:Guid>
    <b:Author>
      <b:Author>
        <b:NameList>
          <b:Person>
            <b:Last>Derman</b:Last>
            <b:First>Emmanuel</b:First>
          </b:Person>
        </b:NameList>
      </b:Author>
    </b:Author>
    <b:Title>Models Behaving Badly: Why Confusing Illusion with Reality Can Lead toDisaster on Wall Street and in Life</b:Title>
    <b:Year>2014</b:Year>
    <b:City>London</b:City>
    <b:Publisher>Street free press</b:Publisher>
    <b:RefOrder>12</b:RefOrder>
  </b:Source>
</b:Sources>
</file>

<file path=customXml/itemProps1.xml><?xml version="1.0" encoding="utf-8"?>
<ds:datastoreItem xmlns:ds="http://schemas.openxmlformats.org/officeDocument/2006/customXml" ds:itemID="{D1ABB5BB-349F-485A-A657-F881F7528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103</Pages>
  <Words>33079</Words>
  <Characters>188552</Characters>
  <Application>Microsoft Office Word</Application>
  <DocSecurity>0</DocSecurity>
  <Lines>1571</Lines>
  <Paragraphs>442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qwert</cp:lastModifiedBy>
  <cp:revision>3</cp:revision>
  <dcterms:created xsi:type="dcterms:W3CDTF">2025-03-26T07:16:00Z</dcterms:created>
  <dcterms:modified xsi:type="dcterms:W3CDTF">2026-05-27T07:33:00Z</dcterms:modified>
</cp:coreProperties>
</file>