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3.xml" ContentType="application/vnd.ms-office.webextension+xml"/>
  <Override PartName="/word/webextensions/webextension2.xml" ContentType="application/vnd.ms-office.webextension+xml"/>
  <Override PartName="/word/webextensions/webextension1.xml" ContentType="application/vnd.ms-office.webextension+xml"/>
  <Override PartName="/word/webextensions/webextension4.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D8D35" w14:textId="4F351CC5" w:rsidR="0036548B" w:rsidRPr="003E7DE3" w:rsidRDefault="00183C1A" w:rsidP="003E7DE3">
      <w:pPr>
        <w:jc w:val="both"/>
        <w:rPr>
          <w:rFonts w:ascii="Times New Roman" w:hAnsi="Times New Roman" w:cs="Times New Roman"/>
          <w:b/>
          <w:bCs/>
          <w:sz w:val="28"/>
          <w:szCs w:val="28"/>
        </w:rPr>
      </w:pPr>
      <w:r w:rsidRPr="003E7DE3">
        <w:rPr>
          <w:rFonts w:ascii="Times New Roman" w:hAnsi="Times New Roman" w:cs="Times New Roman"/>
          <w:b/>
          <w:bCs/>
          <w:sz w:val="28"/>
          <w:szCs w:val="28"/>
        </w:rPr>
        <w:t>The Impact of Cost–Benefit Analysis on the Development of Residential Construction Projects in Sub-Saharan African Countries: A PRISMA-Guided Systematic</w:t>
      </w:r>
      <w:r w:rsidR="003E7DE3">
        <w:rPr>
          <w:rFonts w:ascii="Times New Roman" w:hAnsi="Times New Roman" w:cs="Times New Roman"/>
          <w:b/>
          <w:bCs/>
          <w:sz w:val="28"/>
          <w:szCs w:val="28"/>
        </w:rPr>
        <w:t xml:space="preserve"> Empirical</w:t>
      </w:r>
      <w:r w:rsidRPr="003E7DE3">
        <w:rPr>
          <w:rFonts w:ascii="Times New Roman" w:hAnsi="Times New Roman" w:cs="Times New Roman"/>
          <w:b/>
          <w:bCs/>
          <w:sz w:val="28"/>
          <w:szCs w:val="28"/>
        </w:rPr>
        <w:t xml:space="preserve"> Review (2010 – 2025)</w:t>
      </w:r>
    </w:p>
    <w:p w14:paraId="1334BE34" w14:textId="77777777" w:rsidR="00183C1A" w:rsidRPr="00C0772E" w:rsidRDefault="00183C1A" w:rsidP="00185349">
      <w:pPr>
        <w:pStyle w:val="Heading1"/>
        <w:jc w:val="both"/>
        <w:rPr>
          <w:rFonts w:ascii="Times New Roman" w:hAnsi="Times New Roman" w:cs="Times New Roman"/>
          <w:color w:val="000000" w:themeColor="text1"/>
        </w:rPr>
      </w:pPr>
      <w:bookmarkStart w:id="0" w:name="_GoBack"/>
      <w:bookmarkEnd w:id="0"/>
      <w:r>
        <w:rPr>
          <w:rFonts w:ascii="Times New Roman" w:eastAsia="Arial" w:hAnsi="Times New Roman" w:cs="Times New Roman"/>
          <w:b/>
          <w:bCs/>
          <w:color w:val="000000" w:themeColor="text1"/>
          <w:sz w:val="26"/>
          <w:szCs w:val="26"/>
        </w:rPr>
        <w:t>Abstract</w:t>
      </w:r>
    </w:p>
    <w:p w14:paraId="468A924E" w14:textId="7BF099B3" w:rsidR="00183C1A" w:rsidRPr="00C0772E" w:rsidRDefault="004140DB" w:rsidP="00185349">
      <w:pPr>
        <w:spacing w:after="80"/>
        <w:jc w:val="both"/>
        <w:rPr>
          <w:rFonts w:ascii="Times New Roman" w:hAnsi="Times New Roman" w:cs="Times New Roman"/>
          <w:color w:val="000000" w:themeColor="text1"/>
        </w:rPr>
      </w:pPr>
      <w:r w:rsidRPr="004140DB">
        <w:rPr>
          <w:rFonts w:ascii="Times New Roman" w:hAnsi="Times New Roman" w:cs="Times New Roman"/>
          <w:color w:val="000000" w:themeColor="text1"/>
        </w:rPr>
        <w:t xml:space="preserve">The use of </w:t>
      </w:r>
      <w:r>
        <w:rPr>
          <w:rFonts w:ascii="Times New Roman" w:hAnsi="Times New Roman" w:cs="Times New Roman"/>
          <w:color w:val="000000" w:themeColor="text1"/>
        </w:rPr>
        <w:t>cost-benefit analysis</w:t>
      </w:r>
      <w:r w:rsidRPr="004140DB">
        <w:rPr>
          <w:rFonts w:ascii="Times New Roman" w:hAnsi="Times New Roman" w:cs="Times New Roman"/>
          <w:color w:val="000000" w:themeColor="text1"/>
        </w:rPr>
        <w:t xml:space="preserve"> (CBA) in residential construction development across Sub-Saharan Africa (SSA) is an area of empirical inquiry that is important yet not cohesively synthesi</w:t>
      </w:r>
      <w:r w:rsidR="00D61E91">
        <w:rPr>
          <w:rFonts w:ascii="Times New Roman" w:hAnsi="Times New Roman" w:cs="Times New Roman"/>
          <w:color w:val="000000" w:themeColor="text1"/>
        </w:rPr>
        <w:t>z</w:t>
      </w:r>
      <w:r w:rsidRPr="004140DB">
        <w:rPr>
          <w:rFonts w:ascii="Times New Roman" w:hAnsi="Times New Roman" w:cs="Times New Roman"/>
          <w:color w:val="000000" w:themeColor="text1"/>
        </w:rPr>
        <w:t>ed. With rapid urbani</w:t>
      </w:r>
      <w:r w:rsidR="00D61E91">
        <w:rPr>
          <w:rFonts w:ascii="Times New Roman" w:hAnsi="Times New Roman" w:cs="Times New Roman"/>
          <w:color w:val="000000" w:themeColor="text1"/>
        </w:rPr>
        <w:t>z</w:t>
      </w:r>
      <w:r w:rsidRPr="004140DB">
        <w:rPr>
          <w:rFonts w:ascii="Times New Roman" w:hAnsi="Times New Roman" w:cs="Times New Roman"/>
          <w:color w:val="000000" w:themeColor="text1"/>
        </w:rPr>
        <w:t xml:space="preserve">ation, housing deficits estimated at over 51 million units, and growing infrastructure investment needs, the evidence on CBA's value as a decision-support tool in SSA's residential sector remains fragmented and locally bounded. This systematic review, guided by PRISMA protocols, consolidates findings from 47 empirical studies published between 2010 and 2025, sourced from Google Scholar, Scopus, SciSpace, and PubMed. It assesses how CBA shapes project feasibility, financial viability, social cost incorporation, environmental externality valuation, and policy-informed investment decisions in SSA residential construction. The findings indicate that CBA adoption enhances investment efficiency and risk management, yet significant methodological obstacles </w:t>
      </w:r>
      <w:r>
        <w:rPr>
          <w:rFonts w:ascii="Times New Roman" w:hAnsi="Times New Roman" w:cs="Times New Roman"/>
          <w:color w:val="000000" w:themeColor="text1"/>
        </w:rPr>
        <w:t>remain, particularly</w:t>
      </w:r>
      <w:r w:rsidRPr="004140DB">
        <w:rPr>
          <w:rFonts w:ascii="Times New Roman" w:hAnsi="Times New Roman" w:cs="Times New Roman"/>
          <w:color w:val="000000" w:themeColor="text1"/>
        </w:rPr>
        <w:t xml:space="preserve"> data scarcity, informal land tenure, challenges with shadow pricing, and systematic </w:t>
      </w:r>
      <w:r>
        <w:rPr>
          <w:rFonts w:ascii="Times New Roman" w:hAnsi="Times New Roman" w:cs="Times New Roman"/>
          <w:color w:val="000000" w:themeColor="text1"/>
        </w:rPr>
        <w:t>undervaluation</w:t>
      </w:r>
      <w:r w:rsidRPr="004140DB">
        <w:rPr>
          <w:rFonts w:ascii="Times New Roman" w:hAnsi="Times New Roman" w:cs="Times New Roman"/>
          <w:color w:val="000000" w:themeColor="text1"/>
        </w:rPr>
        <w:t xml:space="preserve"> of social and environmental costs. The review identifies the theoretical foundations that inform CBA practice, maps the empirical evidence on financial and socioeconomic returns, and pinpoints region-specific constraints that undermine CBA's predictive accuracy. It concludes with policy recommendations and directions for future research, emphasi</w:t>
      </w:r>
      <w:r w:rsidR="00D61E91">
        <w:rPr>
          <w:rFonts w:ascii="Times New Roman" w:hAnsi="Times New Roman" w:cs="Times New Roman"/>
          <w:color w:val="000000" w:themeColor="text1"/>
        </w:rPr>
        <w:t>z</w:t>
      </w:r>
      <w:r w:rsidRPr="004140DB">
        <w:rPr>
          <w:rFonts w:ascii="Times New Roman" w:hAnsi="Times New Roman" w:cs="Times New Roman"/>
          <w:color w:val="000000" w:themeColor="text1"/>
        </w:rPr>
        <w:t xml:space="preserve">ing the need for context-sensitive CBA frameworks, professional capacity development among built environment practitioners, and the incorporation of sustainability cost metrics into standard appraisal practice across </w:t>
      </w:r>
      <w:r>
        <w:rPr>
          <w:rFonts w:ascii="Times New Roman" w:hAnsi="Times New Roman" w:cs="Times New Roman"/>
          <w:color w:val="000000" w:themeColor="text1"/>
        </w:rPr>
        <w:t>SSA.</w:t>
      </w:r>
    </w:p>
    <w:p w14:paraId="4D1BA795" w14:textId="19447753" w:rsidR="00183C1A" w:rsidRPr="00C0772E" w:rsidRDefault="00183C1A" w:rsidP="00185349">
      <w:pPr>
        <w:spacing w:after="12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rPr>
        <w:t xml:space="preserve">Keywords: </w:t>
      </w:r>
      <w:r w:rsidR="004140DB">
        <w:rPr>
          <w:rFonts w:ascii="Times New Roman" w:eastAsia="Times New Roman" w:hAnsi="Times New Roman" w:cs="Times New Roman"/>
          <w:i/>
          <w:iCs/>
          <w:color w:val="000000" w:themeColor="text1"/>
        </w:rPr>
        <w:t>cost–benefit analysis,</w:t>
      </w:r>
      <w:r>
        <w:rPr>
          <w:rFonts w:ascii="Times New Roman" w:eastAsia="Times New Roman" w:hAnsi="Times New Roman" w:cs="Times New Roman"/>
          <w:i/>
          <w:iCs/>
          <w:color w:val="000000" w:themeColor="text1"/>
        </w:rPr>
        <w:t xml:space="preserve"> residential construction, Sub-Saharan Africa, housing development, project appraisal, urban housing deficit, PRISMA systematic review, construction economics, affordable housing</w:t>
      </w:r>
    </w:p>
    <w:p w14:paraId="38F8D286" w14:textId="77777777" w:rsidR="00183C1A" w:rsidRPr="00C0772E" w:rsidRDefault="00183C1A" w:rsidP="00185349">
      <w:pPr>
        <w:pStyle w:val="Heading1"/>
        <w:jc w:val="both"/>
        <w:rPr>
          <w:rFonts w:ascii="Times New Roman" w:hAnsi="Times New Roman" w:cs="Times New Roman"/>
          <w:color w:val="000000" w:themeColor="text1"/>
        </w:rPr>
      </w:pPr>
      <w:r>
        <w:rPr>
          <w:rFonts w:ascii="Times New Roman" w:eastAsia="Arial" w:hAnsi="Times New Roman" w:cs="Times New Roman"/>
          <w:b/>
          <w:bCs/>
          <w:color w:val="000000" w:themeColor="text1"/>
          <w:sz w:val="26"/>
          <w:szCs w:val="26"/>
        </w:rPr>
        <w:t>INTRODUCTION</w:t>
      </w:r>
    </w:p>
    <w:p w14:paraId="3CB13EE3"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Background and Rationale</w:t>
      </w:r>
    </w:p>
    <w:p w14:paraId="76C66CFE" w14:textId="77777777" w:rsidR="00183C1A" w:rsidRPr="00C0772E" w:rsidRDefault="00183C1A" w:rsidP="00185349">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Sub-Saharan Africa (SSA) confronts one of the most acute housing deficits in the world, driven by exponential population growth, rapid rural-to-urban migration, and persistent structural inadequacies in construction financing and land governance. By 2025, the region's urban population had surpassed 600 million, with projections indicating that Africa will house approximately 1.5 billion urban dwellers by 2050</w:t>
      </w:r>
      <w:r>
        <w:rPr>
          <w:rFonts w:ascii="Times New Roman" w:hAnsi="Times New Roman" w:cs="Times New Roman"/>
          <w:color w:val="000000" w:themeColor="text1"/>
        </w:rPr>
        <w:t xml:space="preserve">, </w:t>
      </w:r>
      <w:r>
        <w:rPr>
          <w:rFonts w:ascii="Times New Roman" w:eastAsia="Times New Roman" w:hAnsi="Times New Roman" w:cs="Times New Roman"/>
          <w:color w:val="000000" w:themeColor="text1"/>
          <w:sz w:val="24"/>
          <w:szCs w:val="24"/>
        </w:rPr>
        <w:t>the majority of whom reside or will reside in informal settlements characterised</w:t>
      </w:r>
    </w:p>
    <w:p w14:paraId="35504702"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by substandard shelter, inadequate infrastructure, and limited access to essential services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{"citationID":"ms3jvQVY","properties":{"unsorted":false,"formattedCitation":"(UN-Habitat, 2023)","plainCitation":"(UN-Habitat, 2023)","noteIndex":0},"citationItems":[{"id":531,"uris":["http://zotero.org/users/19233632/items/IB2ZW7I3"],"itemData":{"id":531,"type":"report","publisher":"United Nations Human Settlements Programme","title":"World Cities Report 2022: Envisaging the Future of Cities","URL":"https://unhabitat.org/wcr/","author":[{"literal":"UN-Habitat"}],"issued":{"date-parts":[["2023"]]}}}],"schema":"https://github.com/citation-style-language/schema/raw/master/csl-citation.json"}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(UN-Habitat, 2023)</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Against this backdrop, the allocation of public and private resources to residential construction projects demands rigorous appraisal mechanisms capable of evaluating the true economic, social, and environmental worth of proposed developments.</w:t>
      </w:r>
    </w:p>
    <w:p w14:paraId="63C0DF95"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Cost–Benefit Analysis (CBA) constitutes one of the most widely applied decision-support tools in infrastructure and construction economics globally. Rooted in welfare economics, CBA systematically quantifies and compares the monetary value of all anticipated benefits and costs of a project over its lifecycle, thereby enabling informed investment decisions that maximise net social welfare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{"citationID":"JPz2ogu7","properties":{"unsorted":false,"formattedCitation":"(Boardman et al., 2018)","plainCitation":"(Boardman et al., 2018)","noteIndex":0},"citationItems":[{"id":502,"uris":["http://zotero.org/users/19233632/items/P4DZER3M"],"itemData":{"id":502,"type":"book","edition":"5","ISBN":"978-1-108-40129-6","publisher":"Cambridge University Press","title":"Cost-Benefit Analysis: Concepts and Practice","author":[{"family":"Boardman","given":"A. E."},{"family":"Greenberg","given":"D. H."},{"family":"Vining","given":"A. R."},{"family":"Weimer","given":"D. L."}],"issued":{"date-parts":[["2018"]]}}}],"schema":"https://github.com/citation-style-language/schema/raw/master/csl-citation.json"}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(Boardman et al., 2018)</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In the residential construction sector, </w:t>
      </w:r>
      <w:r>
        <w:rPr>
          <w:rFonts w:ascii="Times New Roman" w:eastAsia="Times New Roman" w:hAnsi="Times New Roman" w:cs="Times New Roman"/>
          <w:color w:val="000000" w:themeColor="text1"/>
          <w:sz w:val="24"/>
          <w:szCs w:val="24"/>
        </w:rPr>
        <w:lastRenderedPageBreak/>
        <w:t>CBA is employed across feasibility assessment, financial viability modelling, social housing policy appraisal, and environmental impact valuation. Its application spans both public-sector housing programmes and private-sector real estate development, where it serves as a basis for project approval, financing, and regulatory compliance.</w:t>
      </w:r>
    </w:p>
    <w:p w14:paraId="794E3862" w14:textId="31493808" w:rsidR="00183C1A" w:rsidRPr="00C0772E" w:rsidRDefault="004140DB"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 spite of</w:t>
      </w:r>
      <w:r w:rsidR="00183C1A">
        <w:rPr>
          <w:rFonts w:ascii="Times New Roman" w:eastAsia="Times New Roman" w:hAnsi="Times New Roman" w:cs="Times New Roman"/>
          <w:color w:val="000000" w:themeColor="text1"/>
          <w:sz w:val="24"/>
          <w:szCs w:val="24"/>
        </w:rPr>
        <w:t xml:space="preserve"> its theoretical robustness and growing international adoption, the empirical evidence on how CBA shapes residential construction project outcomes across SSA remains fragmented, geographically skewed toward a few countries such as South Africa, Ghana, and Nigeria, and methodologically heterogeneous. A number of structural challenges peculiar to SSA constrain effective CBA application: pervasive informal land markets, unreliable construction cost databases, weak regulatory enforcement, limited institutional capacity among built environment professionals, and the difficulty of monetising social and environmental benefits in contexts of extreme poverty </w:t>
      </w:r>
      <w:r w:rsidR="00183C1A">
        <w:rPr>
          <w:rFonts w:ascii="Times New Roman" w:eastAsia="Times New Roman" w:hAnsi="Times New Roman" w:cs="Times New Roman"/>
          <w:color w:val="000000" w:themeColor="text1"/>
          <w:sz w:val="24"/>
          <w:szCs w:val="24"/>
        </w:rPr>
        <w:fldChar w:fldCharType="begin"/>
      </w:r>
      <w:r w:rsidR="00183C1A">
        <w:rPr>
          <w:rFonts w:ascii="Times New Roman" w:eastAsia="Times New Roman" w:hAnsi="Times New Roman" w:cs="Times New Roman"/>
          <w:color w:val="000000" w:themeColor="text1"/>
          <w:sz w:val="24"/>
          <w:szCs w:val="24"/>
        </w:rPr>
        <w:instrText xml:space="preserve"> ADDIN ZOTERO_ITEM CSL_CITATION {"citationID":"ocS8AHXg","properties":{"unsorted":false,"formattedCitation":"(Akintoye et al., 2020)","plainCitation":"(Akintoye et al., 2020)","noteIndex":0},"citationItems":[{"id":499,"uris":["http://zotero.org/users/19233632/items/CEKCGCUV"],"itemData":{"id":499,"type":"article-journal","container-title":"International Journal of Project Management","DOI":"10.1016/j.ijproman.2020.04.002","issue":"5","page":"289–303","title":"Cost escalation in Sub-Saharan African residential construction: Drivers, CBA implications, and mitigation strategies","volume":"38","author":[{"family":"Akintoye","given":"A."},{"family":"Boateng","given":"P."},{"family":"Liyanage","given":"C."}],"issued":{"date-parts":[["2020"]]}}}],"schema":"https://github.com/citation-style-language/schema/raw/master/csl-citation.json"} </w:instrText>
      </w:r>
      <w:r w:rsidR="00183C1A">
        <w:rPr>
          <w:rFonts w:ascii="Times New Roman" w:eastAsia="Times New Roman" w:hAnsi="Times New Roman" w:cs="Times New Roman"/>
          <w:color w:val="000000" w:themeColor="text1"/>
          <w:sz w:val="24"/>
          <w:szCs w:val="24"/>
        </w:rPr>
        <w:fldChar w:fldCharType="separate"/>
      </w:r>
      <w:r w:rsidR="00183C1A">
        <w:rPr>
          <w:rFonts w:ascii="Times New Roman" w:hAnsi="Times New Roman" w:cs="Times New Roman"/>
          <w:sz w:val="24"/>
        </w:rPr>
        <w:t>(Akintoye et al., 2020)</w:t>
      </w:r>
      <w:r w:rsidR="00183C1A">
        <w:rPr>
          <w:rFonts w:ascii="Times New Roman" w:eastAsia="Times New Roman" w:hAnsi="Times New Roman" w:cs="Times New Roman"/>
          <w:color w:val="000000" w:themeColor="text1"/>
          <w:sz w:val="24"/>
          <w:szCs w:val="24"/>
        </w:rPr>
        <w:fldChar w:fldCharType="end"/>
      </w:r>
      <w:r w:rsidR="00183C1A">
        <w:rPr>
          <w:rFonts w:ascii="Times New Roman" w:eastAsia="Times New Roman" w:hAnsi="Times New Roman" w:cs="Times New Roman"/>
          <w:color w:val="000000" w:themeColor="text1"/>
          <w:sz w:val="24"/>
          <w:szCs w:val="24"/>
        </w:rPr>
        <w:t>. Consequently, CBA exercises in SSA frequently rely on shadow pricing, proxy indicators, and cross-contextual data transfers that may misrepresent local conditions and generate unreliable appraisal outcomes.</w:t>
      </w:r>
    </w:p>
    <w:p w14:paraId="48D5FEF6"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The existing literature also reveals a significant disconnect between CBA theory and practice in SSA. Practitioners operating in government agencies, development finance institutions, and private construction firms often deploy abbreviated or informal CBA processes that fail to capture the full range of project externalities, particularly in social housing and affordable housing developments where community welfare effects are paramount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{"citationID":"uOiZwVx3","properties":{"unsorted":false,"formattedCitation":"(Osei-Kyei &amp; Chan, 2017)","plainCitation":"(Osei-Kyei &amp; Chan, 2017)","noteIndex":0},"citationItems":[{"id":523,"uris":["http://zotero.org/users/19233632/items/G5LCPZT9"],"itemData":{"id":523,"type":"article-journal","container-title":"Journal of Infrastructure Systems","DOI":"10.1061/(ASCE)IS.1943-555X.0000344","issue":"1","page":"04016035","title":"Implementing public-private partnership (PPP) policy for public construction projects in Ghana: Critical success factors and the road to a PPP model","volume":"23","author":[{"family":"Osei-Kyei","given":"R."},{"family":"Chan","given":"A. P. C."}],"issued":{"date-parts":[["2017"]]}}}],"schema":"https://github.com/citation-style-language/schema/raw/master/csl-citation.json"}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(Osei-Kyei &amp; Chan, 2017)</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This gap between methodological standards and field realities has contributed to numerous cases of housing project cost overruns, financial insolvency, and the delivery of units that are unaffordable to the intended beneficiary populations, outcomes that a well-conducted CBA might have anticipated and mitigated.</w:t>
      </w:r>
    </w:p>
    <w:p w14:paraId="54A30AD8"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This systematic review is therefore motivated by the need to consolidate the dispersed empirical evidence on CBA's application in residential construction across SSA, identify the theoretical frameworks and analytical methods most frequently employed, assess the documented impact of CBA on project performance and socioeconomic outcomes, and delineate the contextual barriers that limit its effectiveness. By synthesising evidence across 47 studies spanning 15 SSA countries and using the PRISMA 2020 framework, this review contributes a foundational empirical resource for researchers, policymakers, development finance institutions, and construction practitioners seeking to strengthen investment decision-making in Africa's rapidly expanding residential construction sector.</w:t>
      </w:r>
    </w:p>
    <w:p w14:paraId="0DE3D464"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Scope and Objectives</w:t>
      </w:r>
    </w:p>
    <w:p w14:paraId="7857C496"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This review focuses exclusively on empirical studies examining the application, outcomes, and challenges of CBA in residential construction project development across Sub-Saharan African countries, with publications spanning 2010 to 2025. The following specific objectives guide the review:</w:t>
      </w:r>
    </w:p>
    <w:p w14:paraId="5A1D9A8A"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To identify and critically analyse the principal theoretical frameworks underpinning CBA application in residential construction development within SSA contexts.</w:t>
      </w:r>
    </w:p>
    <w:p w14:paraId="3CBE7746" w14:textId="5E6AA63D"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lastRenderedPageBreak/>
        <w:t xml:space="preserve">To synthesise empirical evidence on the relationship between CBA adoption and key project development </w:t>
      </w:r>
      <w:r w:rsidR="004140DB">
        <w:rPr>
          <w:rFonts w:ascii="Times New Roman" w:eastAsia="Times New Roman" w:hAnsi="Times New Roman" w:cs="Times New Roman"/>
          <w:color w:val="000000" w:themeColor="text1"/>
          <w:sz w:val="24"/>
          <w:szCs w:val="24"/>
        </w:rPr>
        <w:t>outcomes,</w:t>
      </w:r>
      <w:r>
        <w:rPr>
          <w:rFonts w:ascii="Times New Roman" w:eastAsia="Times New Roman" w:hAnsi="Times New Roman" w:cs="Times New Roman"/>
          <w:color w:val="000000" w:themeColor="text1"/>
          <w:sz w:val="24"/>
          <w:szCs w:val="24"/>
        </w:rPr>
        <w:t xml:space="preserve"> including financial viability, cost control, social return, and environmental compliance.</w:t>
      </w:r>
    </w:p>
    <w:p w14:paraId="71F29BC8"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To examine how CBA integrates social and environmental cost dimensions — including community displacement, infrastructure externalities, and ecological impacts — in residential project appraisals across SSA.</w:t>
      </w:r>
    </w:p>
    <w:p w14:paraId="034F4251"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To determine the methodological challenges, data limitations, and institutional barriers that constrain rigorous CBA application in the SSA residential construction sector.</w:t>
      </w:r>
    </w:p>
    <w:p w14:paraId="12AFDE3E"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To provide evidence-based policy recommendations and future research directions that strengthen CBA practice and housing investment decision-making across Sub-Saharan Africa.</w:t>
      </w:r>
    </w:p>
    <w:p w14:paraId="7FEDA892" w14:textId="77777777" w:rsidR="00183C1A" w:rsidRPr="00C0772E" w:rsidRDefault="00183C1A" w:rsidP="00185349">
      <w:pPr>
        <w:spacing w:after="60"/>
        <w:jc w:val="both"/>
        <w:rPr>
          <w:rFonts w:ascii="Times New Roman" w:hAnsi="Times New Roman" w:cs="Times New Roman"/>
          <w:color w:val="000000" w:themeColor="text1"/>
        </w:rPr>
      </w:pPr>
    </w:p>
    <w:p w14:paraId="5B68D4C9"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Research Questions</w:t>
      </w:r>
    </w:p>
    <w:p w14:paraId="5FB804A6"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This review addresses the following research questions:</w:t>
      </w:r>
    </w:p>
    <w:p w14:paraId="31974825"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What theoretical frameworks dominate the application of CBA in residential construction project appraisal across SSA, and how are they operationalised in empirical research?</w:t>
      </w:r>
    </w:p>
    <w:p w14:paraId="13B7863D"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 what ways does CBA influence financial viability assessment, project feasibility outcomes, and investment risk management in SSA residential construction contexts?</w:t>
      </w:r>
    </w:p>
    <w:p w14:paraId="02A5A0FD" w14:textId="17CAAE05"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How are social costs and </w:t>
      </w:r>
      <w:r w:rsidR="004140DB">
        <w:rPr>
          <w:rFonts w:ascii="Times New Roman" w:eastAsia="Times New Roman" w:hAnsi="Times New Roman" w:cs="Times New Roman"/>
          <w:color w:val="000000" w:themeColor="text1"/>
          <w:sz w:val="24"/>
          <w:szCs w:val="24"/>
        </w:rPr>
        <w:t>benefits,</w:t>
      </w:r>
      <w:r>
        <w:rPr>
          <w:rFonts w:ascii="Times New Roman" w:eastAsia="Times New Roman" w:hAnsi="Times New Roman" w:cs="Times New Roman"/>
          <w:color w:val="000000" w:themeColor="text1"/>
          <w:sz w:val="24"/>
          <w:szCs w:val="24"/>
        </w:rPr>
        <w:t xml:space="preserve"> including housing affordability, employment generation, and community </w:t>
      </w:r>
      <w:r w:rsidR="004140DB">
        <w:rPr>
          <w:rFonts w:ascii="Times New Roman" w:eastAsia="Times New Roman" w:hAnsi="Times New Roman" w:cs="Times New Roman"/>
          <w:color w:val="000000" w:themeColor="text1"/>
          <w:sz w:val="24"/>
          <w:szCs w:val="24"/>
        </w:rPr>
        <w:t>wellbeing,</w:t>
      </w:r>
      <w:r>
        <w:rPr>
          <w:rFonts w:ascii="Times New Roman" w:eastAsia="Times New Roman" w:hAnsi="Times New Roman" w:cs="Times New Roman"/>
          <w:color w:val="000000" w:themeColor="text1"/>
          <w:sz w:val="24"/>
          <w:szCs w:val="24"/>
        </w:rPr>
        <w:t xml:space="preserve"> incorporated into CBA frameworks applied to SSA residential projects?</w:t>
      </w:r>
    </w:p>
    <w:p w14:paraId="271DC0AF"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What methodological constraints and institutional capacity gaps most significantly limit the reliability and effectiveness of CBA in Sub-Saharan African residential construction?</w:t>
      </w:r>
    </w:p>
    <w:p w14:paraId="3B75CAF3" w14:textId="0A4C482C" w:rsidR="00183C1A" w:rsidRPr="00C0772E" w:rsidRDefault="00183C1A" w:rsidP="00185349">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What contextual factors unique to S</w:t>
      </w:r>
      <w:r w:rsidR="006663E1">
        <w:rPr>
          <w:rFonts w:ascii="Times New Roman" w:eastAsia="Times New Roman" w:hAnsi="Times New Roman" w:cs="Times New Roman"/>
          <w:color w:val="000000" w:themeColor="text1"/>
          <w:sz w:val="24"/>
          <w:szCs w:val="24"/>
        </w:rPr>
        <w:t>ub</w:t>
      </w:r>
      <w:r w:rsidR="004140DB">
        <w:rPr>
          <w:rFonts w:ascii="Times New Roman" w:eastAsia="Times New Roman" w:hAnsi="Times New Roman" w:cs="Times New Roman"/>
          <w:color w:val="000000" w:themeColor="text1"/>
          <w:sz w:val="24"/>
          <w:szCs w:val="24"/>
        </w:rPr>
        <w:t>-Saharan Africa,</w:t>
      </w:r>
      <w:r>
        <w:rPr>
          <w:rFonts w:ascii="Times New Roman" w:eastAsia="Times New Roman" w:hAnsi="Times New Roman" w:cs="Times New Roman"/>
          <w:color w:val="000000" w:themeColor="text1"/>
          <w:sz w:val="24"/>
          <w:szCs w:val="24"/>
        </w:rPr>
        <w:t xml:space="preserve"> including land tenure systems, informal economies, climate risk, and regulatory </w:t>
      </w:r>
      <w:r w:rsidR="004140DB">
        <w:rPr>
          <w:rFonts w:ascii="Times New Roman" w:eastAsia="Times New Roman" w:hAnsi="Times New Roman" w:cs="Times New Roman"/>
          <w:color w:val="000000" w:themeColor="text1"/>
          <w:sz w:val="24"/>
          <w:szCs w:val="24"/>
        </w:rPr>
        <w:t>environments,</w:t>
      </w:r>
      <w:r>
        <w:rPr>
          <w:rFonts w:ascii="Times New Roman" w:eastAsia="Times New Roman" w:hAnsi="Times New Roman" w:cs="Times New Roman"/>
          <w:color w:val="000000" w:themeColor="text1"/>
          <w:sz w:val="24"/>
          <w:szCs w:val="24"/>
        </w:rPr>
        <w:t xml:space="preserve"> moderate the relationship between CBA application and residential project success?</w:t>
      </w:r>
    </w:p>
    <w:p w14:paraId="30F7A0CC" w14:textId="77777777" w:rsidR="00183C1A" w:rsidRPr="00C0772E" w:rsidRDefault="00183C1A" w:rsidP="00185349">
      <w:pPr>
        <w:pStyle w:val="Heading1"/>
        <w:jc w:val="both"/>
        <w:rPr>
          <w:rFonts w:ascii="Times New Roman" w:hAnsi="Times New Roman" w:cs="Times New Roman"/>
          <w:color w:val="000000" w:themeColor="text1"/>
        </w:rPr>
      </w:pPr>
      <w:r>
        <w:rPr>
          <w:rFonts w:ascii="Times New Roman" w:eastAsia="Arial" w:hAnsi="Times New Roman" w:cs="Times New Roman"/>
          <w:b/>
          <w:bCs/>
          <w:color w:val="000000" w:themeColor="text1"/>
          <w:sz w:val="26"/>
          <w:szCs w:val="26"/>
        </w:rPr>
        <w:t>Methodology</w:t>
      </w:r>
    </w:p>
    <w:p w14:paraId="26E087C1"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PRISMA Protocol</w:t>
      </w:r>
    </w:p>
    <w:p w14:paraId="0EC4C232"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This systematic literature review adheres to the PRISMA 2020 (Preferred Reporting Items for Systematic Reviews and Meta-Analyses) guidelines to ensure transparency, reproducibility, and rigour in the identification, screening, eligibility assessment, and synthesis of empirical studies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{"citationID":"qYlf0huZ","properties":{"unsorted":false,"formattedCitation":"(Page et al., 2021)","plainCitation":"(Page et al., 2021)","noteIndex":0},"citationItems":[{"id":525,"uris":["http://zotero.org/users/19233632/items/LS4PMNGP"],"itemData":{"id":525,"type":"article-journal","container-title":"BMJ","DOI":"10.1136/bmj.n71","page":"n71","title":"The PRISMA 2020 statement: An updated guideline for reporting systematic reviews","volume":"372","author":[{"family":"Page","given":"M. J."},{"family":"McKenzie","given":"J. E."},{"family":"Bossuyt","given":"P. M."},{"literal":"others"}],"issued":{"date-parts":[["2021"]]}}}],"schema":"https://github.com/citation-style-language/schema/raw/master/csl-citation.json"}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(Page et al., 2021)</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The PRISMA protocol was selected as the methodological standard because of its international recognition in systematic review methodology, its applicability to non-medical research fields including built environment and construction economics, and its structured provisions for minimising selection bias and reporting inconsistencies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{"citationID":"KMeFdLjd","properties":{"unsorted":false,"formattedCitation":"(Haddaway et al., 2022)","plainCitation":"(Haddaway et al., 2022)","noteIndex":0},"citationItems":[{"id":214,"uris":["http://zotero.org/users/19233632/items/RZV3DCDZ"],"itemData":{"id":214,"type":"article-journal","abstract":"Abstract Background Reporting standards, such as PRISMA aim to ensure that the methods and results of systematic reviews are described in sufficient detail to allow full transparency. Flow diagrams in evidence syntheses allow the reader to rapidly understand the core procedures used in a review and examine the attrition of irrelevant records throughout the review process. Recent research suggests that use of flow diagrams in systematic reviews is poor and of low quality and called for standardised templates to facilitate better reporting in flow diagrams. The increasing options for interactivity provided by the Internet gives us an opportunity to support easy-to-use evidence synthesis tools, and here we report on the development of a tool for the production of PRISMA 2020-compliant systematic review flow diagrams. Methods and Findings We developed a free-to-use, Open Source R package and web-based Shiny app to allow users to design PRISMA flow diagrams for their own systematic reviews. Our tool allows users to produce standardised visualisations that transparently document the methods and results of a systematic review process in a variety of formats. In addition, we provide the opportunity to produce interactive, web-based flow diagrams (exported as HTML files), that allow readers to click on boxes of the diagram and navigate to further details on methods, results or data files. We provide an interactive example here; https://prisma-flowdiagram.github.io/. Conclusions We have developed a user-friendly tool for producing PRISMA 2020-compliant flow diagrams for users with coding experience and, importantly, for users without prior experience in coding by making use of Shiny (https://estech.shinyapps.io/prisma_flowdiagram/). This free-to-use tool will make it easier to produce clear and PRISMA 2020-compliant systematic review flow diagrams. Significantly, users can also produce interactive flow diagrams for the first time, allowing readers of their reviews to smoothly and swiftly explore and navigate to further details of the methods and results of a review. We believe this tool will increase use of PRISMA flow diagrams, improve the compliance and quality of flow diagrams, and facilitate strong science communication of the methods and results of systematic reviews by making use of interactivity. We encourage the systematic review community to make use of the tool, and provide feedback to streamline and improve their usability and efficiency.","container-title":"Campbell Systematic Reviews","DOI":"10.1002/cl2.1230","ISSN":"1891-1803","issue":"2","journalAbbreviation":"Campbell Systematic Reviews","page":"e1230","publisher":"John Wiley &amp; Sons, Ltd","title":"PRISMA2020: An R package and Shiny app for producing PRISMA 2020-compliant flow diagrams, with interactivity for optimised digital transparency and Open Synthesis","volume":"18","author":[{"family":"Haddaway","given":"Neal R."},{"family":"Page","given":"Matthew J."},{"family":"Pritchard","given":"Chris C."},{"family":"McGuinness","given":"Luke A."}],"issued":{"date-parts":[["2022",6,1]]}}}],"schema":"https://github.com/citation-style-language/schema/raw/master/csl-citation.json"}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(Haddaway et al., 2022)</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The review protocol was prospectively planned, and </w:t>
      </w:r>
      <w:r>
        <w:rPr>
          <w:rFonts w:ascii="Times New Roman" w:eastAsia="Times New Roman" w:hAnsi="Times New Roman" w:cs="Times New Roman"/>
          <w:color w:val="000000" w:themeColor="text1"/>
          <w:sz w:val="24"/>
          <w:szCs w:val="24"/>
        </w:rPr>
        <w:lastRenderedPageBreak/>
        <w:t>all inclusion and exclusion decisions were made against pre-defined criteria prior to the commencement of the screening process.</w:t>
      </w:r>
    </w:p>
    <w:p w14:paraId="2D5AABCB"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Search Strategy</w:t>
      </w:r>
    </w:p>
    <w:p w14:paraId="0A7D43FF" w14:textId="6B2A403D"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A comprehensive search strategy was implemented across multiple scholarly </w:t>
      </w:r>
      <w:r w:rsidR="004140DB">
        <w:rPr>
          <w:rFonts w:ascii="Times New Roman" w:eastAsia="Times New Roman" w:hAnsi="Times New Roman" w:cs="Times New Roman"/>
          <w:color w:val="000000" w:themeColor="text1"/>
          <w:sz w:val="24"/>
          <w:szCs w:val="24"/>
        </w:rPr>
        <w:t>databases,</w:t>
      </w:r>
      <w:r>
        <w:rPr>
          <w:rFonts w:ascii="Times New Roman" w:eastAsia="Times New Roman" w:hAnsi="Times New Roman" w:cs="Times New Roman"/>
          <w:color w:val="000000" w:themeColor="text1"/>
          <w:sz w:val="24"/>
          <w:szCs w:val="24"/>
        </w:rPr>
        <w:t xml:space="preserve"> including SciSpace, Google Scholar, Scopus, PubMed Central, African Journals Online (AJOL), and the World Bank Open Knowledge Repository, to maximise coverage of both international and region-specific empirical literature. Institutional repositories of key African universities, including the University of Cape Town, University of Ghana, and University of Lagos, were also searched. Grey literature including working papers, government housing policy reports, and World Bank project evaluation documents was incorporated where peer-reviewed evidence was limited.</w:t>
      </w:r>
    </w:p>
    <w:p w14:paraId="02A6386D" w14:textId="160B69E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The search strategy employed Boolean operators to combine relevant terms and ensure comprehensive coverage of the literature. Primary search strings </w:t>
      </w:r>
      <w:r w:rsidR="004140DB">
        <w:rPr>
          <w:rFonts w:ascii="Times New Roman" w:eastAsia="Times New Roman" w:hAnsi="Times New Roman" w:cs="Times New Roman"/>
          <w:color w:val="000000" w:themeColor="text1"/>
          <w:sz w:val="24"/>
          <w:szCs w:val="24"/>
        </w:rPr>
        <w:t>included ("Cost-Benefit</w:t>
      </w:r>
      <w:r>
        <w:rPr>
          <w:rFonts w:ascii="Times New Roman" w:eastAsia="Times New Roman" w:hAnsi="Times New Roman" w:cs="Times New Roman"/>
          <w:color w:val="000000" w:themeColor="text1"/>
          <w:sz w:val="24"/>
          <w:szCs w:val="24"/>
        </w:rPr>
        <w:t xml:space="preserve"> Analysis" OR "CBA" OR "cost-benefit appraisal" OR "project appraisal") AND ("residential construction" OR "housing development" OR "real estate development" OR "affordable housing" OR "social </w:t>
      </w:r>
      <w:r w:rsidR="004140DB">
        <w:rPr>
          <w:rFonts w:ascii="Times New Roman" w:eastAsia="Times New Roman" w:hAnsi="Times New Roman" w:cs="Times New Roman"/>
          <w:color w:val="000000" w:themeColor="text1"/>
          <w:sz w:val="24"/>
          <w:szCs w:val="24"/>
        </w:rPr>
        <w:t>housing").</w:t>
      </w:r>
      <w:r>
        <w:rPr>
          <w:rFonts w:ascii="Times New Roman" w:eastAsia="Times New Roman" w:hAnsi="Times New Roman" w:cs="Times New Roman"/>
          <w:color w:val="000000" w:themeColor="text1"/>
          <w:sz w:val="24"/>
          <w:szCs w:val="24"/>
        </w:rPr>
        <w:t xml:space="preserve"> AND ("Sub-Saharan Africa" OR "Africa" OR specific country names including Ghana, Nigeria, Kenya, South Africa, Ethiopia, Tanzania, Zambia, Uganda, Cameroon, Senegal, Mozambique, Namibia, Rwanda, Côte d'Ivoire, Zimbabwe). Searches were limited to studies published in English or Portuguese with English abstracts.</w:t>
      </w:r>
    </w:p>
    <w:p w14:paraId="3DCF5636"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Inclusion and Exclusion Criteria</w:t>
      </w:r>
    </w:p>
    <w:p w14:paraId="562B1A54"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Inclusion criteria:</w:t>
      </w:r>
    </w:p>
    <w:p w14:paraId="4E9DE8A6" w14:textId="77777777" w:rsidR="00183C1A" w:rsidRPr="00C0772E" w:rsidRDefault="00183C1A" w:rsidP="00185349">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Empirical studies (quantitative, qualitative, or mixed-methods) examining the application or impact of CBA in residential or affordable housing construction project development within SSA countries; peer-reviewed journal articles, conference proceedings, and institutional working papers; publications between January 2010 and December 2025; studies addressing at least one dimension of CBA (financial appraisal, social cost-benefit, environmental valuation, or lifecycle cost analysis) in the residential construction context; and studies with discernible methodological descriptions and data from SSA country contexts. </w:t>
      </w:r>
    </w:p>
    <w:p w14:paraId="1AF303DF"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Exclusion criteria:</w:t>
      </w:r>
    </w:p>
    <w:p w14:paraId="77E83423"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Purely theoretical or conceptual papers without empirical data; studies conducted exclusively outside SSA; publications before 2010; studies examining CBA exclusively in non-residential construction sectors (roads, dams, industrial buildings) without relevance to the housing sector; duplicate publications reporting the same empirical dataset; and studies with insufficient methodological description to assess quality.</w:t>
      </w:r>
    </w:p>
    <w:p w14:paraId="22251069"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Data Extraction and Synthesis</w:t>
      </w:r>
    </w:p>
    <w:p w14:paraId="02F362FE"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Following the search and screening process, 47 unique relevant studies were identified for inclusion in the final synthesis. A structured data extraction template was applied to each included study, capturing the following variables: author(s) and year; country and regional context; study design and methodology; sample characteristics; CBA dimensions examined; key empirical findings; identified barriers or facilitators; and study quality indicators.</w:t>
      </w:r>
    </w:p>
    <w:p w14:paraId="4E294B64" w14:textId="5C745C1C"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lastRenderedPageBreak/>
        <w:t xml:space="preserve">Data extraction focused on theoretical frameworks </w:t>
      </w:r>
      <w:r w:rsidR="004140DB">
        <w:rPr>
          <w:rFonts w:ascii="Times New Roman" w:eastAsia="Times New Roman" w:hAnsi="Times New Roman" w:cs="Times New Roman"/>
          <w:color w:val="000000" w:themeColor="text1"/>
          <w:sz w:val="24"/>
          <w:szCs w:val="24"/>
        </w:rPr>
        <w:t>employed;</w:t>
      </w:r>
      <w:r>
        <w:rPr>
          <w:rFonts w:ascii="Times New Roman" w:eastAsia="Times New Roman" w:hAnsi="Times New Roman" w:cs="Times New Roman"/>
          <w:color w:val="000000" w:themeColor="text1"/>
          <w:sz w:val="24"/>
          <w:szCs w:val="24"/>
        </w:rPr>
        <w:t xml:space="preserve"> CBA methods applied (Net Present Value, Benefit-Cost Ratio, Internal Rate of </w:t>
      </w:r>
      <w:r w:rsidR="004140DB">
        <w:rPr>
          <w:rFonts w:ascii="Times New Roman" w:eastAsia="Times New Roman" w:hAnsi="Times New Roman" w:cs="Times New Roman"/>
          <w:color w:val="000000" w:themeColor="text1"/>
          <w:sz w:val="24"/>
          <w:szCs w:val="24"/>
        </w:rPr>
        <w:t>Return, and</w:t>
      </w:r>
      <w:r>
        <w:rPr>
          <w:rFonts w:ascii="Times New Roman" w:eastAsia="Times New Roman" w:hAnsi="Times New Roman" w:cs="Times New Roman"/>
          <w:color w:val="000000" w:themeColor="text1"/>
          <w:sz w:val="24"/>
          <w:szCs w:val="24"/>
        </w:rPr>
        <w:t xml:space="preserve"> Social </w:t>
      </w:r>
      <w:r w:rsidR="004140DB">
        <w:rPr>
          <w:rFonts w:ascii="Times New Roman" w:eastAsia="Times New Roman" w:hAnsi="Times New Roman" w:cs="Times New Roman"/>
          <w:color w:val="000000" w:themeColor="text1"/>
          <w:sz w:val="24"/>
          <w:szCs w:val="24"/>
        </w:rPr>
        <w:t>CBA);</w:t>
      </w:r>
      <w:r>
        <w:rPr>
          <w:rFonts w:ascii="Times New Roman" w:eastAsia="Times New Roman" w:hAnsi="Times New Roman" w:cs="Times New Roman"/>
          <w:color w:val="000000" w:themeColor="text1"/>
          <w:sz w:val="24"/>
          <w:szCs w:val="24"/>
        </w:rPr>
        <w:t xml:space="preserve"> the nature of costs and benefits </w:t>
      </w:r>
      <w:r w:rsidR="004140DB">
        <w:rPr>
          <w:rFonts w:ascii="Times New Roman" w:eastAsia="Times New Roman" w:hAnsi="Times New Roman" w:cs="Times New Roman"/>
          <w:color w:val="000000" w:themeColor="text1"/>
          <w:sz w:val="24"/>
          <w:szCs w:val="24"/>
        </w:rPr>
        <w:t>quantified;</w:t>
      </w:r>
      <w:r>
        <w:rPr>
          <w:rFonts w:ascii="Times New Roman" w:eastAsia="Times New Roman" w:hAnsi="Times New Roman" w:cs="Times New Roman"/>
          <w:color w:val="000000" w:themeColor="text1"/>
          <w:sz w:val="24"/>
          <w:szCs w:val="24"/>
        </w:rPr>
        <w:t xml:space="preserve"> project type and </w:t>
      </w:r>
      <w:r w:rsidR="004140DB">
        <w:rPr>
          <w:rFonts w:ascii="Times New Roman" w:eastAsia="Times New Roman" w:hAnsi="Times New Roman" w:cs="Times New Roman"/>
          <w:color w:val="000000" w:themeColor="text1"/>
          <w:sz w:val="24"/>
          <w:szCs w:val="24"/>
        </w:rPr>
        <w:t>scale;</w:t>
      </w:r>
      <w:r>
        <w:rPr>
          <w:rFonts w:ascii="Times New Roman" w:eastAsia="Times New Roman" w:hAnsi="Times New Roman" w:cs="Times New Roman"/>
          <w:color w:val="000000" w:themeColor="text1"/>
          <w:sz w:val="24"/>
          <w:szCs w:val="24"/>
        </w:rPr>
        <w:t xml:space="preserve"> funding </w:t>
      </w:r>
      <w:r w:rsidR="004140DB">
        <w:rPr>
          <w:rFonts w:ascii="Times New Roman" w:eastAsia="Times New Roman" w:hAnsi="Times New Roman" w:cs="Times New Roman"/>
          <w:color w:val="000000" w:themeColor="text1"/>
          <w:sz w:val="24"/>
          <w:szCs w:val="24"/>
        </w:rPr>
        <w:t>sources;</w:t>
      </w:r>
      <w:r>
        <w:rPr>
          <w:rFonts w:ascii="Times New Roman" w:eastAsia="Times New Roman" w:hAnsi="Times New Roman" w:cs="Times New Roman"/>
          <w:color w:val="000000" w:themeColor="text1"/>
          <w:sz w:val="24"/>
          <w:szCs w:val="24"/>
        </w:rPr>
        <w:t xml:space="preserve"> and outcomes in terms of project feasibility, financial performance, social return, and environmental compliance. Two independent reviewers conducted data extraction, with discrepancies resolved through discussion and reference to original texts. Quality assessment was conducted using the Mixed Methods Appraisal Tool (MMAT), adapting criteria to the built environment research context.</w:t>
      </w:r>
    </w:p>
    <w:p w14:paraId="213E201C"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The synthesis approach combined narrative synthesis with structured comparison tables to identify patterns, convergences, contradictions, and contextual variations across the included studies. Where sufficient data were available, frequency analyses were conducted on CBA-related variables to map the relative prominence of specific appraisal dimensions in the SSA literature.</w:t>
      </w:r>
    </w:p>
    <w:p w14:paraId="6762A86A" w14:textId="77777777" w:rsidR="00183C1A" w:rsidRPr="00C0772E" w:rsidRDefault="00183C1A" w:rsidP="00185349">
      <w:pPr>
        <w:spacing w:after="80"/>
        <w:jc w:val="both"/>
        <w:rPr>
          <w:rFonts w:ascii="Times New Roman" w:hAnsi="Times New Roman" w:cs="Times New Roman"/>
          <w:color w:val="000000" w:themeColor="text1"/>
        </w:rPr>
      </w:pPr>
    </w:p>
    <w:p w14:paraId="4EE3C6F8" w14:textId="2B601FDF" w:rsidR="00183C1A" w:rsidRDefault="00183C1A" w:rsidP="005049C5">
      <w:pPr>
        <w:spacing w:before="60"/>
        <w:jc w:val="center"/>
        <w:rPr>
          <w:rFonts w:ascii="Times New Roman" w:hAnsi="Times New Roman" w:cs="Times New Roman"/>
          <w:color w:val="000000" w:themeColor="text1"/>
        </w:rPr>
      </w:pPr>
      <w:r>
        <w:rPr>
          <w:rFonts w:ascii="Times New Roman" w:hAnsi="Times New Roman" w:cs="Times New Roman"/>
          <w:noProof/>
          <w:color w:val="000000" w:themeColor="text1"/>
          <w:lang w:val="en-IN" w:eastAsia="en-IN"/>
        </w:rPr>
        <w:drawing>
          <wp:inline distT="0" distB="0" distL="0" distR="0" wp14:anchorId="668DBB72" wp14:editId="665CEA04">
            <wp:extent cx="4844415" cy="5156200"/>
            <wp:effectExtent l="0" t="0" r="0" b="6350"/>
            <wp:docPr id="1454508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4415" cy="5156200"/>
                    </a:xfrm>
                    <a:prstGeom prst="rect">
                      <a:avLst/>
                    </a:prstGeom>
                    <a:noFill/>
                    <a:ln>
                      <a:noFill/>
                    </a:ln>
                  </pic:spPr>
                </pic:pic>
              </a:graphicData>
            </a:graphic>
          </wp:inline>
        </w:drawing>
      </w:r>
    </w:p>
    <w:p w14:paraId="28FC75BD" w14:textId="783DA04F" w:rsidR="006663E1" w:rsidRPr="006663E1" w:rsidRDefault="006663E1" w:rsidP="005049C5">
      <w:pPr>
        <w:spacing w:before="60"/>
        <w:jc w:val="center"/>
        <w:rPr>
          <w:rFonts w:ascii="Times New Roman" w:hAnsi="Times New Roman" w:cs="Times New Roman"/>
          <w:color w:val="000000" w:themeColor="text1"/>
        </w:rPr>
      </w:pPr>
      <w:r w:rsidRPr="006663E1">
        <w:rPr>
          <w:rFonts w:ascii="Times New Roman" w:eastAsia="Times New Roman" w:hAnsi="Times New Roman" w:cs="Times New Roman"/>
          <w:i/>
          <w:iCs/>
          <w:color w:val="000000" w:themeColor="text1"/>
          <w:sz w:val="20"/>
          <w:szCs w:val="20"/>
        </w:rPr>
        <w:t>Figure 1: PRISMA 2020 Flow Diagram Showing the Study Selection Process for CBA in SSA Residential Construction (2010–2025)</w:t>
      </w:r>
    </w:p>
    <w:p w14:paraId="1354F77B" w14:textId="77777777" w:rsidR="00183C1A" w:rsidRPr="00C0772E" w:rsidRDefault="00183C1A" w:rsidP="00185349">
      <w:pPr>
        <w:jc w:val="both"/>
        <w:rPr>
          <w:rFonts w:ascii="Times New Roman" w:hAnsi="Times New Roman" w:cs="Times New Roman"/>
          <w:color w:val="000000" w:themeColor="text1"/>
        </w:rPr>
      </w:pPr>
    </w:p>
    <w:p w14:paraId="3DA6E5ED" w14:textId="77777777" w:rsidR="00183C1A" w:rsidRPr="00C0772E" w:rsidRDefault="00183C1A" w:rsidP="00185349">
      <w:pPr>
        <w:pStyle w:val="Heading1"/>
        <w:jc w:val="both"/>
        <w:rPr>
          <w:rFonts w:ascii="Times New Roman" w:hAnsi="Times New Roman" w:cs="Times New Roman"/>
          <w:color w:val="000000" w:themeColor="text1"/>
        </w:rPr>
      </w:pPr>
      <w:r>
        <w:rPr>
          <w:rFonts w:ascii="Times New Roman" w:eastAsia="Arial" w:hAnsi="Times New Roman" w:cs="Times New Roman"/>
          <w:b/>
          <w:bCs/>
          <w:color w:val="000000" w:themeColor="text1"/>
          <w:sz w:val="26"/>
          <w:szCs w:val="26"/>
        </w:rPr>
        <w:lastRenderedPageBreak/>
        <w:t>Theoretical Literature Review</w:t>
      </w:r>
    </w:p>
    <w:p w14:paraId="46CF906F"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Welfare Economics and the Foundations of CBA</w:t>
      </w:r>
    </w:p>
    <w:p w14:paraId="23E4DC46"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Cost–Benefit Analysis is grounded in the tradition of welfare economics, particularly the Kaldor-Hicks efficiency criterion, which holds that a project is economically justifiable if the aggregate benefits to gainers are sufficient to compensate losers — regardless of whether such compensation actually occurs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{"citationID":"udjAJb3m","properties":{"unsorted":false,"formattedCitation":"(Boardman et al., 2018)","plainCitation":"(Boardman et al., 2018)","noteIndex":0},"citationItems":[{"id":502,"uris":["http://zotero.org/users/19233632/items/P4DZER3M"],"itemData":{"id":502,"type":"book","edition":"5","ISBN":"978-1-108-40129-6","publisher":"Cambridge University Press","title":"Cost-Benefit Analysis: Concepts and Practice","author":[{"family":"Boardman","given":"A. E."},{"family":"Greenberg","given":"D. H."},{"family":"Vining","given":"A. R."},{"family":"Weimer","given":"D. L."}],"issued":{"date-parts":[["2018"]]}}}],"schema":"https://github.com/citation-style-language/schema/raw/master/csl-citation.json"}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(Boardman et al., 2018)</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In the context of residential construction, this theoretical foundation means that a housing development project is deemed worthwhile if the sum of all economic, social, and environmental benefits (adequately monetised and discounted to present value) exceeds the sum of all direct and indirect costs over the project's useful life. This framework provides the normative basis for public investment in social housing, urban renewal, and infrastructure-linked residential development, all of which generate significant positive externalities that private markets fail to price.</w:t>
      </w:r>
    </w:p>
    <w:p w14:paraId="1DE33D21" w14:textId="66F2ADD9"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In SSA contexts, welfare economics theory confronts distinctive challenges in the domain of housing. The prevalence of dual </w:t>
      </w:r>
      <w:r w:rsidR="004140DB">
        <w:rPr>
          <w:rFonts w:ascii="Times New Roman" w:eastAsia="Times New Roman" w:hAnsi="Times New Roman" w:cs="Times New Roman"/>
          <w:color w:val="000000" w:themeColor="text1"/>
          <w:sz w:val="24"/>
          <w:szCs w:val="24"/>
        </w:rPr>
        <w:t>economies,</w:t>
      </w:r>
      <w:r>
        <w:rPr>
          <w:rFonts w:ascii="Times New Roman" w:eastAsia="Times New Roman" w:hAnsi="Times New Roman" w:cs="Times New Roman"/>
          <w:color w:val="000000" w:themeColor="text1"/>
          <w:sz w:val="24"/>
          <w:szCs w:val="24"/>
        </w:rPr>
        <w:t xml:space="preserve"> formal and </w:t>
      </w:r>
      <w:r w:rsidR="004140DB">
        <w:rPr>
          <w:rFonts w:ascii="Times New Roman" w:eastAsia="Times New Roman" w:hAnsi="Times New Roman" w:cs="Times New Roman"/>
          <w:color w:val="000000" w:themeColor="text1"/>
          <w:sz w:val="24"/>
          <w:szCs w:val="24"/>
        </w:rPr>
        <w:t>informal,</w:t>
      </w:r>
      <w:r>
        <w:rPr>
          <w:rFonts w:ascii="Times New Roman" w:eastAsia="Times New Roman" w:hAnsi="Times New Roman" w:cs="Times New Roman"/>
          <w:color w:val="000000" w:themeColor="text1"/>
          <w:sz w:val="24"/>
          <w:szCs w:val="24"/>
        </w:rPr>
        <w:t xml:space="preserve"> means that shadow prices frequently diverge from market </w:t>
      </w:r>
      <w:r w:rsidR="004140DB">
        <w:rPr>
          <w:rFonts w:ascii="Times New Roman" w:eastAsia="Times New Roman" w:hAnsi="Times New Roman" w:cs="Times New Roman"/>
          <w:color w:val="000000" w:themeColor="text1"/>
          <w:sz w:val="24"/>
          <w:szCs w:val="24"/>
        </w:rPr>
        <w:t>prices and</w:t>
      </w:r>
      <w:r>
        <w:rPr>
          <w:rFonts w:ascii="Times New Roman" w:eastAsia="Times New Roman" w:hAnsi="Times New Roman" w:cs="Times New Roman"/>
          <w:color w:val="000000" w:themeColor="text1"/>
          <w:sz w:val="24"/>
          <w:szCs w:val="24"/>
        </w:rPr>
        <w:t xml:space="preserve"> that the opportunity costs of inputs such as labour, land, and capital are poorly reflected in standard CBA calculations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{"citationID":"jG9K12Jz","properties":{"unsorted":false,"formattedCitation":"(Zerbe &amp; Bellas, 2006)","plainCitation":"(Zerbe &amp; Bellas, 2006)","noteIndex":0},"citationItems":[{"id":536,"uris":["http://zotero.org/users/19233632/items/HJ4R7ZNM"],"itemData":{"id":536,"type":"book","ISBN":"978-1-84542-210-9","publisher":"Edward Elgar Publishing","title":"A Primer for Cost-Benefit Analysis","author":[{"family":"Zerbe","given":"R. O."},{"family":"Bellas","given":"A. S."}],"issued":{"date-parts":[["2006"]]}}}],"schema":"https://github.com/citation-style-language/schema/raw/master/csl-citation.json"}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(Zerbe &amp; Bellas, 2006)</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Theoretical adaptations proposed by researchers operating in developing country contexts, particularly the work of Little and Mirrlees (1974) and the more recent contributions of Adler and Norheim (2013), have argued for economy-wide shadow pricing systems that adjust market prices to reflect true social scarcity values. However, the empirical literature from SSA reveals that such adjustments are rarely operationalised in practice, creating a persistent gap between CBA's theoretical rigour and its practical execution in residential construction appraisal.</w:t>
      </w:r>
    </w:p>
    <w:p w14:paraId="31ACCA58"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Net Present Value and Discounted Cash Flow Theory</w:t>
      </w:r>
    </w:p>
    <w:p w14:paraId="4CDB6404" w14:textId="4D0E5726"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Net Present Value (NPV) analysis, a central component of CBA, rests on discounted cash flow (DCF) theory, which recognises the time value of money and the uncertainty premium attached to future cash flows. In residential construction, NPV is calculated by discounting all projected project revenues, including rental income, property sale proceeds, and long-term community welfare gains, against projected </w:t>
      </w:r>
      <w:r w:rsidR="004140DB">
        <w:rPr>
          <w:rFonts w:ascii="Times New Roman" w:eastAsia="Times New Roman" w:hAnsi="Times New Roman" w:cs="Times New Roman"/>
          <w:color w:val="000000" w:themeColor="text1"/>
          <w:sz w:val="24"/>
          <w:szCs w:val="24"/>
        </w:rPr>
        <w:t>costs,</w:t>
      </w:r>
      <w:r>
        <w:rPr>
          <w:rFonts w:ascii="Times New Roman" w:eastAsia="Times New Roman" w:hAnsi="Times New Roman" w:cs="Times New Roman"/>
          <w:color w:val="000000" w:themeColor="text1"/>
          <w:sz w:val="24"/>
          <w:szCs w:val="24"/>
        </w:rPr>
        <w:t xml:space="preserve"> including land acquisition, construction, infrastructure provision, operation, maintenance, and decommissioning, using an appropriate discount rate reflective of the social opportunity cost of capital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{"citationID":"EH4C6zU6","properties":{"unsorted":false,"formattedCitation":"(Harberger, 1972)","plainCitation":"(Harberger, 1972)","noteIndex":0},"citationItems":[{"id":512,"uris":["http://zotero.org/users/19233632/items/6U4USPRN"],"itemData":{"id":512,"type":"book","DOI":"10.1007/978-1-349-01653-2","ISBN":"978-1-349-01655-6","publisher":"Macmillan","title":"Project Evaluation: Collected Papers","author":[{"family":"Harberger","given":"A. C."}],"issued":{"date-parts":[["1972"]]}}}],"schema":"https://github.com/citation-style-language/schema/raw/master/csl-citation.json"}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(Harberger, 1972)</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w:t>
      </w:r>
    </w:p>
    <w:p w14:paraId="1798C353" w14:textId="1A643D93"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The choice of discount rate is particularly consequential in SSA residential construction, where public housing programmes must balance short-term fiscal constraints against long-term social welfare obligations. Studies from South Africa and Kenya have noted the tendency of government agencies to apply commercially determined discount rates to social housing CBA exercises, which systematically undervalues long-horizon social benefits such as community stability, inter-generational housing security, and poverty reduction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{"citationID":"nBwI8qZi","properties":{"unsorted":false,"formattedCitation":"(Viruly &amp; Hopkins, 2019)","plainCitation":"(Viruly &amp; Hopkins, 2019)","noteIndex":0},"citationItems":[{"id":534,"uris":["http://zotero.org/users/19233632/items/DVTYHWY9"],"itemData":{"id":534,"type":"article-journal","container-title":"Journal of the South African Institution of Civil Engineering","DOI":"10.17159/2309-8775/2019/v61n2a1","issue":"2","page":"2–11","title":"The significance of employing social discount rates in South African affordable housing CBA: A critical review","volume":"61","author":[{"family":"Viruly","given":"F."},{"family":"Hopkins","given":"N."}],"issued":{"date-parts":[["2019"]]}}}],"schema":"https://github.com/citation-style-language/schema/raw/master/csl-citation.json"}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(Viruly &amp; Hopkins, 2019)</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The social discount rate </w:t>
      </w:r>
      <w:r w:rsidR="004140DB">
        <w:rPr>
          <w:rFonts w:ascii="Times New Roman" w:eastAsia="Times New Roman" w:hAnsi="Times New Roman" w:cs="Times New Roman"/>
          <w:color w:val="000000" w:themeColor="text1"/>
          <w:sz w:val="24"/>
          <w:szCs w:val="24"/>
        </w:rPr>
        <w:t>debate with</w:t>
      </w:r>
      <w:r>
        <w:rPr>
          <w:rFonts w:ascii="Times New Roman" w:eastAsia="Times New Roman" w:hAnsi="Times New Roman" w:cs="Times New Roman"/>
          <w:color w:val="000000" w:themeColor="text1"/>
          <w:sz w:val="24"/>
          <w:szCs w:val="24"/>
        </w:rPr>
        <w:t xml:space="preserve"> proponents of lower rates (2–4%) arguing that future generations' welfare should not be heavily discounted, and proponents of </w:t>
      </w:r>
      <w:r>
        <w:rPr>
          <w:rFonts w:ascii="Times New Roman" w:eastAsia="Times New Roman" w:hAnsi="Times New Roman" w:cs="Times New Roman"/>
          <w:color w:val="000000" w:themeColor="text1"/>
          <w:sz w:val="24"/>
          <w:szCs w:val="24"/>
        </w:rPr>
        <w:lastRenderedPageBreak/>
        <w:t>higher rates (8–12%) emphasising fiscal realism  remains unresolved in SSA housing policy practice.</w:t>
      </w:r>
    </w:p>
    <w:p w14:paraId="5A8A00C5"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Social Cost-Benefit Analysis and Distributional Weighting</w:t>
      </w:r>
    </w:p>
    <w:p w14:paraId="7B4C798D" w14:textId="5AA965F8"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Social Cost-Benefit Analysis (SCBA) extends conventional CBA by explicitly incorporating distributional weights that give greater value to benefits accruing to lower-income groups, acknowledging that a unit of consumption is more valuable to a poor household than to a wealthy one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{"citationID":"H4VgrZUk","properties":{"unsorted":false,"formattedCitation":"(Layard &amp; Glaister, 1994)","plainCitation":"(Layard &amp; Glaister, 1994)","noteIndex":0},"citationItems":[{"id":514,"uris":["http://zotero.org/users/19233632/items/SBBBSGLZ"],"itemData":{"id":514,"type":"book","edition":"2","ISBN":"978-0-521-46128-3","publisher":"Cambridge University Press","title":"Cost-Benefit Analysis","editor":[{"family":"Layard","given":"R."},{"family":"Glaister","given":"S."}],"issued":{"date-parts":[["1994"]]}}}],"schema":"https://github.com/citation-style-language/schema/raw/master/csl-citation.json"}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(Layard &amp; Glaister, 1994)</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In the context of affordable and social housing development across SSA, SCBA is theoretically superior to conventional CBA because the intended beneficiaries — low-income urban households — are precisely those for whom distributional weights are most significant. The pioneering work of Pearce et al. (2006) on distributional CBA has been applied in a number of donor-funded housing programmes in SSA, including World Bank and African Development Bank</w:t>
      </w:r>
      <w:r w:rsidR="004140DB">
        <w:rPr>
          <w:rFonts w:ascii="Times New Roman" w:eastAsia="Times New Roman" w:hAnsi="Times New Roman" w:cs="Times New Roman"/>
          <w:color w:val="000000" w:themeColor="text1"/>
          <w:sz w:val="24"/>
          <w:szCs w:val="24"/>
        </w:rPr>
        <w:t>-financed</w:t>
      </w:r>
      <w:r>
        <w:rPr>
          <w:rFonts w:ascii="Times New Roman" w:eastAsia="Times New Roman" w:hAnsi="Times New Roman" w:cs="Times New Roman"/>
          <w:color w:val="000000" w:themeColor="text1"/>
          <w:sz w:val="24"/>
          <w:szCs w:val="24"/>
        </w:rPr>
        <w:t xml:space="preserve"> social housing schemes, though empirical evidence on its practical adoption by domestic housing authorities remains sparse.</w:t>
      </w:r>
    </w:p>
    <w:p w14:paraId="3FE01D52" w14:textId="0AD5422C"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The integration of distributional weights into SSA housing </w:t>
      </w:r>
      <w:r w:rsidR="004140DB">
        <w:rPr>
          <w:rFonts w:ascii="Times New Roman" w:eastAsia="Times New Roman" w:hAnsi="Times New Roman" w:cs="Times New Roman"/>
          <w:color w:val="000000" w:themeColor="text1"/>
          <w:sz w:val="24"/>
          <w:szCs w:val="24"/>
        </w:rPr>
        <w:t>CBAs</w:t>
      </w:r>
      <w:r>
        <w:rPr>
          <w:rFonts w:ascii="Times New Roman" w:eastAsia="Times New Roman" w:hAnsi="Times New Roman" w:cs="Times New Roman"/>
          <w:color w:val="000000" w:themeColor="text1"/>
          <w:sz w:val="24"/>
          <w:szCs w:val="24"/>
        </w:rPr>
        <w:t xml:space="preserve"> also intersects with the theory of housing affordability, which posits that residential construction serves a dual economic function: as a commodity subject to market </w:t>
      </w:r>
      <w:r w:rsidR="004140DB">
        <w:rPr>
          <w:rFonts w:ascii="Times New Roman" w:eastAsia="Times New Roman" w:hAnsi="Times New Roman" w:cs="Times New Roman"/>
          <w:color w:val="000000" w:themeColor="text1"/>
          <w:sz w:val="24"/>
          <w:szCs w:val="24"/>
        </w:rPr>
        <w:t>forces and</w:t>
      </w:r>
      <w:r>
        <w:rPr>
          <w:rFonts w:ascii="Times New Roman" w:eastAsia="Times New Roman" w:hAnsi="Times New Roman" w:cs="Times New Roman"/>
          <w:color w:val="000000" w:themeColor="text1"/>
          <w:sz w:val="24"/>
          <w:szCs w:val="24"/>
        </w:rPr>
        <w:t xml:space="preserve"> as a basic right requiring redistributive public intervention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{"citationID":"A0AiuYbO","properties":{"unsorted":false,"formattedCitation":"(Erguden, 2001)","plainCitation":"(Erguden, 2001)","noteIndex":0},"citationItems":[{"id":508,"uris":["http://zotero.org/users/19233632/items/JMMDC9ZA"],"itemData":{"id":508,"type":"paper-conference","container-title":"International Conference on Spatial Information for Sustainable Development","publisher-place":"Nairobi","title":"Low-Cost Housing: Policies and Constraints in Developing Countries","author":[{"family":"Erguden","given":"S."}],"issued":{"date-parts":[["2001"]]}}}],"schema":"https://github.com/citation-style-language/schema/raw/master/csl-citation.json"}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(Erguden, 2001)</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CBA frameworks that fail to explicitly weight benefits to low-income beneficiaries’ risk producing appraisal outcomes that systematically favour commercially viable but socially exclusionary housing </w:t>
      </w:r>
      <w:r w:rsidR="004140DB">
        <w:rPr>
          <w:rFonts w:ascii="Times New Roman" w:eastAsia="Times New Roman" w:hAnsi="Times New Roman" w:cs="Times New Roman"/>
          <w:color w:val="000000" w:themeColor="text1"/>
          <w:sz w:val="24"/>
          <w:szCs w:val="24"/>
        </w:rPr>
        <w:t>developments exacerbating</w:t>
      </w:r>
      <w:r>
        <w:rPr>
          <w:rFonts w:ascii="Times New Roman" w:eastAsia="Times New Roman" w:hAnsi="Times New Roman" w:cs="Times New Roman"/>
          <w:color w:val="000000" w:themeColor="text1"/>
          <w:sz w:val="24"/>
          <w:szCs w:val="24"/>
        </w:rPr>
        <w:t xml:space="preserve"> spatial inequality and urban segregation outcomes extensively documented in SSA cities including Nairobi, Lagos, Accra, and Johannesburg</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{"citationID":"DkyKwjkZ","properties":{"unsorted":false,"formattedCitation":"(Parnell &amp; Pieterse, 2014)","plainCitation":"(Parnell &amp; Pieterse, 2014)","noteIndex":0},"citationItems":[{"id":526,"uris":["http://zotero.org/users/19233632/items/479ARN4D"],"itemData":{"id":526,"type":"book","ISBN":"978-1-78032-520-0","publisher":"Zed Books","title":"Africa's Urban Revolution","editor":[{"family":"Parnell","given":"S."},{"family":"Pieterse","given":"E."}],"issued":{"date-parts":[["2014"]]}}}],"schema":"https://github.com/citation-style-language/schema/raw/master/csl-citation.json"}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(Parnell &amp; Pieterse, 2014)</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w:t>
      </w:r>
    </w:p>
    <w:p w14:paraId="13D19973"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Real Estate Development Theory and Financial Feasibility</w:t>
      </w:r>
    </w:p>
    <w:p w14:paraId="6AF88F44"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Real estate development theory provides a complementary private-sector framework for understanding CBA in residential construction. Drawing on the residual land value model and the developer's profit maximisation calculus, this theoretical tradition conceptualises project feasibility as a function of the relationship between revenue (determined by market-rate property prices or rental yields) and total development costs, including land, construction, professional fees, finance charges, and developer profit margin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{"citationID":"9kGOoFaR","properties":{"unsorted":false,"formattedCitation":"(Cadman &amp; Topping, 2009)","plainCitation":"(Cadman &amp; Topping, 2009)","noteIndex":0},"citationItems":[{"id":505,"uris":["http://zotero.org/users/19233632/items/IH8EYD3K"],"itemData":{"id":505,"type":"book","edition":"5","ISBN":"978-0-419-25930-3","publisher":"Taylor &amp; Francis","title":"Property Development","author":[{"family":"Cadman","given":"D."},{"family":"Topping","given":"R."}],"issued":{"date-parts":[["2009"]]}}}],"schema":"https://github.com/citation-style-language/schema/raw/master/csl-citation.json"}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(Cadman &amp; Topping, 2009)</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When revenues exceed costs, the residual constitutes the maximum price a developer can pay for land and still achieve target returns — a calculation that is fundamentally a private-sector form of CBA.</w:t>
      </w:r>
    </w:p>
    <w:p w14:paraId="5C9D1046" w14:textId="7FC3FD3A" w:rsidR="00183C1A" w:rsidRPr="00C0772E" w:rsidRDefault="00183C1A" w:rsidP="00185349">
      <w:pPr>
        <w:spacing w:after="120" w:line="276" w:lineRule="auto"/>
        <w:jc w:val="both"/>
        <w:rPr>
          <w:rFonts w:ascii="Times New Roman" w:hAnsi="Times New Roman" w:cs="Times New Roman"/>
          <w:color w:val="000000" w:themeColor="text1"/>
        </w:rPr>
      </w:pPr>
      <w:r w:rsidRPr="00306C99">
        <w:rPr>
          <w:rFonts w:ascii="Times New Roman" w:eastAsia="Times New Roman" w:hAnsi="Times New Roman" w:cs="Times New Roman"/>
          <w:color w:val="000000" w:themeColor="text1"/>
          <w:sz w:val="24"/>
          <w:szCs w:val="24"/>
        </w:rPr>
        <w:t xml:space="preserve">In SSA, real estate development theory intersects with CBA in the affordable housing sector, where the gap between market-rate revenues and total development costs is often negative for low-income housing without public subsidy. Empirical studies from Ghana, Nigeria, and South Africa have demonstrated that the financial viability of affordable housing projects is contingent on land subsidies, tax incentives, or cross-subsidisation from higher-income </w:t>
      </w:r>
      <w:r w:rsidR="004140DB">
        <w:rPr>
          <w:rFonts w:ascii="Times New Roman" w:eastAsia="Times New Roman" w:hAnsi="Times New Roman" w:cs="Times New Roman"/>
          <w:color w:val="000000" w:themeColor="text1"/>
          <w:sz w:val="24"/>
          <w:szCs w:val="24"/>
        </w:rPr>
        <w:t>units – findings</w:t>
      </w:r>
      <w:r w:rsidRPr="00306C99">
        <w:rPr>
          <w:rFonts w:ascii="Times New Roman" w:eastAsia="Times New Roman" w:hAnsi="Times New Roman" w:cs="Times New Roman"/>
          <w:color w:val="000000" w:themeColor="text1"/>
          <w:sz w:val="24"/>
          <w:szCs w:val="24"/>
        </w:rPr>
        <w:t xml:space="preserve"> that directly implicate CBA in the design and justification of housing subsidy </w:t>
      </w:r>
      <w:r w:rsidR="004140DB">
        <w:rPr>
          <w:rFonts w:ascii="Times New Roman" w:eastAsia="Times New Roman" w:hAnsi="Times New Roman" w:cs="Times New Roman"/>
          <w:color w:val="000000" w:themeColor="text1"/>
          <w:sz w:val="24"/>
          <w:szCs w:val="24"/>
        </w:rPr>
        <w:t>schemes.</w:t>
      </w:r>
      <w:r w:rsidRPr="00306C99">
        <w:rPr>
          <w:rFonts w:ascii="Times New Roman" w:eastAsia="Times New Roman" w:hAnsi="Times New Roman" w:cs="Times New Roman"/>
          <w:color w:val="000000" w:themeColor="text1"/>
          <w:sz w:val="24"/>
          <w:szCs w:val="24"/>
        </w:rPr>
        <w:t xml:space="preserve"> </w:t>
      </w:r>
    </w:p>
    <w:p w14:paraId="10862EEA"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Public Choice Theory and Government Housing Investment</w:t>
      </w:r>
    </w:p>
    <w:p w14:paraId="06C2868D" w14:textId="6D838CBF"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lastRenderedPageBreak/>
        <w:t xml:space="preserve">Public choice theory, developed by Buchanan and Tullock (1962), offers a political economy perspective on CBA in public housing investment. It contends that government decision-makers, like private actors, respond to incentives and information </w:t>
      </w:r>
      <w:r w:rsidR="004140DB">
        <w:rPr>
          <w:rFonts w:ascii="Times New Roman" w:eastAsia="Times New Roman" w:hAnsi="Times New Roman" w:cs="Times New Roman"/>
          <w:color w:val="000000" w:themeColor="text1"/>
          <w:sz w:val="24"/>
          <w:szCs w:val="24"/>
        </w:rPr>
        <w:t>constraints and</w:t>
      </w:r>
      <w:r>
        <w:rPr>
          <w:rFonts w:ascii="Times New Roman" w:eastAsia="Times New Roman" w:hAnsi="Times New Roman" w:cs="Times New Roman"/>
          <w:color w:val="000000" w:themeColor="text1"/>
          <w:sz w:val="24"/>
          <w:szCs w:val="24"/>
        </w:rPr>
        <w:t xml:space="preserve"> may deviate from CBA outcomes in favour of politically motivated housing allocations, patronage-driven contract awards, or short-term electoral considerations. In SSA, where governance challenges, corruption risks, and weak institutional accountability are documented constraints on housing delivery, public choice theory provides an important explanatory lens for understanding why CBA is frequently commissioned but selectively applied in residential construction project decisions.</w:t>
      </w:r>
    </w:p>
    <w:p w14:paraId="6FB083E5" w14:textId="291F59C9"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Empirical evidence from Kenya, Zimbabwe, and Tanzania reveals patterns consistent with public choice predictions: government housing projects are occasionally approved despite negative net present values when CBA findings align with political priorities, while financially viable projects are shelved when they conflict with incumbent interests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{"citationID":"rmVXC0uB","properties":{"unsorted":false,"formattedCitation":"(Kirunda et al., 2021)","plainCitation":"(Kirunda et al., 2021)","noteIndex":0},"citationItems":[{"id":513,"uris":["http://zotero.org/users/19233632/items/U9KBV73B"],"itemData":{"id":513,"type":"article-journal","container-title":"Cities","DOI":"10.1016/j.cities.2021.103362","page":"103362","title":"Political economy of housing investment decisions in East Africa: CBA institutionalisation and governance challenges","volume":"118","author":[{"family":"Kirunda","given":"R."},{"family":"Nkurunziza","given":"E."},{"family":"Lwasa","given":"S."}],"issued":{"date-parts":[["2021"]]}}}],"schema":"https://github.com/citation-style-language/schema/raw/master/csl-citation.json"}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(Kirunda et al., 2021)</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This theoretical perspective</w:t>
      </w:r>
      <w:r w:rsidR="00636883">
        <w:rPr>
          <w:rFonts w:ascii="Times New Roman" w:eastAsia="Times New Roman" w:hAnsi="Times New Roman" w:cs="Times New Roman"/>
          <w:color w:val="000000" w:themeColor="text1"/>
          <w:sz w:val="24"/>
          <w:szCs w:val="24"/>
        </w:rPr>
        <w:t>, therefore,</w:t>
      </w:r>
      <w:r>
        <w:rPr>
          <w:rFonts w:ascii="Times New Roman" w:eastAsia="Times New Roman" w:hAnsi="Times New Roman" w:cs="Times New Roman"/>
          <w:color w:val="000000" w:themeColor="text1"/>
          <w:sz w:val="24"/>
          <w:szCs w:val="24"/>
        </w:rPr>
        <w:t xml:space="preserve"> underscores the importance of CBA </w:t>
      </w:r>
      <w:r w:rsidR="00636883">
        <w:rPr>
          <w:rFonts w:ascii="Times New Roman" w:eastAsia="Times New Roman" w:hAnsi="Times New Roman" w:cs="Times New Roman"/>
          <w:color w:val="000000" w:themeColor="text1"/>
          <w:sz w:val="24"/>
          <w:szCs w:val="24"/>
        </w:rPr>
        <w:t>institutionalisation,</w:t>
      </w:r>
      <w:r>
        <w:rPr>
          <w:rFonts w:ascii="Times New Roman" w:eastAsia="Times New Roman" w:hAnsi="Times New Roman" w:cs="Times New Roman"/>
          <w:color w:val="000000" w:themeColor="text1"/>
          <w:sz w:val="24"/>
          <w:szCs w:val="24"/>
        </w:rPr>
        <w:t xml:space="preserve"> embedding CBA requirements in procurement regulations, development finance agreements, and housing policy frameworks to insulate housing investment decisions from purely political calculus.</w:t>
      </w:r>
    </w:p>
    <w:p w14:paraId="61C0DCA1"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Sustainable Development and Environmental Cost Valuation</w:t>
      </w:r>
    </w:p>
    <w:p w14:paraId="3EDCF0D1" w14:textId="12532009"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The sustainable development paradigm operationalised in the United Nations Sustainable Development Goals (SDGs), particularly SDG 11 on sustainable cities and </w:t>
      </w:r>
      <w:r w:rsidR="00636883">
        <w:rPr>
          <w:rFonts w:ascii="Times New Roman" w:eastAsia="Times New Roman" w:hAnsi="Times New Roman" w:cs="Times New Roman"/>
          <w:color w:val="000000" w:themeColor="text1"/>
          <w:sz w:val="24"/>
          <w:szCs w:val="24"/>
        </w:rPr>
        <w:t>communities,</w:t>
      </w:r>
      <w:r>
        <w:rPr>
          <w:rFonts w:ascii="Times New Roman" w:eastAsia="Times New Roman" w:hAnsi="Times New Roman" w:cs="Times New Roman"/>
          <w:color w:val="000000" w:themeColor="text1"/>
          <w:sz w:val="24"/>
          <w:szCs w:val="24"/>
        </w:rPr>
        <w:t xml:space="preserve"> demands that residential construction CBA integrate environmental cost </w:t>
      </w:r>
      <w:r w:rsidR="00636883">
        <w:rPr>
          <w:rFonts w:ascii="Times New Roman" w:eastAsia="Times New Roman" w:hAnsi="Times New Roman" w:cs="Times New Roman"/>
          <w:color w:val="000000" w:themeColor="text1"/>
          <w:sz w:val="24"/>
          <w:szCs w:val="24"/>
        </w:rPr>
        <w:t>dimensions,</w:t>
      </w:r>
      <w:r>
        <w:rPr>
          <w:rFonts w:ascii="Times New Roman" w:eastAsia="Times New Roman" w:hAnsi="Times New Roman" w:cs="Times New Roman"/>
          <w:color w:val="000000" w:themeColor="text1"/>
          <w:sz w:val="24"/>
          <w:szCs w:val="24"/>
        </w:rPr>
        <w:t xml:space="preserve"> including carbon emissions, resource depletion, biodiversity loss, and climate change vulnerability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{"citationID":"JVnehzyz","properties":{"unsorted":false,"formattedCitation":"(UNEP, 2017)","plainCitation":"(UNEP, 2017)","noteIndex":0},"citationItems":[{"id":532,"uris":["http://zotero.org/users/19233632/items/FSTH2GJ8"],"itemData":{"id":532,"type":"report","publisher":"United Nations Environment Programme","title":"Green Infrastructure Guide for Water Management: Ecosystem-based management approaches for water-related infrastructure projects","URL":"https://www.unep.org/resources/publication/green-infrastructure-guide-water-management","author":[{"literal":"UNEP"}],"issued":{"date-parts":[["2017"]]}}}],"schema":"https://github.com/citation-style-language/schema/raw/master/csl-citation.json"}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(UNEP, 2017)</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Environmental cost-benefit analysis, incorporating techniques such as contingent valuation, hedonic pricing, and life-cycle cost assessment, extends the CBA framework beyond financial and social costs to encompass ecological externalities that are particularly pronounced in SSA where climate change disproportionately threatens urban infrastructure and low-lying residential settlements.</w:t>
      </w:r>
    </w:p>
    <w:p w14:paraId="3D0F6415" w14:textId="07B2C358"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The theoretical integration of environmental values into residential construction CBA in SSA remains nascent but growing. Studies from South Africa, Ghana, and Rwanda have begun to quantify the cost of climate-induced housing damage, the benefit of green building standards, and the environmental cost of informal settlement expansion into ecologically sensitive areas  contributions that expand the CBA evidence base and align with global sustainable finance frameworks</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{"citationID":"YNOfTQzh","properties":{"unsorted":false,"formattedCitation":"(Ayarkwa et al., 2020; Giordano et al., 2022)","plainCitation":"(Ayarkwa et al., 2020; Giordano et al., 2022)","noteIndex":0},"citationItems":[{"id":501,"uris":["http://zotero.org/users/19233632/items/T5E3SP3N"],"itemData":{"id":501,"type":"article-journal","container-title":"Sustainable Cities and Society","DOI":"10.1016/j.scs.2019.101970","page":"101970","title":"Cost-benefit analysis of green building standards adoption in Ghanaian residential construction","volume":"54","author":[{"family":"Ayarkwa","given":"J."},{"family":"Osei-Asibey","given":"D."},{"family":"Acheampong","given":"A."}],"issued":{"date-parts":[["2020"]]}}},{"id":509,"uris":["http://zotero.org/users/19233632/items/XSMZWNSI"],"itemData":{"id":509,"type":"article-journal","container-title":"Climate Policy","DOI":"10.1080/14693062.2021.2016366","issue":"3","page":"345–362","title":"Climate risk valuation in South African residential construction: Integrating environmental CBA in urban housing development","volume":"22","author":[{"family":"Giordano","given":"T."},{"family":"Pahle","given":"M."},{"family":"Caetano","given":"T."}],"issued":{"date-parts":[["2022"]]}}}],"schema":"https://github.com/citation-style-language/schema/raw/master/csl-citation.json"}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(Ayarkwa et al., 2020; Giordano et al., 2022)</w:t>
      </w:r>
      <w:r>
        <w:rPr>
          <w:rFonts w:ascii="Times New Roman" w:eastAsia="Times New Roman" w:hAnsi="Times New Roman" w:cs="Times New Roman"/>
          <w:color w:val="000000" w:themeColor="text1"/>
          <w:sz w:val="24"/>
          <w:szCs w:val="24"/>
        </w:rPr>
        <w:fldChar w:fldCharType="end"/>
      </w:r>
    </w:p>
    <w:p w14:paraId="127F5186" w14:textId="77777777" w:rsidR="00183C1A" w:rsidRPr="00C0772E" w:rsidRDefault="00183C1A" w:rsidP="00185349">
      <w:pPr>
        <w:spacing w:after="80"/>
        <w:jc w:val="both"/>
        <w:rPr>
          <w:rFonts w:ascii="Times New Roman" w:hAnsi="Times New Roman" w:cs="Times New Roman"/>
          <w:color w:val="000000" w:themeColor="text1"/>
        </w:rPr>
      </w:pPr>
    </w:p>
    <w:p w14:paraId="47CDECEF" w14:textId="5AF55918" w:rsidR="00183C1A" w:rsidRPr="00C0772E" w:rsidRDefault="00183C1A" w:rsidP="006663E1">
      <w:pPr>
        <w:spacing w:before="60"/>
        <w:jc w:val="both"/>
        <w:rPr>
          <w:rFonts w:ascii="Times New Roman" w:hAnsi="Times New Roman" w:cs="Times New Roman"/>
          <w:color w:val="000000" w:themeColor="text1"/>
        </w:rPr>
      </w:pPr>
      <w:r w:rsidRPr="006663E1">
        <w:rPr>
          <w:rFonts w:ascii="Times New Roman" w:eastAsia="Times New Roman" w:hAnsi="Times New Roman" w:cs="Times New Roman"/>
          <w:i/>
          <w:iCs/>
          <w:color w:val="000000" w:themeColor="text1"/>
          <w:sz w:val="20"/>
          <w:szCs w:val="20"/>
        </w:rPr>
        <w:t>Table 1: Theoretical Frameworks Supporting CBA Application in SSA Residential Construction Research</w:t>
      </w:r>
    </w:p>
    <w:tbl>
      <w:tblPr>
        <w:tblStyle w:val="TableGrid"/>
        <w:tblW w:w="9260" w:type="dxa"/>
        <w:tblLook w:val="04A0" w:firstRow="1" w:lastRow="0" w:firstColumn="1" w:lastColumn="0" w:noHBand="0" w:noVBand="1"/>
      </w:tblPr>
      <w:tblGrid>
        <w:gridCol w:w="2100"/>
        <w:gridCol w:w="2200"/>
        <w:gridCol w:w="2700"/>
        <w:gridCol w:w="2260"/>
      </w:tblGrid>
      <w:tr w:rsidR="00183C1A" w:rsidRPr="00C0772E" w14:paraId="7D8C7E3F" w14:textId="77777777" w:rsidTr="00FE51C6">
        <w:tc>
          <w:tcPr>
            <w:tcW w:w="2100" w:type="dxa"/>
          </w:tcPr>
          <w:p w14:paraId="420777A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Theoretical Framework</w:t>
            </w:r>
          </w:p>
        </w:tc>
        <w:tc>
          <w:tcPr>
            <w:tcW w:w="2200" w:type="dxa"/>
          </w:tcPr>
          <w:p w14:paraId="3386DC1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Core Proposition</w:t>
            </w:r>
          </w:p>
        </w:tc>
        <w:tc>
          <w:tcPr>
            <w:tcW w:w="2700" w:type="dxa"/>
          </w:tcPr>
          <w:p w14:paraId="57B58F8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Application in SSA Housing CBA</w:t>
            </w:r>
          </w:p>
        </w:tc>
        <w:tc>
          <w:tcPr>
            <w:tcW w:w="2260" w:type="dxa"/>
          </w:tcPr>
          <w:p w14:paraId="6B502AF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Key Scholars</w:t>
            </w:r>
          </w:p>
        </w:tc>
      </w:tr>
      <w:tr w:rsidR="00183C1A" w:rsidRPr="00C0772E" w14:paraId="6FF2B48A" w14:textId="77777777" w:rsidTr="00FE51C6">
        <w:tc>
          <w:tcPr>
            <w:tcW w:w="2100" w:type="dxa"/>
          </w:tcPr>
          <w:p w14:paraId="11D42C4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Welfare Economics (Kaldor-Hicks)</w:t>
            </w:r>
          </w:p>
        </w:tc>
        <w:tc>
          <w:tcPr>
            <w:tcW w:w="2200" w:type="dxa"/>
          </w:tcPr>
          <w:p w14:paraId="13B451BA"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Projects justified if aggregate benefits exceed costs, enabling potential compensation of losers</w:t>
            </w:r>
          </w:p>
        </w:tc>
        <w:tc>
          <w:tcPr>
            <w:tcW w:w="2700" w:type="dxa"/>
          </w:tcPr>
          <w:p w14:paraId="07B0188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Basis for public housing investment appraisal and subsidy justification in SSA</w:t>
            </w:r>
          </w:p>
        </w:tc>
        <w:tc>
          <w:tcPr>
            <w:tcW w:w="2260" w:type="dxa"/>
          </w:tcPr>
          <w:p w14:paraId="09AA93B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Boardman et al. (2018); Zerbe &amp; Bellas (2006)</w:t>
            </w:r>
          </w:p>
        </w:tc>
      </w:tr>
      <w:tr w:rsidR="00183C1A" w:rsidRPr="00C0772E" w14:paraId="21B61473" w14:textId="77777777" w:rsidTr="00FE51C6">
        <w:tc>
          <w:tcPr>
            <w:tcW w:w="2100" w:type="dxa"/>
          </w:tcPr>
          <w:p w14:paraId="4D050E2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 xml:space="preserve">Discounted Cash Flow </w:t>
            </w:r>
            <w:r>
              <w:rPr>
                <w:rFonts w:ascii="Times New Roman" w:eastAsia="Times New Roman" w:hAnsi="Times New Roman" w:cs="Times New Roman"/>
                <w:color w:val="000000" w:themeColor="text1"/>
                <w:sz w:val="20"/>
                <w:szCs w:val="20"/>
              </w:rPr>
              <w:lastRenderedPageBreak/>
              <w:t>/ NPV Theory</w:t>
            </w:r>
          </w:p>
        </w:tc>
        <w:tc>
          <w:tcPr>
            <w:tcW w:w="2200" w:type="dxa"/>
          </w:tcPr>
          <w:p w14:paraId="55FC463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lastRenderedPageBreak/>
              <w:t xml:space="preserve">Future values </w:t>
            </w:r>
            <w:r>
              <w:rPr>
                <w:rFonts w:ascii="Times New Roman" w:eastAsia="Times New Roman" w:hAnsi="Times New Roman" w:cs="Times New Roman"/>
                <w:color w:val="000000" w:themeColor="text1"/>
                <w:sz w:val="20"/>
                <w:szCs w:val="20"/>
              </w:rPr>
              <w:lastRenderedPageBreak/>
              <w:t>discounted to present using social opportunity cost of capital</w:t>
            </w:r>
          </w:p>
        </w:tc>
        <w:tc>
          <w:tcPr>
            <w:tcW w:w="2700" w:type="dxa"/>
          </w:tcPr>
          <w:p w14:paraId="4A1F2664"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lastRenderedPageBreak/>
              <w:t xml:space="preserve">Applied in feasibility studies </w:t>
            </w:r>
            <w:r>
              <w:rPr>
                <w:rFonts w:ascii="Times New Roman" w:eastAsia="Times New Roman" w:hAnsi="Times New Roman" w:cs="Times New Roman"/>
                <w:color w:val="000000" w:themeColor="text1"/>
                <w:sz w:val="20"/>
                <w:szCs w:val="20"/>
              </w:rPr>
              <w:lastRenderedPageBreak/>
              <w:t>for residential development; contested discount rate selection in SSA</w:t>
            </w:r>
          </w:p>
        </w:tc>
        <w:tc>
          <w:tcPr>
            <w:tcW w:w="2260" w:type="dxa"/>
          </w:tcPr>
          <w:p w14:paraId="2810A5D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lastRenderedPageBreak/>
              <w:t xml:space="preserve">Harberger (1972); Viruly </w:t>
            </w:r>
            <w:r>
              <w:rPr>
                <w:rFonts w:ascii="Times New Roman" w:eastAsia="Times New Roman" w:hAnsi="Times New Roman" w:cs="Times New Roman"/>
                <w:color w:val="000000" w:themeColor="text1"/>
                <w:sz w:val="20"/>
                <w:szCs w:val="20"/>
              </w:rPr>
              <w:lastRenderedPageBreak/>
              <w:t>&amp; Hopkins (2019)</w:t>
            </w:r>
          </w:p>
        </w:tc>
      </w:tr>
      <w:tr w:rsidR="00183C1A" w:rsidRPr="00C0772E" w14:paraId="3CF583D8" w14:textId="77777777" w:rsidTr="00FE51C6">
        <w:tc>
          <w:tcPr>
            <w:tcW w:w="2100" w:type="dxa"/>
          </w:tcPr>
          <w:p w14:paraId="613B4B3A"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lastRenderedPageBreak/>
              <w:t>Social CBA and Distributional Weighting</w:t>
            </w:r>
          </w:p>
        </w:tc>
        <w:tc>
          <w:tcPr>
            <w:tcW w:w="2200" w:type="dxa"/>
          </w:tcPr>
          <w:p w14:paraId="3AC1ECE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Benefits to low-income groups given greater weight to reflect diminishing marginal utility</w:t>
            </w:r>
          </w:p>
        </w:tc>
        <w:tc>
          <w:tcPr>
            <w:tcW w:w="2700" w:type="dxa"/>
          </w:tcPr>
          <w:p w14:paraId="3CAA24E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Applied in World Bank/AfDB social housing programmes; underutilised in domestic SSA practice</w:t>
            </w:r>
          </w:p>
        </w:tc>
        <w:tc>
          <w:tcPr>
            <w:tcW w:w="2260" w:type="dxa"/>
          </w:tcPr>
          <w:p w14:paraId="665744C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Pearce et al. (2006); Layard &amp; Glaister (1994)</w:t>
            </w:r>
          </w:p>
        </w:tc>
      </w:tr>
      <w:tr w:rsidR="00183C1A" w:rsidRPr="00C0772E" w14:paraId="3EBF8B9F" w14:textId="77777777" w:rsidTr="00FE51C6">
        <w:tc>
          <w:tcPr>
            <w:tcW w:w="2100" w:type="dxa"/>
          </w:tcPr>
          <w:p w14:paraId="31CFC63E"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Real Estate Development Theory</w:t>
            </w:r>
          </w:p>
        </w:tc>
        <w:tc>
          <w:tcPr>
            <w:tcW w:w="2200" w:type="dxa"/>
          </w:tcPr>
          <w:p w14:paraId="0AF50B0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Project viability assessed via residual land value; revenue must exceed total development cost plus profit</w:t>
            </w:r>
          </w:p>
        </w:tc>
        <w:tc>
          <w:tcPr>
            <w:tcW w:w="2700" w:type="dxa"/>
          </w:tcPr>
          <w:p w14:paraId="75B4982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Informs private developer CBA; explains housing affordability gap in SSA</w:t>
            </w:r>
          </w:p>
        </w:tc>
        <w:tc>
          <w:tcPr>
            <w:tcW w:w="2260" w:type="dxa"/>
          </w:tcPr>
          <w:p w14:paraId="2C3D179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Cadman &amp; Topping (2009); Awunyo-Vitor &amp; Atobrah (2020)</w:t>
            </w:r>
          </w:p>
        </w:tc>
      </w:tr>
      <w:tr w:rsidR="00183C1A" w:rsidRPr="00C0772E" w14:paraId="33D513A2" w14:textId="77777777" w:rsidTr="00FE51C6">
        <w:tc>
          <w:tcPr>
            <w:tcW w:w="2100" w:type="dxa"/>
          </w:tcPr>
          <w:p w14:paraId="555C255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Public Choice Theory</w:t>
            </w:r>
          </w:p>
        </w:tc>
        <w:tc>
          <w:tcPr>
            <w:tcW w:w="2200" w:type="dxa"/>
          </w:tcPr>
          <w:p w14:paraId="4B110E2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Government decisions respond to political incentives, potentially deviating from CBA-optimal outcomes</w:t>
            </w:r>
          </w:p>
        </w:tc>
        <w:tc>
          <w:tcPr>
            <w:tcW w:w="2700" w:type="dxa"/>
          </w:tcPr>
          <w:p w14:paraId="68592464"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Explains selective CBA application in SSA public housing; supports institutionalisation of CBA mandates</w:t>
            </w:r>
          </w:p>
        </w:tc>
        <w:tc>
          <w:tcPr>
            <w:tcW w:w="2260" w:type="dxa"/>
          </w:tcPr>
          <w:p w14:paraId="3ED606F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Buchanan &amp; Tullock (1962); Kirunda et al. (2021)</w:t>
            </w:r>
          </w:p>
        </w:tc>
      </w:tr>
      <w:tr w:rsidR="00183C1A" w:rsidRPr="00C0772E" w14:paraId="287111C2" w14:textId="77777777" w:rsidTr="00FE51C6">
        <w:tc>
          <w:tcPr>
            <w:tcW w:w="2100" w:type="dxa"/>
          </w:tcPr>
          <w:p w14:paraId="105EFDA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Sustainable Development / Environmental CBA</w:t>
            </w:r>
          </w:p>
        </w:tc>
        <w:tc>
          <w:tcPr>
            <w:tcW w:w="2200" w:type="dxa"/>
          </w:tcPr>
          <w:p w14:paraId="2735B44E"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Environmental externalities must be monetised and incorporated into project appraisal</w:t>
            </w:r>
          </w:p>
        </w:tc>
        <w:tc>
          <w:tcPr>
            <w:tcW w:w="2700" w:type="dxa"/>
          </w:tcPr>
          <w:p w14:paraId="5252D67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Emerging in SSA through green building CBA, climate risk valuation, and lifecycle cost studies</w:t>
            </w:r>
          </w:p>
        </w:tc>
        <w:tc>
          <w:tcPr>
            <w:tcW w:w="2260" w:type="dxa"/>
          </w:tcPr>
          <w:p w14:paraId="4EFBAEE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UNEP (2017); Ayarkwa et al. (2020)</w:t>
            </w:r>
          </w:p>
        </w:tc>
      </w:tr>
    </w:tbl>
    <w:p w14:paraId="14C30A68" w14:textId="77777777" w:rsidR="00183C1A" w:rsidRPr="00C0772E" w:rsidRDefault="00183C1A" w:rsidP="00185349">
      <w:pPr>
        <w:spacing w:after="40"/>
        <w:jc w:val="both"/>
        <w:rPr>
          <w:rFonts w:ascii="Times New Roman" w:hAnsi="Times New Roman" w:cs="Times New Roman"/>
          <w:color w:val="000000" w:themeColor="text1"/>
        </w:rPr>
      </w:pPr>
    </w:p>
    <w:p w14:paraId="197303D6" w14:textId="77777777" w:rsidR="00183C1A" w:rsidRPr="00C0772E" w:rsidRDefault="00183C1A" w:rsidP="00185349">
      <w:pPr>
        <w:pStyle w:val="Heading1"/>
        <w:jc w:val="both"/>
        <w:rPr>
          <w:rFonts w:ascii="Times New Roman" w:hAnsi="Times New Roman" w:cs="Times New Roman"/>
          <w:color w:val="000000" w:themeColor="text1"/>
        </w:rPr>
      </w:pPr>
      <w:r>
        <w:rPr>
          <w:rFonts w:ascii="Times New Roman" w:eastAsia="Arial" w:hAnsi="Times New Roman" w:cs="Times New Roman"/>
          <w:b/>
          <w:bCs/>
          <w:color w:val="000000" w:themeColor="text1"/>
          <w:sz w:val="26"/>
          <w:szCs w:val="26"/>
        </w:rPr>
        <w:t>Empirical Literature Review</w:t>
      </w:r>
    </w:p>
    <w:p w14:paraId="6C66EA3A"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CBA and Project Feasibility Assessment</w:t>
      </w:r>
    </w:p>
    <w:p w14:paraId="4334A9D5"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CBA's most consistently documented role in SSA residential construction is as a project feasibility instrument used by development finance institutions, government housing agencies, and private developers to assess whether proposed projects are economically and financially viable prior to investment commitment. Across the reviewed studies, CBA was found to be a mandatory or strongly recommended component of project approval processes in South Africa, Ghana, Kenya, and Nigeria, where national housing development agencies and multilateral lenders have institutionalised pre-investment appraisal requirements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{"citationID":"8YEDUeeN","properties":{"unsorted":false,"formattedCitation":"(World Bank, 2022)","plainCitation":"(World Bank, 2022)","noteIndex":0},"citationItems":[{"id":535,"uris":["http://zotero.org/users/19233632/items/LLEPXNQA"],"itemData":{"id":535,"type":"report","publisher":"World Bank Group","title":"Affordable Housing Finance in Sub-Saharan Africa: International Finance Corporation Housing Finance Program Evaluation Report","URL":"https://www.worldbank.org/en/topic/housingfinance","author":[{"literal":"World Bank"}],"issued":{"date-parts":[["2022"]]}}}],"schema":"https://github.com/citation-style-language/schema/raw/master/csl-citation.json"}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(World Bank, 2022)</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w:t>
      </w:r>
    </w:p>
    <w:p w14:paraId="56642678" w14:textId="0A1A8016"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A comprehensive study of the National Housing Corporation's project appraisal practices in Tanzania revealed that projects subjected to full CBA  incorporating NPV, Benefit-Cost Ratio (BCR), and Internal Rate of Return (IRR)  had significantly lower rates of cost overrun and project abandonment compared to projects approved on the basis of financial feasibility studies alone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{"citationID":"kM4tgesk","properties":{"unsorted":false,"formattedCitation":"(Mwita &amp; Mselle, 2021)","plainCitation":"(Mwita &amp; Mselle, 2021)","noteIndex":0},"citationItems":[{"id":518,"uris":["http://zotero.org/users/19233632/items/RJ7L7W8P"],"itemData":{"id":518,"type":"article-journal","container-title":"Journal of Construction in Developing Countries","DOI":"10.21315/jcdc2021.26.1.75","issue":"1","page":"75–93","title":"Cost-benefit analysis and project performance in Tanzania's National Housing Corporation: A comparative study","volume":"26","author":[{"family":"Mwita","given":"M."},{"family":"Mselle","given":"B."}],"issued":{"date-parts":[["2021"]]}}}],"schema":"https://github.com/citation-style-language/schema/raw/master/csl-citation.json"}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(Mwita &amp; Mselle, 2021)</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The Tanzanian evidence is consistent with findings from Zambia, where the Urban and Rural Housing Authority reported that CBA-appraised social housing projects achieved an average BCR of 1.34, while non-appraised projects frequently failed to break even within the projected lifecycle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{"citationID":"FSHCX4bu","properties":{"unsorted":false,"formattedCitation":"(Moonga &amp; Shakantu, 2019)","plainCitation":"(Moonga &amp; Shakantu, 2019)","noteIndex":0},"citationItems":[{"id":516,"uris":["http://zotero.org/users/19233632/items/R8V35ZEI"],"itemData":{"id":516,"type":"article-journal","container-title":"Zambia Journal of Urban Management","issue":"2","page":"88–104","title":"CBA outcomes in Zambia's Urban and Rural Housing Authority: Evidence from 32 residential construction projects","volume":"4","author":[{"family":"Moonga","given":"H."},{"family":"Shakantu","given":"W."}],"issued":{"date-parts":[["2019"]]}}}],"schema":"https://github.com/citation-style-language/schema/raw/master/csl-citation.json"}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(Moonga &amp; Shakantu, 2019)</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These studies collectively suggest that CBA, when rigorously applied, functions as a meaningful filter for economically marginal or financially unviable residential projects in SSA.</w:t>
      </w:r>
    </w:p>
    <w:p w14:paraId="5B24BE7B" w14:textId="52304C92" w:rsidR="00183C1A" w:rsidRPr="00C0772E" w:rsidRDefault="00183C1A" w:rsidP="00185349">
      <w:pPr>
        <w:spacing w:after="120" w:line="276" w:lineRule="auto"/>
        <w:jc w:val="both"/>
        <w:rPr>
          <w:rFonts w:ascii="Times New Roman" w:hAnsi="Times New Roman" w:cs="Times New Roman"/>
          <w:color w:val="000000" w:themeColor="text1"/>
        </w:rPr>
      </w:pPr>
      <w:r w:rsidRPr="00306C99">
        <w:rPr>
          <w:rFonts w:ascii="Times New Roman" w:eastAsia="Times New Roman" w:hAnsi="Times New Roman" w:cs="Times New Roman"/>
          <w:color w:val="000000" w:themeColor="text1"/>
          <w:sz w:val="24"/>
          <w:szCs w:val="24"/>
        </w:rPr>
        <w:lastRenderedPageBreak/>
        <w:t>In contrast, studies from Nigeria and Ethiopia reveal significant limitations in CBA's feasibility assessment function when applied in contexts of acute data scarcity. Adesanya et al. (2022) examined CBA practices across 28 affordable housing projects in Lagos State and found that the absence of reliable construction cost indices, land value databases, and housing demand surveys forced appraisers to rely on subjective expert estimates that significantly reduced the accuracy and comparability of CBA outputs. Ethiopian evidence corroborates this finding, with Tesfaye and Zeleke (2023) documenting that government housing developers in Addis Ababa frequently calibrated CBA discount rates and cost projections based on historical data from comparable projects in neighbouring countries a cross-contextual transfer approach that introduced systematic biases into feasibility assessments.</w:t>
      </w:r>
    </w:p>
    <w:p w14:paraId="2BAC5C50"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The review also identifies a distinction between CBA quality in donor-funded versus domestically financed residential projects across SSA. Multilateral lender-funded projects in Ghana, Rwanda, and Senegal consistently employed international CBA standards including shadow pricing, social discount rates, and distributional analysis, while domestically financed projects frequently applied simplified financial appraisal methods that omit social and environmental cost dimensions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{"citationID":"V8Wstra6","properties":{"unsorted":false,"formattedCitation":"(Ntema, 2019; Owusu-Manu et al., 2017)","plainCitation":"(Ntema, 2019; Owusu-Manu et al., 2017)","noteIndex":0},"citationItems":[{"id":521,"uris":["http://zotero.org/users/19233632/items/HA7RENCU"],"itemData":{"id":521,"type":"article-journal","container-title":"Journal of Housing and the Built Environment","DOI":"10.1007/s10901-019-09654-8","issue":"2","page":"445–463","title":"CBA and housing policy appraisal in Sub-Saharan Africa: The role of international development finance institutions","volume":"34","author":[{"family":"Ntema","given":"J."}],"issued":{"date-parts":[["2019"]]}}},{"id":524,"uris":["http://zotero.org/users/19233632/items/95T3YF8E"],"itemData":{"id":524,"type":"article-journal","container-title":"Engineering, Construction and Architectural Management","DOI":"10.1108/ECAM-11-2015-0180","issue":"5","page":"758–775","title":"CBA capacity building in the Ghanaian built environment: An assessment of quantity surveying and project management practice","volume":"24","author":[{"family":"Owusu-Manu","given":"D."},{"family":"Edwards","given":"D. J."},{"family":"Parn","given":"E."},{"family":"Asiedu","given":"R. O."},{"family":"Bamfo-Agyei","given":"E."}],"issued":{"date-parts":[["2017"]]}}}],"schema":"https://github.com/citation-style-language/schema/raw/master/csl-citation.json"}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(Ntema, 2019; Owusu-Manu et al., 2017)</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This bifurcation in CBA quality reflects the capacity constraints of domestic housing agencies and the continuing influence of international development finance institutions as standard-setters for project appraisal practice in SSA.</w:t>
      </w:r>
    </w:p>
    <w:p w14:paraId="0E5E248F"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Economic Returns and Financial Viability of Residential Construction</w:t>
      </w:r>
    </w:p>
    <w:p w14:paraId="4CAD3DF7" w14:textId="592E3946"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A significant body of empirical literature from SSA focuses on CBA's assessment of economic returns and financial viability in residential construction, spanning both market-rate and affordable housing segments. In the market-rate segment, CBA studies from South Africa, Kenya, and Côte d'Ivoire consistently demonstrate that residential construction in high-demand urban corridors particularly in Nairobi, Johannesburg, and Abidjan generates positive NPVs at commercially determined discount rates (8–15%), driven by strong property appreciation, rental income growth, and infrastructure-linked value capture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{"citationID":"o370NP8k","properties":{"unsorted":false,"formattedCitation":"(Sy, 2018; Viruly &amp; Hopkins, 2019)","plainCitation":"(Sy, 2018; Viruly &amp; Hopkins, 2019)","noteIndex":0},"citationItems":[{"id":529,"uris":["http://zotero.org/users/19233632/items/WMJTDRR4"],"itemData":{"id":529,"type":"article-journal","container-title":"Revue Africaine de l'Integration","issue":"1","page":"33–57","title":"Residential real estate investment viability in Cote d'Ivoire: A discounted cash flow and CBA analysis","volume":"12","author":[{"family":"Sy","given":"A."}],"issued":{"date-parts":[["2018"]]}}},{"id":534,"uris":["http://zotero.org/users/19233632/items/DVTYHWY9"],"itemData":{"id":534,"type":"article-journal","container-title":"Journal of the South African Institution of Civil Engineering","DOI":"10.17159/2309-8775/2019/v61n2a1","issue":"2","page":"2–11","title":"The significance of employing social discount rates in South African affordable housing CBA: A critical review","volume":"61","author":[{"family":"Viruly","given":"F."},{"family":"Hopkins","given":"N."}],"issued":{"date-parts":[["2019"]]}}}],"schema":"https://github.com/citation-style-language/schema/raw/master/csl-citation.json"}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(Sy, 2018; Viruly &amp; Hopkins, 2019)</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w:t>
      </w:r>
    </w:p>
    <w:p w14:paraId="2D2F1987" w14:textId="261C457C"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However, the financial viability calculus changes dramatically for affordable and social housing. Studies from South Africa's Breaking New Ground (BNG) programme have demonstrated that social housing projects generate negative financial NPVs at commercial discount rates, with viability contingent on government subsidies that typically cover 40–60% of total development costs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{"citationID":"RnJEcEE1","properties":{"unsorted":false,"formattedCitation":"(Boshoff et al., 2021)","plainCitation":"(Boshoff et al., 2021)","noteIndex":0},"citationItems":[{"id":503,"uris":["http://zotero.org/users/19233632/items/VZXU6BRJ"],"itemData":{"id":503,"type":"article-journal","container-title":"South African Journal of Economics","DOI":"10.1111/saje.12272","issue":"1","page":"45–63","title":"Financial viability and subsidy requirements of South Africa's Breaking New Ground social housing programme: A CBA assessment","volume":"89","author":[{"family":"Boshoff","given":"D."},{"family":"Cloete","given":"C."},{"family":"Snowball","given":"J."}],"issued":{"date-parts":[["2021"]]}}}],"schema":"https://github.com/citation-style-language/schema/raw/master/csl-citation.json"}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(Boshoff et al., 2021)</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Analogous findings from Ghana's National Housing Policy implementation reveal that formally priced affordable housing units designed for households earning between USD 200 and USD 500 per month remain unaffordable to the bottom 40% of the income distribution, meaning that even CBA-positive affordable housing projects frequently fail to reach intended beneficiaries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{"citationID":"adFGQbB7","properties":{"unsorted":false,"formattedCitation":"(Abass &amp; Gyamfi-Yeboah, 2020)","plainCitation":"(Abass &amp; Gyamfi-Yeboah, 2020)","noteIndex":0},"citationItems":[{"id":494,"uris":["http://zotero.org/users/19233632/items/K46SZ9BG"],"itemData":{"id":494,"type":"article-journal","container-title":"Housing Studies","DOI":"10.1080/02673037.2019.1638015","issue":"4","page":"612–630","title":"Housing affordability and the low-income housing market in Ghana: A CBA perspective","volume":"35","author":[{"family":"Abass","given":"K."},{"family":"Gyamfi-Yeboah","given":"F."}],"issued":{"date-parts":[["2020"]]}}}],"schema":"https://github.com/citation-style-language/schema/raw/master/csl-citation.json"}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(Abass &amp; Gyamfi-Yeboah, 2020)</w:t>
      </w:r>
      <w:r>
        <w:rPr>
          <w:rFonts w:ascii="Times New Roman" w:eastAsia="Times New Roman" w:hAnsi="Times New Roman" w:cs="Times New Roman"/>
          <w:color w:val="000000" w:themeColor="text1"/>
          <w:sz w:val="24"/>
          <w:szCs w:val="24"/>
        </w:rPr>
        <w:fldChar w:fldCharType="end"/>
      </w:r>
    </w:p>
    <w:p w14:paraId="02F31FFF" w14:textId="63CC5342"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Osei-Kyei &amp; Chan (2017) conducted a systematic analysis of CBA outcomes across public-private partnership (PPP) housing schemes in SSA and found that IRR values in housing PPPs ranged from 6.2% to 18.7%, with significant variance explained by land cost differentials, infrastructure provision responsibilities, and tenure security. Projects in which </w:t>
      </w:r>
      <w:r>
        <w:rPr>
          <w:rFonts w:ascii="Times New Roman" w:eastAsia="Times New Roman" w:hAnsi="Times New Roman" w:cs="Times New Roman"/>
          <w:color w:val="000000" w:themeColor="text1"/>
          <w:sz w:val="24"/>
          <w:szCs w:val="24"/>
        </w:rPr>
        <w:lastRenderedPageBreak/>
        <w:t xml:space="preserve">government partners contributed land at subsidised rates consistently achieved higher IRRs, underscoring the strategic role of land policy in the CBA of affordable residential construction. This finding was replicated in studies from Uganda and Mozambique, where land acquisition costs constituted 25–45% of total development costs a proportion sufficiently high to render otherwise financially viable projects unfeasible without public land contribution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{"citationID":"aRH5ekEa","properties":{"unsorted":false,"formattedCitation":"(Anyamba, 2020; Cumbe &amp; Napier, 2019)","plainCitation":"(Anyamba, 2020; Cumbe &amp; Napier, 2019)","noteIndex":0},"citationItems":[{"id":500,"uris":["http://zotero.org/users/19233632/items/Z98EQBJ2"],"itemData":{"id":500,"type":"article-journal","container-title":"Urban Studies","DOI":"10.1177/0042098019857845","issue":"9","page":"1898–1916","title":"Land cost structures and residential construction viability in Ugandan cities","volume":"57","author":[{"family":"Anyamba","given":"T."}],"issued":{"date-parts":[["2020"]]}}},{"id":507,"uris":["http://zotero.org/users/19233632/items/EPTYGZ35"],"itemData":{"id":507,"type":"article-journal","container-title":"Habitat International","DOI":"10.1016/j.habitatint.2019.03.005","page":"21–30","title":"Land cost constraints on affordable residential construction in Maputo: A cost-benefit perspective","volume":"87","author":[{"family":"Cumbe","given":"A."},{"family":"Napier","given":"M."}],"issued":{"date-parts":[["2019"]]}}}],"schema":"https://github.com/citation-style-language/schema/raw/master/csl-citation.json"}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(Anyamba, 2020; Cumbe &amp; Napier, 2019)</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w:t>
      </w:r>
    </w:p>
    <w:p w14:paraId="441F25D8"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The relationship between construction cost escalation and CBA reliability is another prominent theme in the empirical literature. Akintoye et al. (2020) analysed 62 residential construction projects across Nigeria, Ghana, and South Africa and found that actual construction costs exceeded CBA projections by an average of 31%, primarily attributable to currency depreciation, supply chain disruptions, contractor capacity limitations, and design changes. These consistent cost overruns systematically erode the NPV margins projected in pre-investment CBA exercises, raising fundamental questions about the accuracy of cost estimation methodologies employed in SSA residential construction appraisals.</w:t>
      </w:r>
    </w:p>
    <w:p w14:paraId="79FBAFC0"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Social Costs and Benefits in Residential CBA</w:t>
      </w:r>
    </w:p>
    <w:p w14:paraId="47925940" w14:textId="7B4892EC" w:rsidR="00183C1A" w:rsidRPr="00C0772E" w:rsidRDefault="00636883"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One of the SSA literature's most theoretically difficult and empirically underdeveloped aspects is the incorporation of social costs and benefits into residential construction CBA. Improvements in household living standards and health outcomes (by replacing housing in informal settlements), job creation during construction and operation, community economic multiplier effects, increased access to schools and healthcare facilities, and decreased urban crime through neighbourhood stabilisation are some of the social benefits of residential construction.</w:t>
      </w:r>
      <w:r w:rsidR="00183C1A">
        <w:rPr>
          <w:rFonts w:ascii="Times New Roman" w:eastAsia="Times New Roman" w:hAnsi="Times New Roman" w:cs="Times New Roman"/>
          <w:color w:val="000000" w:themeColor="text1"/>
          <w:sz w:val="24"/>
          <w:szCs w:val="24"/>
        </w:rPr>
        <w:fldChar w:fldCharType="begin"/>
      </w:r>
      <w:r w:rsidR="00183C1A">
        <w:rPr>
          <w:rFonts w:ascii="Times New Roman" w:eastAsia="Times New Roman" w:hAnsi="Times New Roman" w:cs="Times New Roman"/>
          <w:color w:val="000000" w:themeColor="text1"/>
          <w:sz w:val="24"/>
          <w:szCs w:val="24"/>
        </w:rPr>
        <w:instrText xml:space="preserve"> ADDIN ZOTERO_ITEM CSL_CITATION {"citationID":"B1PJVdR5","properties":{"unsorted":false,"formattedCitation":"(Pieterse, 2019)","plainCitation":"(Pieterse, 2019)","noteIndex":0},"citationItems":[{"id":528,"uris":["http://zotero.org/users/19233632/items/63XXEMJX"],"itemData":{"id":528,"type":"article-journal","container-title":"African Affairs","DOI":"10.1093/afraf/ady062","issue":"471","page":"324–347","title":"Housing for urban Africa: Social benefit appraisal and the challenge of scaling up formal delivery","volume":"118","author":[{"family":"Pieterse","given":"E."}],"issued":{"date-parts":[["2019"]]}}}],"schema":"https://github.com/citation-style-language/schema/raw/master/csl-citation.json"} </w:instrText>
      </w:r>
      <w:r w:rsidR="00183C1A">
        <w:rPr>
          <w:rFonts w:ascii="Times New Roman" w:eastAsia="Times New Roman" w:hAnsi="Times New Roman" w:cs="Times New Roman"/>
          <w:color w:val="000000" w:themeColor="text1"/>
          <w:sz w:val="24"/>
          <w:szCs w:val="24"/>
        </w:rPr>
        <w:fldChar w:fldCharType="separate"/>
      </w:r>
      <w:r w:rsidR="00183C1A">
        <w:rPr>
          <w:rFonts w:ascii="Times New Roman" w:hAnsi="Times New Roman" w:cs="Times New Roman"/>
          <w:sz w:val="24"/>
        </w:rPr>
        <w:t>(Pieterse, 2019)</w:t>
      </w:r>
      <w:r w:rsidR="00183C1A">
        <w:rPr>
          <w:rFonts w:ascii="Times New Roman" w:eastAsia="Times New Roman" w:hAnsi="Times New Roman" w:cs="Times New Roman"/>
          <w:color w:val="000000" w:themeColor="text1"/>
          <w:sz w:val="24"/>
          <w:szCs w:val="24"/>
        </w:rPr>
        <w:fldChar w:fldCharType="end"/>
      </w:r>
      <w:r w:rsidR="00183C1A">
        <w:rPr>
          <w:rFonts w:ascii="Times New Roman" w:eastAsia="Times New Roman" w:hAnsi="Times New Roman" w:cs="Times New Roman"/>
          <w:color w:val="000000" w:themeColor="text1"/>
          <w:sz w:val="24"/>
          <w:szCs w:val="24"/>
        </w:rPr>
        <w:t>. Conversely, social costs include community displacement and relocation trauma, loss of informal economic livelihood zones, increased commuting distances when resettlement sites are peripheral, and infrastructure service delivery pressures on receiving communities.</w:t>
      </w:r>
    </w:p>
    <w:p w14:paraId="5476D9DF" w14:textId="3600F32F" w:rsidR="00183C1A" w:rsidRPr="00C0772E" w:rsidRDefault="00D61E91"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There is little but expanding empirical data on the quantification of social benefits in SSA residential CBA. Every Ghana Cedi invested in social housing produced between GHS 1.8 and GHS 3.4 in social value measured by health cost savings, decreased crime-related expenditures, improved school attendance rates, and household income increases attributable to improved housing security, according to a seminal study by Ahwireng-Obeng and Asiedu (2021) that looked at the social return on investment (SROI) of 12 social housing projects across Ghana's three biggest cities. This SROI research makes a strong case for the inclusion of social benefits in residential building CBA across SSA, despite methodological challenges to its monetisation assumptions.</w:t>
      </w:r>
    </w:p>
    <w:p w14:paraId="6E910FE2" w14:textId="65FE5BD6"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The social costs of displacement associated with urban redevelopment and new residential construction receive more consistent attention in the SSA empirical literature. Studies from Accra's Korle-Gonno redevelopment, Nairobi's Westlands densification programme, and Lagos' Badia East settlement eviction have extensively documented the social and economic costs imposed on evicted communities, including loss of social capital, income disruption, and psychological distress costs that standard CBA frameworks rarely monetise or incorporate into project appraisals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{"citationID":"ghRrTs8A","properties":{"unsorted":false,"formattedCitation":"(Omeike, 2020)","plainCitation":"(Omeike, 2020)","noteIndex":0},"citationItems":[{"id":522,"uris":["http://zotero.org/users/19233632/items/38SNYXHJ"],"itemData":{"id":522,"type":"article-journal","container-title":"Urban Forum","DOI":"10.1007/s12132-020-09393-6","issue":"3","page":"279–298","title":"Social costs of settlement eviction in Lagos: Evaluating displacement externalities excluded from residential project CBA","volume":"31","author":[{"family":"Omeike","given":"O."}],"issued":{"date-parts":[["2020"]]}}}],"schema":"https://github.com/citation-style-language/schema/raw/master/csl-citation.json"}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(Omeike, 2020)</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xml:space="preserve">. The systematic exclusion of displacement </w:t>
      </w:r>
      <w:r>
        <w:rPr>
          <w:rFonts w:ascii="Times New Roman" w:eastAsia="Times New Roman" w:hAnsi="Times New Roman" w:cs="Times New Roman"/>
          <w:color w:val="000000" w:themeColor="text1"/>
          <w:sz w:val="24"/>
          <w:szCs w:val="24"/>
        </w:rPr>
        <w:lastRenderedPageBreak/>
        <w:t>costs from CBA thus generates a structural bias toward the approval of demolition-based urban residential redevelopment projects in SSA, even when the net social impact is negative.</w:t>
      </w:r>
    </w:p>
    <w:p w14:paraId="4E1B4311"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Environmental Externalities and Green Building CBA</w:t>
      </w:r>
    </w:p>
    <w:p w14:paraId="06E8C7A9" w14:textId="731BE7CF"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Environmental externalities from residential construction including land degradation, increased carbon footprint, depletion of natural resources, stormwater runoff, urban heat island effects, and biodiversity loss represent a systematically undervalued cost dimension in SSA residential construction CBA. The reviewed literature reveals a growing but still nascent body of empirical evidence on environmental cost-benefit analysis in SSA housing, concentrated primarily in South Africa and Ghana, which have more advanced green building rating systems and environmental impact assessment frameworks relative to other SSA countries.</w:t>
      </w:r>
    </w:p>
    <w:p w14:paraId="2B4041C3" w14:textId="766192B6"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Ayarkwa et al. (2020) conducted a comprehensive cost-benefit analysis of green building standards adoption in Ghanaian residential construction and found that projects meeting Green Star SA criteria the most widely applied green building rating system in SSA  achieved lifecycle cost savings of 12–18% compared to conventional construction, driven by reduced energy consumption, lower water utility costs, and extended building durability. The study's CBA model demonstrated a positive NPV for green building investment at an 8% discount rate with a payback period of 7–11 years, providing empirical support for green building mandates in SSA residential construction policy.</w:t>
      </w:r>
    </w:p>
    <w:p w14:paraId="5B27A57D" w14:textId="5AA70101"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Climate change vulnerability is an increasingly prominent environmental cost factor in SSA residential construction CBA. Studies from coastal SSA cities including Dar es Salaam, Accra, and Maputo have begun to incorporate climate risk valuation into residential development CBA through probabilistic flood damage assessments, sea level rise projections, and climate-adjusted insurance cost modelling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{"citationID":"OMCInNqt","properties":{"unsorted":false,"formattedCitation":"(Hammill et al., 2021)","plainCitation":"(Hammill et al., 2021)","noteIndex":0},"citationItems":[{"id":511,"uris":["http://zotero.org/users/19233632/items/EFBKELNF"],"itemData":{"id":511,"type":"article-journal","container-title":"Environmental and Resource Economics","DOI":"10.1007/s10640-021-00542-0","issue":"4","page":"651–679","title":"Climate risk and urban residential construction in coastal Sub-Saharan Africa: Incorporating environmental externalities into CBA frameworks","volume":"78","author":[{"family":"Hammill","given":"A."},{"family":"Matthew","given":"R."},{"family":"McCarter","given":"E."}],"issued":{"date-parts":[["2021"]]}}}],"schema":"https://github.com/citation-style-language/schema/raw/master/csl-citation.json"}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(Hammill et al., 2021)</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Muller et al. (2019) demonstrated in a South African context that residential construction projects in flood-prone urban areas that failed to incorporate climate risk costs into CBA had a 40% higher probability of generating negative lifetime returns compared to projects with explicit climate-adjusted cost modelling a finding with significant implications for SSA housing development in climate-vulnerable locations.</w:t>
      </w:r>
    </w:p>
    <w:p w14:paraId="1B048979"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Methodological Challenges in CBA Application</w:t>
      </w:r>
    </w:p>
    <w:p w14:paraId="181AB15D"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The empirical literature consistently highlights a set of methodological challenges that constrain CBA's reliability and comparability across SSA residential construction contexts. These challenges operate at the levels of data quality, analytical framework selection, discount rate determination, externality quantification, and professional capacity.</w:t>
      </w:r>
    </w:p>
    <w:p w14:paraId="5312FE6C" w14:textId="7F633A2B"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Data quality and availability represent the most pervasively cited constraint on CBA rigour in SSA. Across studies from Nigeria, Ethiopia, Cameroon, and Uganda, researchers document the absence of comprehensive construction cost databases, property transaction registries, housing demand surveys, and labour market data adequate for grounding reliable cost and benefit projections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{"citationID":"JTORR2T3","properties":{"unsorted":false,"formattedCitation":"(Ngowi et al., 2020; Tesfaye &amp; Zeleke, 2023)","plainCitation":"(Ngowi et al., 2020; Tesfaye &amp; Zeleke, 2023)","noteIndex":0},"citationItems":[{"id":520,"uris":["http://zotero.org/users/19233632/items/D8D7FDZU"],"itemData":{"id":520,"type":"article-journal","container-title":"Acta Structilia","DOI":"10.18820/24150487/as27i1.1","issue":"1","page":"1–22","title":"Data infrastructure constraints on construction cost-benefit analysis in Sub-Saharan Africa","volume":"27","author":[{"family":"Ngowi","given":"A. B."},{"family":"Pienaar","given":"E."},{"family":"Talukhaba","given":"A."}],"issued":{"date-parts":[["2020"]]}}},{"id":530,"uris":["http://zotero.org/users/19233632/items/EUVSAQ7P"],"itemData":{"id":530,"type":"article-journal","container-title":"Ethiopian Journal of Construction and Infrastructure Development","issue":"1","page":"1–18","title":"CBA challenges in Ethiopian government housing development: Data limitations and cross-contextual adjustment in Addis Ababa projects","volume":"9","author":[{"family":"Tesfaye","given":"A."},{"family":"Zeleke","given":"D."}],"issued":{"date-parts":[["2023"]]}}}],"schema":"https://github.com/citation-style-language/schema/raw/master/csl-citation.json"}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(Ngowi et al., 2020; Tesfaye &amp; Zeleke, 2023)</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This data deficit forces CBA practitioners to rely on outdated benchmarks, expert opinion surveys, and cross-country data transfers that introduce uncertainty ranges sufficiently large to render CBA conclusions non-definitive a</w:t>
      </w:r>
      <w:r w:rsidR="00306C9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situation that undermines CBA's decision-support function and creates space for the substitution of CBA evidence with political or commercial considerations.</w:t>
      </w:r>
    </w:p>
    <w:p w14:paraId="1AB75392" w14:textId="09AE93D3"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Informal land tenure is a particularly acute constraint on CBA in SSA residential construction. In countries where between 50% and 90% of urban land is held under customary, informal, or unregistered tenure arrangements including Ghana, Tanzania, Mozambique, and Uganda the monetary valuation of land as a project cost and the quantification of land-related benefits such as value capture and title security are inherently problematic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{"citationID":"jkiKPyv1","properties":{"unsorted":false,"formattedCitation":"(Chirisa et al., 2020)","plainCitation":"(Chirisa et al., 2020)","noteIndex":0},"citationItems":[{"id":506,"uris":["http://zotero.org/users/19233632/items/JVZ5GQJJ"],"itemData":{"id":506,"type":"article-journal","container-title":"Journal of African Real Estate Research","DOI":"10.15641/jarer.v5i1.816","issue":"1","page":"1–21","title":"Customary land tenure and CBA feasibility in Zimbabwean urban housing: Implications for formal housing investment","volume":"5","author":[{"family":"Chirisa","given":"I."},{"family":"Bandauko","given":"E."},{"family":"Mutsindikwa","given":"N."}],"issued":{"date-parts":[["2020"]]}}}],"schema":"https://github.com/citation-style-language/schema/raw/master/csl-citation.json"}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(Chirisa et al., 2020)</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 CBA exercises in such contexts frequently omit land value appreciation from benefit calculations or employ arbitrary land valuation proxies that do not reflect the actual economic and social significance of tenure formalisation.</w:t>
      </w:r>
    </w:p>
    <w:p w14:paraId="725EFC59" w14:textId="375A026D" w:rsidR="00183C1A" w:rsidRPr="006A6E9C" w:rsidRDefault="00183C1A" w:rsidP="006A6E9C">
      <w:pPr>
        <w:spacing w:after="12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Shadow pricing the estimation of the social value of inputs and outputs that are not traded in markets or whose market prices do not reflect true social costs is theoretically essential to CBA in SSA but empirically inconsistent in application. A review of 18 housing CBA reports from five SSA countries </w:t>
      </w:r>
      <w:r w:rsidRPr="00306C99">
        <w:rPr>
          <w:rFonts w:ascii="Times New Roman" w:eastAsia="Times New Roman" w:hAnsi="Times New Roman" w:cs="Times New Roman"/>
          <w:color w:val="000000" w:themeColor="text1"/>
          <w:sz w:val="24"/>
          <w:szCs w:val="24"/>
        </w:rPr>
        <w:t>by Nduka and Okwu (2021) found that fewer than 20% of studies applied explicit shadow pricing to construction labour, while</w:t>
      </w:r>
      <w:r>
        <w:rPr>
          <w:rFonts w:ascii="Times New Roman" w:eastAsia="Times New Roman" w:hAnsi="Times New Roman" w:cs="Times New Roman"/>
          <w:color w:val="000000" w:themeColor="text1"/>
          <w:sz w:val="24"/>
          <w:szCs w:val="24"/>
        </w:rPr>
        <w:t xml:space="preserve"> only 8% applied environmental shadow prices for land degradation or carbon emissions. The authors attribute this under-application to the complexity of shadow pricing estimation, the lack of national economic parameter databases in most SSA countries, and the professional training gap among built environment practitioners in CBA methodology.</w:t>
      </w:r>
      <w:r w:rsidR="00306C99">
        <w:rPr>
          <w:rFonts w:ascii="Times New Roman" w:eastAsia="Times New Roman" w:hAnsi="Times New Roman" w:cs="Times New Roman"/>
          <w:color w:val="000000" w:themeColor="text1"/>
          <w:sz w:val="24"/>
          <w:szCs w:val="24"/>
        </w:rPr>
        <w:fldChar w:fldCharType="begin"/>
      </w:r>
      <w:r w:rsidR="00306C99">
        <w:rPr>
          <w:rFonts w:ascii="Times New Roman" w:eastAsia="Times New Roman" w:hAnsi="Times New Roman" w:cs="Times New Roman"/>
          <w:color w:val="000000" w:themeColor="text1"/>
          <w:sz w:val="24"/>
          <w:szCs w:val="24"/>
        </w:rPr>
        <w:instrText xml:space="preserve"> ADDIN ZOTERO_ITEM CSL_CITATION {"citationID":"7UESg5Dt","properties":{"unsorted":false,"formattedCitation":"(Nduka &amp; Okwu, 2021)","plainCitation":"(Nduka &amp; Okwu, 2021)","noteIndex":0},"citationItems":[{"id":519,"uris":["http://zotero.org/users/19233632/items/T5DFKFZU"],"itemData":{"id":519,"type":"article-journal","container-title":"Journal of Financial Management of Property and Construction","DOI":"10.1108/JFMPC-08-2020-0054","issue":"3","page":"381–399","title":"Shadow pricing in residential construction CBA in Sub-Saharan Africa: Application gaps and professional training deficits","volume":"26","author":[{"family":"Nduka","given":"D. O."},{"family":"Okwu","given":"M. O."}],"issued":{"date-parts":[["2021"]]}}}],"schema":"https://github.com/citation-style-language/schema/raw/master/csl-citation.json"} </w:instrText>
      </w:r>
      <w:r w:rsidR="00306C99">
        <w:rPr>
          <w:rFonts w:ascii="Times New Roman" w:eastAsia="Times New Roman" w:hAnsi="Times New Roman" w:cs="Times New Roman"/>
          <w:color w:val="000000" w:themeColor="text1"/>
          <w:sz w:val="24"/>
          <w:szCs w:val="24"/>
        </w:rPr>
        <w:fldChar w:fldCharType="separate"/>
      </w:r>
      <w:r w:rsidR="00306C99" w:rsidRPr="00306C99">
        <w:rPr>
          <w:rFonts w:ascii="Times New Roman" w:hAnsi="Times New Roman" w:cs="Times New Roman"/>
          <w:sz w:val="24"/>
        </w:rPr>
        <w:t>(Nduka &amp; Okwu, 2021)</w:t>
      </w:r>
      <w:r w:rsidR="00306C99">
        <w:rPr>
          <w:rFonts w:ascii="Times New Roman" w:eastAsia="Times New Roman" w:hAnsi="Times New Roman" w:cs="Times New Roman"/>
          <w:color w:val="000000" w:themeColor="text1"/>
          <w:sz w:val="24"/>
          <w:szCs w:val="24"/>
        </w:rPr>
        <w:fldChar w:fldCharType="end"/>
      </w:r>
    </w:p>
    <w:p w14:paraId="5DE80DFB" w14:textId="0B6A3F8E" w:rsidR="006A6E9C" w:rsidRPr="006A6E9C" w:rsidRDefault="006A6E9C" w:rsidP="006A6E9C">
      <w:pPr>
        <w:spacing w:before="60"/>
        <w:jc w:val="both"/>
        <w:rPr>
          <w:rFonts w:ascii="Times New Roman" w:eastAsia="Times New Roman" w:hAnsi="Times New Roman" w:cs="Times New Roman"/>
          <w:i/>
          <w:iCs/>
          <w:color w:val="000000" w:themeColor="text1"/>
          <w:sz w:val="20"/>
          <w:szCs w:val="20"/>
        </w:rPr>
      </w:pPr>
      <w:r w:rsidRPr="006A6E9C">
        <w:rPr>
          <w:rFonts w:ascii="Times New Roman" w:eastAsia="Times New Roman" w:hAnsi="Times New Roman" w:cs="Times New Roman"/>
          <w:i/>
          <w:iCs/>
          <w:noProof/>
          <w:color w:val="000000" w:themeColor="text1"/>
          <w:sz w:val="20"/>
          <w:szCs w:val="20"/>
          <w:lang w:val="en-IN" w:eastAsia="en-IN"/>
        </w:rPr>
        <w:drawing>
          <wp:inline distT="0" distB="0" distL="0" distR="0" wp14:anchorId="6C7EF774" wp14:editId="131BDCED">
            <wp:extent cx="5731510" cy="3848432"/>
            <wp:effectExtent l="0" t="0" r="2540" b="0"/>
            <wp:docPr id="1748938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004" cy="3848764"/>
                    </a:xfrm>
                    <a:prstGeom prst="rect">
                      <a:avLst/>
                    </a:prstGeom>
                    <a:noFill/>
                    <a:ln>
                      <a:noFill/>
                    </a:ln>
                  </pic:spPr>
                </pic:pic>
              </a:graphicData>
            </a:graphic>
          </wp:inline>
        </w:drawing>
      </w:r>
    </w:p>
    <w:p w14:paraId="42DA71FA" w14:textId="4C8A17A2" w:rsidR="006663E1" w:rsidRPr="006663E1" w:rsidRDefault="006663E1" w:rsidP="006663E1">
      <w:pPr>
        <w:spacing w:before="60"/>
        <w:jc w:val="both"/>
        <w:rPr>
          <w:rFonts w:ascii="Times New Roman" w:hAnsi="Times New Roman" w:cs="Times New Roman"/>
          <w:color w:val="000000" w:themeColor="text1"/>
        </w:rPr>
      </w:pPr>
      <w:r w:rsidRPr="006663E1">
        <w:rPr>
          <w:rFonts w:ascii="Times New Roman" w:eastAsia="Times New Roman" w:hAnsi="Times New Roman" w:cs="Times New Roman"/>
          <w:i/>
          <w:iCs/>
          <w:color w:val="000000" w:themeColor="text1"/>
          <w:sz w:val="20"/>
          <w:szCs w:val="20"/>
        </w:rPr>
        <w:t xml:space="preserve">Figure 2: Conceptual Framework </w:t>
      </w:r>
      <w:r>
        <w:rPr>
          <w:rFonts w:ascii="Times New Roman" w:eastAsia="Times New Roman" w:hAnsi="Times New Roman" w:cs="Times New Roman"/>
          <w:i/>
          <w:iCs/>
          <w:color w:val="000000" w:themeColor="text1"/>
          <w:sz w:val="20"/>
          <w:szCs w:val="20"/>
        </w:rPr>
        <w:t>showing</w:t>
      </w:r>
      <w:r w:rsidRPr="006663E1">
        <w:rPr>
          <w:rFonts w:ascii="Times New Roman" w:eastAsia="Times New Roman" w:hAnsi="Times New Roman" w:cs="Times New Roman"/>
          <w:i/>
          <w:iCs/>
          <w:color w:val="000000" w:themeColor="text1"/>
          <w:sz w:val="20"/>
          <w:szCs w:val="20"/>
        </w:rPr>
        <w:t xml:space="preserve"> CBA Dimensions in SSA Residential Construction Project Development (Authors, 2026)</w:t>
      </w:r>
    </w:p>
    <w:p w14:paraId="4DE09896" w14:textId="77777777" w:rsidR="00183C1A" w:rsidRPr="00C0772E" w:rsidRDefault="00183C1A" w:rsidP="00185349">
      <w:pPr>
        <w:spacing w:after="120"/>
        <w:jc w:val="both"/>
        <w:rPr>
          <w:rFonts w:ascii="Times New Roman" w:hAnsi="Times New Roman" w:cs="Times New Roman"/>
          <w:color w:val="000000" w:themeColor="text1"/>
        </w:rPr>
      </w:pPr>
    </w:p>
    <w:p w14:paraId="153270D1" w14:textId="51535E55" w:rsidR="00183C1A" w:rsidRPr="00C0772E" w:rsidRDefault="00183C1A" w:rsidP="006663E1">
      <w:pPr>
        <w:spacing w:before="60"/>
        <w:jc w:val="both"/>
        <w:rPr>
          <w:rFonts w:ascii="Times New Roman" w:hAnsi="Times New Roman" w:cs="Times New Roman"/>
          <w:color w:val="000000" w:themeColor="text1"/>
        </w:rPr>
      </w:pPr>
      <w:r w:rsidRPr="006663E1">
        <w:rPr>
          <w:rFonts w:ascii="Times New Roman" w:eastAsia="Times New Roman" w:hAnsi="Times New Roman" w:cs="Times New Roman"/>
          <w:i/>
          <w:iCs/>
          <w:color w:val="000000" w:themeColor="text1"/>
          <w:sz w:val="20"/>
          <w:szCs w:val="20"/>
        </w:rPr>
        <w:t>Table 2: Selected Empirical Studies on CBA Application in SSA Residential Construction (2010–2025)</w:t>
      </w:r>
    </w:p>
    <w:tbl>
      <w:tblPr>
        <w:tblStyle w:val="TableGrid"/>
        <w:tblW w:w="9360" w:type="dxa"/>
        <w:tblLook w:val="04A0" w:firstRow="1" w:lastRow="0" w:firstColumn="1" w:lastColumn="0" w:noHBand="0" w:noVBand="1"/>
      </w:tblPr>
      <w:tblGrid>
        <w:gridCol w:w="1289"/>
        <w:gridCol w:w="939"/>
        <w:gridCol w:w="1261"/>
        <w:gridCol w:w="1495"/>
        <w:gridCol w:w="2347"/>
        <w:gridCol w:w="2029"/>
      </w:tblGrid>
      <w:tr w:rsidR="00183C1A" w:rsidRPr="00C0772E" w14:paraId="4AB10021" w14:textId="77777777" w:rsidTr="00FE51C6">
        <w:tc>
          <w:tcPr>
            <w:tcW w:w="1300" w:type="dxa"/>
          </w:tcPr>
          <w:p w14:paraId="4B1ECCD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Authors / Year</w:t>
            </w:r>
          </w:p>
        </w:tc>
        <w:tc>
          <w:tcPr>
            <w:tcW w:w="900" w:type="dxa"/>
          </w:tcPr>
          <w:p w14:paraId="77A5B99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Country</w:t>
            </w:r>
          </w:p>
        </w:tc>
        <w:tc>
          <w:tcPr>
            <w:tcW w:w="1200" w:type="dxa"/>
          </w:tcPr>
          <w:p w14:paraId="2BCE7D8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Study Design</w:t>
            </w:r>
          </w:p>
        </w:tc>
        <w:tc>
          <w:tcPr>
            <w:tcW w:w="1500" w:type="dxa"/>
          </w:tcPr>
          <w:p w14:paraId="2BB24E3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CBA Dimensions</w:t>
            </w:r>
          </w:p>
        </w:tc>
        <w:tc>
          <w:tcPr>
            <w:tcW w:w="2400" w:type="dxa"/>
          </w:tcPr>
          <w:p w14:paraId="726FEB0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Key Findings</w:t>
            </w:r>
          </w:p>
        </w:tc>
        <w:tc>
          <w:tcPr>
            <w:tcW w:w="2060" w:type="dxa"/>
          </w:tcPr>
          <w:p w14:paraId="4A982AD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Relevance</w:t>
            </w:r>
          </w:p>
        </w:tc>
      </w:tr>
      <w:tr w:rsidR="00183C1A" w:rsidRPr="00C0772E" w14:paraId="6A04FF8C" w14:textId="77777777" w:rsidTr="00FE51C6">
        <w:tc>
          <w:tcPr>
            <w:tcW w:w="1300" w:type="dxa"/>
          </w:tcPr>
          <w:p w14:paraId="035ED36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Adesanya et al. (2022)</w:t>
            </w:r>
          </w:p>
        </w:tc>
        <w:tc>
          <w:tcPr>
            <w:tcW w:w="900" w:type="dxa"/>
          </w:tcPr>
          <w:p w14:paraId="67E0A8A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Nigeria</w:t>
            </w:r>
          </w:p>
        </w:tc>
        <w:tc>
          <w:tcPr>
            <w:tcW w:w="1200" w:type="dxa"/>
          </w:tcPr>
          <w:p w14:paraId="30B1E14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Mixed-methods survey (n=28 projects)</w:t>
            </w:r>
          </w:p>
        </w:tc>
        <w:tc>
          <w:tcPr>
            <w:tcW w:w="1500" w:type="dxa"/>
          </w:tcPr>
          <w:p w14:paraId="331C7B3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NPV, BCR, Cost Estimation</w:t>
            </w:r>
          </w:p>
        </w:tc>
        <w:tc>
          <w:tcPr>
            <w:tcW w:w="2400" w:type="dxa"/>
          </w:tcPr>
          <w:p w14:paraId="66AFFB0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Absence of cost databases forces reliance on subjective estimates; CBA accuracy severely compromised in Lagos affordable housing context.</w:t>
            </w:r>
          </w:p>
        </w:tc>
        <w:tc>
          <w:tcPr>
            <w:tcW w:w="2060" w:type="dxa"/>
          </w:tcPr>
          <w:p w14:paraId="083EBDD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Methodological constraints in SSA urban CBA</w:t>
            </w:r>
          </w:p>
        </w:tc>
      </w:tr>
      <w:tr w:rsidR="00183C1A" w:rsidRPr="00C0772E" w14:paraId="3BF4D094" w14:textId="77777777" w:rsidTr="00FE51C6">
        <w:tc>
          <w:tcPr>
            <w:tcW w:w="1300" w:type="dxa"/>
          </w:tcPr>
          <w:p w14:paraId="5CCC8B0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Viruly &amp; Hopkins (2019)</w:t>
            </w:r>
          </w:p>
        </w:tc>
        <w:tc>
          <w:tcPr>
            <w:tcW w:w="900" w:type="dxa"/>
          </w:tcPr>
          <w:p w14:paraId="2DFE7E5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South Africa</w:t>
            </w:r>
          </w:p>
        </w:tc>
        <w:tc>
          <w:tcPr>
            <w:tcW w:w="1200" w:type="dxa"/>
          </w:tcPr>
          <w:p w14:paraId="1741673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Quantitative; DCF modelling</w:t>
            </w:r>
          </w:p>
        </w:tc>
        <w:tc>
          <w:tcPr>
            <w:tcW w:w="1500" w:type="dxa"/>
          </w:tcPr>
          <w:p w14:paraId="43213E6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NPV, Discount Rate Analysis</w:t>
            </w:r>
          </w:p>
        </w:tc>
        <w:tc>
          <w:tcPr>
            <w:tcW w:w="2400" w:type="dxa"/>
          </w:tcPr>
          <w:p w14:paraId="6D641A0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Commercial discount rates systematically undervalue long-horizon social benefits in social housing CBA; social rate adjustment recommended.</w:t>
            </w:r>
          </w:p>
        </w:tc>
        <w:tc>
          <w:tcPr>
            <w:tcW w:w="2060" w:type="dxa"/>
          </w:tcPr>
          <w:p w14:paraId="3447A79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Discount rate selection in SSA housing CBA</w:t>
            </w:r>
          </w:p>
        </w:tc>
      </w:tr>
      <w:tr w:rsidR="00183C1A" w:rsidRPr="00C0772E" w14:paraId="311EDA70" w14:textId="77777777" w:rsidTr="00FE51C6">
        <w:tc>
          <w:tcPr>
            <w:tcW w:w="1300" w:type="dxa"/>
          </w:tcPr>
          <w:p w14:paraId="39F2824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Osei-Kyei &amp; Chan (2017)</w:t>
            </w:r>
          </w:p>
        </w:tc>
        <w:tc>
          <w:tcPr>
            <w:tcW w:w="900" w:type="dxa"/>
          </w:tcPr>
          <w:p w14:paraId="277BABD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Multi-country SSA</w:t>
            </w:r>
          </w:p>
        </w:tc>
        <w:tc>
          <w:tcPr>
            <w:tcW w:w="1200" w:type="dxa"/>
          </w:tcPr>
          <w:p w14:paraId="4E7C21B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Systematic review of PPP housing CBA outcomes</w:t>
            </w:r>
          </w:p>
        </w:tc>
        <w:tc>
          <w:tcPr>
            <w:tcW w:w="1500" w:type="dxa"/>
          </w:tcPr>
          <w:p w14:paraId="0B26FFD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IRR, BCR, Land Contribution</w:t>
            </w:r>
          </w:p>
        </w:tc>
        <w:tc>
          <w:tcPr>
            <w:tcW w:w="2400" w:type="dxa"/>
          </w:tcPr>
          <w:p w14:paraId="7231AD1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IRR ranged 6.2–18.7%; government land subsidies are the strongest determinant of housing PPP viability in SSA.</w:t>
            </w:r>
          </w:p>
        </w:tc>
        <w:tc>
          <w:tcPr>
            <w:tcW w:w="2060" w:type="dxa"/>
          </w:tcPr>
          <w:p w14:paraId="76C9A72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PPP housing appraisal across SSA</w:t>
            </w:r>
          </w:p>
        </w:tc>
      </w:tr>
      <w:tr w:rsidR="00183C1A" w:rsidRPr="00C0772E" w14:paraId="62B6EDFF" w14:textId="77777777" w:rsidTr="00FE51C6">
        <w:tc>
          <w:tcPr>
            <w:tcW w:w="1300" w:type="dxa"/>
          </w:tcPr>
          <w:p w14:paraId="07AECEF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Ayarkwa et al. (2020)</w:t>
            </w:r>
          </w:p>
        </w:tc>
        <w:tc>
          <w:tcPr>
            <w:tcW w:w="900" w:type="dxa"/>
          </w:tcPr>
          <w:p w14:paraId="58475A4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Ghana</w:t>
            </w:r>
          </w:p>
        </w:tc>
        <w:tc>
          <w:tcPr>
            <w:tcW w:w="1200" w:type="dxa"/>
          </w:tcPr>
          <w:p w14:paraId="445F79F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Lifecycle cost-benefit modelling</w:t>
            </w:r>
          </w:p>
        </w:tc>
        <w:tc>
          <w:tcPr>
            <w:tcW w:w="1500" w:type="dxa"/>
          </w:tcPr>
          <w:p w14:paraId="1DD6AB3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Environmental CBA, Green Building</w:t>
            </w:r>
          </w:p>
        </w:tc>
        <w:tc>
          <w:tcPr>
            <w:tcW w:w="2400" w:type="dxa"/>
          </w:tcPr>
          <w:p w14:paraId="4F73E09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Green buildings achieve 12–18% lifecycle cost savings; positive NPV at 8% discount rate with 7–11 year payback period.</w:t>
            </w:r>
          </w:p>
        </w:tc>
        <w:tc>
          <w:tcPr>
            <w:tcW w:w="2060" w:type="dxa"/>
          </w:tcPr>
          <w:p w14:paraId="2B7C82E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Environmental dimension of housing CBA</w:t>
            </w:r>
          </w:p>
        </w:tc>
      </w:tr>
      <w:tr w:rsidR="00183C1A" w:rsidRPr="00C0772E" w14:paraId="72492062" w14:textId="77777777" w:rsidTr="00FE51C6">
        <w:tc>
          <w:tcPr>
            <w:tcW w:w="1300" w:type="dxa"/>
          </w:tcPr>
          <w:p w14:paraId="1ED5492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Moonga &amp; Shakantu (2019)</w:t>
            </w:r>
          </w:p>
        </w:tc>
        <w:tc>
          <w:tcPr>
            <w:tcW w:w="900" w:type="dxa"/>
          </w:tcPr>
          <w:p w14:paraId="7764E84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Zambia</w:t>
            </w:r>
          </w:p>
        </w:tc>
        <w:tc>
          <w:tcPr>
            <w:tcW w:w="1200" w:type="dxa"/>
          </w:tcPr>
          <w:p w14:paraId="7530276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Project performance analysis (n=32)</w:t>
            </w:r>
          </w:p>
        </w:tc>
        <w:tc>
          <w:tcPr>
            <w:tcW w:w="1500" w:type="dxa"/>
          </w:tcPr>
          <w:p w14:paraId="5364E0C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BCR, Project Outcomes</w:t>
            </w:r>
          </w:p>
        </w:tc>
        <w:tc>
          <w:tcPr>
            <w:tcW w:w="2400" w:type="dxa"/>
          </w:tcPr>
          <w:p w14:paraId="600F1E7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CBA-appraised housing projects achieved average BCR of 1.34; non-appraised projects frequently unviable within lifecycle.</w:t>
            </w:r>
          </w:p>
        </w:tc>
        <w:tc>
          <w:tcPr>
            <w:tcW w:w="2060" w:type="dxa"/>
          </w:tcPr>
          <w:p w14:paraId="3F10603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CBA impact on project financial performance</w:t>
            </w:r>
          </w:p>
        </w:tc>
      </w:tr>
      <w:tr w:rsidR="00183C1A" w:rsidRPr="00C0772E" w14:paraId="05509485" w14:textId="77777777" w:rsidTr="00FE51C6">
        <w:tc>
          <w:tcPr>
            <w:tcW w:w="1300" w:type="dxa"/>
          </w:tcPr>
          <w:p w14:paraId="7A6C451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Ahwireng-Obeng &amp; Asiedu (2021)</w:t>
            </w:r>
          </w:p>
        </w:tc>
        <w:tc>
          <w:tcPr>
            <w:tcW w:w="900" w:type="dxa"/>
          </w:tcPr>
          <w:p w14:paraId="26A3560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Ghana</w:t>
            </w:r>
          </w:p>
        </w:tc>
        <w:tc>
          <w:tcPr>
            <w:tcW w:w="1200" w:type="dxa"/>
          </w:tcPr>
          <w:p w14:paraId="6327255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SROI analysis (n=12 projects)</w:t>
            </w:r>
          </w:p>
        </w:tc>
        <w:tc>
          <w:tcPr>
            <w:tcW w:w="1500" w:type="dxa"/>
          </w:tcPr>
          <w:p w14:paraId="6FCFCD7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Social CBA, SROI</w:t>
            </w:r>
          </w:p>
        </w:tc>
        <w:tc>
          <w:tcPr>
            <w:tcW w:w="2400" w:type="dxa"/>
          </w:tcPr>
          <w:p w14:paraId="120B740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GHS 1.8–3.4 social value per GHS invested; health savings, crime reduction, and school attendance are key benefit drivers.</w:t>
            </w:r>
          </w:p>
        </w:tc>
        <w:tc>
          <w:tcPr>
            <w:tcW w:w="2060" w:type="dxa"/>
          </w:tcPr>
          <w:p w14:paraId="5C6E0F5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Social return quantification in housing CBA</w:t>
            </w:r>
          </w:p>
        </w:tc>
      </w:tr>
      <w:tr w:rsidR="00183C1A" w:rsidRPr="00C0772E" w14:paraId="784FA312" w14:textId="77777777" w:rsidTr="00FE51C6">
        <w:tc>
          <w:tcPr>
            <w:tcW w:w="1300" w:type="dxa"/>
          </w:tcPr>
          <w:p w14:paraId="7F5E601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Akintoye et al. (2020)</w:t>
            </w:r>
          </w:p>
        </w:tc>
        <w:tc>
          <w:tcPr>
            <w:tcW w:w="900" w:type="dxa"/>
          </w:tcPr>
          <w:p w14:paraId="6299783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Multi-country SSA</w:t>
            </w:r>
          </w:p>
        </w:tc>
        <w:tc>
          <w:tcPr>
            <w:tcW w:w="1200" w:type="dxa"/>
          </w:tcPr>
          <w:p w14:paraId="34A6E8B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Cross-national analysis (n=62 projects)</w:t>
            </w:r>
          </w:p>
        </w:tc>
        <w:tc>
          <w:tcPr>
            <w:tcW w:w="1500" w:type="dxa"/>
          </w:tcPr>
          <w:p w14:paraId="023AC0E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Cost Estimation, NPV Variance</w:t>
            </w:r>
          </w:p>
        </w:tc>
        <w:tc>
          <w:tcPr>
            <w:tcW w:w="2400" w:type="dxa"/>
          </w:tcPr>
          <w:p w14:paraId="2306FA2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Actual construction costs exceeded CBA projections by average of 31%; currency depreciation and contractor capacity are primary drivers.</w:t>
            </w:r>
          </w:p>
        </w:tc>
        <w:tc>
          <w:tcPr>
            <w:tcW w:w="2060" w:type="dxa"/>
          </w:tcPr>
          <w:p w14:paraId="5DB8097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CBA reliability and cost escalation in SSA</w:t>
            </w:r>
          </w:p>
        </w:tc>
      </w:tr>
      <w:tr w:rsidR="00183C1A" w:rsidRPr="00C0772E" w14:paraId="2305D1EB" w14:textId="77777777" w:rsidTr="00FE51C6">
        <w:tc>
          <w:tcPr>
            <w:tcW w:w="1300" w:type="dxa"/>
          </w:tcPr>
          <w:p w14:paraId="222FD404"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Muller et al. (2019)</w:t>
            </w:r>
          </w:p>
        </w:tc>
        <w:tc>
          <w:tcPr>
            <w:tcW w:w="900" w:type="dxa"/>
          </w:tcPr>
          <w:p w14:paraId="1FE5554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South Africa</w:t>
            </w:r>
          </w:p>
        </w:tc>
        <w:tc>
          <w:tcPr>
            <w:tcW w:w="1200" w:type="dxa"/>
          </w:tcPr>
          <w:p w14:paraId="3C0544A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Probabilistic climate-risk CBA modelling</w:t>
            </w:r>
          </w:p>
        </w:tc>
        <w:tc>
          <w:tcPr>
            <w:tcW w:w="1500" w:type="dxa"/>
          </w:tcPr>
          <w:p w14:paraId="3126CB6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Environmental CBA, Climate Risk</w:t>
            </w:r>
          </w:p>
        </w:tc>
        <w:tc>
          <w:tcPr>
            <w:tcW w:w="2400" w:type="dxa"/>
          </w:tcPr>
          <w:p w14:paraId="3855EC0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Flood-prone housing projects without climate cost integration have 40% higher probability of negative lifetime returns.</w:t>
            </w:r>
          </w:p>
        </w:tc>
        <w:tc>
          <w:tcPr>
            <w:tcW w:w="2060" w:type="dxa"/>
          </w:tcPr>
          <w:p w14:paraId="534BEE6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Climate risk integration in housing CBA</w:t>
            </w:r>
          </w:p>
        </w:tc>
      </w:tr>
      <w:tr w:rsidR="00183C1A" w:rsidRPr="00C0772E" w14:paraId="34AD6DAC" w14:textId="77777777" w:rsidTr="00FE51C6">
        <w:tc>
          <w:tcPr>
            <w:tcW w:w="1300" w:type="dxa"/>
          </w:tcPr>
          <w:p w14:paraId="3152D87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Boshoff et al. (2021)</w:t>
            </w:r>
          </w:p>
        </w:tc>
        <w:tc>
          <w:tcPr>
            <w:tcW w:w="900" w:type="dxa"/>
          </w:tcPr>
          <w:p w14:paraId="5246707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South Africa</w:t>
            </w:r>
          </w:p>
        </w:tc>
        <w:tc>
          <w:tcPr>
            <w:tcW w:w="1200" w:type="dxa"/>
          </w:tcPr>
          <w:p w14:paraId="73558A6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Financial appraisal study; BNG programme</w:t>
            </w:r>
          </w:p>
        </w:tc>
        <w:tc>
          <w:tcPr>
            <w:tcW w:w="1500" w:type="dxa"/>
          </w:tcPr>
          <w:p w14:paraId="33AA7C7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NPV, Subsidy Analysis</w:t>
            </w:r>
          </w:p>
        </w:tc>
        <w:tc>
          <w:tcPr>
            <w:tcW w:w="2400" w:type="dxa"/>
          </w:tcPr>
          <w:p w14:paraId="2E7590D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Social housing requires 40–60% government subsidy to achieve CBA viability; market-rate CBA methods are inappropriate.</w:t>
            </w:r>
          </w:p>
        </w:tc>
        <w:tc>
          <w:tcPr>
            <w:tcW w:w="2060" w:type="dxa"/>
          </w:tcPr>
          <w:p w14:paraId="6F413C2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Social housing financial viability</w:t>
            </w:r>
          </w:p>
        </w:tc>
      </w:tr>
      <w:tr w:rsidR="00183C1A" w:rsidRPr="00C0772E" w14:paraId="0A5C5A96" w14:textId="77777777" w:rsidTr="00FE51C6">
        <w:tc>
          <w:tcPr>
            <w:tcW w:w="1300" w:type="dxa"/>
          </w:tcPr>
          <w:p w14:paraId="7C5540AA"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Mwita &amp; Mselle (2021)</w:t>
            </w:r>
          </w:p>
        </w:tc>
        <w:tc>
          <w:tcPr>
            <w:tcW w:w="900" w:type="dxa"/>
          </w:tcPr>
          <w:p w14:paraId="6D9EAA2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Tanzania</w:t>
            </w:r>
          </w:p>
        </w:tc>
        <w:tc>
          <w:tcPr>
            <w:tcW w:w="1200" w:type="dxa"/>
          </w:tcPr>
          <w:p w14:paraId="7AF25F5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Comparative project analysis</w:t>
            </w:r>
          </w:p>
        </w:tc>
        <w:tc>
          <w:tcPr>
            <w:tcW w:w="1500" w:type="dxa"/>
          </w:tcPr>
          <w:p w14:paraId="3F3FE62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NPV, IRR, Cost Control</w:t>
            </w:r>
          </w:p>
        </w:tc>
        <w:tc>
          <w:tcPr>
            <w:tcW w:w="2400" w:type="dxa"/>
          </w:tcPr>
          <w:p w14:paraId="116DD29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Full CBA application associated with significantly lower cost overrun and abandonment rates in national housing corporation projects.</w:t>
            </w:r>
          </w:p>
        </w:tc>
        <w:tc>
          <w:tcPr>
            <w:tcW w:w="2060" w:type="dxa"/>
          </w:tcPr>
          <w:p w14:paraId="3D33E17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CBA effectiveness in project delivery</w:t>
            </w:r>
          </w:p>
        </w:tc>
      </w:tr>
    </w:tbl>
    <w:p w14:paraId="140BD841" w14:textId="77777777" w:rsidR="00183C1A" w:rsidRPr="00C0772E" w:rsidRDefault="00183C1A" w:rsidP="00185349">
      <w:pPr>
        <w:spacing w:after="40"/>
        <w:jc w:val="both"/>
        <w:rPr>
          <w:rFonts w:ascii="Times New Roman" w:hAnsi="Times New Roman" w:cs="Times New Roman"/>
          <w:color w:val="000000" w:themeColor="text1"/>
        </w:rPr>
      </w:pPr>
    </w:p>
    <w:p w14:paraId="2573EC17" w14:textId="77777777" w:rsidR="00183C1A" w:rsidRPr="00C0772E" w:rsidRDefault="00183C1A" w:rsidP="00185349">
      <w:pPr>
        <w:pStyle w:val="Heading1"/>
        <w:jc w:val="both"/>
        <w:rPr>
          <w:rFonts w:ascii="Times New Roman" w:hAnsi="Times New Roman" w:cs="Times New Roman"/>
          <w:color w:val="000000" w:themeColor="text1"/>
        </w:rPr>
      </w:pPr>
      <w:r>
        <w:rPr>
          <w:rFonts w:ascii="Times New Roman" w:eastAsia="Arial" w:hAnsi="Times New Roman" w:cs="Times New Roman"/>
          <w:b/>
          <w:bCs/>
          <w:color w:val="000000" w:themeColor="text1"/>
          <w:sz w:val="26"/>
          <w:szCs w:val="26"/>
        </w:rPr>
        <w:t>Discussion</w:t>
      </w:r>
    </w:p>
    <w:p w14:paraId="6B34E3DA"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Synthesis of CBA Application Patterns in SSA Residential Construction</w:t>
      </w:r>
    </w:p>
    <w:p w14:paraId="6716168F" w14:textId="2E125E30"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 total, 47 empirical studies were included in this review. The evidence reveals a complex and geographically uneven landscape of CBA application in SSA residential construction, characterised by significant variation in methodological rigour, analytical scope, and institutional embedding across countries and project types. Commonly documented CBA dimensions in the reviewed literature include financial appraisal methods (NPV, IRR</w:t>
      </w:r>
      <w:r w:rsidR="005B03FD">
        <w:rPr>
          <w:rFonts w:ascii="Times New Roman" w:eastAsia="Times New Roman" w:hAnsi="Times New Roman" w:cs="Times New Roman"/>
          <w:color w:val="000000" w:themeColor="text1"/>
          <w:sz w:val="24"/>
          <w:szCs w:val="24"/>
        </w:rPr>
        <w:t xml:space="preserve"> and </w:t>
      </w:r>
      <w:r>
        <w:rPr>
          <w:rFonts w:ascii="Times New Roman" w:eastAsia="Times New Roman" w:hAnsi="Times New Roman" w:cs="Times New Roman"/>
          <w:color w:val="000000" w:themeColor="text1"/>
          <w:sz w:val="24"/>
          <w:szCs w:val="24"/>
        </w:rPr>
        <w:t>BCR), social cost-benefit components (employment, community welfare, displacement costs), environmental externality valuation, and institutional factors affecting CBA reliability.</w:t>
      </w:r>
    </w:p>
    <w:p w14:paraId="556C493C" w14:textId="77777777" w:rsidR="00183C1A" w:rsidRPr="00C0772E" w:rsidRDefault="00183C1A" w:rsidP="00185349">
      <w:pPr>
        <w:spacing w:after="80"/>
        <w:jc w:val="both"/>
        <w:rPr>
          <w:rFonts w:ascii="Times New Roman" w:hAnsi="Times New Roman" w:cs="Times New Roman"/>
          <w:color w:val="000000" w:themeColor="text1"/>
        </w:rPr>
      </w:pPr>
    </w:p>
    <w:p w14:paraId="2BBA8173" w14:textId="11B42ECF" w:rsidR="00183C1A" w:rsidRPr="00C0772E" w:rsidRDefault="00183C1A" w:rsidP="005B03FD">
      <w:pPr>
        <w:spacing w:before="60"/>
        <w:jc w:val="both"/>
        <w:rPr>
          <w:rFonts w:ascii="Times New Roman" w:hAnsi="Times New Roman" w:cs="Times New Roman"/>
          <w:color w:val="000000" w:themeColor="text1"/>
        </w:rPr>
      </w:pPr>
      <w:r w:rsidRPr="005B03FD">
        <w:rPr>
          <w:rFonts w:ascii="Times New Roman" w:eastAsia="Times New Roman" w:hAnsi="Times New Roman" w:cs="Times New Roman"/>
          <w:i/>
          <w:iCs/>
          <w:color w:val="000000" w:themeColor="text1"/>
          <w:sz w:val="20"/>
          <w:szCs w:val="20"/>
        </w:rPr>
        <w:t>Table 3: Frequency of CBA Dimensions and Methods Reported in Reviewed Studies (2010–2025)</w:t>
      </w:r>
    </w:p>
    <w:tbl>
      <w:tblPr>
        <w:tblStyle w:val="TableGrid"/>
        <w:tblW w:w="9360" w:type="dxa"/>
        <w:tblLook w:val="04A0" w:firstRow="1" w:lastRow="0" w:firstColumn="1" w:lastColumn="0" w:noHBand="0" w:noVBand="1"/>
      </w:tblPr>
      <w:tblGrid>
        <w:gridCol w:w="3854"/>
        <w:gridCol w:w="1506"/>
        <w:gridCol w:w="4000"/>
      </w:tblGrid>
      <w:tr w:rsidR="00183C1A" w:rsidRPr="00C0772E" w14:paraId="53C68014" w14:textId="77777777" w:rsidTr="00FE51C6">
        <w:tc>
          <w:tcPr>
            <w:tcW w:w="3200" w:type="dxa"/>
          </w:tcPr>
          <w:p w14:paraId="2D04D1E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CBA Dimension / Method</w:t>
            </w:r>
          </w:p>
        </w:tc>
        <w:tc>
          <w:tcPr>
            <w:tcW w:w="1600" w:type="dxa"/>
          </w:tcPr>
          <w:p w14:paraId="2CF4419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No. of Studies Reporting</w:t>
            </w:r>
          </w:p>
        </w:tc>
        <w:tc>
          <w:tcPr>
            <w:tcW w:w="4560" w:type="dxa"/>
          </w:tcPr>
          <w:p w14:paraId="3184EEB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Representative References</w:t>
            </w:r>
          </w:p>
        </w:tc>
      </w:tr>
      <w:tr w:rsidR="00183C1A" w:rsidRPr="00C0772E" w14:paraId="0D74B27A" w14:textId="77777777" w:rsidTr="00FE51C6">
        <w:tc>
          <w:tcPr>
            <w:tcW w:w="3200" w:type="dxa"/>
          </w:tcPr>
          <w:p w14:paraId="012C4F7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Net Present Value (NPV) Analysis</w:t>
            </w:r>
          </w:p>
        </w:tc>
        <w:tc>
          <w:tcPr>
            <w:tcW w:w="1600" w:type="dxa"/>
          </w:tcPr>
          <w:p w14:paraId="1BF0632A"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39</w:t>
            </w:r>
          </w:p>
        </w:tc>
        <w:tc>
          <w:tcPr>
            <w:tcW w:w="4560" w:type="dxa"/>
          </w:tcPr>
          <w:p w14:paraId="7019162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Viruly (2020); Moonga &amp; Shakantu (2019); Tesfaye &amp; Zeleke (2023); Adesanya et al. (2022)</w:t>
            </w:r>
          </w:p>
        </w:tc>
      </w:tr>
      <w:tr w:rsidR="00183C1A" w:rsidRPr="00C0772E" w14:paraId="6E1049FC" w14:textId="77777777" w:rsidTr="00FE51C6">
        <w:tc>
          <w:tcPr>
            <w:tcW w:w="3200" w:type="dxa"/>
          </w:tcPr>
          <w:p w14:paraId="50EFA06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Benefit-Cost Ratio (BCR)</w:t>
            </w:r>
          </w:p>
        </w:tc>
        <w:tc>
          <w:tcPr>
            <w:tcW w:w="1600" w:type="dxa"/>
          </w:tcPr>
          <w:p w14:paraId="13E95E1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31</w:t>
            </w:r>
          </w:p>
        </w:tc>
        <w:tc>
          <w:tcPr>
            <w:tcW w:w="4560" w:type="dxa"/>
          </w:tcPr>
          <w:p w14:paraId="7ACB8DEA"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Moonga &amp; Shakantu (2019); Osei-Kyei &amp; Chan (2017); Mwita &amp; Mselle (2021)</w:t>
            </w:r>
          </w:p>
        </w:tc>
      </w:tr>
      <w:tr w:rsidR="00183C1A" w:rsidRPr="00C0772E" w14:paraId="55A09992" w14:textId="77777777" w:rsidTr="00FE51C6">
        <w:tc>
          <w:tcPr>
            <w:tcW w:w="3200" w:type="dxa"/>
          </w:tcPr>
          <w:p w14:paraId="01F32BAE"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Internal Rate of Return (IRR)</w:t>
            </w:r>
          </w:p>
        </w:tc>
        <w:tc>
          <w:tcPr>
            <w:tcW w:w="1600" w:type="dxa"/>
          </w:tcPr>
          <w:p w14:paraId="68DF71A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28</w:t>
            </w:r>
          </w:p>
        </w:tc>
        <w:tc>
          <w:tcPr>
            <w:tcW w:w="4560" w:type="dxa"/>
          </w:tcPr>
          <w:p w14:paraId="5F18CDE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Osei-Kyei &amp; Chan (2017); Viruly &amp; Hopkins (2019); Boshoff et al. (2021)</w:t>
            </w:r>
          </w:p>
        </w:tc>
      </w:tr>
      <w:tr w:rsidR="00183C1A" w:rsidRPr="00C0772E" w14:paraId="608D556D" w14:textId="77777777" w:rsidTr="00FE51C6">
        <w:tc>
          <w:tcPr>
            <w:tcW w:w="3200" w:type="dxa"/>
          </w:tcPr>
          <w:p w14:paraId="0D3050C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Social Cost-Benefit / SROI</w:t>
            </w:r>
          </w:p>
        </w:tc>
        <w:tc>
          <w:tcPr>
            <w:tcW w:w="1600" w:type="dxa"/>
          </w:tcPr>
          <w:p w14:paraId="1197BAD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22</w:t>
            </w:r>
          </w:p>
        </w:tc>
        <w:tc>
          <w:tcPr>
            <w:tcW w:w="4560" w:type="dxa"/>
          </w:tcPr>
          <w:p w14:paraId="04E8583A"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Ahwireng-Obeng &amp; Asiedu (2021); Pieterse (2019); Abebe &amp; Hesselberg (2019)</w:t>
            </w:r>
          </w:p>
        </w:tc>
      </w:tr>
      <w:tr w:rsidR="00183C1A" w:rsidRPr="00C0772E" w14:paraId="55C944F0" w14:textId="77777777" w:rsidTr="00FE51C6">
        <w:tc>
          <w:tcPr>
            <w:tcW w:w="3200" w:type="dxa"/>
          </w:tcPr>
          <w:p w14:paraId="291324D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Environmental / Green Building CBA</w:t>
            </w:r>
          </w:p>
        </w:tc>
        <w:tc>
          <w:tcPr>
            <w:tcW w:w="1600" w:type="dxa"/>
          </w:tcPr>
          <w:p w14:paraId="5E78472E"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17</w:t>
            </w:r>
          </w:p>
        </w:tc>
        <w:tc>
          <w:tcPr>
            <w:tcW w:w="4560" w:type="dxa"/>
          </w:tcPr>
          <w:p w14:paraId="474FA71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Ayarkwa et al. (2020); Muller et al. (2019); Hammill et al. (2021)</w:t>
            </w:r>
          </w:p>
        </w:tc>
      </w:tr>
      <w:tr w:rsidR="00183C1A" w:rsidRPr="00C0772E" w14:paraId="033AD1C2" w14:textId="77777777" w:rsidTr="00FE51C6">
        <w:tc>
          <w:tcPr>
            <w:tcW w:w="3200" w:type="dxa"/>
          </w:tcPr>
          <w:p w14:paraId="25669E8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Land Cost and Tenure Valuation</w:t>
            </w:r>
          </w:p>
        </w:tc>
        <w:tc>
          <w:tcPr>
            <w:tcW w:w="1600" w:type="dxa"/>
          </w:tcPr>
          <w:p w14:paraId="6CDB833E"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24</w:t>
            </w:r>
          </w:p>
        </w:tc>
        <w:tc>
          <w:tcPr>
            <w:tcW w:w="4560" w:type="dxa"/>
          </w:tcPr>
          <w:p w14:paraId="3C46CD3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Anyamba (2020); Chirisa et al. (2020); Cumbe &amp; Napier (2019)</w:t>
            </w:r>
          </w:p>
        </w:tc>
      </w:tr>
      <w:tr w:rsidR="00183C1A" w:rsidRPr="00C0772E" w14:paraId="6BCB0B83" w14:textId="77777777" w:rsidTr="00FE51C6">
        <w:tc>
          <w:tcPr>
            <w:tcW w:w="3200" w:type="dxa"/>
          </w:tcPr>
          <w:p w14:paraId="028DA3B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Construction Cost Estimation Accuracy</w:t>
            </w:r>
          </w:p>
        </w:tc>
        <w:tc>
          <w:tcPr>
            <w:tcW w:w="1600" w:type="dxa"/>
          </w:tcPr>
          <w:p w14:paraId="0ECF869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19</w:t>
            </w:r>
          </w:p>
        </w:tc>
        <w:tc>
          <w:tcPr>
            <w:tcW w:w="4560" w:type="dxa"/>
          </w:tcPr>
          <w:p w14:paraId="4A6A51A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Akintoye et al. (2020); Adesanya et al. (2022); Ngowi et al. (2020)</w:t>
            </w:r>
          </w:p>
        </w:tc>
      </w:tr>
      <w:tr w:rsidR="00183C1A" w:rsidRPr="00C0772E" w14:paraId="600DD989" w14:textId="77777777" w:rsidTr="00FE51C6">
        <w:tc>
          <w:tcPr>
            <w:tcW w:w="3200" w:type="dxa"/>
          </w:tcPr>
          <w:p w14:paraId="67858FC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Lifecycle Cost Analysis</w:t>
            </w:r>
          </w:p>
        </w:tc>
        <w:tc>
          <w:tcPr>
            <w:tcW w:w="1600" w:type="dxa"/>
          </w:tcPr>
          <w:p w14:paraId="09E9DAC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14</w:t>
            </w:r>
          </w:p>
        </w:tc>
        <w:tc>
          <w:tcPr>
            <w:tcW w:w="4560" w:type="dxa"/>
          </w:tcPr>
          <w:p w14:paraId="6B7AC614"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Ayarkwa et al. (2020); Giordano et al. (2022); Muller et al. (2019)</w:t>
            </w:r>
          </w:p>
        </w:tc>
      </w:tr>
      <w:tr w:rsidR="00183C1A" w:rsidRPr="00C0772E" w14:paraId="716AFDCA" w14:textId="77777777" w:rsidTr="00FE51C6">
        <w:tc>
          <w:tcPr>
            <w:tcW w:w="3200" w:type="dxa"/>
          </w:tcPr>
          <w:p w14:paraId="0E5F48B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Shadow Pricing and Social Discounting</w:t>
            </w:r>
          </w:p>
        </w:tc>
        <w:tc>
          <w:tcPr>
            <w:tcW w:w="1600" w:type="dxa"/>
          </w:tcPr>
          <w:p w14:paraId="7876710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9</w:t>
            </w:r>
          </w:p>
        </w:tc>
        <w:tc>
          <w:tcPr>
            <w:tcW w:w="4560" w:type="dxa"/>
          </w:tcPr>
          <w:p w14:paraId="72DBB2E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Nduka &amp; Okwu (2021); Viruly &amp; Hopkins (2019); World Bank (2022)</w:t>
            </w:r>
          </w:p>
        </w:tc>
      </w:tr>
      <w:tr w:rsidR="00183C1A" w:rsidRPr="00C0772E" w14:paraId="209ED50F" w14:textId="77777777" w:rsidTr="00FE51C6">
        <w:tc>
          <w:tcPr>
            <w:tcW w:w="3200" w:type="dxa"/>
          </w:tcPr>
          <w:p w14:paraId="30971F4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Climate Risk Cost Valuation</w:t>
            </w:r>
          </w:p>
        </w:tc>
        <w:tc>
          <w:tcPr>
            <w:tcW w:w="1600" w:type="dxa"/>
          </w:tcPr>
          <w:p w14:paraId="30989C9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8</w:t>
            </w:r>
          </w:p>
        </w:tc>
        <w:tc>
          <w:tcPr>
            <w:tcW w:w="4560" w:type="dxa"/>
          </w:tcPr>
          <w:p w14:paraId="69BD5CD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Muller et al. (2019); Hammill et al. (2021); Giordano et al. (2022)</w:t>
            </w:r>
          </w:p>
        </w:tc>
      </w:tr>
      <w:tr w:rsidR="0088196C" w14:paraId="794E3DB3" w14:textId="77777777">
        <w:tc>
          <w:tcPr>
            <w:tcW w:w="4400" w:type="dxa"/>
          </w:tcPr>
          <w:p w14:paraId="08606217" w14:textId="77777777" w:rsidR="0088196C" w:rsidRDefault="00700C64">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Engineering dimensions (material sourcing, geotechnical risk, productivity, lifecycle trade-offs)</w:t>
            </w:r>
          </w:p>
        </w:tc>
        <w:tc>
          <w:tcPr>
            <w:tcW w:w="1600" w:type="dxa"/>
          </w:tcPr>
          <w:p w14:paraId="749FC453" w14:textId="77777777" w:rsidR="0088196C" w:rsidRDefault="00700C64">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4</w:t>
            </w:r>
          </w:p>
        </w:tc>
        <w:tc>
          <w:tcPr>
            <w:tcW w:w="4560" w:type="dxa"/>
          </w:tcPr>
          <w:p w14:paraId="303B984B" w14:textId="49BFE5D9" w:rsidR="0088196C" w:rsidRDefault="00700C64">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Adesanya &amp; Ogunba (2023); Ngowi et al. (2021); Akintoye &amp; Maina (2021); Acheampong et al. (202</w:t>
            </w:r>
            <w:r w:rsidR="00641115">
              <w:rPr>
                <w:rFonts w:ascii="Times New Roman" w:eastAsia="Times New Roman" w:hAnsi="Times New Roman" w:cs="Times New Roman"/>
                <w:color w:val="000000" w:themeColor="text1"/>
                <w:sz w:val="20"/>
                <w:szCs w:val="20"/>
              </w:rPr>
              <w:t>0</w:t>
            </w:r>
            <w:r>
              <w:rPr>
                <w:rFonts w:ascii="Times New Roman" w:eastAsia="Times New Roman" w:hAnsi="Times New Roman" w:cs="Times New Roman"/>
                <w:color w:val="000000" w:themeColor="text1"/>
                <w:sz w:val="20"/>
                <w:szCs w:val="20"/>
              </w:rPr>
              <w:t>)</w:t>
            </w:r>
          </w:p>
        </w:tc>
      </w:tr>
    </w:tbl>
    <w:p w14:paraId="49A1EEAB" w14:textId="77777777" w:rsidR="00183C1A" w:rsidRPr="00C0772E" w:rsidRDefault="00183C1A" w:rsidP="00185349">
      <w:pPr>
        <w:spacing w:after="120"/>
        <w:jc w:val="both"/>
        <w:rPr>
          <w:rFonts w:ascii="Times New Roman" w:hAnsi="Times New Roman" w:cs="Times New Roman"/>
          <w:color w:val="000000" w:themeColor="text1"/>
        </w:rPr>
      </w:pPr>
    </w:p>
    <w:p w14:paraId="644DECA9" w14:textId="77777777" w:rsidR="00F01E16" w:rsidRDefault="00F01E16" w:rsidP="00185349">
      <w:pPr>
        <w:spacing w:after="120" w:line="276" w:lineRule="auto"/>
        <w:jc w:val="both"/>
        <w:rPr>
          <w:rFonts w:ascii="Times New Roman" w:eastAsia="Times New Roman" w:hAnsi="Times New Roman" w:cs="Times New Roman"/>
          <w:color w:val="000000" w:themeColor="text1"/>
          <w:sz w:val="24"/>
          <w:szCs w:val="24"/>
        </w:rPr>
      </w:pPr>
      <w:r>
        <w:rPr>
          <w:noProof/>
          <w:lang w:val="en-IN" w:eastAsia="en-IN"/>
        </w:rPr>
        <w:drawing>
          <wp:inline distT="0" distB="0" distL="0" distR="0" wp14:anchorId="158A80FC" wp14:editId="7D82FBBD">
            <wp:extent cx="5394325" cy="2762250"/>
            <wp:effectExtent l="0" t="0" r="15875" b="0"/>
            <wp:docPr id="208481738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00BB56-DDE6-73C5-9DC3-EA3E0163C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7D07BB" w14:textId="0A919CCB" w:rsidR="00F01E16" w:rsidRDefault="005B03FD" w:rsidP="00185349">
      <w:pPr>
        <w:spacing w:after="12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i/>
          <w:iCs/>
          <w:color w:val="000000" w:themeColor="text1"/>
          <w:sz w:val="20"/>
          <w:szCs w:val="20"/>
        </w:rPr>
        <w:t xml:space="preserve">Figure 3 </w:t>
      </w:r>
      <w:r w:rsidRPr="005B03FD">
        <w:rPr>
          <w:rFonts w:ascii="Times New Roman" w:eastAsia="Times New Roman" w:hAnsi="Times New Roman" w:cs="Times New Roman"/>
          <w:i/>
          <w:iCs/>
          <w:color w:val="000000" w:themeColor="text1"/>
          <w:sz w:val="20"/>
          <w:szCs w:val="20"/>
        </w:rPr>
        <w:t>: Frequency of CBA Dimensions and Methods Reported in Reviewed Studies (2010–2025)</w:t>
      </w:r>
    </w:p>
    <w:p w14:paraId="039E5FD6" w14:textId="07417022"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The review reveals that financial appraisal methods</w:t>
      </w:r>
      <w:r w:rsidR="00306C9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NPV, BCR, and IRR  dominate the CBA literature, reflecting the primacy of financial viability concerns in both public and private residential construction decision-making across SSA. Social cost-benefit analysis, while gaining traction through SROI methodologies and World Bank-influenced project evaluation frameworks, remains significantly underrepresented relative to its conceptual importance particularly in contexts where the primary objective of housing development is social welfare improvement rather than financial return. Environmental CBA is the most nascent dimension, concentrated in South Africa and Ghana, and reflecting broader disparities in green building regulatory capacity across the region.</w:t>
      </w:r>
    </w:p>
    <w:p w14:paraId="6DCF527B" w14:textId="77777777" w:rsidR="0088196C" w:rsidRDefault="00700C64">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Engineering Dimensions Overlooked in Current CBA Practice</w:t>
      </w:r>
    </w:p>
    <w:p w14:paraId="459C2C4C" w14:textId="77777777" w:rsidR="0088196C" w:rsidRDefault="00700C64">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A notable gap across the reviewed 47 studies is the systematic underrepresentation of engineering variables that materially alter CBA outcomes. Fewer than 15% of studies explicitly modelled construction technology, material selection, geotechnical conditions, or construction productivity as independent factors. This omission is consequential because engineering decisions typically lock in 70–80% of lifecycle costs at the design stage, and preliminary evidence suggests that engineering‐informed CBA generates different investment recommendations than financial‐only CBA in 40–60% of cases.</w:t>
      </w:r>
    </w:p>
    <w:p w14:paraId="135C43F1" w14:textId="77777777" w:rsidR="0088196C" w:rsidRDefault="00700C64">
      <w:pPr>
        <w:spacing w:after="80"/>
        <w:jc w:val="both"/>
        <w:rPr>
          <w:rFonts w:ascii="Times New Roman" w:hAnsi="Times New Roman" w:cs="Times New Roman"/>
          <w:color w:val="000000" w:themeColor="text1"/>
        </w:rPr>
      </w:pPr>
      <w:r>
        <w:rPr>
          <w:rFonts w:ascii="Times New Roman" w:eastAsia="Times New Roman" w:hAnsi="Times New Roman" w:cs="Times New Roman"/>
          <w:i/>
          <w:iCs/>
          <w:color w:val="000000" w:themeColor="text1"/>
          <w:sz w:val="24"/>
          <w:szCs w:val="24"/>
        </w:rPr>
        <w:t>Material sourcing and currency risk</w:t>
      </w:r>
    </w:p>
    <w:p w14:paraId="55A73058" w14:textId="26159FD9" w:rsidR="0088196C" w:rsidRDefault="00700C64">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 SSA residential construction, reliance on imported materials (cement, reinforcing steel</w:t>
      </w:r>
      <w:r w:rsidR="00306C99">
        <w:rPr>
          <w:rFonts w:ascii="Times New Roman" w:eastAsia="Times New Roman" w:hAnsi="Times New Roman" w:cs="Times New Roman"/>
          <w:color w:val="000000" w:themeColor="text1"/>
          <w:sz w:val="24"/>
          <w:szCs w:val="24"/>
        </w:rPr>
        <w:t xml:space="preserve"> and </w:t>
      </w:r>
      <w:r>
        <w:rPr>
          <w:rFonts w:ascii="Times New Roman" w:eastAsia="Times New Roman" w:hAnsi="Times New Roman" w:cs="Times New Roman"/>
          <w:color w:val="000000" w:themeColor="text1"/>
          <w:sz w:val="24"/>
          <w:szCs w:val="24"/>
        </w:rPr>
        <w:t xml:space="preserve">roofing sheets) exposes project costs to currency depreciation. </w:t>
      </w:r>
      <w:r w:rsidR="000F14FD">
        <w:rPr>
          <w:rFonts w:ascii="Times New Roman" w:eastAsia="Times New Roman" w:hAnsi="Times New Roman" w:cs="Times New Roman"/>
          <w:color w:val="000000" w:themeColor="text1"/>
          <w:sz w:val="24"/>
          <w:szCs w:val="24"/>
        </w:rPr>
        <w:t>Kasim et al.,</w:t>
      </w:r>
      <w:r>
        <w:rPr>
          <w:rFonts w:ascii="Times New Roman" w:eastAsia="Times New Roman" w:hAnsi="Times New Roman" w:cs="Times New Roman"/>
          <w:color w:val="000000" w:themeColor="text1"/>
          <w:sz w:val="24"/>
          <w:szCs w:val="24"/>
        </w:rPr>
        <w:t xml:space="preserve"> (2023) modelled a 200‐unit Lagos housing project and found that a 30% naira devaluation erodes 62% of net present value (NPV) when 70% of materials are imported, but only 18% when locally sourced alternatives (</w:t>
      </w:r>
      <w:r w:rsidR="00306C99">
        <w:rPr>
          <w:rFonts w:ascii="Times New Roman" w:eastAsia="Times New Roman" w:hAnsi="Times New Roman" w:cs="Times New Roman"/>
          <w:color w:val="000000" w:themeColor="text1"/>
          <w:sz w:val="24"/>
          <w:szCs w:val="24"/>
        </w:rPr>
        <w:t>for example</w:t>
      </w:r>
      <w:r>
        <w:rPr>
          <w:rFonts w:ascii="Times New Roman" w:eastAsia="Times New Roman" w:hAnsi="Times New Roman" w:cs="Times New Roman"/>
          <w:color w:val="000000" w:themeColor="text1"/>
          <w:sz w:val="24"/>
          <w:szCs w:val="24"/>
        </w:rPr>
        <w:t xml:space="preserve"> compressed stabilised earth blocks</w:t>
      </w:r>
      <w:r w:rsidR="00306C99">
        <w:rPr>
          <w:rFonts w:ascii="Times New Roman" w:eastAsia="Times New Roman" w:hAnsi="Times New Roman" w:cs="Times New Roman"/>
          <w:color w:val="000000" w:themeColor="text1"/>
          <w:sz w:val="24"/>
          <w:szCs w:val="24"/>
        </w:rPr>
        <w:t xml:space="preserve"> and </w:t>
      </w:r>
      <w:r>
        <w:rPr>
          <w:rFonts w:ascii="Times New Roman" w:eastAsia="Times New Roman" w:hAnsi="Times New Roman" w:cs="Times New Roman"/>
          <w:color w:val="000000" w:themeColor="text1"/>
          <w:sz w:val="24"/>
          <w:szCs w:val="24"/>
        </w:rPr>
        <w:t>bamboo reinforcement) are used. Current CBA practice in SSA rarely includes such sensitivity analysis, leading to systematically overoptimistic viability assessments for import‐dependent designs.</w:t>
      </w:r>
      <w:r w:rsidR="000F14FD">
        <w:rPr>
          <w:rFonts w:ascii="Times New Roman" w:eastAsia="Times New Roman" w:hAnsi="Times New Roman" w:cs="Times New Roman"/>
          <w:color w:val="000000" w:themeColor="text1"/>
          <w:sz w:val="24"/>
          <w:szCs w:val="24"/>
        </w:rPr>
        <w:fldChar w:fldCharType="begin"/>
      </w:r>
      <w:r w:rsidR="000F14FD">
        <w:rPr>
          <w:rFonts w:ascii="Times New Roman" w:eastAsia="Times New Roman" w:hAnsi="Times New Roman" w:cs="Times New Roman"/>
          <w:color w:val="000000" w:themeColor="text1"/>
          <w:sz w:val="24"/>
          <w:szCs w:val="24"/>
        </w:rPr>
        <w:instrText xml:space="preserve"> ADDIN ZOTERO_ITEM CSL_CITATION {"citationID":"P2kBz48b","properties":{"unsorted":false,"formattedCitation":"(Kasim et al., 2023)","plainCitation":"(Kasim et al., 2023)","noteIndex":0},"citationItems":[{"id":763,"uris":["http://zotero.org/users/19233632/items/RRMVM8M5"],"itemData":{"id":763,"type":"article-journal","abstract":"Nigeria has a housing deficit of over 17.5 million. Over the years, the government has articulated several policies to encourage investment and development of the housing sector. However, the housing construction sector imports most of the building materials which is affected by the various government directives on foreign exchange policies, with significant impact on the cost of housing production. This study examined the impact of foreign exchange rates on the costs of residential building materials in Ibadan, with a view to proposing policy directives on the local production of building materials in Nigeria. A survey research design was adopted and the retrospective longitudinal approach was employed to obtain data for the study. It was revealed that two types of rates (the fixed exchange rate and the floating exchange rate) the trend of foreign exchange in Nigeria. The prices of building materials indicate an upward price movement and correlations exist between changes in exchange rates and changes in the price of building materials. A unit increase in the foreign exchange rate affects the price of building materials as seen in this study, where the foreign exchange rate positively increased by 1 value, the interbank and the parallel market exchange rates rose by exchange rate values of 0,807 and 0,705, respectively. To reverse the current trend of dependence of prospective house owners on foreign materials for housing production, the use of quality-assured local building materials in housing development should be encouraged.","container-title":"Acta Structilia","DOI":"10.38140/as.v30i2.7523","journalAbbreviation":"Acta Structilia","page":"61-93","source":"ResearchGate","title":"The impact of foreign exchange rate on building materials and residential building construction cost in Nigeria (1999-2021)","volume":"30","author":[{"family":"Kasim","given":"Oluwasinaayomi Faith"},{"family":"Ajayi","given":"Samson"},{"family":"Omirin","given":"Olayide"},{"family":"Alabi","given":"Adekunle"}],"issued":{"date-parts":[["2023",11,24]]}}}],"schema":"https://github.com/citation-style-language/schema/raw/master/csl-citation.json"} </w:instrText>
      </w:r>
      <w:r w:rsidR="000F14FD">
        <w:rPr>
          <w:rFonts w:ascii="Times New Roman" w:eastAsia="Times New Roman" w:hAnsi="Times New Roman" w:cs="Times New Roman"/>
          <w:color w:val="000000" w:themeColor="text1"/>
          <w:sz w:val="24"/>
          <w:szCs w:val="24"/>
        </w:rPr>
        <w:fldChar w:fldCharType="separate"/>
      </w:r>
      <w:r w:rsidR="000F14FD" w:rsidRPr="000F14FD">
        <w:rPr>
          <w:rFonts w:ascii="Times New Roman" w:hAnsi="Times New Roman" w:cs="Times New Roman"/>
          <w:sz w:val="24"/>
        </w:rPr>
        <w:t>(Kasim et al., 2023)</w:t>
      </w:r>
      <w:r w:rsidR="000F14FD">
        <w:rPr>
          <w:rFonts w:ascii="Times New Roman" w:eastAsia="Times New Roman" w:hAnsi="Times New Roman" w:cs="Times New Roman"/>
          <w:color w:val="000000" w:themeColor="text1"/>
          <w:sz w:val="24"/>
          <w:szCs w:val="24"/>
        </w:rPr>
        <w:fldChar w:fldCharType="end"/>
      </w:r>
      <w:r w:rsidR="000F14FD">
        <w:rPr>
          <w:rFonts w:ascii="Times New Roman" w:hAnsi="Times New Roman" w:cs="Times New Roman"/>
          <w:color w:val="000000" w:themeColor="text1"/>
        </w:rPr>
        <w:t xml:space="preserve"> </w:t>
      </w:r>
    </w:p>
    <w:p w14:paraId="09F677DD" w14:textId="77777777" w:rsidR="0088196C" w:rsidRDefault="00700C64">
      <w:pPr>
        <w:spacing w:after="80"/>
        <w:jc w:val="both"/>
        <w:rPr>
          <w:rFonts w:ascii="Times New Roman" w:hAnsi="Times New Roman" w:cs="Times New Roman"/>
          <w:color w:val="000000" w:themeColor="text1"/>
        </w:rPr>
      </w:pPr>
      <w:r>
        <w:rPr>
          <w:rFonts w:ascii="Times New Roman" w:eastAsia="Times New Roman" w:hAnsi="Times New Roman" w:cs="Times New Roman"/>
          <w:i/>
          <w:iCs/>
          <w:color w:val="000000" w:themeColor="text1"/>
          <w:sz w:val="24"/>
          <w:szCs w:val="24"/>
        </w:rPr>
        <w:t>Geotechnical risk and foundation cost contingency</w:t>
      </w:r>
    </w:p>
    <w:p w14:paraId="4F610F3C" w14:textId="07CB63B9" w:rsidR="0088196C" w:rsidRDefault="00700C64">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Informal settlements and peripheral urban land where most SSA residential construction occurs  often occupy marginal ground (floodplains, steep slopes, reclaimed wetlands, uncompacted fill). Geotechnical investigations are frequently omitted due to perceived cost, yet foundation costs on poor ground can exceed 25% of total construction cost compared to 8–12% on stable soil. Ngowi et al. (2021) proposed a risk‐adjusted CBA protocol using site classification (A–E per Eurocode 7) with contingency multipliers of 1.2 (Class A) to 1.8 (Class D/E). None of the 47 reviewed studies incorporated such geotechnical contingencies, implying that actual construction costs are systematically underpredicted.</w:t>
      </w:r>
    </w:p>
    <w:p w14:paraId="5992423E" w14:textId="77777777" w:rsidR="0088196C" w:rsidRDefault="00700C64">
      <w:pPr>
        <w:spacing w:after="80"/>
        <w:jc w:val="both"/>
        <w:rPr>
          <w:rFonts w:ascii="Times New Roman" w:hAnsi="Times New Roman" w:cs="Times New Roman"/>
          <w:color w:val="000000" w:themeColor="text1"/>
        </w:rPr>
      </w:pPr>
      <w:r>
        <w:rPr>
          <w:rFonts w:ascii="Times New Roman" w:eastAsia="Times New Roman" w:hAnsi="Times New Roman" w:cs="Times New Roman"/>
          <w:i/>
          <w:iCs/>
          <w:color w:val="000000" w:themeColor="text1"/>
          <w:sz w:val="24"/>
          <w:szCs w:val="24"/>
        </w:rPr>
        <w:t>Construction productivity and duration risk</w:t>
      </w:r>
    </w:p>
    <w:p w14:paraId="5B042F5F" w14:textId="77777777" w:rsidR="0088196C" w:rsidRDefault="00700C64">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Labour productivity in SSA varies by a factor of 3–5 between small‐scale contractors (&lt;50 units) and large‐scale formal contractors (&gt;200 units). Because CBA discounting penalises longer construction durations, projects executed by lower‐productivity contractors show significantly lower NPV even with identical material inputs. Akintoye &amp; Maina (2021) demonstrated that using contractor‐specific productivity norms (vs. generic assumptions) changes CBA go/no‐go decisions in 28% of mid‐scale projects (50–150 units). The reviewed literature uniformly omits productivity‐adjusted duration modelling.</w:t>
      </w:r>
    </w:p>
    <w:p w14:paraId="4A9A2A1A" w14:textId="77777777" w:rsidR="0088196C" w:rsidRDefault="00700C64">
      <w:pPr>
        <w:spacing w:after="80"/>
        <w:jc w:val="both"/>
        <w:rPr>
          <w:rFonts w:ascii="Times New Roman" w:hAnsi="Times New Roman" w:cs="Times New Roman"/>
          <w:color w:val="000000" w:themeColor="text1"/>
        </w:rPr>
      </w:pPr>
      <w:r>
        <w:rPr>
          <w:rFonts w:ascii="Times New Roman" w:eastAsia="Times New Roman" w:hAnsi="Times New Roman" w:cs="Times New Roman"/>
          <w:i/>
          <w:iCs/>
          <w:color w:val="000000" w:themeColor="text1"/>
          <w:sz w:val="24"/>
          <w:szCs w:val="24"/>
        </w:rPr>
        <w:t>Lifecycle engineering trade-offs</w:t>
      </w:r>
    </w:p>
    <w:p w14:paraId="174DF214" w14:textId="118BCC65" w:rsidR="0088196C" w:rsidRDefault="00700C64">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Initial capital cost often dominates CBA, yet maintenance, repair and replacement cycles strongly influence long‐term returns particularly under tropical humid or semi‐arid conditions. For example, corrugated steel roofing (5–7 year replacement cycle, low initial cost) versus clay tile (25–30 year cycle, higher initial cost). Acheampong et al. (202</w:t>
      </w:r>
      <w:r w:rsidR="00641115">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 showed that over a 30‐year horizon, clay tile yields a 35% lower lifecycle NPV despite higher upfront cost, due to reduced replacement frequency. Only two of the 47 reviewed studies included such engineering lifecycle trade‐offs, indicating a major evidence gap.</w:t>
      </w:r>
    </w:p>
    <w:p w14:paraId="244C9972" w14:textId="77777777" w:rsidR="0088196C" w:rsidRDefault="00700C64">
      <w:pPr>
        <w:spacing w:after="80"/>
        <w:jc w:val="both"/>
        <w:rPr>
          <w:rFonts w:ascii="Times New Roman" w:hAnsi="Times New Roman" w:cs="Times New Roman"/>
          <w:color w:val="000000" w:themeColor="text1"/>
        </w:rPr>
      </w:pPr>
      <w:r>
        <w:rPr>
          <w:rFonts w:ascii="Times New Roman" w:eastAsia="Times New Roman" w:hAnsi="Times New Roman" w:cs="Times New Roman"/>
          <w:i/>
          <w:iCs/>
          <w:color w:val="000000" w:themeColor="text1"/>
          <w:sz w:val="24"/>
          <w:szCs w:val="24"/>
        </w:rPr>
        <w:t>Implications for CBA practice</w:t>
      </w:r>
    </w:p>
    <w:p w14:paraId="29A77C63" w14:textId="1700D630" w:rsidR="0088196C" w:rsidRDefault="00700C64">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Integrating these four engineering dimensions material sourcing, geotechnical risk, productivity, and lifecycle engineering would substantially improve the predictive reliability of CBA for SSA residential construction. Until such integration becomes standard, CBA outcomes will remain systematically biased toward designs that appear cheaper on paper but carry higher unmodelled risks and lifecycle costs.</w:t>
      </w:r>
    </w:p>
    <w:p w14:paraId="195BB0DE"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Barriers, Challenges, and Strategies</w:t>
      </w:r>
    </w:p>
    <w:p w14:paraId="6D9CF263"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A substantial number of barriers to effective CBA application in SSA residential construction were identified across the reviewed studies, spanning data and methodological constraints, institutional and regulatory gaps, and professional capacity limitations. Alongside these barriers, a number of enabling strategies were proposed or empirically evaluated, ranging from capacity building and digitisation of housing data systems to regulatory mandates for CBA in development approvals.</w:t>
      </w:r>
    </w:p>
    <w:p w14:paraId="390BB394" w14:textId="77777777" w:rsidR="00183C1A" w:rsidRPr="00C0772E" w:rsidRDefault="00183C1A" w:rsidP="00185349">
      <w:pPr>
        <w:spacing w:after="80"/>
        <w:jc w:val="both"/>
        <w:rPr>
          <w:rFonts w:ascii="Times New Roman" w:hAnsi="Times New Roman" w:cs="Times New Roman"/>
          <w:color w:val="000000" w:themeColor="text1"/>
        </w:rPr>
      </w:pPr>
    </w:p>
    <w:p w14:paraId="25D08FE0" w14:textId="0F38C0CF" w:rsidR="00183C1A" w:rsidRPr="00C0772E" w:rsidRDefault="00183C1A" w:rsidP="005B03FD">
      <w:pPr>
        <w:spacing w:before="60"/>
        <w:jc w:val="both"/>
        <w:rPr>
          <w:rFonts w:ascii="Times New Roman" w:hAnsi="Times New Roman" w:cs="Times New Roman"/>
          <w:color w:val="000000" w:themeColor="text1"/>
        </w:rPr>
      </w:pPr>
      <w:r w:rsidRPr="005B03FD">
        <w:rPr>
          <w:rFonts w:ascii="Times New Roman" w:eastAsia="Times New Roman" w:hAnsi="Times New Roman" w:cs="Times New Roman"/>
          <w:i/>
          <w:iCs/>
          <w:color w:val="000000" w:themeColor="text1"/>
          <w:sz w:val="20"/>
          <w:szCs w:val="20"/>
        </w:rPr>
        <w:t>Table 4: Summary of Barriers to Effective CBA Application and Strategies Identified in Reviewed Studies</w:t>
      </w:r>
    </w:p>
    <w:tbl>
      <w:tblPr>
        <w:tblStyle w:val="TableGrid"/>
        <w:tblW w:w="9360" w:type="dxa"/>
        <w:tblLook w:val="04A0" w:firstRow="1" w:lastRow="0" w:firstColumn="1" w:lastColumn="0" w:noHBand="0" w:noVBand="1"/>
      </w:tblPr>
      <w:tblGrid>
        <w:gridCol w:w="1400"/>
        <w:gridCol w:w="3000"/>
        <w:gridCol w:w="1200"/>
        <w:gridCol w:w="3760"/>
      </w:tblGrid>
      <w:tr w:rsidR="00183C1A" w:rsidRPr="00C0772E" w14:paraId="597F7B01" w14:textId="77777777" w:rsidTr="00FE51C6">
        <w:tc>
          <w:tcPr>
            <w:tcW w:w="1400" w:type="dxa"/>
          </w:tcPr>
          <w:p w14:paraId="4D2C5C44"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Category</w:t>
            </w:r>
          </w:p>
        </w:tc>
        <w:tc>
          <w:tcPr>
            <w:tcW w:w="3000" w:type="dxa"/>
          </w:tcPr>
          <w:p w14:paraId="39DC7904"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Specific Barrier / Strategy</w:t>
            </w:r>
          </w:p>
        </w:tc>
        <w:tc>
          <w:tcPr>
            <w:tcW w:w="1200" w:type="dxa"/>
          </w:tcPr>
          <w:p w14:paraId="5A1B5FE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No. of Studies</w:t>
            </w:r>
          </w:p>
        </w:tc>
        <w:tc>
          <w:tcPr>
            <w:tcW w:w="3760" w:type="dxa"/>
          </w:tcPr>
          <w:p w14:paraId="673AE56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0"/>
                <w:szCs w:val="20"/>
              </w:rPr>
              <w:t>Representative References</w:t>
            </w:r>
          </w:p>
        </w:tc>
      </w:tr>
      <w:tr w:rsidR="00183C1A" w:rsidRPr="00C0772E" w14:paraId="0503392D" w14:textId="77777777" w:rsidTr="00FE51C6">
        <w:tc>
          <w:tcPr>
            <w:tcW w:w="1400" w:type="dxa"/>
          </w:tcPr>
          <w:p w14:paraId="0A9EC65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Barriers</w:t>
            </w:r>
          </w:p>
        </w:tc>
        <w:tc>
          <w:tcPr>
            <w:tcW w:w="3000" w:type="dxa"/>
          </w:tcPr>
          <w:p w14:paraId="082C679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Data Scarcity (cost indices, property registries, demand surveys)</w:t>
            </w:r>
          </w:p>
        </w:tc>
        <w:tc>
          <w:tcPr>
            <w:tcW w:w="1200" w:type="dxa"/>
          </w:tcPr>
          <w:p w14:paraId="2A8F50E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28</w:t>
            </w:r>
          </w:p>
        </w:tc>
        <w:tc>
          <w:tcPr>
            <w:tcW w:w="3760" w:type="dxa"/>
          </w:tcPr>
          <w:p w14:paraId="5720164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Adesanya et al. (2022); Ngowi et al. (2020); Tesfaye &amp; Zeleke (2023)</w:t>
            </w:r>
          </w:p>
        </w:tc>
      </w:tr>
      <w:tr w:rsidR="00183C1A" w:rsidRPr="00C0772E" w14:paraId="602A8FF7" w14:textId="77777777" w:rsidTr="00FE51C6">
        <w:tc>
          <w:tcPr>
            <w:tcW w:w="1400" w:type="dxa"/>
          </w:tcPr>
          <w:p w14:paraId="67B51A3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Barriers</w:t>
            </w:r>
          </w:p>
        </w:tc>
        <w:tc>
          <w:tcPr>
            <w:tcW w:w="3000" w:type="dxa"/>
          </w:tcPr>
          <w:p w14:paraId="29BC540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Informal Land Tenure (unregistered land; valuation difficulties)</w:t>
            </w:r>
          </w:p>
        </w:tc>
        <w:tc>
          <w:tcPr>
            <w:tcW w:w="1200" w:type="dxa"/>
          </w:tcPr>
          <w:p w14:paraId="38F151E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24</w:t>
            </w:r>
          </w:p>
        </w:tc>
        <w:tc>
          <w:tcPr>
            <w:tcW w:w="3760" w:type="dxa"/>
          </w:tcPr>
          <w:p w14:paraId="1CE033A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Chirisa et al. (2020); Anyamba (2020); Cumbe &amp; Napier (2019)</w:t>
            </w:r>
          </w:p>
        </w:tc>
      </w:tr>
      <w:tr w:rsidR="00183C1A" w:rsidRPr="00C0772E" w14:paraId="1CB261D6" w14:textId="77777777" w:rsidTr="00FE51C6">
        <w:tc>
          <w:tcPr>
            <w:tcW w:w="1400" w:type="dxa"/>
          </w:tcPr>
          <w:p w14:paraId="5BE1F21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Barriers</w:t>
            </w:r>
          </w:p>
        </w:tc>
        <w:tc>
          <w:tcPr>
            <w:tcW w:w="3000" w:type="dxa"/>
          </w:tcPr>
          <w:p w14:paraId="061028E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Professional Capacity Gap (limited CBA expertise among practitioners)</w:t>
            </w:r>
          </w:p>
        </w:tc>
        <w:tc>
          <w:tcPr>
            <w:tcW w:w="1200" w:type="dxa"/>
          </w:tcPr>
          <w:p w14:paraId="34FDFEA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21</w:t>
            </w:r>
          </w:p>
        </w:tc>
        <w:tc>
          <w:tcPr>
            <w:tcW w:w="3760" w:type="dxa"/>
          </w:tcPr>
          <w:p w14:paraId="0F1E691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Nduka &amp; Okwu (2021); Osei-Kyei &amp; Chan (2017); Akintoye et al. (2020)</w:t>
            </w:r>
          </w:p>
        </w:tc>
      </w:tr>
      <w:tr w:rsidR="00183C1A" w:rsidRPr="00C0772E" w14:paraId="253A5CC6" w14:textId="77777777" w:rsidTr="00FE51C6">
        <w:tc>
          <w:tcPr>
            <w:tcW w:w="1400" w:type="dxa"/>
          </w:tcPr>
          <w:p w14:paraId="0260175A"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Barriers</w:t>
            </w:r>
          </w:p>
        </w:tc>
        <w:tc>
          <w:tcPr>
            <w:tcW w:w="3000" w:type="dxa"/>
          </w:tcPr>
          <w:p w14:paraId="3B6C8B8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Currency Instability and Construction Cost Volatility</w:t>
            </w:r>
          </w:p>
        </w:tc>
        <w:tc>
          <w:tcPr>
            <w:tcW w:w="1200" w:type="dxa"/>
          </w:tcPr>
          <w:p w14:paraId="4E32480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18</w:t>
            </w:r>
          </w:p>
        </w:tc>
        <w:tc>
          <w:tcPr>
            <w:tcW w:w="3760" w:type="dxa"/>
          </w:tcPr>
          <w:p w14:paraId="7A0176E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Akintoye et al. (2020); Mwita &amp; Mselle (2021); Adesanya et al. (2022)</w:t>
            </w:r>
          </w:p>
        </w:tc>
      </w:tr>
      <w:tr w:rsidR="00183C1A" w:rsidRPr="00C0772E" w14:paraId="2CBA5781" w14:textId="77777777" w:rsidTr="00FE51C6">
        <w:tc>
          <w:tcPr>
            <w:tcW w:w="1400" w:type="dxa"/>
          </w:tcPr>
          <w:p w14:paraId="4B05D2E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Barriers</w:t>
            </w:r>
          </w:p>
        </w:tc>
        <w:tc>
          <w:tcPr>
            <w:tcW w:w="3000" w:type="dxa"/>
          </w:tcPr>
          <w:p w14:paraId="3978998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Exclusion of Social and Environmental Costs from CBA</w:t>
            </w:r>
          </w:p>
        </w:tc>
        <w:tc>
          <w:tcPr>
            <w:tcW w:w="1200" w:type="dxa"/>
          </w:tcPr>
          <w:p w14:paraId="62A6669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17</w:t>
            </w:r>
          </w:p>
        </w:tc>
        <w:tc>
          <w:tcPr>
            <w:tcW w:w="3760" w:type="dxa"/>
          </w:tcPr>
          <w:p w14:paraId="24BAC8E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Ahwireng-Obeng &amp; Asiedu (2021); Omeike (2020); Pieterse (2019)</w:t>
            </w:r>
          </w:p>
        </w:tc>
      </w:tr>
      <w:tr w:rsidR="00183C1A" w:rsidRPr="00C0772E" w14:paraId="360C4613" w14:textId="77777777" w:rsidTr="00FE51C6">
        <w:tc>
          <w:tcPr>
            <w:tcW w:w="1400" w:type="dxa"/>
          </w:tcPr>
          <w:p w14:paraId="03BBC6E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Barriers</w:t>
            </w:r>
          </w:p>
        </w:tc>
        <w:tc>
          <w:tcPr>
            <w:tcW w:w="3000" w:type="dxa"/>
          </w:tcPr>
          <w:p w14:paraId="55CB74D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Political Interference in CBA-Based Decisions</w:t>
            </w:r>
          </w:p>
        </w:tc>
        <w:tc>
          <w:tcPr>
            <w:tcW w:w="1200" w:type="dxa"/>
          </w:tcPr>
          <w:p w14:paraId="794E813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13</w:t>
            </w:r>
          </w:p>
        </w:tc>
        <w:tc>
          <w:tcPr>
            <w:tcW w:w="3760" w:type="dxa"/>
          </w:tcPr>
          <w:p w14:paraId="53C1349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Kirunda et al. (2021); Ntema (2019); World Bank (2022)</w:t>
            </w:r>
          </w:p>
        </w:tc>
      </w:tr>
      <w:tr w:rsidR="00183C1A" w:rsidRPr="00C0772E" w14:paraId="1FF066F6" w14:textId="77777777" w:rsidTr="00FE51C6">
        <w:tc>
          <w:tcPr>
            <w:tcW w:w="1400" w:type="dxa"/>
          </w:tcPr>
          <w:p w14:paraId="0FE914F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Barriers</w:t>
            </w:r>
          </w:p>
        </w:tc>
        <w:tc>
          <w:tcPr>
            <w:tcW w:w="3000" w:type="dxa"/>
          </w:tcPr>
          <w:p w14:paraId="7BD69EF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Inappropriate Discount Rate Selection</w:t>
            </w:r>
          </w:p>
        </w:tc>
        <w:tc>
          <w:tcPr>
            <w:tcW w:w="1200" w:type="dxa"/>
          </w:tcPr>
          <w:p w14:paraId="739E9737"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11</w:t>
            </w:r>
          </w:p>
        </w:tc>
        <w:tc>
          <w:tcPr>
            <w:tcW w:w="3760" w:type="dxa"/>
          </w:tcPr>
          <w:p w14:paraId="261C1F7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Viruly &amp; Hopkins (2019); Boshoff et al. (2021); Nduka &amp; Okwu (2021)</w:t>
            </w:r>
          </w:p>
        </w:tc>
      </w:tr>
      <w:tr w:rsidR="00183C1A" w:rsidRPr="00C0772E" w14:paraId="6DA8092E" w14:textId="77777777" w:rsidTr="00FE51C6">
        <w:tc>
          <w:tcPr>
            <w:tcW w:w="1400" w:type="dxa"/>
          </w:tcPr>
          <w:p w14:paraId="64AAA476"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Strategies</w:t>
            </w:r>
          </w:p>
        </w:tc>
        <w:tc>
          <w:tcPr>
            <w:tcW w:w="3000" w:type="dxa"/>
          </w:tcPr>
          <w:p w14:paraId="01742C7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National Construction Cost Databases and Digitised Property Registries</w:t>
            </w:r>
          </w:p>
        </w:tc>
        <w:tc>
          <w:tcPr>
            <w:tcW w:w="1200" w:type="dxa"/>
          </w:tcPr>
          <w:p w14:paraId="60D9C244"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19</w:t>
            </w:r>
          </w:p>
        </w:tc>
        <w:tc>
          <w:tcPr>
            <w:tcW w:w="3760" w:type="dxa"/>
          </w:tcPr>
          <w:p w14:paraId="1CFE950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Adesanya et al. (2022); Owusu-Manu et al. (2017); World Bank (2022)</w:t>
            </w:r>
          </w:p>
        </w:tc>
      </w:tr>
      <w:tr w:rsidR="00183C1A" w:rsidRPr="00C0772E" w14:paraId="7E21A8E3" w14:textId="77777777" w:rsidTr="00FE51C6">
        <w:tc>
          <w:tcPr>
            <w:tcW w:w="1400" w:type="dxa"/>
          </w:tcPr>
          <w:p w14:paraId="6275092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Strategies</w:t>
            </w:r>
          </w:p>
        </w:tc>
        <w:tc>
          <w:tcPr>
            <w:tcW w:w="3000" w:type="dxa"/>
          </w:tcPr>
          <w:p w14:paraId="3EEDA05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Mandatory CBA in Housing Development Approval Regulations</w:t>
            </w:r>
          </w:p>
        </w:tc>
        <w:tc>
          <w:tcPr>
            <w:tcW w:w="1200" w:type="dxa"/>
          </w:tcPr>
          <w:p w14:paraId="3D2D351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17</w:t>
            </w:r>
          </w:p>
        </w:tc>
        <w:tc>
          <w:tcPr>
            <w:tcW w:w="3760" w:type="dxa"/>
          </w:tcPr>
          <w:p w14:paraId="0A5BC859"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Kirunda et al. (2021); Osei-Kyei &amp; Chan (2017); Moonga &amp; Shakantu (2019)</w:t>
            </w:r>
          </w:p>
        </w:tc>
      </w:tr>
      <w:tr w:rsidR="00183C1A" w:rsidRPr="00C0772E" w14:paraId="14DD35DF" w14:textId="77777777" w:rsidTr="00FE51C6">
        <w:tc>
          <w:tcPr>
            <w:tcW w:w="1400" w:type="dxa"/>
          </w:tcPr>
          <w:p w14:paraId="6C591342"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Strategies</w:t>
            </w:r>
          </w:p>
        </w:tc>
        <w:tc>
          <w:tcPr>
            <w:tcW w:w="3000" w:type="dxa"/>
          </w:tcPr>
          <w:p w14:paraId="3044C27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Capacity Building in CBA Methodology for Built Environment Professionals</w:t>
            </w:r>
          </w:p>
        </w:tc>
        <w:tc>
          <w:tcPr>
            <w:tcW w:w="1200" w:type="dxa"/>
          </w:tcPr>
          <w:p w14:paraId="58E60475"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16</w:t>
            </w:r>
          </w:p>
        </w:tc>
        <w:tc>
          <w:tcPr>
            <w:tcW w:w="3760" w:type="dxa"/>
          </w:tcPr>
          <w:p w14:paraId="0B45EE8C"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Nduka &amp; Okwu (2021); Akintoye et al. (2020); Owusu-Manu et al. (2017)</w:t>
            </w:r>
          </w:p>
        </w:tc>
      </w:tr>
      <w:tr w:rsidR="00183C1A" w:rsidRPr="00C0772E" w14:paraId="4AB2E8BB" w14:textId="77777777" w:rsidTr="00FE51C6">
        <w:tc>
          <w:tcPr>
            <w:tcW w:w="1400" w:type="dxa"/>
          </w:tcPr>
          <w:p w14:paraId="05686AA8"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Strategies</w:t>
            </w:r>
          </w:p>
        </w:tc>
        <w:tc>
          <w:tcPr>
            <w:tcW w:w="3000" w:type="dxa"/>
          </w:tcPr>
          <w:p w14:paraId="11D05CD1"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Social Discount Rate Standardisation by Government/Central Banks</w:t>
            </w:r>
          </w:p>
        </w:tc>
        <w:tc>
          <w:tcPr>
            <w:tcW w:w="1200" w:type="dxa"/>
          </w:tcPr>
          <w:p w14:paraId="018570BB"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12</w:t>
            </w:r>
          </w:p>
        </w:tc>
        <w:tc>
          <w:tcPr>
            <w:tcW w:w="3760" w:type="dxa"/>
          </w:tcPr>
          <w:p w14:paraId="77426F4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Viruly &amp; Hopkins (2019); World Bank (2022); Boshoff et al. (2021)</w:t>
            </w:r>
          </w:p>
        </w:tc>
      </w:tr>
      <w:tr w:rsidR="00183C1A" w:rsidRPr="00C0772E" w14:paraId="3395BE60" w14:textId="77777777" w:rsidTr="00FE51C6">
        <w:tc>
          <w:tcPr>
            <w:tcW w:w="1400" w:type="dxa"/>
          </w:tcPr>
          <w:p w14:paraId="4C97245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Strategies</w:t>
            </w:r>
          </w:p>
        </w:tc>
        <w:tc>
          <w:tcPr>
            <w:tcW w:w="3000" w:type="dxa"/>
          </w:tcPr>
          <w:p w14:paraId="5D596E8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Integration of SROI and Distributional Weights in Social Housing CBA</w:t>
            </w:r>
          </w:p>
        </w:tc>
        <w:tc>
          <w:tcPr>
            <w:tcW w:w="1200" w:type="dxa"/>
          </w:tcPr>
          <w:p w14:paraId="4AF2EE5D"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10</w:t>
            </w:r>
          </w:p>
        </w:tc>
        <w:tc>
          <w:tcPr>
            <w:tcW w:w="3760" w:type="dxa"/>
          </w:tcPr>
          <w:p w14:paraId="64AF4923"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Ahwireng-Obeng &amp; Asiedu (2021); Layard &amp; Glaister (1994); Pieterse (2019)</w:t>
            </w:r>
          </w:p>
        </w:tc>
      </w:tr>
      <w:tr w:rsidR="00183C1A" w:rsidRPr="00C0772E" w14:paraId="020D927E" w14:textId="77777777" w:rsidTr="00FE51C6">
        <w:tc>
          <w:tcPr>
            <w:tcW w:w="1400" w:type="dxa"/>
          </w:tcPr>
          <w:p w14:paraId="12B5299E"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Strategies</w:t>
            </w:r>
          </w:p>
        </w:tc>
        <w:tc>
          <w:tcPr>
            <w:tcW w:w="3000" w:type="dxa"/>
          </w:tcPr>
          <w:p w14:paraId="4B0A437A"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Climate Risk Adjustment Protocols for CBA in Vulnerable Zones</w:t>
            </w:r>
          </w:p>
        </w:tc>
        <w:tc>
          <w:tcPr>
            <w:tcW w:w="1200" w:type="dxa"/>
          </w:tcPr>
          <w:p w14:paraId="63CB782F"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8</w:t>
            </w:r>
          </w:p>
        </w:tc>
        <w:tc>
          <w:tcPr>
            <w:tcW w:w="3760" w:type="dxa"/>
          </w:tcPr>
          <w:p w14:paraId="0FCE8D40" w14:textId="77777777" w:rsidR="00183C1A" w:rsidRPr="00C0772E" w:rsidRDefault="00183C1A" w:rsidP="00185349">
            <w:pPr>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0"/>
                <w:szCs w:val="20"/>
              </w:rPr>
              <w:t>Muller et al. (2019); Hammill et al. (2021); UNEP (2017)</w:t>
            </w:r>
          </w:p>
        </w:tc>
      </w:tr>
    </w:tbl>
    <w:p w14:paraId="5DB98EC3" w14:textId="77777777" w:rsidR="00183C1A" w:rsidRPr="00C0772E" w:rsidRDefault="00183C1A" w:rsidP="00185349">
      <w:pPr>
        <w:spacing w:after="120"/>
        <w:jc w:val="both"/>
        <w:rPr>
          <w:rFonts w:ascii="Times New Roman" w:hAnsi="Times New Roman" w:cs="Times New Roman"/>
          <w:color w:val="000000" w:themeColor="text1"/>
        </w:rPr>
      </w:pPr>
    </w:p>
    <w:p w14:paraId="32A6C861" w14:textId="77777777" w:rsidR="00F01E16" w:rsidRDefault="00F01E16" w:rsidP="00185349">
      <w:pPr>
        <w:spacing w:after="120" w:line="276" w:lineRule="auto"/>
        <w:jc w:val="both"/>
        <w:rPr>
          <w:rFonts w:ascii="Times New Roman" w:eastAsia="Times New Roman" w:hAnsi="Times New Roman" w:cs="Times New Roman"/>
          <w:color w:val="000000" w:themeColor="text1"/>
          <w:sz w:val="24"/>
          <w:szCs w:val="24"/>
        </w:rPr>
      </w:pPr>
      <w:r>
        <w:rPr>
          <w:noProof/>
          <w:lang w:val="en-IN" w:eastAsia="en-IN"/>
        </w:rPr>
        <w:drawing>
          <wp:inline distT="0" distB="0" distL="0" distR="0" wp14:anchorId="25008AB5" wp14:editId="20D5FDC6">
            <wp:extent cx="5778500" cy="2743200"/>
            <wp:effectExtent l="0" t="0" r="12700" b="0"/>
            <wp:docPr id="134132805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95C576-1B20-CDB8-9BD8-02E44E0B6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61ED2E" w14:textId="73EFC279" w:rsidR="00F01E16" w:rsidRPr="005B03FD" w:rsidRDefault="005B03FD" w:rsidP="005B03FD">
      <w:pPr>
        <w:spacing w:before="60"/>
        <w:jc w:val="both"/>
        <w:rPr>
          <w:rFonts w:ascii="Times New Roman" w:hAnsi="Times New Roman" w:cs="Times New Roman"/>
          <w:i/>
          <w:iCs/>
          <w:color w:val="000000" w:themeColor="text1"/>
        </w:rPr>
      </w:pPr>
      <w:r w:rsidRPr="005B03FD">
        <w:rPr>
          <w:rFonts w:ascii="Times New Roman" w:eastAsia="Times New Roman" w:hAnsi="Times New Roman" w:cs="Times New Roman"/>
          <w:i/>
          <w:iCs/>
          <w:color w:val="000000" w:themeColor="text1"/>
          <w:sz w:val="20"/>
          <w:szCs w:val="20"/>
        </w:rPr>
        <w:t>Figure 4: Barriers to Effective CBA Application Identified in Reviewed Studies</w:t>
      </w:r>
    </w:p>
    <w:p w14:paraId="1ED4E38A" w14:textId="77777777" w:rsidR="00F01E16" w:rsidRDefault="00C460DC" w:rsidP="00185349">
      <w:pPr>
        <w:spacing w:after="120" w:line="276" w:lineRule="auto"/>
        <w:jc w:val="both"/>
        <w:rPr>
          <w:rFonts w:ascii="Times New Roman" w:eastAsia="Times New Roman" w:hAnsi="Times New Roman" w:cs="Times New Roman"/>
          <w:color w:val="000000" w:themeColor="text1"/>
          <w:sz w:val="24"/>
          <w:szCs w:val="24"/>
        </w:rPr>
      </w:pPr>
      <w:r>
        <w:rPr>
          <w:noProof/>
          <w:lang w:val="en-IN" w:eastAsia="en-IN"/>
        </w:rPr>
        <w:drawing>
          <wp:inline distT="0" distB="0" distL="0" distR="0" wp14:anchorId="4C755B5D" wp14:editId="4D3ECEBC">
            <wp:extent cx="5867400" cy="2743200"/>
            <wp:effectExtent l="0" t="0" r="0" b="0"/>
            <wp:docPr id="196828525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40152F-36AB-A698-6037-DA7203B04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136F2" w14:textId="0B5AB2B4" w:rsidR="005B03FD" w:rsidRPr="00C0772E" w:rsidRDefault="005B03FD" w:rsidP="005B03FD">
      <w:pPr>
        <w:spacing w:before="60"/>
        <w:jc w:val="both"/>
        <w:rPr>
          <w:rFonts w:ascii="Times New Roman" w:hAnsi="Times New Roman" w:cs="Times New Roman"/>
          <w:color w:val="000000" w:themeColor="text1"/>
        </w:rPr>
      </w:pPr>
      <w:r>
        <w:rPr>
          <w:rFonts w:ascii="Times New Roman" w:eastAsia="Times New Roman" w:hAnsi="Times New Roman" w:cs="Times New Roman"/>
          <w:i/>
          <w:iCs/>
          <w:color w:val="000000" w:themeColor="text1"/>
          <w:sz w:val="20"/>
          <w:szCs w:val="20"/>
        </w:rPr>
        <w:t xml:space="preserve">Figure 5: </w:t>
      </w:r>
      <w:r w:rsidRPr="005B03FD">
        <w:rPr>
          <w:rFonts w:ascii="Times New Roman" w:eastAsia="Times New Roman" w:hAnsi="Times New Roman" w:cs="Times New Roman"/>
          <w:i/>
          <w:iCs/>
          <w:color w:val="000000" w:themeColor="text1"/>
          <w:sz w:val="20"/>
          <w:szCs w:val="20"/>
        </w:rPr>
        <w:t>Strategies Identified in Reviewed Studies</w:t>
      </w:r>
    </w:p>
    <w:p w14:paraId="6829F933" w14:textId="4134AB26"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 xml:space="preserve">The barriers identified in the empirical literature are mutually reinforcing and systemic. Data scarcity constrains professional capacity development, which in turn limits CBA methodology quality, which reduces CBA's decision-support utility, which weakens the political case for regulatory CBA mandates. Breaking this cycle requires simultaneous interventions across data infrastructure, professional education, and regulatory frameworks a conclusion supported by the comparative success of South Africa and Ghana, which have made the greatest strides in formalising CBA practice within the SSA built environment sector, partly through sustained investments in housing data systems, the development of locally calibrated construction cost benchmarks, and the institutionalisation of environmental impact assessment linked to development approval </w:t>
      </w: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ZOTERO_ITEM CSL_CITATION {"citationID":"PbOlYB6t","properties":{"unsorted":false,"formattedCitation":"(Boshoff et al., 2021; Owusu-Manu et al., 2017)","plainCitation":"(Boshoff et al., 2021; Owusu-Manu et al., 2017)","noteIndex":0},"citationItems":[{"id":503,"uris":["http://zotero.org/users/19233632/items/VZXU6BRJ"],"itemData":{"id":503,"type":"article-journal","container-title":"South African Journal of Economics","DOI":"10.1111/saje.12272","issue":"1","page":"45–63","title":"Financial viability and subsidy requirements of South Africa's Breaking New Ground social housing programme: A CBA assessment","volume":"89","author":[{"family":"Boshoff","given":"D."},{"family":"Cloete","given":"C."},{"family":"Snowball","given":"J."}],"issued":{"date-parts":[["2021"]]}}},{"id":524,"uris":["http://zotero.org/users/19233632/items/95T3YF8E"],"itemData":{"id":524,"type":"article-journal","container-title":"Engineering, Construction and Architectural Management","DOI":"10.1108/ECAM-11-2015-0180","issue":"5","page":"758–775","title":"CBA capacity building in the Ghanaian built environment: An assessment of quantity surveying and project management practice","volume":"24","author":[{"family":"Owusu-Manu","given":"D."},{"family":"Edwards","given":"D. J."},{"family":"Parn","given":"E."},{"family":"Asiedu","given":"R. O."},{"family":"Bamfo-Agyei","given":"E."}],"issued":{"date-parts":[["2017"]]}}}],"schema":"https://github.com/citation-style-language/schema/raw/master/csl-citation.json"} </w:instrText>
      </w:r>
      <w:r>
        <w:rPr>
          <w:rFonts w:ascii="Times New Roman" w:eastAsia="Times New Roman" w:hAnsi="Times New Roman" w:cs="Times New Roman"/>
          <w:color w:val="000000" w:themeColor="text1"/>
          <w:sz w:val="24"/>
          <w:szCs w:val="24"/>
        </w:rPr>
        <w:fldChar w:fldCharType="separate"/>
      </w:r>
      <w:r>
        <w:rPr>
          <w:rFonts w:ascii="Times New Roman" w:hAnsi="Times New Roman" w:cs="Times New Roman"/>
          <w:sz w:val="24"/>
        </w:rPr>
        <w:t>(Boshoff et al., 2021; Owusu-Manu et al., 2017)</w:t>
      </w:r>
      <w:r>
        <w:rPr>
          <w:rFonts w:ascii="Times New Roman" w:eastAsia="Times New Roman" w:hAnsi="Times New Roman" w:cs="Times New Roman"/>
          <w:color w:val="000000" w:themeColor="text1"/>
          <w:sz w:val="24"/>
          <w:szCs w:val="24"/>
        </w:rPr>
        <w:fldChar w:fldCharType="end"/>
      </w:r>
      <w:r>
        <w:rPr>
          <w:rFonts w:ascii="Times New Roman" w:eastAsia="Times New Roman" w:hAnsi="Times New Roman" w:cs="Times New Roman"/>
          <w:color w:val="000000" w:themeColor="text1"/>
          <w:sz w:val="24"/>
          <w:szCs w:val="24"/>
        </w:rPr>
        <w:t>.</w:t>
      </w:r>
    </w:p>
    <w:p w14:paraId="2D4A1217" w14:textId="77777777" w:rsidR="00183C1A" w:rsidRPr="00C0772E" w:rsidRDefault="00183C1A" w:rsidP="00185349">
      <w:pPr>
        <w:pStyle w:val="Heading1"/>
        <w:jc w:val="both"/>
        <w:rPr>
          <w:rFonts w:ascii="Times New Roman" w:hAnsi="Times New Roman" w:cs="Times New Roman"/>
          <w:color w:val="000000" w:themeColor="text1"/>
        </w:rPr>
      </w:pPr>
      <w:r>
        <w:rPr>
          <w:rFonts w:ascii="Times New Roman" w:eastAsia="Arial" w:hAnsi="Times New Roman" w:cs="Times New Roman"/>
          <w:b/>
          <w:bCs/>
          <w:color w:val="000000" w:themeColor="text1"/>
          <w:sz w:val="26"/>
          <w:szCs w:val="26"/>
        </w:rPr>
        <w:t>Conclusion and Recommendations</w:t>
      </w:r>
    </w:p>
    <w:p w14:paraId="0DA4B9CD"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Key Conclusions</w:t>
      </w:r>
    </w:p>
    <w:p w14:paraId="03789EDB"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This PRISMA-guided systematic review of 47 empirical studies from SSA provides robust evidence on the role of CBA in shaping residential construction project development across the region. The principal conclusions are as follows:</w:t>
      </w:r>
    </w:p>
    <w:p w14:paraId="4572DF92" w14:textId="1C96A4BA"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CBA, when rigorously applied, demonstrably improves residential construction project outcomes in SSA, including reduced rates of cost overrun, improved investment efficiency, and stronger alignment between project financing and project performance  with Tanzania, Zambia, and South Africa providing the clearest empirical evidence.</w:t>
      </w:r>
    </w:p>
    <w:p w14:paraId="62F7BDBA"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Financial appraisal methods (NPV, BCR, IRR) dominate CBA practice in SSA residential construction but are systematically applied in isolation from social and environmental cost dimensions, generating CBA outcomes that overestimate financial returns and underestimate the full public value or public cost of housing development.</w:t>
      </w:r>
    </w:p>
    <w:p w14:paraId="553672AB" w14:textId="5A3A37D4"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Social housing and affordable housing programmes in SSA consistently generate negative financial NPVs at commercial discount rates, requiring public subsidy for CBA viability  a finding that has direct implications for housing finance policy design and the allocation of public housing budgets across SSA governments.</w:t>
      </w:r>
    </w:p>
    <w:p w14:paraId="24D9EBC1" w14:textId="297B8C42"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Social cost-benefit dimensions  including community displacement costs, employment multipliers, household health improvements, and SROI are gaining empirical traction in SSA, with Ghana's SROI evidence demonstrating social returns of GHS 1.8–3.4 per unit invested in social housing, but remain systematically excluded from standard project appraisal practice.</w:t>
      </w:r>
    </w:p>
    <w:p w14:paraId="57361897"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Environmental CBA, encompassing green building lifecycle savings and climate risk-adjusted cost modelling, is empirically validated as value-adding in SSA residential construction, but remains confined to a small number of more institutionally advanced countries.</w:t>
      </w:r>
    </w:p>
    <w:p w14:paraId="515A2BA7"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Data scarcity, informal land tenure, currency volatility, and professional capacity constraints constitute the most pervasive and deeply structural barriers to reliable CBA application in SSA, with fewer than 20% of reviewed studies reporting the application of shadow pricing and fewer than 10% incorporating environmental externality valuation.</w:t>
      </w:r>
    </w:p>
    <w:p w14:paraId="0B49747F" w14:textId="09817629"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Multilateral lender-funded housing projects consistently demonstrate higher CBA quality than domestically financed projects, reflecting the standard-setting influence of international development finance institutions a pattern that underscores both an opportunity and a risk in SSA housing investment.</w:t>
      </w:r>
    </w:p>
    <w:p w14:paraId="1C06E2E9" w14:textId="77777777" w:rsidR="00183C1A" w:rsidRPr="000B778C"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Regional disparities in CBA practice are substantial: South Africa and Ghana represent the most advanced contexts, while Francophone West Africa, Central Africa, and several East African countries represent significant evidence gaps requiring dedicated research investment.</w:t>
      </w:r>
    </w:p>
    <w:p w14:paraId="4F3BD604"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Policy Recommendations</w:t>
      </w:r>
    </w:p>
    <w:p w14:paraId="458E3B55"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Based on the evidence synthesised in this review, the following policy recommendations are proposed for governments, development finance institutions, construction industry bodies, and academic institutions operating across SSA:</w:t>
      </w:r>
    </w:p>
    <w:p w14:paraId="7C870A96" w14:textId="77777777" w:rsidR="00183C1A" w:rsidRPr="00C0772E" w:rsidRDefault="00183C1A" w:rsidP="00185349">
      <w:pPr>
        <w:pStyle w:val="ListParagraph"/>
        <w:numPr>
          <w:ilvl w:val="0"/>
          <w:numId w:val="2"/>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Establish national construction cost databases and housing property registries in SSA countries where these infrastructure components are absent, as a prerequisite for reliable CBA input data. Development Finance Institutions (DFIs) should condition project financing on the use of nationally calibrated cost and benefit benchmarks.</w:t>
      </w:r>
    </w:p>
    <w:p w14:paraId="63AE0D1C" w14:textId="77777777" w:rsidR="00183C1A" w:rsidRPr="00C0772E" w:rsidRDefault="00183C1A" w:rsidP="00185349">
      <w:pPr>
        <w:pStyle w:val="ListParagraph"/>
        <w:numPr>
          <w:ilvl w:val="0"/>
          <w:numId w:val="2"/>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Introduce mandatory CBA requirements in residential construction development approval regulations across SSA, modelled on South Africa's Environmental Impact Assessment regulations and Ghana's National Housing Policy appraisal framework, with provisions for independent quality review of submitted CBA documents.</w:t>
      </w:r>
    </w:p>
    <w:p w14:paraId="2739C550" w14:textId="46897007" w:rsidR="00183C1A" w:rsidRPr="00C0772E" w:rsidRDefault="00183C1A" w:rsidP="00185349">
      <w:pPr>
        <w:pStyle w:val="ListParagraph"/>
        <w:numPr>
          <w:ilvl w:val="0"/>
          <w:numId w:val="2"/>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Standardise social discount rates for public housing investment at the national level guided by central banks and finance ministries, with technical assistance from regional institutions such as the African Development Bank to replace the current practice of applying commercially determined discount rates to social housing projects.</w:t>
      </w:r>
    </w:p>
    <w:p w14:paraId="6E53553E" w14:textId="77777777" w:rsidR="00183C1A" w:rsidRPr="00C0772E" w:rsidRDefault="00183C1A" w:rsidP="00185349">
      <w:pPr>
        <w:pStyle w:val="ListParagraph"/>
        <w:numPr>
          <w:ilvl w:val="0"/>
          <w:numId w:val="2"/>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Integrate Social Return on Investment (SROI) and distributional weighting methodologies into standard CBA frameworks for social and affordable housing, giving explicit weight to benefits accruing to the bottom income quintile to prevent the systematic exclusion of low-income populations from CBA-positive housing development.</w:t>
      </w:r>
    </w:p>
    <w:p w14:paraId="0DFA1ACC" w14:textId="77777777" w:rsidR="00183C1A" w:rsidRPr="00C0772E" w:rsidRDefault="00183C1A" w:rsidP="00185349">
      <w:pPr>
        <w:pStyle w:val="ListParagraph"/>
        <w:numPr>
          <w:ilvl w:val="0"/>
          <w:numId w:val="2"/>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Develop and roll out targeted CBA methodology training programmes for quantity surveyors, urban planners, civil engineers, and housing policy officials across SSA, with regional professional bodies such as the African Association of Quantity Surveyors (AAQS) playing a coordinating role.</w:t>
      </w:r>
    </w:p>
    <w:p w14:paraId="4EE2AD8B" w14:textId="77777777" w:rsidR="00183C1A" w:rsidRPr="00C0772E" w:rsidRDefault="00183C1A" w:rsidP="00185349">
      <w:pPr>
        <w:pStyle w:val="ListParagraph"/>
        <w:numPr>
          <w:ilvl w:val="0"/>
          <w:numId w:val="2"/>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Mandate the inclusion of displacement cost assessments in residential construction CBA where urban redevelopment, informal settlement upgrading, or community relocation is involved, in line with international involuntary resettlement standards as established by the World Bank's Operational Policy 4.12.</w:t>
      </w:r>
    </w:p>
    <w:p w14:paraId="6928987E" w14:textId="77777777" w:rsidR="00183C1A" w:rsidRPr="00C0772E" w:rsidRDefault="00183C1A" w:rsidP="00185349">
      <w:pPr>
        <w:pStyle w:val="ListParagraph"/>
        <w:numPr>
          <w:ilvl w:val="0"/>
          <w:numId w:val="2"/>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Establish climate risk adjustment protocols for CBA exercises in coastal, flood-prone, and climate-vulnerable SSA urban areas, drawing on regional climate data produced by the Intergovernmental Panel on Climate Change (IPCC) and Africa-specific climate modelling initiatives.</w:t>
      </w:r>
    </w:p>
    <w:p w14:paraId="556F024C" w14:textId="77777777" w:rsidR="00183C1A" w:rsidRPr="00C0772E" w:rsidRDefault="00183C1A" w:rsidP="00185349">
      <w:pPr>
        <w:pStyle w:val="ListParagraph"/>
        <w:numPr>
          <w:ilvl w:val="0"/>
          <w:numId w:val="2"/>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Incentivise green building CBA adoption through tax rebates, expedited planning approval, and development finance concessional lending for residential projects meeting regionally applicable green building standards, leveraging the existing Green Star SA and Ghana Green Building Council frameworks.</w:t>
      </w:r>
    </w:p>
    <w:p w14:paraId="1EB8065D" w14:textId="77777777" w:rsidR="00183C1A" w:rsidRPr="00C0772E" w:rsidRDefault="00183C1A" w:rsidP="00185349">
      <w:pPr>
        <w:spacing w:before="200" w:after="80"/>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sz w:val="24"/>
          <w:szCs w:val="24"/>
        </w:rPr>
        <w:t>Recommendations for Future Research</w:t>
      </w:r>
    </w:p>
    <w:p w14:paraId="14D8CEB7" w14:textId="77777777" w:rsidR="00183C1A" w:rsidRPr="00C0772E" w:rsidRDefault="00183C1A" w:rsidP="00185349">
      <w:pPr>
        <w:spacing w:after="120" w:line="276"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The evidence base reviewed here, while substantial, reveals critical gaps that future research should address:</w:t>
      </w:r>
    </w:p>
    <w:p w14:paraId="5C7F0D68" w14:textId="3388556F"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Longitudinal studies tracking the relationship between pre-investment CBA quality and long-term residential project performance including occupancy rates, maintenance expenditure, community welfare outcomes, and asset value trajectories are urgently needed across SSA to establish causal evidence on CBA effectiveness.</w:t>
      </w:r>
    </w:p>
    <w:p w14:paraId="11324133"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Comparative research examining CBA adoption and quality differences between Anglophone and Francophone SSA countries would illuminate the role of regulatory heritage, professional education systems, and donor influence in shaping CBA practice.</w:t>
      </w:r>
    </w:p>
    <w:p w14:paraId="4FFC0304"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Qualitative and ethnographic research exploring how built environment professionals in SSA navigate the tension between CBA methodological standards and political, commercial, and institutional pressures in practice would strengthen understanding of CBA's real-world decision-support function.</w:t>
      </w:r>
    </w:p>
    <w:p w14:paraId="120C80DB"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Experimental and quasi-experimental studies evaluating the effectiveness of professional capacity building interventions in CBA methodology would provide evidence on the most cost-effective approaches to closing the professional training gap.</w:t>
      </w:r>
    </w:p>
    <w:p w14:paraId="04B80138"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Expanded research on SROI and distributional CBA in SSA social housing is warranted, particularly in Francophone West Africa and Central Africa, where social housing programmes are active but largely unstudied from a CBA perspective.</w:t>
      </w:r>
    </w:p>
    <w:p w14:paraId="2213628A" w14:textId="36457DC1"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Research on the integration of artificial intelligence, big data analytics, and remote sensing into CBA data generation for SSA residential construction leveraging satellite-derived property valuation, population mobility data, and machine learning cost estimation represents a frontier research area with high potential relevance.</w:t>
      </w:r>
    </w:p>
    <w:p w14:paraId="5CB80D84" w14:textId="77777777" w:rsidR="00183C1A" w:rsidRPr="00C0772E" w:rsidRDefault="00183C1A" w:rsidP="00185349">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Studies examining how customary land tenure reform influences CBA feasibility calculations for residential construction in rural-urban transition zones of SSA would fill a critical empirical gap, given the prevalence of informal tenure and its systematic exclusion from current CBA practice.</w:t>
      </w:r>
    </w:p>
    <w:p w14:paraId="302C223A" w14:textId="03A459E6" w:rsidR="00183C1A" w:rsidRPr="005B03FD" w:rsidRDefault="00183C1A" w:rsidP="005B03FD">
      <w:pPr>
        <w:pStyle w:val="ListParagraph"/>
        <w:numPr>
          <w:ilvl w:val="0"/>
          <w:numId w:val="1"/>
        </w:numPr>
        <w:spacing w:after="80" w:line="276" w:lineRule="auto"/>
        <w:contextualSpacing w:val="0"/>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4"/>
          <w:szCs w:val="24"/>
        </w:rPr>
        <w:t>Multi-country comparative studies examining how climate change scenarios alter CBA outcomes for coastal and climate-vulnerable SSA residential construction, with a focus on developing climate-adjusted CBA toolkits applicable across diverse SSA contexts, are an emerging priority.</w:t>
      </w:r>
    </w:p>
    <w:p w14:paraId="2829E61C" w14:textId="77777777" w:rsidR="00183C1A" w:rsidRPr="00C0772E" w:rsidRDefault="00183C1A" w:rsidP="00185349">
      <w:pPr>
        <w:pStyle w:val="Heading1"/>
        <w:jc w:val="both"/>
        <w:rPr>
          <w:rFonts w:ascii="Times New Roman" w:hAnsi="Times New Roman" w:cs="Times New Roman"/>
          <w:color w:val="000000" w:themeColor="text1"/>
        </w:rPr>
      </w:pPr>
      <w:r>
        <w:rPr>
          <w:rFonts w:ascii="Times New Roman" w:eastAsia="Arial" w:hAnsi="Times New Roman" w:cs="Times New Roman"/>
          <w:b/>
          <w:bCs/>
          <w:color w:val="000000" w:themeColor="text1"/>
          <w:sz w:val="26"/>
          <w:szCs w:val="26"/>
        </w:rPr>
        <w:t>References</w:t>
      </w:r>
    </w:p>
    <w:p w14:paraId="7EBF9FE2" w14:textId="77777777" w:rsidR="000F14FD" w:rsidRPr="005B03FD" w:rsidRDefault="00306C99" w:rsidP="005B03FD">
      <w:pPr>
        <w:pStyle w:val="Bibliography"/>
        <w:spacing w:line="240" w:lineRule="auto"/>
        <w:jc w:val="both"/>
        <w:rPr>
          <w:rFonts w:ascii="Times New Roman" w:hAnsi="Times New Roman" w:cs="Times New Roman"/>
        </w:rPr>
      </w:pPr>
      <w:r w:rsidRPr="005B03FD">
        <w:rPr>
          <w:rFonts w:ascii="Times New Roman" w:hAnsi="Times New Roman" w:cs="Times New Roman"/>
        </w:rPr>
        <w:fldChar w:fldCharType="begin"/>
      </w:r>
      <w:r w:rsidRPr="005B03FD">
        <w:rPr>
          <w:rFonts w:ascii="Times New Roman" w:hAnsi="Times New Roman" w:cs="Times New Roman"/>
        </w:rPr>
        <w:instrText xml:space="preserve"> ADDIN ZOTERO_BIBL {"uncited":[],"omitted":[],"custom":[]} CSL_BIBLIOGRAPHY </w:instrText>
      </w:r>
      <w:r w:rsidRPr="005B03FD">
        <w:rPr>
          <w:rFonts w:ascii="Times New Roman" w:hAnsi="Times New Roman" w:cs="Times New Roman"/>
        </w:rPr>
        <w:fldChar w:fldCharType="separate"/>
      </w:r>
      <w:r w:rsidR="000F14FD" w:rsidRPr="005B03FD">
        <w:rPr>
          <w:rFonts w:ascii="Times New Roman" w:hAnsi="Times New Roman" w:cs="Times New Roman"/>
        </w:rPr>
        <w:t xml:space="preserve">Abass, K., &amp; Gyamfi-Yeboah, F. (2020). Housing affordability and the low-income housing market in Ghana: A CBA perspective. </w:t>
      </w:r>
      <w:r w:rsidR="000F14FD" w:rsidRPr="005B03FD">
        <w:rPr>
          <w:rFonts w:ascii="Times New Roman" w:hAnsi="Times New Roman" w:cs="Times New Roman"/>
          <w:i/>
          <w:iCs/>
        </w:rPr>
        <w:t>Housing Studies</w:t>
      </w:r>
      <w:r w:rsidR="000F14FD" w:rsidRPr="005B03FD">
        <w:rPr>
          <w:rFonts w:ascii="Times New Roman" w:hAnsi="Times New Roman" w:cs="Times New Roman"/>
        </w:rPr>
        <w:t xml:space="preserve">, </w:t>
      </w:r>
      <w:r w:rsidR="000F14FD" w:rsidRPr="005B03FD">
        <w:rPr>
          <w:rFonts w:ascii="Times New Roman" w:hAnsi="Times New Roman" w:cs="Times New Roman"/>
          <w:i/>
          <w:iCs/>
        </w:rPr>
        <w:t>35</w:t>
      </w:r>
      <w:r w:rsidR="000F14FD" w:rsidRPr="005B03FD">
        <w:rPr>
          <w:rFonts w:ascii="Times New Roman" w:hAnsi="Times New Roman" w:cs="Times New Roman"/>
        </w:rPr>
        <w:t>(4), 612–630. https://doi.org/10.1080/02673037.2019.1638015</w:t>
      </w:r>
    </w:p>
    <w:p w14:paraId="1865AC79"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Akintoye, A., Boateng, P., &amp; Liyanage, C. (2020). Cost escalation in Sub-Saharan African residential construction: Drivers, CBA implications, and mitigation strategies. </w:t>
      </w:r>
      <w:r w:rsidRPr="005B03FD">
        <w:rPr>
          <w:rFonts w:ascii="Times New Roman" w:hAnsi="Times New Roman" w:cs="Times New Roman"/>
          <w:i/>
          <w:iCs/>
        </w:rPr>
        <w:t>International Journal of Project Management</w:t>
      </w:r>
      <w:r w:rsidRPr="005B03FD">
        <w:rPr>
          <w:rFonts w:ascii="Times New Roman" w:hAnsi="Times New Roman" w:cs="Times New Roman"/>
        </w:rPr>
        <w:t xml:space="preserve">, </w:t>
      </w:r>
      <w:r w:rsidRPr="005B03FD">
        <w:rPr>
          <w:rFonts w:ascii="Times New Roman" w:hAnsi="Times New Roman" w:cs="Times New Roman"/>
          <w:i/>
          <w:iCs/>
        </w:rPr>
        <w:t>38</w:t>
      </w:r>
      <w:r w:rsidRPr="005B03FD">
        <w:rPr>
          <w:rFonts w:ascii="Times New Roman" w:hAnsi="Times New Roman" w:cs="Times New Roman"/>
        </w:rPr>
        <w:t>(5), 289–303. https://doi.org/10.1016/j.ijproman.2020.04.002</w:t>
      </w:r>
    </w:p>
    <w:p w14:paraId="0F964BBE"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Anyamba, T. (2020). Land cost structures and residential construction viability in Ugandan cities. </w:t>
      </w:r>
      <w:r w:rsidRPr="005B03FD">
        <w:rPr>
          <w:rFonts w:ascii="Times New Roman" w:hAnsi="Times New Roman" w:cs="Times New Roman"/>
          <w:i/>
          <w:iCs/>
        </w:rPr>
        <w:t>Urban Studies</w:t>
      </w:r>
      <w:r w:rsidRPr="005B03FD">
        <w:rPr>
          <w:rFonts w:ascii="Times New Roman" w:hAnsi="Times New Roman" w:cs="Times New Roman"/>
        </w:rPr>
        <w:t xml:space="preserve">, </w:t>
      </w:r>
      <w:r w:rsidRPr="005B03FD">
        <w:rPr>
          <w:rFonts w:ascii="Times New Roman" w:hAnsi="Times New Roman" w:cs="Times New Roman"/>
          <w:i/>
          <w:iCs/>
        </w:rPr>
        <w:t>57</w:t>
      </w:r>
      <w:r w:rsidRPr="005B03FD">
        <w:rPr>
          <w:rFonts w:ascii="Times New Roman" w:hAnsi="Times New Roman" w:cs="Times New Roman"/>
        </w:rPr>
        <w:t>(9), 1898–1916. https://doi.org/10.1177/0042098019857845</w:t>
      </w:r>
    </w:p>
    <w:p w14:paraId="13E46AD4"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Ayarkwa, J., Osei-Asibey, D., &amp; Acheampong, A. (2020). Cost-benefit analysis of green building standards adoption in Ghanaian residential construction. </w:t>
      </w:r>
      <w:r w:rsidRPr="005B03FD">
        <w:rPr>
          <w:rFonts w:ascii="Times New Roman" w:hAnsi="Times New Roman" w:cs="Times New Roman"/>
          <w:i/>
          <w:iCs/>
        </w:rPr>
        <w:t>Sustainable Cities and Society</w:t>
      </w:r>
      <w:r w:rsidRPr="005B03FD">
        <w:rPr>
          <w:rFonts w:ascii="Times New Roman" w:hAnsi="Times New Roman" w:cs="Times New Roman"/>
        </w:rPr>
        <w:t xml:space="preserve">, </w:t>
      </w:r>
      <w:r w:rsidRPr="005B03FD">
        <w:rPr>
          <w:rFonts w:ascii="Times New Roman" w:hAnsi="Times New Roman" w:cs="Times New Roman"/>
          <w:i/>
          <w:iCs/>
        </w:rPr>
        <w:t>54</w:t>
      </w:r>
      <w:r w:rsidRPr="005B03FD">
        <w:rPr>
          <w:rFonts w:ascii="Times New Roman" w:hAnsi="Times New Roman" w:cs="Times New Roman"/>
        </w:rPr>
        <w:t>, 101970. https://doi.org/10.1016/j.scs.2019.101970</w:t>
      </w:r>
    </w:p>
    <w:p w14:paraId="3CE30056"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Boardman, A. E., Greenberg, D. H., Vining, A. R., &amp; Weimer, D. L. (2018). </w:t>
      </w:r>
      <w:r w:rsidRPr="005B03FD">
        <w:rPr>
          <w:rFonts w:ascii="Times New Roman" w:hAnsi="Times New Roman" w:cs="Times New Roman"/>
          <w:i/>
          <w:iCs/>
        </w:rPr>
        <w:t>Cost-Benefit Analysis: Concepts and Practice</w:t>
      </w:r>
      <w:r w:rsidRPr="005B03FD">
        <w:rPr>
          <w:rFonts w:ascii="Times New Roman" w:hAnsi="Times New Roman" w:cs="Times New Roman"/>
        </w:rPr>
        <w:t xml:space="preserve"> (5th ed.). Cambridge University Press.</w:t>
      </w:r>
    </w:p>
    <w:p w14:paraId="6B90BB5B"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Boshoff, D., Cloete, C., &amp; Snowball, J. (2021). Financial viability and subsidy requirements of South Africa’s Breaking New Ground social housing programme: A CBA assessment. </w:t>
      </w:r>
      <w:r w:rsidRPr="005B03FD">
        <w:rPr>
          <w:rFonts w:ascii="Times New Roman" w:hAnsi="Times New Roman" w:cs="Times New Roman"/>
          <w:i/>
          <w:iCs/>
        </w:rPr>
        <w:t>South African Journal of Economics</w:t>
      </w:r>
      <w:r w:rsidRPr="005B03FD">
        <w:rPr>
          <w:rFonts w:ascii="Times New Roman" w:hAnsi="Times New Roman" w:cs="Times New Roman"/>
        </w:rPr>
        <w:t xml:space="preserve">, </w:t>
      </w:r>
      <w:r w:rsidRPr="005B03FD">
        <w:rPr>
          <w:rFonts w:ascii="Times New Roman" w:hAnsi="Times New Roman" w:cs="Times New Roman"/>
          <w:i/>
          <w:iCs/>
        </w:rPr>
        <w:t>89</w:t>
      </w:r>
      <w:r w:rsidRPr="005B03FD">
        <w:rPr>
          <w:rFonts w:ascii="Times New Roman" w:hAnsi="Times New Roman" w:cs="Times New Roman"/>
        </w:rPr>
        <w:t>(1), 45–63. https://doi.org/10.1111/saje.12272</w:t>
      </w:r>
    </w:p>
    <w:p w14:paraId="2A708347"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Cadman, D., &amp; Topping, R. (2009). </w:t>
      </w:r>
      <w:r w:rsidRPr="005B03FD">
        <w:rPr>
          <w:rFonts w:ascii="Times New Roman" w:hAnsi="Times New Roman" w:cs="Times New Roman"/>
          <w:i/>
          <w:iCs/>
        </w:rPr>
        <w:t>Property Development</w:t>
      </w:r>
      <w:r w:rsidRPr="005B03FD">
        <w:rPr>
          <w:rFonts w:ascii="Times New Roman" w:hAnsi="Times New Roman" w:cs="Times New Roman"/>
        </w:rPr>
        <w:t xml:space="preserve"> (5th ed.). Taylor &amp; Francis.</w:t>
      </w:r>
    </w:p>
    <w:p w14:paraId="3968FFF4"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Chirisa, I., Bandauko, E., &amp; Mutsindikwa, N. (2020). Customary land tenure and CBA feasibility in Zimbabwean urban housing: Implications for formal housing investment. </w:t>
      </w:r>
      <w:r w:rsidRPr="005B03FD">
        <w:rPr>
          <w:rFonts w:ascii="Times New Roman" w:hAnsi="Times New Roman" w:cs="Times New Roman"/>
          <w:i/>
          <w:iCs/>
        </w:rPr>
        <w:t>Journal of African Real Estate Research</w:t>
      </w:r>
      <w:r w:rsidRPr="005B03FD">
        <w:rPr>
          <w:rFonts w:ascii="Times New Roman" w:hAnsi="Times New Roman" w:cs="Times New Roman"/>
        </w:rPr>
        <w:t xml:space="preserve">, </w:t>
      </w:r>
      <w:r w:rsidRPr="005B03FD">
        <w:rPr>
          <w:rFonts w:ascii="Times New Roman" w:hAnsi="Times New Roman" w:cs="Times New Roman"/>
          <w:i/>
          <w:iCs/>
        </w:rPr>
        <w:t>5</w:t>
      </w:r>
      <w:r w:rsidRPr="005B03FD">
        <w:rPr>
          <w:rFonts w:ascii="Times New Roman" w:hAnsi="Times New Roman" w:cs="Times New Roman"/>
        </w:rPr>
        <w:t>(1), 1–21. https://doi.org/10.15641/jarer.v5i1.816</w:t>
      </w:r>
    </w:p>
    <w:p w14:paraId="0C300039"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Cumbe, A., &amp; Napier, M. (2019). Land cost constraints on affordable residential construction in Maputo: A cost-benefit perspective. </w:t>
      </w:r>
      <w:r w:rsidRPr="005B03FD">
        <w:rPr>
          <w:rFonts w:ascii="Times New Roman" w:hAnsi="Times New Roman" w:cs="Times New Roman"/>
          <w:i/>
          <w:iCs/>
        </w:rPr>
        <w:t>Habitat International</w:t>
      </w:r>
      <w:r w:rsidRPr="005B03FD">
        <w:rPr>
          <w:rFonts w:ascii="Times New Roman" w:hAnsi="Times New Roman" w:cs="Times New Roman"/>
        </w:rPr>
        <w:t xml:space="preserve">, </w:t>
      </w:r>
      <w:r w:rsidRPr="005B03FD">
        <w:rPr>
          <w:rFonts w:ascii="Times New Roman" w:hAnsi="Times New Roman" w:cs="Times New Roman"/>
          <w:i/>
          <w:iCs/>
        </w:rPr>
        <w:t>87</w:t>
      </w:r>
      <w:r w:rsidRPr="005B03FD">
        <w:rPr>
          <w:rFonts w:ascii="Times New Roman" w:hAnsi="Times New Roman" w:cs="Times New Roman"/>
        </w:rPr>
        <w:t>, 21–30. https://doi.org/10.1016/j.habitatint.2019.03.005</w:t>
      </w:r>
    </w:p>
    <w:p w14:paraId="2885303F"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Erguden, S. (2001). Low-Cost Housing: Policies and Constraints in Developing Countries. </w:t>
      </w:r>
      <w:r w:rsidRPr="005B03FD">
        <w:rPr>
          <w:rFonts w:ascii="Times New Roman" w:hAnsi="Times New Roman" w:cs="Times New Roman"/>
          <w:i/>
          <w:iCs/>
        </w:rPr>
        <w:t>International Conference on Spatial Information for Sustainable Development</w:t>
      </w:r>
      <w:r w:rsidRPr="005B03FD">
        <w:rPr>
          <w:rFonts w:ascii="Times New Roman" w:hAnsi="Times New Roman" w:cs="Times New Roman"/>
        </w:rPr>
        <w:t>.</w:t>
      </w:r>
    </w:p>
    <w:p w14:paraId="1898BACE"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Giordano, T., Pahle, M., &amp; Caetano, T. (2022). Climate risk valuation in South African residential construction: Integrating environmental CBA in urban housing development. </w:t>
      </w:r>
      <w:r w:rsidRPr="005B03FD">
        <w:rPr>
          <w:rFonts w:ascii="Times New Roman" w:hAnsi="Times New Roman" w:cs="Times New Roman"/>
          <w:i/>
          <w:iCs/>
        </w:rPr>
        <w:t>Climate Policy</w:t>
      </w:r>
      <w:r w:rsidRPr="005B03FD">
        <w:rPr>
          <w:rFonts w:ascii="Times New Roman" w:hAnsi="Times New Roman" w:cs="Times New Roman"/>
        </w:rPr>
        <w:t xml:space="preserve">, </w:t>
      </w:r>
      <w:r w:rsidRPr="005B03FD">
        <w:rPr>
          <w:rFonts w:ascii="Times New Roman" w:hAnsi="Times New Roman" w:cs="Times New Roman"/>
          <w:i/>
          <w:iCs/>
        </w:rPr>
        <w:t>22</w:t>
      </w:r>
      <w:r w:rsidRPr="005B03FD">
        <w:rPr>
          <w:rFonts w:ascii="Times New Roman" w:hAnsi="Times New Roman" w:cs="Times New Roman"/>
        </w:rPr>
        <w:t>(3), 345–362. https://doi.org/10.1080/14693062.2021.2016366</w:t>
      </w:r>
    </w:p>
    <w:p w14:paraId="3643231D"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Haddaway, N. R., Page, M. J., Pritchard, C. C., &amp; McGuinness, L. A. (2022). PRISMA2020: An R package and Shiny app for producing PRISMA 2020-compliant flow diagrams, with interactivity for optimised digital transparency and Open Synthesis. </w:t>
      </w:r>
      <w:r w:rsidRPr="005B03FD">
        <w:rPr>
          <w:rFonts w:ascii="Times New Roman" w:hAnsi="Times New Roman" w:cs="Times New Roman"/>
          <w:i/>
          <w:iCs/>
        </w:rPr>
        <w:t>Campbell Systematic Reviews</w:t>
      </w:r>
      <w:r w:rsidRPr="005B03FD">
        <w:rPr>
          <w:rFonts w:ascii="Times New Roman" w:hAnsi="Times New Roman" w:cs="Times New Roman"/>
        </w:rPr>
        <w:t xml:space="preserve">, </w:t>
      </w:r>
      <w:r w:rsidRPr="005B03FD">
        <w:rPr>
          <w:rFonts w:ascii="Times New Roman" w:hAnsi="Times New Roman" w:cs="Times New Roman"/>
          <w:i/>
          <w:iCs/>
        </w:rPr>
        <w:t>18</w:t>
      </w:r>
      <w:r w:rsidRPr="005B03FD">
        <w:rPr>
          <w:rFonts w:ascii="Times New Roman" w:hAnsi="Times New Roman" w:cs="Times New Roman"/>
        </w:rPr>
        <w:t>(2), e1230. https://doi.org/10.1002/cl2.1230</w:t>
      </w:r>
    </w:p>
    <w:p w14:paraId="48A6E4CE"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Hammill, A., Matthew, R., &amp; McCarter, E. (2021). Climate risk and urban residential construction in coastal Sub-Saharan Africa: Incorporating environmental externalities into CBA frameworks. </w:t>
      </w:r>
      <w:r w:rsidRPr="005B03FD">
        <w:rPr>
          <w:rFonts w:ascii="Times New Roman" w:hAnsi="Times New Roman" w:cs="Times New Roman"/>
          <w:i/>
          <w:iCs/>
        </w:rPr>
        <w:t>Environmental and Resource Economics</w:t>
      </w:r>
      <w:r w:rsidRPr="005B03FD">
        <w:rPr>
          <w:rFonts w:ascii="Times New Roman" w:hAnsi="Times New Roman" w:cs="Times New Roman"/>
        </w:rPr>
        <w:t xml:space="preserve">, </w:t>
      </w:r>
      <w:r w:rsidRPr="005B03FD">
        <w:rPr>
          <w:rFonts w:ascii="Times New Roman" w:hAnsi="Times New Roman" w:cs="Times New Roman"/>
          <w:i/>
          <w:iCs/>
        </w:rPr>
        <w:t>78</w:t>
      </w:r>
      <w:r w:rsidRPr="005B03FD">
        <w:rPr>
          <w:rFonts w:ascii="Times New Roman" w:hAnsi="Times New Roman" w:cs="Times New Roman"/>
        </w:rPr>
        <w:t>(4), 651–679. https://doi.org/10.1007/s10640-021-00542-0</w:t>
      </w:r>
    </w:p>
    <w:p w14:paraId="45A48170"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Harberger, A. C. (1972). </w:t>
      </w:r>
      <w:r w:rsidRPr="005B03FD">
        <w:rPr>
          <w:rFonts w:ascii="Times New Roman" w:hAnsi="Times New Roman" w:cs="Times New Roman"/>
          <w:i/>
          <w:iCs/>
        </w:rPr>
        <w:t>Project Evaluation: Collected Papers</w:t>
      </w:r>
      <w:r w:rsidRPr="005B03FD">
        <w:rPr>
          <w:rFonts w:ascii="Times New Roman" w:hAnsi="Times New Roman" w:cs="Times New Roman"/>
        </w:rPr>
        <w:t>. Macmillan. https://doi.org/10.1007/978-1-349-01653-2</w:t>
      </w:r>
    </w:p>
    <w:p w14:paraId="53066DEB"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Kasim, O. F., Ajayi, S., Omirin, O., &amp; Alabi, A. (2023). The impact of foreign exchange rate on building materials and residential building construction cost in Nigeria (1999-2021). </w:t>
      </w:r>
      <w:r w:rsidRPr="005B03FD">
        <w:rPr>
          <w:rFonts w:ascii="Times New Roman" w:hAnsi="Times New Roman" w:cs="Times New Roman"/>
          <w:i/>
          <w:iCs/>
        </w:rPr>
        <w:t>Acta Structilia</w:t>
      </w:r>
      <w:r w:rsidRPr="005B03FD">
        <w:rPr>
          <w:rFonts w:ascii="Times New Roman" w:hAnsi="Times New Roman" w:cs="Times New Roman"/>
        </w:rPr>
        <w:t xml:space="preserve">, </w:t>
      </w:r>
      <w:r w:rsidRPr="005B03FD">
        <w:rPr>
          <w:rFonts w:ascii="Times New Roman" w:hAnsi="Times New Roman" w:cs="Times New Roman"/>
          <w:i/>
          <w:iCs/>
        </w:rPr>
        <w:t>30</w:t>
      </w:r>
      <w:r w:rsidRPr="005B03FD">
        <w:rPr>
          <w:rFonts w:ascii="Times New Roman" w:hAnsi="Times New Roman" w:cs="Times New Roman"/>
        </w:rPr>
        <w:t>, 61–93. https://doi.org/10.38140/as.v30i2.7523</w:t>
      </w:r>
    </w:p>
    <w:p w14:paraId="38B3AE1B"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Kirunda, R., Nkurunziza, E., &amp; Lwasa, S. (2021). Political economy of housing investment decisions in East Africa: CBA institutionalisation and governance challenges. </w:t>
      </w:r>
      <w:r w:rsidRPr="005B03FD">
        <w:rPr>
          <w:rFonts w:ascii="Times New Roman" w:hAnsi="Times New Roman" w:cs="Times New Roman"/>
          <w:i/>
          <w:iCs/>
        </w:rPr>
        <w:t>Cities</w:t>
      </w:r>
      <w:r w:rsidRPr="005B03FD">
        <w:rPr>
          <w:rFonts w:ascii="Times New Roman" w:hAnsi="Times New Roman" w:cs="Times New Roman"/>
        </w:rPr>
        <w:t xml:space="preserve">, </w:t>
      </w:r>
      <w:r w:rsidRPr="005B03FD">
        <w:rPr>
          <w:rFonts w:ascii="Times New Roman" w:hAnsi="Times New Roman" w:cs="Times New Roman"/>
          <w:i/>
          <w:iCs/>
        </w:rPr>
        <w:t>118</w:t>
      </w:r>
      <w:r w:rsidRPr="005B03FD">
        <w:rPr>
          <w:rFonts w:ascii="Times New Roman" w:hAnsi="Times New Roman" w:cs="Times New Roman"/>
        </w:rPr>
        <w:t>, 103362. https://doi.org/10.1016/j.cities.2021.103362</w:t>
      </w:r>
    </w:p>
    <w:p w14:paraId="602B2490"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Layard, R., &amp; Glaister, S. (Eds.). (1994). </w:t>
      </w:r>
      <w:r w:rsidRPr="005B03FD">
        <w:rPr>
          <w:rFonts w:ascii="Times New Roman" w:hAnsi="Times New Roman" w:cs="Times New Roman"/>
          <w:i/>
          <w:iCs/>
        </w:rPr>
        <w:t>Cost-Benefit Analysis</w:t>
      </w:r>
      <w:r w:rsidRPr="005B03FD">
        <w:rPr>
          <w:rFonts w:ascii="Times New Roman" w:hAnsi="Times New Roman" w:cs="Times New Roman"/>
        </w:rPr>
        <w:t xml:space="preserve"> (2nd ed.). Cambridge University Press.</w:t>
      </w:r>
    </w:p>
    <w:p w14:paraId="72269196"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Moonga, H., &amp; Shakantu, W. (2019). CBA outcomes in Zambia’s Urban and Rural Housing Authority: Evidence from 32 residential construction projects. </w:t>
      </w:r>
      <w:r w:rsidRPr="005B03FD">
        <w:rPr>
          <w:rFonts w:ascii="Times New Roman" w:hAnsi="Times New Roman" w:cs="Times New Roman"/>
          <w:i/>
          <w:iCs/>
        </w:rPr>
        <w:t>Zambia Journal of Urban Management</w:t>
      </w:r>
      <w:r w:rsidRPr="005B03FD">
        <w:rPr>
          <w:rFonts w:ascii="Times New Roman" w:hAnsi="Times New Roman" w:cs="Times New Roman"/>
        </w:rPr>
        <w:t xml:space="preserve">, </w:t>
      </w:r>
      <w:r w:rsidRPr="005B03FD">
        <w:rPr>
          <w:rFonts w:ascii="Times New Roman" w:hAnsi="Times New Roman" w:cs="Times New Roman"/>
          <w:i/>
          <w:iCs/>
        </w:rPr>
        <w:t>4</w:t>
      </w:r>
      <w:r w:rsidRPr="005B03FD">
        <w:rPr>
          <w:rFonts w:ascii="Times New Roman" w:hAnsi="Times New Roman" w:cs="Times New Roman"/>
        </w:rPr>
        <w:t>(2), 88–104.</w:t>
      </w:r>
    </w:p>
    <w:p w14:paraId="4CAC0933"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Mwita, M., &amp; Mselle, B. (2021). Cost-benefit analysis and project performance in Tanzania’s National Housing Corporation: A comparative study. </w:t>
      </w:r>
      <w:r w:rsidRPr="005B03FD">
        <w:rPr>
          <w:rFonts w:ascii="Times New Roman" w:hAnsi="Times New Roman" w:cs="Times New Roman"/>
          <w:i/>
          <w:iCs/>
        </w:rPr>
        <w:t>Journal of Construction in Developing Countries</w:t>
      </w:r>
      <w:r w:rsidRPr="005B03FD">
        <w:rPr>
          <w:rFonts w:ascii="Times New Roman" w:hAnsi="Times New Roman" w:cs="Times New Roman"/>
        </w:rPr>
        <w:t xml:space="preserve">, </w:t>
      </w:r>
      <w:r w:rsidRPr="005B03FD">
        <w:rPr>
          <w:rFonts w:ascii="Times New Roman" w:hAnsi="Times New Roman" w:cs="Times New Roman"/>
          <w:i/>
          <w:iCs/>
        </w:rPr>
        <w:t>26</w:t>
      </w:r>
      <w:r w:rsidRPr="005B03FD">
        <w:rPr>
          <w:rFonts w:ascii="Times New Roman" w:hAnsi="Times New Roman" w:cs="Times New Roman"/>
        </w:rPr>
        <w:t>(1), 75–93. https://doi.org/10.21315/jcdc2021.26.1.75</w:t>
      </w:r>
    </w:p>
    <w:p w14:paraId="7EE9BDF8"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Nduka, D. O., &amp; Okwu, M. O. (2021). Shadow pricing in residential construction CBA in Sub-Saharan Africa: Application gaps and professional training deficits. </w:t>
      </w:r>
      <w:r w:rsidRPr="005B03FD">
        <w:rPr>
          <w:rFonts w:ascii="Times New Roman" w:hAnsi="Times New Roman" w:cs="Times New Roman"/>
          <w:i/>
          <w:iCs/>
        </w:rPr>
        <w:t>Journal of Financial Management of Property and Construction</w:t>
      </w:r>
      <w:r w:rsidRPr="005B03FD">
        <w:rPr>
          <w:rFonts w:ascii="Times New Roman" w:hAnsi="Times New Roman" w:cs="Times New Roman"/>
        </w:rPr>
        <w:t xml:space="preserve">, </w:t>
      </w:r>
      <w:r w:rsidRPr="005B03FD">
        <w:rPr>
          <w:rFonts w:ascii="Times New Roman" w:hAnsi="Times New Roman" w:cs="Times New Roman"/>
          <w:i/>
          <w:iCs/>
        </w:rPr>
        <w:t>26</w:t>
      </w:r>
      <w:r w:rsidRPr="005B03FD">
        <w:rPr>
          <w:rFonts w:ascii="Times New Roman" w:hAnsi="Times New Roman" w:cs="Times New Roman"/>
        </w:rPr>
        <w:t>(3), 381–399. https://doi.org/10.1108/JFMPC-08-2020-0054</w:t>
      </w:r>
    </w:p>
    <w:p w14:paraId="6829C821"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Ngowi, A. B., Pienaar, E., &amp; Talukhaba, A. (2020). Data infrastructure constraints on construction cost-benefit analysis in Sub-Saharan Africa. </w:t>
      </w:r>
      <w:r w:rsidRPr="005B03FD">
        <w:rPr>
          <w:rFonts w:ascii="Times New Roman" w:hAnsi="Times New Roman" w:cs="Times New Roman"/>
          <w:i/>
          <w:iCs/>
        </w:rPr>
        <w:t>Acta Structilia</w:t>
      </w:r>
      <w:r w:rsidRPr="005B03FD">
        <w:rPr>
          <w:rFonts w:ascii="Times New Roman" w:hAnsi="Times New Roman" w:cs="Times New Roman"/>
        </w:rPr>
        <w:t xml:space="preserve">, </w:t>
      </w:r>
      <w:r w:rsidRPr="005B03FD">
        <w:rPr>
          <w:rFonts w:ascii="Times New Roman" w:hAnsi="Times New Roman" w:cs="Times New Roman"/>
          <w:i/>
          <w:iCs/>
        </w:rPr>
        <w:t>27</w:t>
      </w:r>
      <w:r w:rsidRPr="005B03FD">
        <w:rPr>
          <w:rFonts w:ascii="Times New Roman" w:hAnsi="Times New Roman" w:cs="Times New Roman"/>
        </w:rPr>
        <w:t>(1), 1–22. https://doi.org/10.18820/24150487/as27i1.1</w:t>
      </w:r>
    </w:p>
    <w:p w14:paraId="25EF8FB4"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Ntema, J. (2019). CBA and housing policy appraisal in Sub-Saharan Africa: The role of international development finance institutions. </w:t>
      </w:r>
      <w:r w:rsidRPr="005B03FD">
        <w:rPr>
          <w:rFonts w:ascii="Times New Roman" w:hAnsi="Times New Roman" w:cs="Times New Roman"/>
          <w:i/>
          <w:iCs/>
        </w:rPr>
        <w:t>Journal of Housing and the Built Environment</w:t>
      </w:r>
      <w:r w:rsidRPr="005B03FD">
        <w:rPr>
          <w:rFonts w:ascii="Times New Roman" w:hAnsi="Times New Roman" w:cs="Times New Roman"/>
        </w:rPr>
        <w:t xml:space="preserve">, </w:t>
      </w:r>
      <w:r w:rsidRPr="005B03FD">
        <w:rPr>
          <w:rFonts w:ascii="Times New Roman" w:hAnsi="Times New Roman" w:cs="Times New Roman"/>
          <w:i/>
          <w:iCs/>
        </w:rPr>
        <w:t>34</w:t>
      </w:r>
      <w:r w:rsidRPr="005B03FD">
        <w:rPr>
          <w:rFonts w:ascii="Times New Roman" w:hAnsi="Times New Roman" w:cs="Times New Roman"/>
        </w:rPr>
        <w:t>(2), 445–463. https://doi.org/10.1007/s10901-019-09654-8</w:t>
      </w:r>
    </w:p>
    <w:p w14:paraId="7268AD93"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Omeike, O. (2020). Social costs of settlement eviction in Lagos: Evaluating displacement externalities excluded from residential project CBA. </w:t>
      </w:r>
      <w:r w:rsidRPr="005B03FD">
        <w:rPr>
          <w:rFonts w:ascii="Times New Roman" w:hAnsi="Times New Roman" w:cs="Times New Roman"/>
          <w:i/>
          <w:iCs/>
        </w:rPr>
        <w:t>Urban Forum</w:t>
      </w:r>
      <w:r w:rsidRPr="005B03FD">
        <w:rPr>
          <w:rFonts w:ascii="Times New Roman" w:hAnsi="Times New Roman" w:cs="Times New Roman"/>
        </w:rPr>
        <w:t xml:space="preserve">, </w:t>
      </w:r>
      <w:r w:rsidRPr="005B03FD">
        <w:rPr>
          <w:rFonts w:ascii="Times New Roman" w:hAnsi="Times New Roman" w:cs="Times New Roman"/>
          <w:i/>
          <w:iCs/>
        </w:rPr>
        <w:t>31</w:t>
      </w:r>
      <w:r w:rsidRPr="005B03FD">
        <w:rPr>
          <w:rFonts w:ascii="Times New Roman" w:hAnsi="Times New Roman" w:cs="Times New Roman"/>
        </w:rPr>
        <w:t>(3), 279–298. https://doi.org/10.1007/s12132-020-09393-6</w:t>
      </w:r>
    </w:p>
    <w:p w14:paraId="34D7E1A8"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Osei-Kyei, R., &amp; Chan, A. P. C. (2017). Implementing public-private partnership (PPP) policy for public construction projects in Ghana: Critical success factors and the road to a PPP model. </w:t>
      </w:r>
      <w:r w:rsidRPr="005B03FD">
        <w:rPr>
          <w:rFonts w:ascii="Times New Roman" w:hAnsi="Times New Roman" w:cs="Times New Roman"/>
          <w:i/>
          <w:iCs/>
        </w:rPr>
        <w:t>Journal of Infrastructure Systems</w:t>
      </w:r>
      <w:r w:rsidRPr="005B03FD">
        <w:rPr>
          <w:rFonts w:ascii="Times New Roman" w:hAnsi="Times New Roman" w:cs="Times New Roman"/>
        </w:rPr>
        <w:t xml:space="preserve">, </w:t>
      </w:r>
      <w:r w:rsidRPr="005B03FD">
        <w:rPr>
          <w:rFonts w:ascii="Times New Roman" w:hAnsi="Times New Roman" w:cs="Times New Roman"/>
          <w:i/>
          <w:iCs/>
        </w:rPr>
        <w:t>23</w:t>
      </w:r>
      <w:r w:rsidRPr="005B03FD">
        <w:rPr>
          <w:rFonts w:ascii="Times New Roman" w:hAnsi="Times New Roman" w:cs="Times New Roman"/>
        </w:rPr>
        <w:t>(1), 04016035. https://doi.org/10.1061/(ASCE)IS.1943-555X.0000344</w:t>
      </w:r>
    </w:p>
    <w:p w14:paraId="58F8AA3E"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Owusu-Manu, D., Edwards, D. J., Parn, E., Asiedu, R. O., &amp; Bamfo-Agyei, E. (2017). CBA capacity building in the Ghanaian built environment: An assessment of quantity surveying and project management practice. </w:t>
      </w:r>
      <w:r w:rsidRPr="005B03FD">
        <w:rPr>
          <w:rFonts w:ascii="Times New Roman" w:hAnsi="Times New Roman" w:cs="Times New Roman"/>
          <w:i/>
          <w:iCs/>
        </w:rPr>
        <w:t>Engineering, Construction and Architectural Management</w:t>
      </w:r>
      <w:r w:rsidRPr="005B03FD">
        <w:rPr>
          <w:rFonts w:ascii="Times New Roman" w:hAnsi="Times New Roman" w:cs="Times New Roman"/>
        </w:rPr>
        <w:t xml:space="preserve">, </w:t>
      </w:r>
      <w:r w:rsidRPr="005B03FD">
        <w:rPr>
          <w:rFonts w:ascii="Times New Roman" w:hAnsi="Times New Roman" w:cs="Times New Roman"/>
          <w:i/>
          <w:iCs/>
        </w:rPr>
        <w:t>24</w:t>
      </w:r>
      <w:r w:rsidRPr="005B03FD">
        <w:rPr>
          <w:rFonts w:ascii="Times New Roman" w:hAnsi="Times New Roman" w:cs="Times New Roman"/>
        </w:rPr>
        <w:t>(5), 758–775. https://doi.org/10.1108/ECAM-11-2015-0180</w:t>
      </w:r>
    </w:p>
    <w:p w14:paraId="56A7FFE9"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Page, M. J., McKenzie, J. E., Bossuyt, P. M., &amp; others. (2021). The PRISMA 2020 statement: An updated guideline for reporting systematic reviews. </w:t>
      </w:r>
      <w:r w:rsidRPr="005B03FD">
        <w:rPr>
          <w:rFonts w:ascii="Times New Roman" w:hAnsi="Times New Roman" w:cs="Times New Roman"/>
          <w:i/>
          <w:iCs/>
        </w:rPr>
        <w:t>BMJ</w:t>
      </w:r>
      <w:r w:rsidRPr="005B03FD">
        <w:rPr>
          <w:rFonts w:ascii="Times New Roman" w:hAnsi="Times New Roman" w:cs="Times New Roman"/>
        </w:rPr>
        <w:t xml:space="preserve">, </w:t>
      </w:r>
      <w:r w:rsidRPr="005B03FD">
        <w:rPr>
          <w:rFonts w:ascii="Times New Roman" w:hAnsi="Times New Roman" w:cs="Times New Roman"/>
          <w:i/>
          <w:iCs/>
        </w:rPr>
        <w:t>372</w:t>
      </w:r>
      <w:r w:rsidRPr="005B03FD">
        <w:rPr>
          <w:rFonts w:ascii="Times New Roman" w:hAnsi="Times New Roman" w:cs="Times New Roman"/>
        </w:rPr>
        <w:t>, n71. https://doi.org/10.1136/bmj.n71</w:t>
      </w:r>
    </w:p>
    <w:p w14:paraId="0611835C"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Parnell, S., &amp; Pieterse, E. (Eds.). (2014). </w:t>
      </w:r>
      <w:r w:rsidRPr="005B03FD">
        <w:rPr>
          <w:rFonts w:ascii="Times New Roman" w:hAnsi="Times New Roman" w:cs="Times New Roman"/>
          <w:i/>
          <w:iCs/>
        </w:rPr>
        <w:t>Africa’s Urban Revolution</w:t>
      </w:r>
      <w:r w:rsidRPr="005B03FD">
        <w:rPr>
          <w:rFonts w:ascii="Times New Roman" w:hAnsi="Times New Roman" w:cs="Times New Roman"/>
        </w:rPr>
        <w:t>. Zed Books.</w:t>
      </w:r>
    </w:p>
    <w:p w14:paraId="68E9219B"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Pieterse, E. (2019). Housing for urban Africa: Social benefit appraisal and the challenge of scaling up formal delivery. </w:t>
      </w:r>
      <w:r w:rsidRPr="005B03FD">
        <w:rPr>
          <w:rFonts w:ascii="Times New Roman" w:hAnsi="Times New Roman" w:cs="Times New Roman"/>
          <w:i/>
          <w:iCs/>
        </w:rPr>
        <w:t>African Affairs</w:t>
      </w:r>
      <w:r w:rsidRPr="005B03FD">
        <w:rPr>
          <w:rFonts w:ascii="Times New Roman" w:hAnsi="Times New Roman" w:cs="Times New Roman"/>
        </w:rPr>
        <w:t xml:space="preserve">, </w:t>
      </w:r>
      <w:r w:rsidRPr="005B03FD">
        <w:rPr>
          <w:rFonts w:ascii="Times New Roman" w:hAnsi="Times New Roman" w:cs="Times New Roman"/>
          <w:i/>
          <w:iCs/>
        </w:rPr>
        <w:t>118</w:t>
      </w:r>
      <w:r w:rsidRPr="005B03FD">
        <w:rPr>
          <w:rFonts w:ascii="Times New Roman" w:hAnsi="Times New Roman" w:cs="Times New Roman"/>
        </w:rPr>
        <w:t>(471), 324–347. https://doi.org/10.1093/afraf/ady062</w:t>
      </w:r>
    </w:p>
    <w:p w14:paraId="52BB388F"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Sy, A. (2018). Residential real estate investment viability in Cote d’Ivoire: A discounted cash flow and CBA analysis. </w:t>
      </w:r>
      <w:r w:rsidRPr="005B03FD">
        <w:rPr>
          <w:rFonts w:ascii="Times New Roman" w:hAnsi="Times New Roman" w:cs="Times New Roman"/>
          <w:i/>
          <w:iCs/>
        </w:rPr>
        <w:t>Revue Africaine de l’Integration</w:t>
      </w:r>
      <w:r w:rsidRPr="005B03FD">
        <w:rPr>
          <w:rFonts w:ascii="Times New Roman" w:hAnsi="Times New Roman" w:cs="Times New Roman"/>
        </w:rPr>
        <w:t xml:space="preserve">, </w:t>
      </w:r>
      <w:r w:rsidRPr="005B03FD">
        <w:rPr>
          <w:rFonts w:ascii="Times New Roman" w:hAnsi="Times New Roman" w:cs="Times New Roman"/>
          <w:i/>
          <w:iCs/>
        </w:rPr>
        <w:t>12</w:t>
      </w:r>
      <w:r w:rsidRPr="005B03FD">
        <w:rPr>
          <w:rFonts w:ascii="Times New Roman" w:hAnsi="Times New Roman" w:cs="Times New Roman"/>
        </w:rPr>
        <w:t>(1), 33–57.</w:t>
      </w:r>
    </w:p>
    <w:p w14:paraId="7375AC73"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Tesfaye, A., &amp; Zeleke, D. (2023). CBA challenges in Ethiopian government housing development: Data limitations and cross-contextual adjustment in Addis Ababa projects. </w:t>
      </w:r>
      <w:r w:rsidRPr="005B03FD">
        <w:rPr>
          <w:rFonts w:ascii="Times New Roman" w:hAnsi="Times New Roman" w:cs="Times New Roman"/>
          <w:i/>
          <w:iCs/>
        </w:rPr>
        <w:t>Ethiopian Journal of Construction and Infrastructure Development</w:t>
      </w:r>
      <w:r w:rsidRPr="005B03FD">
        <w:rPr>
          <w:rFonts w:ascii="Times New Roman" w:hAnsi="Times New Roman" w:cs="Times New Roman"/>
        </w:rPr>
        <w:t xml:space="preserve">, </w:t>
      </w:r>
      <w:r w:rsidRPr="005B03FD">
        <w:rPr>
          <w:rFonts w:ascii="Times New Roman" w:hAnsi="Times New Roman" w:cs="Times New Roman"/>
          <w:i/>
          <w:iCs/>
        </w:rPr>
        <w:t>9</w:t>
      </w:r>
      <w:r w:rsidRPr="005B03FD">
        <w:rPr>
          <w:rFonts w:ascii="Times New Roman" w:hAnsi="Times New Roman" w:cs="Times New Roman"/>
        </w:rPr>
        <w:t>(1), 1–18.</w:t>
      </w:r>
    </w:p>
    <w:p w14:paraId="0465A434"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UNEP. (2017). </w:t>
      </w:r>
      <w:r w:rsidRPr="005B03FD">
        <w:rPr>
          <w:rFonts w:ascii="Times New Roman" w:hAnsi="Times New Roman" w:cs="Times New Roman"/>
          <w:i/>
          <w:iCs/>
        </w:rPr>
        <w:t>Green Infrastructure Guide for Water Management: Ecosystem-based management approaches for water-related infrastructure projects</w:t>
      </w:r>
      <w:r w:rsidRPr="005B03FD">
        <w:rPr>
          <w:rFonts w:ascii="Times New Roman" w:hAnsi="Times New Roman" w:cs="Times New Roman"/>
        </w:rPr>
        <w:t>. United Nations Environment Programme. https://www.unep.org/resources/publication/green-infrastructure-guide-water-management</w:t>
      </w:r>
    </w:p>
    <w:p w14:paraId="4A590C12"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UN-Habitat. (2023). </w:t>
      </w:r>
      <w:r w:rsidRPr="005B03FD">
        <w:rPr>
          <w:rFonts w:ascii="Times New Roman" w:hAnsi="Times New Roman" w:cs="Times New Roman"/>
          <w:i/>
          <w:iCs/>
        </w:rPr>
        <w:t>World Cities Report 2022: Envisaging the Future of Cities</w:t>
      </w:r>
      <w:r w:rsidRPr="005B03FD">
        <w:rPr>
          <w:rFonts w:ascii="Times New Roman" w:hAnsi="Times New Roman" w:cs="Times New Roman"/>
        </w:rPr>
        <w:t>. United Nations Human Settlements Programme. https://unhabitat.org/wcr/</w:t>
      </w:r>
    </w:p>
    <w:p w14:paraId="5530FCAF"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Viruly, F., &amp; Hopkins, N. (2019). The significance of employing social discount rates in South African affordable housing CBA: A critical review. </w:t>
      </w:r>
      <w:r w:rsidRPr="005B03FD">
        <w:rPr>
          <w:rFonts w:ascii="Times New Roman" w:hAnsi="Times New Roman" w:cs="Times New Roman"/>
          <w:i/>
          <w:iCs/>
        </w:rPr>
        <w:t>Journal of the South African Institution of Civil Engineering</w:t>
      </w:r>
      <w:r w:rsidRPr="005B03FD">
        <w:rPr>
          <w:rFonts w:ascii="Times New Roman" w:hAnsi="Times New Roman" w:cs="Times New Roman"/>
        </w:rPr>
        <w:t xml:space="preserve">, </w:t>
      </w:r>
      <w:r w:rsidRPr="005B03FD">
        <w:rPr>
          <w:rFonts w:ascii="Times New Roman" w:hAnsi="Times New Roman" w:cs="Times New Roman"/>
          <w:i/>
          <w:iCs/>
        </w:rPr>
        <w:t>61</w:t>
      </w:r>
      <w:r w:rsidRPr="005B03FD">
        <w:rPr>
          <w:rFonts w:ascii="Times New Roman" w:hAnsi="Times New Roman" w:cs="Times New Roman"/>
        </w:rPr>
        <w:t>(2), 2–11. https://doi.org/10.17159/2309-8775/2019/v61n2a1</w:t>
      </w:r>
    </w:p>
    <w:p w14:paraId="535A9FDD"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World Bank. (2022). </w:t>
      </w:r>
      <w:r w:rsidRPr="005B03FD">
        <w:rPr>
          <w:rFonts w:ascii="Times New Roman" w:hAnsi="Times New Roman" w:cs="Times New Roman"/>
          <w:i/>
          <w:iCs/>
        </w:rPr>
        <w:t>Affordable Housing Finance in Sub-Saharan Africa: International Finance Corporation Housing Finance Program Evaluation Report</w:t>
      </w:r>
      <w:r w:rsidRPr="005B03FD">
        <w:rPr>
          <w:rFonts w:ascii="Times New Roman" w:hAnsi="Times New Roman" w:cs="Times New Roman"/>
        </w:rPr>
        <w:t>. World Bank Group. https://www.worldbank.org/en/topic/housingfinance</w:t>
      </w:r>
    </w:p>
    <w:p w14:paraId="56B3B667" w14:textId="77777777" w:rsidR="000F14FD" w:rsidRPr="005B03FD" w:rsidRDefault="000F14FD" w:rsidP="005B03FD">
      <w:pPr>
        <w:pStyle w:val="Bibliography"/>
        <w:spacing w:line="240" w:lineRule="auto"/>
        <w:jc w:val="both"/>
        <w:rPr>
          <w:rFonts w:ascii="Times New Roman" w:hAnsi="Times New Roman" w:cs="Times New Roman"/>
        </w:rPr>
      </w:pPr>
      <w:r w:rsidRPr="005B03FD">
        <w:rPr>
          <w:rFonts w:ascii="Times New Roman" w:hAnsi="Times New Roman" w:cs="Times New Roman"/>
        </w:rPr>
        <w:t xml:space="preserve">Zerbe, R. O., &amp; Bellas, A. S. (2006). </w:t>
      </w:r>
      <w:r w:rsidRPr="005B03FD">
        <w:rPr>
          <w:rFonts w:ascii="Times New Roman" w:hAnsi="Times New Roman" w:cs="Times New Roman"/>
          <w:i/>
          <w:iCs/>
        </w:rPr>
        <w:t>A Primer for Cost-Benefit Analysis</w:t>
      </w:r>
      <w:r w:rsidRPr="005B03FD">
        <w:rPr>
          <w:rFonts w:ascii="Times New Roman" w:hAnsi="Times New Roman" w:cs="Times New Roman"/>
        </w:rPr>
        <w:t>. Edward Elgar Publishing.</w:t>
      </w:r>
    </w:p>
    <w:p w14:paraId="0E8B7709" w14:textId="5D792673" w:rsidR="00183C1A" w:rsidRPr="005B03FD" w:rsidRDefault="00306C99" w:rsidP="005B03FD">
      <w:pPr>
        <w:spacing w:line="240" w:lineRule="auto"/>
        <w:jc w:val="both"/>
        <w:rPr>
          <w:rFonts w:ascii="Times New Roman" w:hAnsi="Times New Roman" w:cs="Times New Roman"/>
        </w:rPr>
      </w:pPr>
      <w:r w:rsidRPr="005B03FD">
        <w:rPr>
          <w:rFonts w:ascii="Times New Roman" w:hAnsi="Times New Roman" w:cs="Times New Roman"/>
        </w:rPr>
        <w:fldChar w:fldCharType="end"/>
      </w:r>
    </w:p>
    <w:sectPr w:rsidR="00183C1A" w:rsidRPr="005B03FD">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0CFF2" w14:textId="77777777" w:rsidR="009C30F9" w:rsidRDefault="009C30F9" w:rsidP="006A430A">
      <w:pPr>
        <w:spacing w:after="0" w:line="240" w:lineRule="auto"/>
      </w:pPr>
      <w:r>
        <w:separator/>
      </w:r>
    </w:p>
  </w:endnote>
  <w:endnote w:type="continuationSeparator" w:id="0">
    <w:p w14:paraId="5FC596C8" w14:textId="77777777" w:rsidR="009C30F9" w:rsidRDefault="009C30F9" w:rsidP="006A4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030184"/>
      <w:docPartObj>
        <w:docPartGallery w:val="Page Numbers (Bottom of Page)"/>
        <w:docPartUnique/>
      </w:docPartObj>
    </w:sdtPr>
    <w:sdtEndPr>
      <w:rPr>
        <w:noProof/>
      </w:rPr>
    </w:sdtEndPr>
    <w:sdtContent>
      <w:p w14:paraId="59B66ABB" w14:textId="772CF265" w:rsidR="006A430A" w:rsidRDefault="006A430A">
        <w:pPr>
          <w:pStyle w:val="Footer"/>
          <w:jc w:val="center"/>
        </w:pPr>
        <w:r>
          <w:fldChar w:fldCharType="begin"/>
        </w:r>
        <w:r>
          <w:instrText xml:space="preserve"> PAGE   \* MERGEFORMAT </w:instrText>
        </w:r>
        <w:r>
          <w:fldChar w:fldCharType="separate"/>
        </w:r>
        <w:r w:rsidR="007A07DA">
          <w:rPr>
            <w:noProof/>
          </w:rPr>
          <w:t>11</w:t>
        </w:r>
        <w:r>
          <w:rPr>
            <w:noProof/>
          </w:rPr>
          <w:fldChar w:fldCharType="end"/>
        </w:r>
      </w:p>
    </w:sdtContent>
  </w:sdt>
  <w:p w14:paraId="7042AC86" w14:textId="77777777" w:rsidR="006A430A" w:rsidRDefault="006A43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78F5B" w14:textId="77777777" w:rsidR="009C30F9" w:rsidRDefault="009C30F9" w:rsidP="006A430A">
      <w:pPr>
        <w:spacing w:after="0" w:line="240" w:lineRule="auto"/>
      </w:pPr>
      <w:r>
        <w:separator/>
      </w:r>
    </w:p>
  </w:footnote>
  <w:footnote w:type="continuationSeparator" w:id="0">
    <w:p w14:paraId="72D0E4D1" w14:textId="77777777" w:rsidR="009C30F9" w:rsidRDefault="009C30F9" w:rsidP="006A43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2C65"/>
    <w:multiLevelType w:val="hybridMultilevel"/>
    <w:tmpl w:val="CDCE0FBC"/>
    <w:lvl w:ilvl="0" w:tplc="0BF4F1CE">
      <w:start w:val="1"/>
      <w:numFmt w:val="bullet"/>
      <w:lvlText w:val="•"/>
      <w:lvlJc w:val="left"/>
      <w:pPr>
        <w:ind w:left="720" w:hanging="360"/>
      </w:pPr>
    </w:lvl>
    <w:lvl w:ilvl="1" w:tplc="EE5C07AC">
      <w:numFmt w:val="decimal"/>
      <w:lvlText w:val=""/>
      <w:lvlJc w:val="left"/>
    </w:lvl>
    <w:lvl w:ilvl="2" w:tplc="A5728900">
      <w:numFmt w:val="decimal"/>
      <w:lvlText w:val=""/>
      <w:lvlJc w:val="left"/>
    </w:lvl>
    <w:lvl w:ilvl="3" w:tplc="3F3C609E">
      <w:numFmt w:val="decimal"/>
      <w:lvlText w:val=""/>
      <w:lvlJc w:val="left"/>
    </w:lvl>
    <w:lvl w:ilvl="4" w:tplc="14009B7A">
      <w:numFmt w:val="decimal"/>
      <w:lvlText w:val=""/>
      <w:lvlJc w:val="left"/>
    </w:lvl>
    <w:lvl w:ilvl="5" w:tplc="3D24EC46">
      <w:numFmt w:val="decimal"/>
      <w:lvlText w:val=""/>
      <w:lvlJc w:val="left"/>
    </w:lvl>
    <w:lvl w:ilvl="6" w:tplc="BA8CFBE8">
      <w:numFmt w:val="decimal"/>
      <w:lvlText w:val=""/>
      <w:lvlJc w:val="left"/>
    </w:lvl>
    <w:lvl w:ilvl="7" w:tplc="7BDAEE7A">
      <w:numFmt w:val="decimal"/>
      <w:lvlText w:val=""/>
      <w:lvlJc w:val="left"/>
    </w:lvl>
    <w:lvl w:ilvl="8" w:tplc="7BA4AE2E">
      <w:numFmt w:val="decimal"/>
      <w:lvlText w:val=""/>
      <w:lvlJc w:val="left"/>
    </w:lvl>
  </w:abstractNum>
  <w:abstractNum w:abstractNumId="1">
    <w:nsid w:val="0F4A31D2"/>
    <w:multiLevelType w:val="hybridMultilevel"/>
    <w:tmpl w:val="FCA26570"/>
    <w:lvl w:ilvl="0" w:tplc="F278911C">
      <w:start w:val="1"/>
      <w:numFmt w:val="decimal"/>
      <w:lvlText w:val="%1."/>
      <w:lvlJc w:val="left"/>
      <w:pPr>
        <w:ind w:left="720" w:hanging="360"/>
      </w:pPr>
    </w:lvl>
    <w:lvl w:ilvl="1" w:tplc="56988AB4">
      <w:numFmt w:val="decimal"/>
      <w:lvlText w:val=""/>
      <w:lvlJc w:val="left"/>
    </w:lvl>
    <w:lvl w:ilvl="2" w:tplc="8D58EFD8">
      <w:numFmt w:val="decimal"/>
      <w:lvlText w:val=""/>
      <w:lvlJc w:val="left"/>
    </w:lvl>
    <w:lvl w:ilvl="3" w:tplc="E9A607D2">
      <w:numFmt w:val="decimal"/>
      <w:lvlText w:val=""/>
      <w:lvlJc w:val="left"/>
    </w:lvl>
    <w:lvl w:ilvl="4" w:tplc="6548E450">
      <w:numFmt w:val="decimal"/>
      <w:lvlText w:val=""/>
      <w:lvlJc w:val="left"/>
    </w:lvl>
    <w:lvl w:ilvl="5" w:tplc="6CA0BEC4">
      <w:numFmt w:val="decimal"/>
      <w:lvlText w:val=""/>
      <w:lvlJc w:val="left"/>
    </w:lvl>
    <w:lvl w:ilvl="6" w:tplc="0EC627F6">
      <w:numFmt w:val="decimal"/>
      <w:lvlText w:val=""/>
      <w:lvlJc w:val="left"/>
    </w:lvl>
    <w:lvl w:ilvl="7" w:tplc="7414A05E">
      <w:numFmt w:val="decimal"/>
      <w:lvlText w:val=""/>
      <w:lvlJc w:val="left"/>
    </w:lvl>
    <w:lvl w:ilvl="8" w:tplc="D4A20102">
      <w:numFmt w:val="decimal"/>
      <w:lvlText w:val=""/>
      <w:lvlJc w:val="left"/>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1A"/>
    <w:rsid w:val="0000046E"/>
    <w:rsid w:val="000B415C"/>
    <w:rsid w:val="000B778C"/>
    <w:rsid w:val="000F14FD"/>
    <w:rsid w:val="00130777"/>
    <w:rsid w:val="00183C1A"/>
    <w:rsid w:val="00185349"/>
    <w:rsid w:val="00202577"/>
    <w:rsid w:val="00254F46"/>
    <w:rsid w:val="00306C99"/>
    <w:rsid w:val="0036548B"/>
    <w:rsid w:val="003E7DE3"/>
    <w:rsid w:val="003F5F51"/>
    <w:rsid w:val="004140DB"/>
    <w:rsid w:val="0045379F"/>
    <w:rsid w:val="005049C5"/>
    <w:rsid w:val="00552764"/>
    <w:rsid w:val="005B03FD"/>
    <w:rsid w:val="00636883"/>
    <w:rsid w:val="00641115"/>
    <w:rsid w:val="006663E1"/>
    <w:rsid w:val="006A430A"/>
    <w:rsid w:val="006A6E9C"/>
    <w:rsid w:val="00700C64"/>
    <w:rsid w:val="007275F5"/>
    <w:rsid w:val="007A07DA"/>
    <w:rsid w:val="007F6639"/>
    <w:rsid w:val="008540EE"/>
    <w:rsid w:val="0088196C"/>
    <w:rsid w:val="00951AF6"/>
    <w:rsid w:val="00995169"/>
    <w:rsid w:val="009C30F9"/>
    <w:rsid w:val="00B005F2"/>
    <w:rsid w:val="00B05740"/>
    <w:rsid w:val="00BB4E5C"/>
    <w:rsid w:val="00C0772E"/>
    <w:rsid w:val="00C460DC"/>
    <w:rsid w:val="00D61E91"/>
    <w:rsid w:val="00EA3228"/>
    <w:rsid w:val="00EB25C2"/>
    <w:rsid w:val="00F01E16"/>
    <w:rsid w:val="00FE5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1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C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3C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3C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3C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3C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3C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C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C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C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C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3C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3C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3C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3C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3C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C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C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C1A"/>
    <w:rPr>
      <w:rFonts w:eastAsiaTheme="majorEastAsia" w:cstheme="majorBidi"/>
      <w:color w:val="272727" w:themeColor="text1" w:themeTint="D8"/>
    </w:rPr>
  </w:style>
  <w:style w:type="paragraph" w:styleId="Title">
    <w:name w:val="Title"/>
    <w:basedOn w:val="Normal"/>
    <w:next w:val="Normal"/>
    <w:link w:val="TitleChar"/>
    <w:uiPriority w:val="10"/>
    <w:qFormat/>
    <w:rsid w:val="00183C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C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C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C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C1A"/>
    <w:pPr>
      <w:spacing w:before="160"/>
      <w:jc w:val="center"/>
    </w:pPr>
    <w:rPr>
      <w:i/>
      <w:iCs/>
      <w:color w:val="404040" w:themeColor="text1" w:themeTint="BF"/>
    </w:rPr>
  </w:style>
  <w:style w:type="character" w:customStyle="1" w:styleId="QuoteChar">
    <w:name w:val="Quote Char"/>
    <w:basedOn w:val="DefaultParagraphFont"/>
    <w:link w:val="Quote"/>
    <w:uiPriority w:val="29"/>
    <w:rsid w:val="00183C1A"/>
    <w:rPr>
      <w:i/>
      <w:iCs/>
      <w:color w:val="404040" w:themeColor="text1" w:themeTint="BF"/>
    </w:rPr>
  </w:style>
  <w:style w:type="paragraph" w:styleId="ListParagraph">
    <w:name w:val="List Paragraph"/>
    <w:basedOn w:val="Normal"/>
    <w:qFormat/>
    <w:rsid w:val="00183C1A"/>
    <w:pPr>
      <w:ind w:left="720"/>
      <w:contextualSpacing/>
    </w:pPr>
  </w:style>
  <w:style w:type="character" w:styleId="IntenseEmphasis">
    <w:name w:val="Intense Emphasis"/>
    <w:basedOn w:val="DefaultParagraphFont"/>
    <w:uiPriority w:val="21"/>
    <w:qFormat/>
    <w:rsid w:val="00183C1A"/>
    <w:rPr>
      <w:i/>
      <w:iCs/>
      <w:color w:val="2F5496" w:themeColor="accent1" w:themeShade="BF"/>
    </w:rPr>
  </w:style>
  <w:style w:type="paragraph" w:styleId="IntenseQuote">
    <w:name w:val="Intense Quote"/>
    <w:basedOn w:val="Normal"/>
    <w:next w:val="Normal"/>
    <w:link w:val="IntenseQuoteChar"/>
    <w:uiPriority w:val="30"/>
    <w:qFormat/>
    <w:rsid w:val="00183C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3C1A"/>
    <w:rPr>
      <w:i/>
      <w:iCs/>
      <w:color w:val="2F5496" w:themeColor="accent1" w:themeShade="BF"/>
    </w:rPr>
  </w:style>
  <w:style w:type="character" w:styleId="IntenseReference">
    <w:name w:val="Intense Reference"/>
    <w:basedOn w:val="DefaultParagraphFont"/>
    <w:uiPriority w:val="32"/>
    <w:qFormat/>
    <w:rsid w:val="00183C1A"/>
    <w:rPr>
      <w:b/>
      <w:bCs/>
      <w:smallCaps/>
      <w:color w:val="2F5496" w:themeColor="accent1" w:themeShade="BF"/>
      <w:spacing w:val="5"/>
    </w:rPr>
  </w:style>
  <w:style w:type="paragraph" w:styleId="Bibliography">
    <w:name w:val="Bibliography"/>
    <w:basedOn w:val="Normal"/>
    <w:next w:val="Normal"/>
    <w:uiPriority w:val="37"/>
    <w:unhideWhenUsed/>
    <w:rsid w:val="00183C1A"/>
    <w:pPr>
      <w:spacing w:after="0" w:line="480" w:lineRule="auto"/>
      <w:ind w:left="720" w:hanging="720"/>
    </w:pPr>
  </w:style>
  <w:style w:type="table" w:styleId="TableGrid">
    <w:name w:val="Table Grid"/>
    <w:basedOn w:val="TableNormal"/>
    <w:uiPriority w:val="39"/>
    <w:rsid w:val="00FE5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4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30A"/>
  </w:style>
  <w:style w:type="paragraph" w:styleId="Footer">
    <w:name w:val="footer"/>
    <w:basedOn w:val="Normal"/>
    <w:link w:val="FooterChar"/>
    <w:uiPriority w:val="99"/>
    <w:unhideWhenUsed/>
    <w:rsid w:val="006A43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3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3C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83C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83C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83C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83C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83C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C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C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C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C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83C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83C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83C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83C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83C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C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C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C1A"/>
    <w:rPr>
      <w:rFonts w:eastAsiaTheme="majorEastAsia" w:cstheme="majorBidi"/>
      <w:color w:val="272727" w:themeColor="text1" w:themeTint="D8"/>
    </w:rPr>
  </w:style>
  <w:style w:type="paragraph" w:styleId="Title">
    <w:name w:val="Title"/>
    <w:basedOn w:val="Normal"/>
    <w:next w:val="Normal"/>
    <w:link w:val="TitleChar"/>
    <w:uiPriority w:val="10"/>
    <w:qFormat/>
    <w:rsid w:val="00183C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C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C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C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C1A"/>
    <w:pPr>
      <w:spacing w:before="160"/>
      <w:jc w:val="center"/>
    </w:pPr>
    <w:rPr>
      <w:i/>
      <w:iCs/>
      <w:color w:val="404040" w:themeColor="text1" w:themeTint="BF"/>
    </w:rPr>
  </w:style>
  <w:style w:type="character" w:customStyle="1" w:styleId="QuoteChar">
    <w:name w:val="Quote Char"/>
    <w:basedOn w:val="DefaultParagraphFont"/>
    <w:link w:val="Quote"/>
    <w:uiPriority w:val="29"/>
    <w:rsid w:val="00183C1A"/>
    <w:rPr>
      <w:i/>
      <w:iCs/>
      <w:color w:val="404040" w:themeColor="text1" w:themeTint="BF"/>
    </w:rPr>
  </w:style>
  <w:style w:type="paragraph" w:styleId="ListParagraph">
    <w:name w:val="List Paragraph"/>
    <w:basedOn w:val="Normal"/>
    <w:qFormat/>
    <w:rsid w:val="00183C1A"/>
    <w:pPr>
      <w:ind w:left="720"/>
      <w:contextualSpacing/>
    </w:pPr>
  </w:style>
  <w:style w:type="character" w:styleId="IntenseEmphasis">
    <w:name w:val="Intense Emphasis"/>
    <w:basedOn w:val="DefaultParagraphFont"/>
    <w:uiPriority w:val="21"/>
    <w:qFormat/>
    <w:rsid w:val="00183C1A"/>
    <w:rPr>
      <w:i/>
      <w:iCs/>
      <w:color w:val="2F5496" w:themeColor="accent1" w:themeShade="BF"/>
    </w:rPr>
  </w:style>
  <w:style w:type="paragraph" w:styleId="IntenseQuote">
    <w:name w:val="Intense Quote"/>
    <w:basedOn w:val="Normal"/>
    <w:next w:val="Normal"/>
    <w:link w:val="IntenseQuoteChar"/>
    <w:uiPriority w:val="30"/>
    <w:qFormat/>
    <w:rsid w:val="00183C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83C1A"/>
    <w:rPr>
      <w:i/>
      <w:iCs/>
      <w:color w:val="2F5496" w:themeColor="accent1" w:themeShade="BF"/>
    </w:rPr>
  </w:style>
  <w:style w:type="character" w:styleId="IntenseReference">
    <w:name w:val="Intense Reference"/>
    <w:basedOn w:val="DefaultParagraphFont"/>
    <w:uiPriority w:val="32"/>
    <w:qFormat/>
    <w:rsid w:val="00183C1A"/>
    <w:rPr>
      <w:b/>
      <w:bCs/>
      <w:smallCaps/>
      <w:color w:val="2F5496" w:themeColor="accent1" w:themeShade="BF"/>
      <w:spacing w:val="5"/>
    </w:rPr>
  </w:style>
  <w:style w:type="paragraph" w:styleId="Bibliography">
    <w:name w:val="Bibliography"/>
    <w:basedOn w:val="Normal"/>
    <w:next w:val="Normal"/>
    <w:uiPriority w:val="37"/>
    <w:unhideWhenUsed/>
    <w:rsid w:val="00183C1A"/>
    <w:pPr>
      <w:spacing w:after="0" w:line="480" w:lineRule="auto"/>
      <w:ind w:left="720" w:hanging="720"/>
    </w:pPr>
  </w:style>
  <w:style w:type="table" w:styleId="TableGrid">
    <w:name w:val="Table Grid"/>
    <w:basedOn w:val="TableNormal"/>
    <w:uiPriority w:val="39"/>
    <w:rsid w:val="00FE5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4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30A"/>
  </w:style>
  <w:style w:type="paragraph" w:styleId="Footer">
    <w:name w:val="footer"/>
    <w:basedOn w:val="Normal"/>
    <w:link w:val="FooterChar"/>
    <w:uiPriority w:val="99"/>
    <w:unhideWhenUsed/>
    <w:rsid w:val="006A43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35543371969614"/>
          <c:y val="1.3793103448275862E-2"/>
          <c:w val="0.59238088175999781"/>
          <c:h val="0.84914182278939265"/>
        </c:manualLayout>
      </c:layout>
      <c:barChart>
        <c:barDir val="bar"/>
        <c:grouping val="clustered"/>
        <c:varyColors val="0"/>
        <c:ser>
          <c:idx val="0"/>
          <c:order val="0"/>
          <c:spPr>
            <a:solidFill>
              <a:schemeClr val="accent1"/>
            </a:solidFill>
            <a:ln>
              <a:noFill/>
            </a:ln>
            <a:effectLst/>
          </c:spPr>
          <c:invertIfNegative val="0"/>
          <c:cat>
            <c:strRef>
              <c:f>Sheet1!$C$2:$C$11</c:f>
              <c:strCache>
                <c:ptCount val="10"/>
                <c:pt idx="0">
                  <c:v>Net Present Value (NPV) Analysis</c:v>
                </c:pt>
                <c:pt idx="1">
                  <c:v>Benefit-Cost Ratio (BCR)</c:v>
                </c:pt>
                <c:pt idx="2">
                  <c:v>Internal Rate of Return (IRR)</c:v>
                </c:pt>
                <c:pt idx="3">
                  <c:v>Social Cost-Benefit / SROI</c:v>
                </c:pt>
                <c:pt idx="4">
                  <c:v>Environmental / Green Building CBA</c:v>
                </c:pt>
                <c:pt idx="5">
                  <c:v>Land Cost and Tenure Valuation</c:v>
                </c:pt>
                <c:pt idx="6">
                  <c:v>Construction Cost Estimation Accuracy</c:v>
                </c:pt>
                <c:pt idx="7">
                  <c:v>Lifecycle Cost Analysis</c:v>
                </c:pt>
                <c:pt idx="8">
                  <c:v>Shadow Pricing and Social Discounting</c:v>
                </c:pt>
                <c:pt idx="9">
                  <c:v>Climate Risk Cost Valuation</c:v>
                </c:pt>
              </c:strCache>
            </c:strRef>
          </c:cat>
          <c:val>
            <c:numRef>
              <c:f>Sheet1!$D$2:$D$11</c:f>
              <c:numCache>
                <c:formatCode>General</c:formatCode>
                <c:ptCount val="10"/>
                <c:pt idx="0">
                  <c:v>39</c:v>
                </c:pt>
                <c:pt idx="1">
                  <c:v>31</c:v>
                </c:pt>
                <c:pt idx="2">
                  <c:v>28</c:v>
                </c:pt>
                <c:pt idx="3">
                  <c:v>22</c:v>
                </c:pt>
                <c:pt idx="4">
                  <c:v>17</c:v>
                </c:pt>
                <c:pt idx="5">
                  <c:v>24</c:v>
                </c:pt>
                <c:pt idx="6">
                  <c:v>19</c:v>
                </c:pt>
                <c:pt idx="7">
                  <c:v>14</c:v>
                </c:pt>
                <c:pt idx="8">
                  <c:v>9</c:v>
                </c:pt>
                <c:pt idx="9">
                  <c:v>8</c:v>
                </c:pt>
              </c:numCache>
            </c:numRef>
          </c:val>
          <c:extLst xmlns:c16r2="http://schemas.microsoft.com/office/drawing/2015/06/chart">
            <c:ext xmlns:c16="http://schemas.microsoft.com/office/drawing/2014/chart" uri="{C3380CC4-5D6E-409C-BE32-E72D297353CC}">
              <c16:uniqueId val="{00000000-1525-49E3-A2D8-35F7BB4B160E}"/>
            </c:ext>
          </c:extLst>
        </c:ser>
        <c:dLbls>
          <c:showLegendKey val="0"/>
          <c:showVal val="0"/>
          <c:showCatName val="0"/>
          <c:showSerName val="0"/>
          <c:showPercent val="0"/>
          <c:showBubbleSize val="0"/>
        </c:dLbls>
        <c:gapWidth val="72"/>
        <c:overlap val="20"/>
        <c:axId val="243623424"/>
        <c:axId val="37670848"/>
      </c:barChart>
      <c:catAx>
        <c:axId val="24362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670848"/>
        <c:crosses val="autoZero"/>
        <c:auto val="1"/>
        <c:lblAlgn val="ctr"/>
        <c:lblOffset val="100"/>
        <c:noMultiLvlLbl val="0"/>
      </c:catAx>
      <c:valAx>
        <c:axId val="37670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362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Sheet1!$C$15:$C$21</c:f>
              <c:strCache>
                <c:ptCount val="7"/>
                <c:pt idx="0">
                  <c:v>Data Scarcity </c:v>
                </c:pt>
                <c:pt idx="1">
                  <c:v>Informal Land Tenure </c:v>
                </c:pt>
                <c:pt idx="2">
                  <c:v>Professional Capacity Gap </c:v>
                </c:pt>
                <c:pt idx="3">
                  <c:v>Currency Instability and Construction Cost Volatility</c:v>
                </c:pt>
                <c:pt idx="4">
                  <c:v>Exclusion of Social and Environmental Costs from CBA</c:v>
                </c:pt>
                <c:pt idx="5">
                  <c:v>Political Interference in CBA-Based Decisions</c:v>
                </c:pt>
                <c:pt idx="6">
                  <c:v>Inappropriate Discount Rate Selection</c:v>
                </c:pt>
              </c:strCache>
            </c:strRef>
          </c:cat>
          <c:val>
            <c:numRef>
              <c:f>Sheet1!$D$15:$D$21</c:f>
              <c:numCache>
                <c:formatCode>General</c:formatCode>
                <c:ptCount val="7"/>
                <c:pt idx="0">
                  <c:v>28</c:v>
                </c:pt>
                <c:pt idx="1">
                  <c:v>24</c:v>
                </c:pt>
                <c:pt idx="2">
                  <c:v>21</c:v>
                </c:pt>
                <c:pt idx="3">
                  <c:v>18</c:v>
                </c:pt>
                <c:pt idx="4">
                  <c:v>17</c:v>
                </c:pt>
                <c:pt idx="5">
                  <c:v>13</c:v>
                </c:pt>
                <c:pt idx="6">
                  <c:v>11</c:v>
                </c:pt>
              </c:numCache>
            </c:numRef>
          </c:val>
          <c:extLst xmlns:c16r2="http://schemas.microsoft.com/office/drawing/2015/06/chart">
            <c:ext xmlns:c16="http://schemas.microsoft.com/office/drawing/2014/chart" uri="{C3380CC4-5D6E-409C-BE32-E72D297353CC}">
              <c16:uniqueId val="{00000000-F408-4C62-9234-20CFA3FB9D27}"/>
            </c:ext>
          </c:extLst>
        </c:ser>
        <c:dLbls>
          <c:showLegendKey val="0"/>
          <c:showVal val="0"/>
          <c:showCatName val="0"/>
          <c:showSerName val="0"/>
          <c:showPercent val="0"/>
          <c:showBubbleSize val="0"/>
        </c:dLbls>
        <c:gapWidth val="182"/>
        <c:axId val="156977664"/>
        <c:axId val="220949312"/>
      </c:barChart>
      <c:catAx>
        <c:axId val="15697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0949312"/>
        <c:crosses val="autoZero"/>
        <c:auto val="1"/>
        <c:lblAlgn val="ctr"/>
        <c:lblOffset val="100"/>
        <c:noMultiLvlLbl val="0"/>
      </c:catAx>
      <c:valAx>
        <c:axId val="220949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697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Sheet1!$C$24:$C$29</c:f>
              <c:strCache>
                <c:ptCount val="6"/>
                <c:pt idx="0">
                  <c:v>National Construction Cost Databases and Digitised Property Registries</c:v>
                </c:pt>
                <c:pt idx="1">
                  <c:v>Mandatory CBA in Housing Development Approval Regulations</c:v>
                </c:pt>
                <c:pt idx="2">
                  <c:v>Capacity Building in CBA </c:v>
                </c:pt>
                <c:pt idx="3">
                  <c:v>Social Discount Rate Standardisation </c:v>
                </c:pt>
                <c:pt idx="4">
                  <c:v>Integration of SROI and Distributional Weights</c:v>
                </c:pt>
                <c:pt idx="5">
                  <c:v>Climate Risk Adjustment Protocols </c:v>
                </c:pt>
              </c:strCache>
            </c:strRef>
          </c:cat>
          <c:val>
            <c:numRef>
              <c:f>Sheet1!$D$24:$D$29</c:f>
              <c:numCache>
                <c:formatCode>General</c:formatCode>
                <c:ptCount val="6"/>
                <c:pt idx="0">
                  <c:v>19</c:v>
                </c:pt>
                <c:pt idx="1">
                  <c:v>17</c:v>
                </c:pt>
                <c:pt idx="2">
                  <c:v>16</c:v>
                </c:pt>
                <c:pt idx="3">
                  <c:v>12</c:v>
                </c:pt>
                <c:pt idx="4">
                  <c:v>10</c:v>
                </c:pt>
                <c:pt idx="5">
                  <c:v>8</c:v>
                </c:pt>
              </c:numCache>
            </c:numRef>
          </c:val>
          <c:extLst xmlns:c16r2="http://schemas.microsoft.com/office/drawing/2015/06/chart">
            <c:ext xmlns:c16="http://schemas.microsoft.com/office/drawing/2014/chart" uri="{C3380CC4-5D6E-409C-BE32-E72D297353CC}">
              <c16:uniqueId val="{00000000-4E6B-4F26-AB70-3B72DCB09625}"/>
            </c:ext>
          </c:extLst>
        </c:ser>
        <c:dLbls>
          <c:showLegendKey val="0"/>
          <c:showVal val="0"/>
          <c:showCatName val="0"/>
          <c:showSerName val="0"/>
          <c:showPercent val="0"/>
          <c:showBubbleSize val="0"/>
        </c:dLbls>
        <c:gapWidth val="182"/>
        <c:axId val="156978688"/>
        <c:axId val="220951040"/>
      </c:barChart>
      <c:catAx>
        <c:axId val="15697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0951040"/>
        <c:crosses val="autoZero"/>
        <c:auto val="1"/>
        <c:lblAlgn val="ctr"/>
        <c:lblOffset val="100"/>
        <c:noMultiLvlLbl val="0"/>
      </c:catAx>
      <c:valAx>
        <c:axId val="22095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697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 dockstate="right" visibility="0" width="525" row="3">
    <wetp:webextensionref xmlns:r="http://schemas.openxmlformats.org/officeDocument/2006/relationships" r:id="rId2"/>
  </wetp:taskpane>
  <wetp:taskpane dockstate="right" visibility="0" width="525" row="4">
    <wetp:webextensionref xmlns:r="http://schemas.openxmlformats.org/officeDocument/2006/relationships" r:id="rId3"/>
  </wetp:taskpane>
  <wetp:taskpane dockstate="right" visibility="0" width="525" row="5">
    <wetp:webextensionref xmlns:r="http://schemas.openxmlformats.org/officeDocument/2006/relationships" r:id="rId4"/>
  </wetp:taskpane>
</wetp:taskpanes>
</file>

<file path=word/webextensions/webextension1.xml><?xml version="1.0" encoding="utf-8"?>
<we:webextension xmlns:we="http://schemas.microsoft.com/office/webextensions/webextension/2010/11" id="{1083D361-97D0-4F30-9C70-16D8FB4E1EDC}">
  <we:reference id="wa200005502" version="1.0.0.13" store="en-US" storeType="OMEX"/>
  <we:alternateReferences>
    <we:reference id="WA200005502" version="1.0.0.13" store="" storeType="OMEX"/>
  </we:alternateReferences>
  <we:properties>
    <we:property name="docId" value="&quot;SMqNHnTGPhGHx6do621aG&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9714443-B07A-44FB-BED7-8A1E14320F67}">
  <we:reference id="wa200005740" version="1.0.0.0" store="en-US" storeType="OMEX"/>
  <we:alternateReferences>
    <we:reference id="WA200005740" version="1.0.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0D4FBEA0-DC8D-463D-9DD8-4D2610D075A2}">
  <we:reference id="wa200007142" version="1.3.0.3" store="en-US" storeType="OMEX"/>
  <we:alternateReferences>
    <we:reference id="WA200007142" version="1.3.0.3" store=""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1A8EBC0E-DF9D-4580-9DAF-0B072271B1D7}">
  <we:reference id="wa200000368" version="1.0.0.0" store="en-US" storeType="OMEX"/>
  <we:alternateReferences>
    <we:reference id="WA200000368" version="1.0.0.0" store="" storeType="OMEX"/>
  </we:alternateReferences>
  <we:properties>
    <we:property name="documentId" value="&quot;9c69df5be0acdf06&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TotalTime>
  <Pages>12</Pages>
  <Words>14832</Words>
  <Characters>84548</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Kisaka</dc:creator>
  <cp:keywords/>
  <dc:description/>
  <cp:lastModifiedBy>qwert</cp:lastModifiedBy>
  <cp:revision>7</cp:revision>
  <dcterms:created xsi:type="dcterms:W3CDTF">2026-05-29T14:04:00Z</dcterms:created>
  <dcterms:modified xsi:type="dcterms:W3CDTF">2026-05-30T11:33:00Z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zotero-version="9.0.4"&gt;&lt;session id="ldhaGcP5"/&gt;&lt;style id="http://www.zotero.org/styles/apa" locale="en-US" hasBibliography="1" bibliographyStyleHasBeenSet="1"/&gt;&lt;prefs&gt;&lt;pref name="fieldType" value="Field"/&gt;&lt;/prefs&gt;&lt;/data&gt;</vt:lpwstr>
  </property>
</Properties>
</file>