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611" w:rsidRDefault="009A19A7">
      <w:pPr>
        <w:pStyle w:val="Title"/>
      </w:pPr>
      <w:r>
        <w:t>Mathematical Analysis of a Stage-Structured Two-Patch Predator-Prey Model with Density-Dependent Prey Migration and Predator Maturation Delay</w:t>
      </w:r>
    </w:p>
    <w:p w:rsidR="00156611" w:rsidRDefault="009A19A7">
      <w:pPr>
        <w:pStyle w:val="Author"/>
      </w:pPr>
      <w:r>
        <w:t/>
      </w:r>
    </w:p>
    <w:p w:rsidR="00156611" w:rsidRDefault="009A19A7">
      <w:pPr>
        <w:pStyle w:val="Author"/>
      </w:pPr>
      <w:r>
        <w:t/>
      </w:r>
    </w:p>
    <w:p w:rsidR="00156611" w:rsidRDefault="009A19A7">
      <w:pPr>
        <w:pStyle w:val="Author"/>
      </w:pPr>
      <w:r>
        <w:t/>
      </w:r>
    </w:p>
    <w:p w:rsidR="00156611" w:rsidRDefault="009A19A7">
      <w:pPr>
        <w:pStyle w:val="Date"/>
      </w:pPr>
      <w:r>
        <w:t/>
      </w:r>
      <w:bookmarkStart w:id="0" w:name="_GoBack"/>
      <w:bookmarkEnd w:id="0"/>
    </w:p>
    <w:p w:rsidR="00156611" w:rsidRDefault="009A19A7">
      <w:pPr>
        <w:pStyle w:val="AbstractTitle"/>
      </w:pPr>
      <w:r>
        <w:t>Abstract</w:t>
      </w:r>
    </w:p>
    <w:p w:rsidR="00156611" w:rsidRDefault="009A19A7">
      <w:pPr>
        <w:pStyle w:val="Abstract"/>
      </w:pPr>
      <w:r>
        <w:t xml:space="preserve">A stage structured predator-prey model is formulated in which the prey population is partitioned between a refuge patch and a predation patch with density-dependent fear-driven migration, and the predator population is divided into juvenile and adult stages separated by a fixed maturation delay </w:t>
      </w:r>
      <m:oMath>
        <m:r>
          <w:rPr>
            <w:rFonts w:ascii="Cambria Math" w:hAnsi="Cambria Math"/>
          </w:rPr>
          <m:t>τ</m:t>
        </m:r>
      </m:oMath>
      <w:r>
        <w:t xml:space="preserve">. Predation acts exclusively on exposed prey via a Holling type II functional response. Positivity is established by quasi-positivity of the vector field; exponential boundedness is proved using Gronwall’s inequality. Three equilibria are identified: total extinction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predator-free coexistence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and interior coexistence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The existence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is established via the Intermediate Value Theorem applied to a cubic polynomial; the coexistence equilibrium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characterised by explicit closed-form expressions for all components. The basic reproduction number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derived via the next-generation matrix method with a delay-adjusted survival factor. Normalised sensitivity indices are computed analytically for all parameters; the conversion efficiency </w:t>
      </w:r>
      <m:oMath>
        <m:r>
          <w:rPr>
            <w:rFonts w:ascii="Cambria Math" w:hAnsi="Cambria Math"/>
          </w:rPr>
          <m:t>β</m:t>
        </m:r>
      </m:oMath>
      <w:r>
        <w:t xml:space="preserve"> and adult mortality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each have a normalised sensitivity index of magnitude one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while the delay-mortality product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τ</m:t>
        </m:r>
      </m:oMath>
      <w:r>
        <w:t xml:space="preserve"> is the next most influential parameter. Local asymptotic stability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characterised by explicit Routh-Hurwitz conditions on the characteristic quasi-polynomial. Global asymptotic stability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when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 and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when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 is proved via Lyapunov-Krasovskii functionals. A transcritical bifurcation occurs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; a Hopf bifurcation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occurs when </w:t>
      </w:r>
      <m:oMath>
        <m:r>
          <w:rPr>
            <w:rFonts w:ascii="Cambria Math" w:hAnsi="Cambria Math"/>
          </w:rPr>
          <m:t>τ</m:t>
        </m:r>
      </m:oMath>
      <w:r>
        <w:t xml:space="preserve"> exceeds the critical threshold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>, whose computation is reduced to finding positive roots of a scalar cubic.</w:t>
      </w:r>
    </w:p>
    <w:p w:rsidR="00156611" w:rsidRDefault="009A19A7">
      <w:pPr>
        <w:pStyle w:val="FirstParagraph"/>
      </w:pPr>
      <w:r>
        <w:rPr>
          <w:b/>
          <w:bCs/>
        </w:rPr>
        <w:t>Keywords:</w:t>
      </w:r>
      <w:r>
        <w:t xml:space="preserve"> Predator Prey; Stage Structure; Maturation Delay; Prey Refuge; Fear Effect; Gronwall Inequality; Lyapunov-Krasovskii; Hopf Bifurcation; Basic Reproduction Number.</w:t>
      </w:r>
    </w:p>
    <w:p w:rsidR="00156611" w:rsidRDefault="009A19A7">
      <w:pPr>
        <w:pStyle w:val="Heading1"/>
      </w:pPr>
      <w:bookmarkStart w:id="1" w:name="introduction"/>
      <w:r>
        <w:t>Introduction</w:t>
      </w:r>
    </w:p>
    <w:p w:rsidR="00156611" w:rsidRDefault="009A19A7">
      <w:pPr>
        <w:pStyle w:val="FirstParagraph"/>
      </w:pPr>
      <w:r>
        <w:t>Predator-prey dynamics have been studied mathematically since the foundational work of Lotka [1] and Volterra [2]. Two biologically motivated extensions of the classical framework have received sustained attention: spatial structure in the form of prey refuges, and temporal stage structure in the predator life history.</w:t>
      </w:r>
    </w:p>
    <w:p w:rsidR="00156611" w:rsidRDefault="009A19A7">
      <w:pPr>
        <w:pStyle w:val="BodyText"/>
      </w:pPr>
      <w:r>
        <w:t>Prey refuges reduce predation pressure and can stabilise oscillatory dynamics [3]. When predators are abundant, the return rate of prey from the predation zone to the refuge increases with predator density; this fear-driven response [4] introduces a nonlinear coupling between predator abundance and prey spatial distribution that is absent from refuge models with constant migration rates.</w:t>
      </w:r>
    </w:p>
    <w:p w:rsidR="00156611" w:rsidRDefault="009A19A7">
      <w:pPr>
        <w:pStyle w:val="BodyText"/>
      </w:pPr>
      <w:r>
        <w:lastRenderedPageBreak/>
        <w:t xml:space="preserve">Stage-structured predator models, in which juveniles cannot hunt and require a fixed period </w:t>
      </w:r>
      <m:oMath>
        <m:r>
          <w:rPr>
            <w:rFonts w:ascii="Cambria Math" w:hAnsi="Cambria Math"/>
          </w:rPr>
          <m:t>τ</m:t>
        </m:r>
      </m:oMath>
      <w:r>
        <w:t xml:space="preserve"> to reach adulthood, produce dynamics qualitatively different from unstructured counterparts [5, 6]. The maturation delay acts as an independent bifurcation parameter: beyond a critical threshold, it destabilises the coexistence equilibrium and generates sustained predator-prey oscillations via a Hopf bifurcation [7, 8]. Bhattacharjee, Roy, Acharjee, and Dutta [15] recently extended this line of inquiry to a three-stage predator structure with juvenile hunting and maturation delay, obtaining sharper conditions under which the delay destabilises the coexistence equilibrium and generates periodic oscillations.</w:t>
      </w:r>
    </w:p>
    <w:p w:rsidR="00156611" w:rsidRDefault="009A19A7">
      <w:pPr>
        <w:pStyle w:val="BodyText"/>
      </w:pPr>
      <w:r>
        <w:t>The Holling type II functional response [9] represents the saturating relationship between prey density and per-predator consumption rate; its half-saturation structure captures the handling-time limit on consumption [10]. Kalinkat, Rall, Uiterwaal, and Uszko [16] provided recent empirical evidence that saturating functional responses of this type are the norm across a broad range of natural predator–prey systems, reinforcing the biological basis of the Holling type II term adopted here. A model simultaneously incorporating a two-patch prey habitat with fear-driven migration, stage-structured predators with maturation delay, and Holling type II predation has not previously been studied in a unified framework.</w:t>
      </w:r>
    </w:p>
    <w:p w:rsidR="00156611" w:rsidRDefault="009A19A7">
      <w:pPr>
        <w:pStyle w:val="BodyText"/>
      </w:pPr>
      <w:r>
        <w:t xml:space="preserve">The objectives of this paper are: (i) to establish positivity and exponential boundedness of solutions; (ii) to derive the basic reproduction number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via the next-generation matrix method; (iii) to obtain normalised sensitivity indices for all parameters; (iv) to prove local and global asymptotic stability of all biologically feasible equilibria; and (v) to characterise the transcritical and Hopf bifurcations admitted by the model.</w:t>
      </w:r>
    </w:p>
    <w:p w:rsidR="00156611" w:rsidRDefault="009A19A7">
      <w:pPr>
        <w:pStyle w:val="BodyText"/>
      </w:pPr>
      <w:r>
        <w:t xml:space="preserve">Section 2 presents the model. Section 3 establishes well-posedness. Section 4 identifies and analyses equilibria. Sections 5 and 6 derive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its sensitivity indices. Sections 7 and 8 address local and global stability. Section 9 analyses bifurcations. Section 10 concludes.</w:t>
      </w:r>
    </w:p>
    <w:p w:rsidR="00156611" w:rsidRDefault="009A19A7">
      <w:pPr>
        <w:pStyle w:val="Heading1"/>
      </w:pPr>
      <w:bookmarkStart w:id="2" w:name="model-formulation"/>
      <w:bookmarkEnd w:id="1"/>
      <w:r>
        <w:t>Model Formulation</w:t>
      </w:r>
    </w:p>
    <w:p w:rsidR="00156611" w:rsidRDefault="009A19A7">
      <w:pPr>
        <w:pStyle w:val="Heading2"/>
      </w:pPr>
      <w:bookmarkStart w:id="3" w:name="model-assumptions"/>
      <w:r>
        <w:t>Model Assumptions</w:t>
      </w:r>
    </w:p>
    <w:p w:rsidR="00156611" w:rsidRDefault="009A19A7">
      <w:pPr>
        <w:numPr>
          <w:ilvl w:val="0"/>
          <w:numId w:val="2"/>
        </w:numPr>
      </w:pPr>
      <w:r>
        <w:t xml:space="preserve">The prey population occupies two patches: a refuge (population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, safe from predation) and a predation zone (population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>, exposed to adult predators).</w:t>
      </w:r>
    </w:p>
    <w:p w:rsidR="00156611" w:rsidRDefault="009A19A7">
      <w:pPr>
        <w:numPr>
          <w:ilvl w:val="0"/>
          <w:numId w:val="2"/>
        </w:numPr>
      </w:pPr>
      <w:r>
        <w:t xml:space="preserve">Both prey populations grow logistically with intrinsic rates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and carrying capacities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i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2</m:t>
        </m:r>
      </m:oMath>
      <w:r>
        <w:t>.</w:t>
      </w:r>
    </w:p>
    <w:p w:rsidR="00156611" w:rsidRDefault="009A19A7">
      <w:pPr>
        <w:numPr>
          <w:ilvl w:val="0"/>
          <w:numId w:val="2"/>
        </w:numPr>
      </w:pPr>
      <w:r>
        <w:t xml:space="preserve">In the absence of predators, prey migrate from the refuge to the predation zone at the baseline rate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When adult predators are present, prey migrate from the predation zone to the refuge at the density-dependent rate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is the fear-induced migration coefficient.</w:t>
      </w:r>
    </w:p>
    <w:p w:rsidR="00156611" w:rsidRDefault="009A19A7">
      <w:pPr>
        <w:numPr>
          <w:ilvl w:val="0"/>
          <w:numId w:val="2"/>
        </w:numPr>
      </w:pPr>
      <w:r>
        <w:t xml:space="preserve">Juvenile predators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do not hunt; adult predators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hunt exclusively in the predation zone.</w:t>
      </w:r>
    </w:p>
    <w:p w:rsidR="00156611" w:rsidRDefault="009A19A7">
      <w:pPr>
        <w:numPr>
          <w:ilvl w:val="0"/>
          <w:numId w:val="2"/>
        </w:numPr>
      </w:pPr>
      <w:r>
        <w:lastRenderedPageBreak/>
        <w:t xml:space="preserve">Predation follows the Holling type II functional response </w:t>
      </w:r>
      <m:oMath>
        <m:r>
          <w:rPr>
            <w:rFonts w:ascii="Cambria Math" w:hAnsi="Cambria Math"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 xml:space="preserve"> with maximum rate </w:t>
      </w:r>
      <m:oMath>
        <m:r>
          <w:rPr>
            <w:rFonts w:ascii="Cambria Math" w:hAnsi="Cambria Math"/>
          </w:rPr>
          <m:t>α</m:t>
        </m:r>
      </m:oMath>
      <w:r>
        <w:t xml:space="preserve"> and half-saturation constant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:rsidR="00156611" w:rsidRDefault="009A19A7">
      <w:pPr>
        <w:numPr>
          <w:ilvl w:val="0"/>
          <w:numId w:val="2"/>
        </w:numPr>
      </w:pPr>
      <w:r>
        <w:t xml:space="preserve">A fixed maturation delay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governs the juvenile-to-adult transition. A juvenile born at time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τ</m:t>
        </m:r>
      </m:oMath>
      <w:r>
        <w:t xml:space="preserve"> survives to adulthood with probability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τ</m:t>
            </m:r>
          </m:sup>
        </m:sSup>
      </m:oMath>
      <w:r>
        <w:t>.</w:t>
      </w:r>
    </w:p>
    <w:p w:rsidR="00156611" w:rsidRDefault="009A19A7">
      <w:pPr>
        <w:pStyle w:val="Heading2"/>
      </w:pPr>
      <w:bookmarkStart w:id="4" w:name="model-description-and-equations"/>
      <w:bookmarkEnd w:id="3"/>
      <w:r>
        <w:t>Model Description and Equations</w:t>
      </w:r>
    </w:p>
    <w:p w:rsidR="00156611" w:rsidRDefault="009A19A7">
      <w:pPr>
        <w:pStyle w:val="FirstParagraph"/>
      </w:pPr>
      <w:r>
        <w:t xml:space="preserve">The model partitions prey into a refuge patch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and a predation zone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, and predators into juveniles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and adults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. Both prey grow logistically. Prey migrate from the refuge to the predation zone at baseline rate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; fear of predators drives density-dependent return migration at rate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Only adults hunt, consuming exposed prey via a Holling type II response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α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den>
        </m:f>
      </m:oMath>
      <w:r>
        <w:t xml:space="preserve">. Prey consumption generates juveniles at conversion efficiency </w:t>
      </w:r>
      <m:oMath>
        <m:r>
          <w:rPr>
            <w:rFonts w:ascii="Cambria Math" w:hAnsi="Cambria Math"/>
          </w:rPr>
          <m:t>β</m:t>
        </m:r>
      </m:oMath>
      <w:r>
        <w:t xml:space="preserve">; juveniles mature into adults after a fixed delay </w:t>
      </w:r>
      <m:oMath>
        <m:r>
          <w:rPr>
            <w:rFonts w:ascii="Cambria Math" w:hAnsi="Cambria Math"/>
          </w:rPr>
          <m:t>τ</m:t>
        </m:r>
      </m:oMath>
      <w:r>
        <w:t xml:space="preserve">, with natural mortality rates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(juveniles)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(adults). These dynamics are governed by;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</m:d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</m:d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α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den>
                </m:f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β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β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mr>
            <m:m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β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</m:e>
                    </m:d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mr>
          </m:m>
        </m:oMath>
      </m:oMathPara>
    </w:p>
    <w:p w:rsidR="00156611" w:rsidRDefault="009A19A7">
      <w:pPr>
        <w:pStyle w:val="FirstParagraph"/>
      </w:pPr>
      <w:r>
        <w:t xml:space="preserve">with constant history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0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0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w:rPr>
                    <w:rFonts w:ascii="Cambria Math" w:hAnsi="Cambria Math"/>
                  </w:rPr>
                  <m:t>0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w:rPr>
                    <w:rFonts w:ascii="Cambria Math" w:hAnsi="Cambria Math"/>
                  </w:rPr>
                  <m:t>0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t xml:space="preserve"> for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τ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t>.</w:t>
      </w:r>
    </w:p>
    <w:p w:rsidR="00156611" w:rsidRDefault="009A19A7">
      <w:pPr>
        <w:pStyle w:val="BodyText"/>
      </w:pPr>
      <w:r>
        <w:t xml:space="preserve">All parameters are strictly positive and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α</m:t>
        </m:r>
      </m:oMath>
      <w:r>
        <w:t xml:space="preserve">. The parameters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denote the intrinsic growth rates of the refuge and predation-zone prey populations, respectively, while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are their corresponding carrying capacities. The baseline inter-patch migration rate 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is the fear-induced migration coefficient that governs the density-dependent return flux of prey from the predation zone to the refuge. The Holling type II functional response is characterised by the maximum predation rate </w:t>
      </w:r>
      <m:oMath>
        <m:r>
          <w:rPr>
            <w:rFonts w:ascii="Cambria Math" w:hAnsi="Cambria Math"/>
          </w:rPr>
          <m:t>α</m:t>
        </m:r>
      </m:oMath>
      <w:r>
        <w:t xml:space="preserve"> and the half-saturation constant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The conversion efficiency of consumed prey into juvenile predators is </w:t>
      </w:r>
      <m:oMath>
        <m:r>
          <w:rPr>
            <w:rFonts w:ascii="Cambria Math" w:hAnsi="Cambria Math"/>
          </w:rPr>
          <m:t>β</m:t>
        </m:r>
      </m:oMath>
      <w:r>
        <w:t xml:space="preserve">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are the mortality rates of juvenile and adult predators, respectively. Finally, </w:t>
      </w:r>
      <m:oMath>
        <m:r>
          <w:rPr>
            <w:rFonts w:ascii="Cambria Math" w:hAnsi="Cambria Math"/>
          </w:rPr>
          <m:t>τ</m:t>
        </m:r>
      </m:oMath>
      <w:r>
        <w:t xml:space="preserve"> denotes the fixed maturation delay (in months) separating the juvenile and adult predator stages.</w:t>
      </w:r>
    </w:p>
    <w:p w:rsidR="00156611" w:rsidRDefault="009A19A7">
      <w:pPr>
        <w:pStyle w:val="Heading1"/>
      </w:pPr>
      <w:bookmarkStart w:id="5" w:name="positivity-and-exponential-boundedness"/>
      <w:bookmarkEnd w:id="2"/>
      <w:bookmarkEnd w:id="4"/>
      <w:r>
        <w:t>Positivity and Exponential Boundedness</w:t>
      </w:r>
    </w:p>
    <w:p w:rsidR="00156611" w:rsidRDefault="009A19A7">
      <w:pPr>
        <w:pStyle w:val="FirstParagraph"/>
      </w:pPr>
      <w:r>
        <w:rPr>
          <w:b/>
          <w:bCs/>
        </w:rPr>
        <w:t>Theorem 1</w:t>
      </w:r>
      <w:r>
        <w:t xml:space="preserve"> (Positivity).  </w:t>
      </w:r>
      <w:r>
        <w:rPr>
          <w:i/>
          <w:iCs/>
        </w:rPr>
        <w:t xml:space="preserve">For any non-negative history </w:t>
      </w:r>
      <m:oMath>
        <m:r>
          <w:rPr>
            <w:rFonts w:ascii="Cambria Math" w:hAnsi="Cambria Math"/>
          </w:rPr>
          <m:t>φ</m:t>
        </m:r>
        <m:r>
          <m:rPr>
            <m:sty m:val="p"/>
          </m:rPr>
          <w:rPr>
            <w:rFonts w:ascii="Cambria Math" w:hAnsi="Cambria Math"/>
          </w:rPr>
          <m:t>∈</m:t>
        </m:r>
        <m:r>
          <w:rPr>
            <w:rFonts w:ascii="Cambria Math" w:hAnsi="Cambria Math"/>
          </w:rPr>
          <m:t>C</m:t>
        </m:r>
        <m:d>
          <m:dPr>
            <m:ctrlPr>
              <w:rPr>
                <w:rFonts w:ascii="Cambria Math" w:hAnsi="Cambria Math"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τ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0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m:rPr>
                    <m:scr m:val="double-struck"/>
                    <m:sty m:val="p"/>
                  </m:rPr>
                  <w:rPr>
                    <w:rFonts w:ascii="Cambria Math" w:hAnsi="Cambria Math"/>
                  </w:rPr>
                  <m:t>R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sub>
              <m:sup>
                <m:r>
                  <w:rPr>
                    <w:rFonts w:ascii="Cambria Math" w:hAnsi="Cambria Math"/>
                  </w:rPr>
                  <m:t>4</m:t>
                </m:r>
              </m:sup>
            </m:sSubSup>
          </m:e>
        </m:d>
      </m:oMath>
      <w:r>
        <w:rPr>
          <w:i/>
          <w:iCs/>
        </w:rPr>
        <w:t xml:space="preserve">, the unique solution of System 1 satisfies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rPr>
          <w:i/>
          <w:iCs/>
        </w:rPr>
        <w:t xml:space="preserve"> for all </w:t>
      </w:r>
      <m:oMath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rPr>
          <w:i/>
          <w:iCs/>
        </w:rPr>
        <w:t>.</w:t>
      </w:r>
    </w:p>
    <w:p w:rsidR="00156611" w:rsidRDefault="009A19A7">
      <w:pPr>
        <w:pStyle w:val="BodyText"/>
      </w:pPr>
      <w:r>
        <w:rPr>
          <w:i/>
          <w:iCs/>
        </w:rPr>
        <w:lastRenderedPageBreak/>
        <w:t>Proof.</w:t>
      </w:r>
      <w:r>
        <w:t xml:space="preserve"> The right-hand side is locally Lipschitz, so a unique local solution exists [12]. On each coordinate face of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</m:oMath>
      <w:r>
        <w:t xml:space="preserve"> the corresponding vector-field component is non-negative (quasi-positivity), so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</m:oMath>
      <w:r>
        <w:t xml:space="preserve"> is positively invariant. ◻</w:t>
      </w:r>
    </w:p>
    <w:p w:rsidR="00156611" w:rsidRDefault="009A19A7">
      <w:pPr>
        <w:pStyle w:val="BodyText"/>
      </w:pPr>
      <w:r>
        <w:rPr>
          <w:b/>
          <w:bCs/>
        </w:rPr>
        <w:t>Definition 1</w:t>
      </w:r>
      <w:r>
        <w:t xml:space="preserve"> (Gronwall’s Inequality [12]).  </w:t>
      </w:r>
      <w:r>
        <w:rPr>
          <w:i/>
          <w:iCs/>
        </w:rPr>
        <w:t xml:space="preserve">Let 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ψ</m:t>
        </m:r>
      </m:oMath>
      <w:r>
        <w:rPr>
          <w:i/>
          <w:iCs/>
        </w:rPr>
        <w:t xml:space="preserve"> be continuous on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c</m:t>
            </m:r>
          </m:e>
        </m:d>
      </m:oMath>
      <w:r>
        <w:rPr>
          <w:i/>
          <w:iCs/>
        </w:rPr>
        <w:t xml:space="preserve"> with </w:t>
      </w:r>
      <m:oMath>
        <m:r>
          <w:rPr>
            <w:rFonts w:ascii="Cambria Math" w:hAnsi="Cambria Math"/>
          </w:rPr>
          <m:t>ϕ</m:t>
        </m:r>
      </m:oMath>
      <w:r>
        <w:rPr>
          <w:i/>
          <w:iCs/>
        </w:rPr>
        <w:t xml:space="preserve"> non-decreasing and </w:t>
      </w:r>
      <m:oMath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</m:oMath>
      <w:r>
        <w:rPr>
          <w:i/>
          <w:iCs/>
        </w:rPr>
        <w:t xml:space="preserve">. If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ϕ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t</m:t>
            </m:r>
          </m:sup>
          <m:e>
            <m:r>
              <w:rPr>
                <w:rFonts w:ascii="Cambria Math" w:hAnsi="Cambria Math"/>
              </w:rPr>
              <m:t>ψ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 ds</m:t>
        </m:r>
      </m:oMath>
      <w:r>
        <w:rPr>
          <w:i/>
          <w:iCs/>
        </w:rPr>
        <w:t xml:space="preserve">, then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ϕ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exp</m:t>
        </m:r>
        <m:d>
          <m:dPr>
            <m:ctrlPr>
              <w:rPr>
                <w:rFonts w:ascii="Cambria Math" w:hAnsi="Cambria Math"/>
              </w:rPr>
            </m:ctrlPr>
          </m:dPr>
          <m:e>
            <m:nary>
              <m:naryPr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t</m:t>
                </m:r>
              </m:sup>
              <m:e>
                <m:r>
                  <w:rPr>
                    <w:rFonts w:ascii="Cambria Math" w:hAnsi="Cambria Math"/>
                  </w:rPr>
                  <m:t>ψ</m:t>
                </m:r>
              </m:e>
            </m:nary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s</m:t>
                </m:r>
              </m:e>
            </m:d>
            <m:r>
              <w:rPr>
                <w:rFonts w:ascii="Cambria Math" w:hAnsi="Cambria Math"/>
              </w:rPr>
              <m:t> ds</m:t>
            </m:r>
          </m:e>
        </m:d>
      </m:oMath>
      <w:r>
        <w:rPr>
          <w:i/>
          <w:iCs/>
        </w:rPr>
        <w:t xml:space="preserve">. In particular, if </w:t>
      </w:r>
      <m:oMath>
        <m:r>
          <w:rPr>
            <w:rFonts w:ascii="Cambria Math" w:hAnsi="Cambria Math"/>
          </w:rPr>
          <m:t>ϕ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A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rPr>
          <w:i/>
          <w:iCs/>
        </w:rPr>
        <w:t xml:space="preserve"> and </w:t>
      </w:r>
      <m:oMath>
        <m:r>
          <w:rPr>
            <w:rFonts w:ascii="Cambria Math" w:hAnsi="Cambria Math"/>
          </w:rPr>
          <m:t>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rPr>
          <w:i/>
          <w:iCs/>
        </w:rPr>
        <w:t xml:space="preserve">, then </w:t>
      </w:r>
      <m:oMath>
        <m:r>
          <w:rPr>
            <w:rFonts w:ascii="Cambria Math" w:hAnsi="Cambria Math"/>
          </w:rPr>
          <m:t>z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A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μt</m:t>
            </m:r>
          </m:sup>
        </m:sSup>
      </m:oMath>
      <w:r>
        <w:rPr>
          <w:i/>
          <w:iCs/>
        </w:rPr>
        <w:t>.</w:t>
      </w:r>
    </w:p>
    <w:p w:rsidR="00156611" w:rsidRDefault="009A19A7">
      <w:pPr>
        <w:pStyle w:val="BodyText"/>
      </w:pPr>
      <w:r>
        <w:rPr>
          <w:b/>
          <w:bCs/>
        </w:rPr>
        <w:t>Theorem 2</w:t>
      </w:r>
      <w:r>
        <w:t xml:space="preserve"> (Exponential Boundedness).  </w:t>
      </w:r>
      <w:r>
        <w:rPr>
          <w:i/>
          <w:iCs/>
        </w:rPr>
        <w:t xml:space="preserve">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</m:oMath>
      <w:r>
        <w:rPr>
          <w:i/>
          <w:iCs/>
        </w:rPr>
        <w:t xml:space="preserve"> and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=max{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rPr>
          <w:i/>
          <w:iCs/>
        </w:rPr>
        <w:t xml:space="preserve">. Every solution of System 1 satisfies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μt</m:t>
            </m:r>
          </m:sup>
        </m:sSup>
        <m:r>
          <w:rPr>
            <w:rFonts w:ascii="Cambria Math" w:hAnsi="Cambria Math"/>
          </w:rPr>
          <m:t> </m:t>
        </m:r>
        <m:r>
          <m:rPr>
            <m:nor/>
          </m:rPr>
          <m:t xml:space="preserve">for all </m:t>
        </m:r>
        <m:r>
          <w:rPr>
            <w:rFonts w:ascii="Cambria Math" w:hAnsi="Cambria Math"/>
          </w:rPr>
          <m:t>t</m:t>
        </m:r>
        <m:r>
          <m:rPr>
            <m:sty m:val="p"/>
          </m:rPr>
          <w:rPr>
            <w:rFonts w:ascii="Cambria Math" w:hAnsi="Cambria Math"/>
          </w:rPr>
          <m:t>≥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.</m:t>
        </m:r>
      </m:oMath>
    </w:p>
    <w:p w:rsidR="00156611" w:rsidRDefault="009A19A7">
      <w:pPr>
        <w:pStyle w:val="FirstParagraph"/>
      </w:pPr>
      <w:r>
        <w:rPr>
          <w:i/>
          <w:iCs/>
        </w:rPr>
        <w:t>Proof.</w:t>
      </w:r>
      <w:r>
        <w:t xml:space="preserve"> Let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 Adding the first and second equations of System 1, the migration and fear-driven flux terms cancel, yielding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α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>Adding the third and fourth equations of System 1, the maturation-delay terms cancel, yielding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acc>
                <m:accPr>
                  <m:chr m:val="̇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β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Combining and using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α</m:t>
        </m:r>
      </m:oMath>
      <w:r>
        <w:t xml:space="preserve"> (so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β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α</m:t>
            </m:r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0</m:t>
        </m:r>
      </m:oMath>
      <w:r>
        <w:t xml:space="preserve">),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acc>
            <m:accPr>
              <m:chr m:val="̇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≤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μ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μV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Integrating: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μ</m:t>
        </m:r>
        <m:nary>
          <m:naryPr>
            <m:limLoc m:val="subSup"/>
            <m:ctrlPr>
              <w:rPr>
                <w:rFonts w:ascii="Cambria Math" w:hAnsi="Cambria Math"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t</m:t>
            </m:r>
          </m:sup>
          <m:e>
            <m:r>
              <w:rPr>
                <w:rFonts w:ascii="Cambria Math" w:hAnsi="Cambria Math"/>
              </w:rPr>
              <m:t>V</m:t>
            </m:r>
          </m:e>
        </m:nary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 ds</m:t>
        </m:r>
      </m:oMath>
      <w:r>
        <w:t xml:space="preserve">. Gronwall’s inequality with </w:t>
      </w:r>
      <m:oMath>
        <m:r>
          <w:rPr>
            <w:rFonts w:ascii="Cambria Math" w:hAnsi="Cambria Math"/>
          </w:rPr>
          <m:t>ϕ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</w:t>
      </w:r>
      <m:oMath>
        <m:r>
          <w:rPr>
            <w:rFonts w:ascii="Cambria Math" w:hAnsi="Cambria Math"/>
          </w:rPr>
          <m:t>ψ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μ</m:t>
        </m:r>
      </m:oMath>
      <w:r>
        <w:t xml:space="preserve"> gives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μt</m:t>
            </m:r>
          </m:sup>
        </m:sSup>
      </m:oMath>
      <w:r>
        <w:t xml:space="preserve">. Since </w:t>
      </w:r>
      <m:oMath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V</m:t>
        </m:r>
      </m:oMath>
      <w:r>
        <w:t>, the component-wise bounds follow. ◻</w:t>
      </w:r>
    </w:p>
    <w:p w:rsidR="00156611" w:rsidRDefault="009A19A7">
      <w:pPr>
        <w:pStyle w:val="Heading1"/>
      </w:pPr>
      <w:bookmarkStart w:id="6" w:name="equilibrium-analysis"/>
      <w:bookmarkEnd w:id="5"/>
      <w:r>
        <w:t>Equilibrium Analysis</w:t>
      </w:r>
    </w:p>
    <w:p w:rsidR="00156611" w:rsidRDefault="009A19A7">
      <w:pPr>
        <w:pStyle w:val="FirstParagraph"/>
      </w:pPr>
      <w:r>
        <w:t xml:space="preserve">Setting all time derivatives to zero and noting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τ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 at equilibrium, the third equation in 1 reduces to </w:t>
      </w:r>
      <m:oMath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so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at every equilibrium. This is a structural consequence of the stage-structured DDE formulation: the juvenile production and graduation fluxes cancel exactly at a constant steady state [5, 11].</w:t>
      </w:r>
    </w:p>
    <w:p w:rsidR="00156611" w:rsidRDefault="009A19A7">
      <w:pPr>
        <w:pStyle w:val="Heading2"/>
      </w:pPr>
      <w:bookmarkStart w:id="7" w:name="total-extinction-equilibrium"/>
      <w:r>
        <w:t>Total Extinction Equilibrium</w:t>
      </w:r>
    </w:p>
    <w:p w:rsidR="00156611" w:rsidRDefault="009A19A7">
      <w:pPr>
        <w:pStyle w:val="FirstParagrap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t xml:space="preserve"> always exists and is always unstable because the prey intrinsic growth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ensures that a positive eigenvalue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=max{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}-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whenever </w:t>
      </w:r>
      <m:oMath>
        <m:r>
          <m:rPr>
            <m:sty m:val="p"/>
          </m:rPr>
          <w:rPr>
            <w:rFonts w:ascii="Cambria Math" w:hAnsi="Cambria Math"/>
          </w:rPr>
          <m:t>max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>.</w:t>
      </w:r>
    </w:p>
    <w:p w:rsidR="00156611" w:rsidRDefault="009A19A7">
      <w:pPr>
        <w:pStyle w:val="Heading2"/>
      </w:pPr>
      <w:bookmarkStart w:id="8" w:name="predator-free-equilibrium"/>
      <w:bookmarkEnd w:id="7"/>
      <w:r>
        <w:t>Predator-Free Equilibrium</w:t>
      </w:r>
    </w:p>
    <w:p w:rsidR="00156611" w:rsidRDefault="009A19A7">
      <w:pPr>
        <w:pStyle w:val="FirstParagraph"/>
      </w:pPr>
      <w:r>
        <w:t xml:space="preserve">Setting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reduces the system to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1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0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mr>
          </m:m>
        </m:oMath>
      </m:oMathPara>
    </w:p>
    <w:p w:rsidR="00156611" w:rsidRDefault="009A19A7">
      <w:pPr>
        <w:pStyle w:val="FirstParagraph"/>
      </w:pPr>
      <w:r>
        <w:t>Adding (2)–(3) eliminates migration terms: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bSup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Rearranging (2) gives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σ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ρ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t xml:space="preserve"> where </w:t>
      </w:r>
      <m:oMath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</w:t>
      </w:r>
      <m:oMath>
        <m:r>
          <w:rPr>
            <w:rFonts w:ascii="Cambria Math" w:hAnsi="Cambria Math"/>
          </w:rPr>
          <m:t>ρ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>
        <w:t xml:space="preserve">. Substituting into (4) and dividing by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yields the cubic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sup>
              </m:sSubSup>
            </m:e>
          </m:d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ρ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w:rPr>
                  <w:rFonts w:ascii="Cambria Math" w:hAnsi="Cambria Math"/>
                </w:rPr>
                <m:t>3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σρ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w:rPr>
                  <w:rFonts w:ascii="Cambria Math" w:hAnsi="Cambria Math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ρ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σ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rPr>
          <w:b/>
          <w:bCs/>
        </w:rPr>
        <w:t>Proposition 1</w:t>
      </w:r>
      <w:r>
        <w:t xml:space="preserve"> (Existence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).  </w:t>
      </w:r>
      <w:r>
        <w:rPr>
          <w:i/>
          <w:iCs/>
        </w:rPr>
        <w:t xml:space="preserve">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, then </w:t>
      </w:r>
      <m:oMath>
        <m:r>
          <w:rPr>
            <w:rFonts w:ascii="Cambria Math" w:hAnsi="Cambria Math"/>
          </w:rPr>
          <m:t>G</m:t>
        </m:r>
      </m:oMath>
      <w:r>
        <w:rPr>
          <w:i/>
          <w:iCs/>
        </w:rPr>
        <w:t xml:space="preserve"> has at least one positive real root and the predator-free equilibrium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rPr>
          <w:i/>
          <w:iCs/>
        </w:rPr>
        <w:t xml:space="preserve"> is biologically admissible.</w:t>
      </w:r>
    </w:p>
    <w:p w:rsidR="00156611" w:rsidRDefault="009A19A7">
      <w:pPr>
        <w:pStyle w:val="BodyText"/>
      </w:pPr>
      <w:r>
        <w:rPr>
          <w:i/>
          <w:iCs/>
        </w:rPr>
        <w:t>Proof.</w:t>
      </w:r>
      <w:r>
        <w:t xml:space="preserve"> The leading coefficient of </w:t>
      </w:r>
      <m:oMath>
        <m:r>
          <w:rPr>
            <w:rFonts w:ascii="Cambria Math" w:hAnsi="Cambria Math"/>
          </w:rPr>
          <m:t>G</m:t>
        </m:r>
      </m:oMath>
      <w:r>
        <w:t xml:space="preserve"> is </w:t>
      </w:r>
      <m:oMath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ρ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, so </w:t>
      </w:r>
      <m:oMath>
        <m:r>
          <w:rPr>
            <w:rFonts w:ascii="Cambria Math" w:hAnsi="Cambria Math"/>
          </w:rPr>
          <m:t>G</m:t>
        </m:r>
        <m:r>
          <m:rPr>
            <m:sty m:val="p"/>
          </m:rPr>
          <w:rPr>
            <w:rFonts w:ascii="Cambria Math" w:hAnsi="Cambria Math"/>
          </w:rPr>
          <m:t>→-∞</m:t>
        </m:r>
      </m:oMath>
      <w:r>
        <w:t xml:space="preserve"> as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→+∞</m:t>
        </m:r>
      </m:oMath>
      <w:r>
        <w:t xml:space="preserve">. At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: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σ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The condition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precisely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By the Intermediate Value Theorem, </w:t>
      </w:r>
      <m:oMath>
        <m:r>
          <w:rPr>
            <w:rFonts w:ascii="Cambria Math" w:hAnsi="Cambria Math"/>
          </w:rPr>
          <m:t>G</m:t>
        </m:r>
      </m:oMath>
      <w:r>
        <w:t xml:space="preserve"> has at least one root in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,+∞</m:t>
            </m:r>
          </m:e>
        </m:d>
      </m:oMath>
      <w:r>
        <w:t xml:space="preserve">. Once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 is found,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 is recovered from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σ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ρ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t>. ◻</w:t>
      </w:r>
    </w:p>
    <w:p w:rsidR="00156611" w:rsidRDefault="009A19A7">
      <w:pPr>
        <w:pStyle w:val="Heading2"/>
      </w:pPr>
      <w:bookmarkStart w:id="9" w:name="coexistence-equilibrium"/>
      <w:bookmarkEnd w:id="8"/>
      <w:r>
        <w:t>Coexistence Equilibrium</w:t>
      </w:r>
    </w:p>
    <w:p w:rsidR="00156611" w:rsidRDefault="009A19A7">
      <w:pPr>
        <w:pStyle w:val="FirstParagraph"/>
      </w:pPr>
      <w:r>
        <w:t xml:space="preserve">For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, the fourth equation of the equilibrium system gives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β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⟹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β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156611" w:rsidRDefault="009A19A7">
      <w:pPr>
        <w:pStyle w:val="FirstParagraph"/>
      </w:pPr>
      <w:r>
        <w:t xml:space="preserve">requiring the predator viability condition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Biological admissibility further requires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i.e.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β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</w:t>
      </w:r>
    </w:p>
    <w:p w:rsidR="00156611" w:rsidRDefault="009A19A7">
      <w:pPr>
        <w:pStyle w:val="BodyText"/>
      </w:pPr>
      <w:r>
        <w:t xml:space="preserve">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β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 xml:space="preserve">. With the identities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β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β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 xml:space="preserve"> and </w:t>
      </w:r>
      <m:oMath>
        <m:r>
          <w:rPr>
            <w:rFonts w:ascii="Cambria Math" w:hAnsi="Cambria Math"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α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</w:rPr>
              <m:t>β</m:t>
            </m:r>
          </m:e>
        </m:d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>, the second equilibrium equation becomes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α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β</m:t>
                  </m:r>
                </m:den>
              </m:f>
            </m:e>
          </m:d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Define </w:t>
      </w:r>
      <m:oMath>
        <m:r>
          <w:rPr>
            <w:rFonts w:ascii="Cambria Math" w:hAnsi="Cambria Math"/>
          </w:rPr>
          <m:t>Γ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t>. Then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</w:rPr>
                <m:t>Δ</m:t>
              </m:r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Substituting (8) into the first equilibrium equation and collecting powers of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 yields the quadratic </w:t>
      </w:r>
      <m:oMath>
        <m:r>
          <m:rPr>
            <m:scr m:val="script"/>
            <m:sty m:val="p"/>
          </m:rPr>
          <w:rPr>
            <w:rFonts w:ascii="Cambria Math" w:hAnsi="Cambria Math"/>
          </w:rPr>
          <m:t>A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  <m:r>
              <w:rPr>
                <w:rFonts w:ascii="Cambria Math" w:hAnsi="Cambria Math"/>
              </w:rPr>
              <m:t>2</m:t>
            </m:r>
          </m:sup>
        </m:sSub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cr m:val="script"/>
            <m:sty m:val="p"/>
          </m:rPr>
          <w:rPr>
            <w:rFonts w:ascii="Cambria Math" w:hAnsi="Cambria Math"/>
          </w:rPr>
          <m:t>-C=</m:t>
        </m:r>
        <m:r>
          <w:rPr>
            <w:rFonts w:ascii="Cambria Math" w:hAnsi="Cambria Math"/>
          </w:rPr>
          <m:t>0</m:t>
        </m:r>
      </m:oMath>
      <w:r>
        <w:t>, where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r>
            <m:rPr>
              <m:scr m:val="script"/>
              <m:sty m:val="p"/>
            </m:rPr>
            <w:rPr>
              <w:rFonts w:ascii="Cambria Math" w:hAnsi="Cambria Math"/>
            </w:rPr>
            <m:t>A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 B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r>
            <m:rPr>
              <m:scr m:val="script"/>
              <m:sty m:val="p"/>
            </m:rPr>
            <w:rPr>
              <w:rFonts w:ascii="Cambria Math" w:hAnsi="Cambria Math"/>
            </w:rPr>
            <m:t>C</m:t>
          </m:r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Δ</m:t>
              </m:r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lastRenderedPageBreak/>
        <w:t xml:space="preserve">When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β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the logistic growth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positive, which implies </w:t>
      </w:r>
      <m:oMath>
        <m:r>
          <m:rPr>
            <m:scr m:val="script"/>
            <m:sty m:val="p"/>
          </m:rPr>
          <w:rPr>
            <w:rFonts w:ascii="Cambria Math" w:hAnsi="Cambria Math"/>
          </w:rPr>
          <m:t>C&gt;</m:t>
        </m:r>
        <m:r>
          <w:rPr>
            <w:rFonts w:ascii="Cambria Math" w:hAnsi="Cambria Math"/>
          </w:rPr>
          <m:t>0</m:t>
        </m:r>
      </m:oMath>
      <w:r>
        <w:t xml:space="preserve"> and hence the discriminant </w:t>
      </w:r>
      <m:oMath>
        <m:r>
          <w:rPr>
            <w:rFonts w:ascii="Cambria Math" w:hAnsi="Cambria Math"/>
          </w:rPr>
          <m:t>D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4</m:t>
        </m:r>
        <m:r>
          <m:rPr>
            <m:scr m:val="script"/>
            <m:sty m:val="p"/>
          </m:rPr>
          <w:rPr>
            <w:rFonts w:ascii="Cambria Math" w:hAnsi="Cambria Math"/>
          </w:rPr>
          <m:t>AC&gt;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. Since the product of the two roots equals </w:t>
      </w:r>
      <m:oMath>
        <m:r>
          <m:rPr>
            <m:scr m:val="script"/>
            <m:sty m:val="p"/>
          </m:rPr>
          <w:rPr>
            <w:rFonts w:ascii="Cambria Math" w:hAnsi="Cambria Math"/>
          </w:rPr>
          <m:t>-C/A&lt;</m:t>
        </m:r>
        <m:r>
          <w:rPr>
            <w:rFonts w:ascii="Cambria Math" w:hAnsi="Cambria Math"/>
          </w:rPr>
          <m:t>0</m:t>
        </m:r>
      </m:oMath>
      <w:r>
        <w:t>, exactly one root is positive: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n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  <m:sup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</m:sup>
          </m:sSubSup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</m:rad>
            </m:num>
            <m:den>
              <m:r>
                <w:rPr>
                  <w:rFonts w:ascii="Cambria Math" w:hAnsi="Cambria Math"/>
                </w:rPr>
                <m:t>2</m:t>
              </m:r>
              <m:r>
                <m:rPr>
                  <m:scr m:val="script"/>
                  <m:sty m:val="p"/>
                </m:rPr>
                <w:rPr>
                  <w:rFonts w:ascii="Cambria Math" w:hAnsi="Cambria Math"/>
                </w:rPr>
                <m:t>A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>The coexistence equilibrium is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  <m:r>
                    <m:rPr>
                      <m:scr m:val="script"/>
                      <m:sty m:val="p"/>
                    </m:rPr>
                    <w:rPr>
                      <w:rFonts w:ascii="Cambria Math" w:hAnsi="Cambria Math"/>
                    </w:rPr>
                    <m:t>A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β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r>
                    <w:rPr>
                      <w:rFonts w:ascii="Cambria Math" w:hAnsi="Cambria Math"/>
                    </w:rPr>
                    <m:t>Δ</m:t>
                  </m:r>
                </m:num>
                <m:den>
                  <m:r>
                    <w:rPr>
                      <w:rFonts w:ascii="Cambria Math" w:hAnsi="Cambria Math"/>
                    </w:rPr>
                    <m:t>Γ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156611" w:rsidRDefault="009A19A7">
      <w:pPr>
        <w:pStyle w:val="FirstParagraph"/>
      </w:pPr>
      <w:r>
        <w:t xml:space="preserve">and is biologically admissible when: (i)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; (ii)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β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; and (iii)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(ensures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).</w:t>
      </w:r>
    </w:p>
    <w:p w:rsidR="00156611" w:rsidRDefault="009A19A7">
      <w:pPr>
        <w:pStyle w:val="Heading1"/>
      </w:pPr>
      <w:bookmarkStart w:id="10" w:name="basic-reproduction-number"/>
      <w:bookmarkEnd w:id="6"/>
      <w:bookmarkEnd w:id="9"/>
      <w:r>
        <w:t>Basic Reproduction Number</w:t>
      </w:r>
    </w:p>
    <w:p w:rsidR="00156611" w:rsidRDefault="009A19A7">
      <w:pPr>
        <w:pStyle w:val="Heading2"/>
      </w:pPr>
      <w:bookmarkStart w:id="11" w:name="X1fa2a12a2cb5a7299a8099a7cf4ad1cf8cbac0e"/>
      <w:r>
        <w:t>Derivation via the Next-Generation Matrix</w:t>
      </w:r>
    </w:p>
    <w:p w:rsidR="00156611" w:rsidRDefault="009A19A7">
      <w:pPr>
        <w:pStyle w:val="FirstParagraph"/>
      </w:pPr>
      <w:r>
        <w:t xml:space="preserve">Linearising the predator subsystem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t xml:space="preserve"> with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β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>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b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b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τ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r>
                  <w:rPr>
                    <w:rFonts w:ascii="Cambria Math" w:hAnsi="Cambria Math"/>
                  </w:rPr>
                  <m:t>b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τ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.</m:t>
                </m:r>
              </m:e>
            </m:mr>
          </m:m>
        </m:oMath>
      </m:oMathPara>
    </w:p>
    <w:p w:rsidR="00156611" w:rsidRDefault="009A19A7">
      <w:pPr>
        <w:pStyle w:val="FirstParagraph"/>
      </w:pPr>
      <w:r>
        <w:t xml:space="preserve">Following van den Driessche and Watmough [13], new individuals enter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at rate </w:t>
      </w:r>
      <m:oMath>
        <m:r>
          <w:rPr>
            <w:rFonts w:ascii="Cambria Math" w:hAnsi="Cambria Math"/>
          </w:rPr>
          <m:t>b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A juvenile born at time </w:t>
      </w:r>
      <m:oMath>
        <m:r>
          <w:rPr>
            <w:rFonts w:ascii="Cambria Math" w:hAnsi="Cambria Math"/>
          </w:rPr>
          <m:t>s</m:t>
        </m:r>
      </m:oMath>
      <w:r>
        <w:t xml:space="preserve"> survives the maturation interval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s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τ</m:t>
            </m:r>
          </m:e>
        </m:d>
      </m:oMath>
      <w:r>
        <w:t xml:space="preserve"> with constant death rate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, reaching adulthood with probability </w:t>
      </w:r>
      <m:oMath>
        <m:r>
          <w:rPr>
            <w:rFonts w:ascii="Cambria Math" w:hAnsi="Cambria Math"/>
          </w:rPr>
          <m:t>Π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τ</m:t>
            </m:r>
          </m:e>
        </m:d>
        <m:r>
          <m:rPr>
            <m:sty m:val="p"/>
          </m:rPr>
          <w:rPr>
            <w:rFonts w:ascii="Cambria Math" w:hAnsi="Cambria Math"/>
          </w:rPr>
          <m:t>=exp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nary>
              <m:naryPr>
                <m:limLoc m:val="subSup"/>
                <m:ctrlPr>
                  <w:rPr>
                    <w:rFonts w:ascii="Cambria Math" w:hAnsi="Cambria Math"/>
                  </w:rPr>
                </m:ctrlPr>
              </m:naryPr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w:rPr>
                    <w:rFonts w:ascii="Cambria Math" w:hAnsi="Cambria Math"/>
                  </w:rPr>
                  <m:t>τ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nary>
            <m:r>
              <w:rPr>
                <w:rFonts w:ascii="Cambria Math" w:hAnsi="Cambria Math"/>
              </w:rPr>
              <m:t> ds</m:t>
            </m:r>
            <m:r>
              <m:rPr>
                <m:sty m:val="p"/>
              </m:rPr>
              <w:rPr>
                <w:rFonts w:ascii="Cambria Math" w:hAnsi="Cambria Math"/>
              </w:rPr>
              <m:t>'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τ</m:t>
            </m:r>
          </m:sup>
        </m:sSup>
      </m:oMath>
      <w:r>
        <w:t>. The matrices are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F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d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τ</m:t>
                        </m:r>
                      </m:sup>
                    </m:sSup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 V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The characteristic polynomial of </w:t>
      </w:r>
      <m:oMath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F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V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sup>
        </m:sSup>
      </m:oMath>
      <w:r>
        <w:t xml:space="preserve"> is </w:t>
      </w:r>
      <m:oMath>
        <m:r>
          <w:rPr>
            <w:rFonts w:ascii="Cambria Math" w:hAnsi="Cambria Math"/>
          </w:rPr>
          <m:t>λ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b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τ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, giving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R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ρ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K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β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sup>
              </m:sSubSup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τ</m:t>
                  </m:r>
                </m:sup>
              </m:sSup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</m:den>
          </m:f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Heading2"/>
      </w:pPr>
      <w:bookmarkStart w:id="12" w:name="biological-interpretation"/>
      <w:bookmarkEnd w:id="11"/>
      <w:r>
        <w:t>Biological Interpretation</w:t>
      </w:r>
    </w:p>
    <w:p w:rsidR="00156611" w:rsidRDefault="009A19A7">
      <w:pPr>
        <w:pStyle w:val="FirstParagraph"/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the product of three factors: (i) the per-capita juvenile production rate </w:t>
      </w:r>
      <m:oMath>
        <m:r>
          <w:rPr>
            <w:rFonts w:ascii="Cambria Math" w:hAnsi="Cambria Math"/>
          </w:rPr>
          <m:t>β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t xml:space="preserve"> under Holling II saturation; (ii) the juvenile survival probability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τ</m:t>
            </m:r>
          </m:sup>
        </m:sSup>
      </m:oMath>
      <w:r>
        <w:t xml:space="preserve">; and (iii) the mean adult lifespan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Since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strictly decreasing in </w:t>
      </w:r>
      <m:oMath>
        <m:r>
          <w:rPr>
            <w:rFonts w:ascii="Cambria Math" w:hAnsi="Cambria Math"/>
          </w:rPr>
          <m:t>τ</m:t>
        </m:r>
      </m:oMath>
      <w:r>
        <w:t>, longer maturation periods reduce predator viability.</w:t>
      </w:r>
    </w:p>
    <w:p w:rsidR="00156611" w:rsidRDefault="009A19A7">
      <w:pPr>
        <w:pStyle w:val="BodyText"/>
      </w:pPr>
      <w:r>
        <w:rPr>
          <w:b/>
          <w:bCs/>
        </w:rPr>
        <w:t>Theorem 3</w:t>
      </w:r>
      <w:r>
        <w:t xml:space="preserve"> (Predator invasion threshold).  </w:t>
      </w:r>
      <w:r>
        <w:rPr>
          <w:i/>
          <w:iCs/>
        </w:rP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i/>
          <w:iCs/>
        </w:rPr>
        <w:t xml:space="preserve"> be as in (15). (i)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rPr>
          <w:i/>
          <w:iCs/>
        </w:rPr>
        <w:t xml:space="preserve">, any small predator perturbation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i/>
          <w:iCs/>
        </w:rPr>
        <w:t xml:space="preserve"> decays. (ii) If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rPr>
          <w:i/>
          <w:iCs/>
        </w:rPr>
        <w:t xml:space="preserve">, the perturbation grows and predators invade. (iii)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rPr>
          <w:i/>
          <w:iCs/>
        </w:rPr>
        <w:t xml:space="preserve"> is the transcritical bifurcation point.</w:t>
      </w:r>
    </w:p>
    <w:p w:rsidR="00156611" w:rsidRDefault="009A19A7">
      <w:pPr>
        <w:pStyle w:val="Heading1"/>
      </w:pPr>
      <w:bookmarkStart w:id="13" w:name="sensitivity-analysis-of-r_0"/>
      <w:bookmarkEnd w:id="10"/>
      <w:bookmarkEnd w:id="12"/>
      <w:r>
        <w:lastRenderedPageBreak/>
        <w:t xml:space="preserve">Sensitivity Analysis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</w:p>
    <w:p w:rsidR="00156611" w:rsidRDefault="009A19A7">
      <w:pPr>
        <w:pStyle w:val="FirstParagraph"/>
      </w:pPr>
      <w:r>
        <w:rPr>
          <w:b/>
          <w:bCs/>
        </w:rPr>
        <w:t>Definition 2</w:t>
      </w:r>
      <w:r>
        <w:t xml:space="preserve"> (Normalised sensitivity index). 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θ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∂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/∂</m:t>
            </m:r>
            <m:r>
              <w:rPr>
                <w:rFonts w:ascii="Cambria Math" w:hAnsi="Cambria Math"/>
              </w:rPr>
              <m:t>θ</m:t>
            </m:r>
          </m:e>
        </m:d>
        <m:r>
          <m:rPr>
            <m:sty m:val="p"/>
          </m:rP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</m:oMath>
      <w:r>
        <w:rPr>
          <w:i/>
          <w:iCs/>
        </w:rPr>
        <w:t>.</w:t>
      </w:r>
    </w:p>
    <w:p w:rsidR="00156611" w:rsidRDefault="009A19A7">
      <w:pPr>
        <w:pStyle w:val="BodyText"/>
      </w:pPr>
      <w:r>
        <w:t>Direct differentiation of (15) yields the indices for the parameters that appear explicitly: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β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p>
          </m:sSubSup>
          <m:r>
            <m:rPr>
              <m:sty m:val="p"/>
            </m:rPr>
            <w:rPr>
              <w:rFonts w:ascii="Cambria Math" w:hAnsi="Cambria Math"/>
            </w:rPr>
            <m:t>=+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156611" w:rsidRDefault="009A19A7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τ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r>
                <w:rPr>
                  <w:rFonts w:ascii="Cambria Math" w:hAnsi="Cambria Math"/>
                </w:rPr>
                <m:t>τ</m:t>
              </m:r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τ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156611" w:rsidRDefault="009A19A7">
      <w:pPr>
        <w:pStyle w:val="FirstParagraph"/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p>
          </m:sSubSup>
          <m:r>
            <m:rPr>
              <m:sty m:val="p"/>
            </m:rPr>
            <w:rPr>
              <w:rFonts w:ascii="Cambria Math" w:hAnsi="Cambria Math"/>
            </w:rPr>
            <m:t>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</w:rPr>
            <m:t>∈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0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bSup>
            <m:sSubSupPr>
              <m:ctrlPr>
                <w:rPr>
                  <w:rFonts w:ascii="Cambria Math" w:hAnsi="Cambria Math"/>
                </w:rPr>
              </m:ctrlPr>
            </m:sSubSupPr>
            <m:e>
              <m:r>
                <w:rPr>
                  <w:rFonts w:ascii="Cambria Math" w:hAnsi="Cambria Math"/>
                </w:rPr>
                <m:t>Υ</m:t>
              </m:r>
            </m:e>
            <m:sub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sup>
              </m:sSubSup>
            </m:sub>
            <m:sup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p>
          </m:sSubSup>
          <m:r>
            <m:rPr>
              <m:sty m:val="p"/>
            </m:rPr>
            <w:rPr>
              <w:rFonts w:ascii="Cambria Math" w:hAnsi="Cambria Math"/>
            </w:rPr>
            <m:t>=+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Sup>
                <m:sSubSupPr>
                  <m:ctrlPr>
                    <w:rPr>
                      <w:rFonts w:ascii="Cambria Math" w:hAnsi="Cambria Math"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*</m:t>
                  </m:r>
                </m:sup>
              </m:sSubSup>
            </m:den>
          </m:f>
          <m:r>
            <m:rPr>
              <m:sty m:val="p"/>
            </m:rPr>
            <w:rPr>
              <w:rFonts w:ascii="Cambria Math" w:hAnsi="Cambria Math"/>
            </w:rPr>
            <m:t>∈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,</m:t>
              </m:r>
              <m:r>
                <w:rPr>
                  <w:rFonts w:ascii="Cambria Math" w:hAnsi="Cambria Math"/>
                </w:rPr>
                <m:t>1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Prey parameters </w:t>
      </w:r>
      <m:oMath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∈{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 act 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through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; their indices are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θ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⋅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θ</m:t>
            </m:r>
          </m:sub>
          <m:sup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sup>
        </m:sSubSup>
      </m:oMath>
      <w:r>
        <w:t xml:space="preserve"> (all positive). The fear coefficient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maximum predation rate </w:t>
      </w:r>
      <m:oMath>
        <m:r>
          <w:rPr>
            <w:rFonts w:ascii="Cambria Math" w:hAnsi="Cambria Math"/>
          </w:rPr>
          <m:t>α</m:t>
        </m:r>
      </m:oMath>
      <w:r>
        <w:t xml:space="preserve"> have zero first-order sensitivity.</w:t>
      </w:r>
    </w:p>
    <w:p w:rsidR="00156611" w:rsidRDefault="009A19A7">
      <w:pPr>
        <w:pStyle w:val="BodyText"/>
      </w:pPr>
      <w:r>
        <w:rPr>
          <w:b/>
          <w:bCs/>
        </w:rPr>
        <w:t>Remark 1</w:t>
      </w:r>
      <w:r>
        <w:t xml:space="preserve">.  </w:t>
      </w:r>
      <w:r>
        <w:rPr>
          <w:i/>
          <w:iCs/>
        </w:rPr>
        <w:t xml:space="preserve">(i)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β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Υ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sub>
              <m:sup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0</m:t>
                    </m:r>
                  </m:sub>
                </m:sSub>
              </m:sup>
            </m:sSubSup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rPr>
          <w:i/>
          <w:iCs/>
        </w:rPr>
        <w:t xml:space="preserve">: these are the primary management parameters. (ii)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r>
              <w:rPr>
                <w:rFonts w:ascii="Cambria Math" w:hAnsi="Cambria Math"/>
              </w:rPr>
              <m:t>τ</m:t>
            </m:r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τ</m:t>
        </m:r>
      </m:oMath>
      <w:r>
        <w:rPr>
          <w:i/>
          <w:iCs/>
        </w:rPr>
        <w:t xml:space="preserve">: both enter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i/>
          <w:iCs/>
        </w:rPr>
        <w:t xml:space="preserve"> only through the product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τ</m:t>
        </m:r>
      </m:oMath>
      <w:r>
        <w:rPr>
          <w:i/>
          <w:iCs/>
        </w:rPr>
        <w:t xml:space="preserve">, the expected juvenile mortality during maturation. (iii)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Υ</m:t>
            </m:r>
          </m:e>
          <m: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sub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i/>
          <w:iCs/>
        </w:rPr>
        <w:t xml:space="preserve">: an equal proportional increase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rPr>
          <w:i/>
          <w:iCs/>
        </w:rPr>
        <w:t xml:space="preserve"> leaves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i/>
          <w:iCs/>
        </w:rPr>
        <w:t xml:space="preserve"> unchanged.</w:t>
      </w:r>
    </w:p>
    <w:p w:rsidR="00156611" w:rsidRDefault="009A19A7">
      <w:pPr>
        <w:pStyle w:val="TableCaption"/>
      </w:pPr>
      <w:r>
        <w:t xml:space="preserve">Normalised sensitivity indices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for System 1, in decreasing order of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Υ</m:t>
            </m:r>
          </m:e>
        </m:d>
      </m:oMath>
      <w:r>
        <w:t>.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1301"/>
        <w:gridCol w:w="3392"/>
        <w:gridCol w:w="2158"/>
        <w:gridCol w:w="655"/>
      </w:tblGrid>
      <w:tr w:rsidR="00156611" w:rsidTr="001566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Parameter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Role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Index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Sign</w:t>
            </w:r>
          </w:p>
        </w:tc>
      </w:tr>
      <w:tr w:rsidR="00156611"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β</m:t>
                </m:r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Conversion efficiency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156611"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Adult predator mortality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</w:tr>
      <w:tr w:rsidR="00156611"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Juvenile predator mortality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τ</m:t>
                </m:r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</w:tr>
      <w:tr w:rsidR="00156611"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τ</m:t>
                </m:r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Maturation delay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</w:rPr>
                  <m:t>τ</m:t>
                </m:r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</w:tr>
      <w:tr w:rsidR="00156611"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Half-saturation constant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</m:e>
                </m:d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</m:oMath>
            </m:oMathPara>
          </w:p>
        </w:tc>
      </w:tr>
      <w:tr w:rsidR="00156611"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Prey density, predation zone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</m:e>
                </m:d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156611"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Prey growth/capacity, zone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positive, chain rule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156611"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Prey growth/capacity, refuge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positive, chain rule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</m:oMath>
            </m:oMathPara>
          </w:p>
        </w:tc>
      </w:tr>
      <w:tr w:rsidR="00156611"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  <m:r>
                  <w:rPr>
                    <w:rFonts w:ascii="Cambria Math" w:hAnsi="Cambria Math"/>
                  </w:rPr>
                  <m:t>α</m:t>
                </m:r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Fear coefficient; predation rate</w:t>
            </w:r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m:oMathPara>
              <m:oMath>
                <m:r>
                  <w:rPr>
                    <w:rFonts w:ascii="Cambria Math" w:hAnsi="Cambria Math"/>
                  </w:rPr>
                  <m:t>0</m:t>
                </m:r>
              </m:oMath>
            </m:oMathPara>
          </w:p>
        </w:tc>
        <w:tc>
          <w:tcPr>
            <w:tcW w:w="0" w:type="auto"/>
          </w:tcPr>
          <w:p w:rsidR="00156611" w:rsidRDefault="009A19A7">
            <w:pPr>
              <w:pStyle w:val="Compact"/>
            </w:pPr>
            <w:r>
              <w:t>—</w:t>
            </w:r>
          </w:p>
        </w:tc>
      </w:tr>
    </w:tbl>
    <w:p w:rsidR="00156611" w:rsidRDefault="009A19A7">
      <w:pPr>
        <w:pStyle w:val="Heading1"/>
      </w:pPr>
      <w:bookmarkStart w:id="14" w:name="local-stability-analysis"/>
      <w:bookmarkEnd w:id="13"/>
      <w:r>
        <w:t>Local Stability Analysis</w:t>
      </w:r>
    </w:p>
    <w:p w:rsidR="00156611" w:rsidRDefault="009A19A7">
      <w:pPr>
        <w:pStyle w:val="FirstParagraph"/>
      </w:pPr>
      <w:r>
        <w:t xml:space="preserve">For the DDE system linearised about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, solutions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λt</m:t>
            </m:r>
          </m:sup>
        </m:sSup>
        <m:r>
          <w:rPr>
            <w:rFonts w:ascii="Cambria Math" w:hAnsi="Cambria Math"/>
          </w:rPr>
          <m:t>v</m:t>
        </m:r>
      </m:oMath>
      <w:r>
        <w:t xml:space="preserve"> exist when 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λI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J</m:t>
                </m:r>
              </m:e>
              <m:sub>
                <m:r>
                  <w:rPr>
                    <w:rFonts w:ascii="Cambria Math" w:hAnsi="Cambria Math"/>
                  </w:rPr>
                  <m:t>τ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λτ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, where </w:t>
      </w:r>
      <m:oMath>
        <m:r>
          <w:rPr>
            <w:rFonts w:ascii="Cambria Math" w:hAnsi="Cambria Math"/>
          </w:rPr>
          <m:t>J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p>
          </m:e>
        </m:d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p>
          </m:e>
        </m:d>
      </m:oMath>
      <w:r>
        <w:t xml:space="preserve">. Since the only delayed term in System (1) 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τ</m:t>
            </m:r>
          </m:e>
        </m:d>
      </m:oMath>
      <w:r>
        <w:t xml:space="preserve">, appearing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, the matrix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</m:oMath>
      <w:r>
        <w:t xml:space="preserve"> has non-zero entries only in column 4, with </w:t>
      </w:r>
      <m:oMath>
        <m:r>
          <w:rPr>
            <w:rFonts w:ascii="Cambria Math" w:hAnsi="Cambria Math"/>
          </w:rPr>
          <m:t>b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β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den>
        </m:f>
      </m:oMath>
      <w:r>
        <w:t>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τ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β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den>
                    </m:f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156611" w:rsidRDefault="009A19A7">
      <w:pPr>
        <w:pStyle w:val="FirstParagraph"/>
      </w:pPr>
      <w:r>
        <w:t xml:space="preserve">where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 takes the value at the equilibrium under consideration.</w:t>
      </w:r>
    </w:p>
    <w:p w:rsidR="00156611" w:rsidRDefault="009A19A7">
      <w:pPr>
        <w:pStyle w:val="Heading2"/>
      </w:pPr>
      <w:bookmarkStart w:id="15" w:name="stability-of-e_0"/>
      <w:r>
        <w:t xml:space="preserve">Stability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</m:oMath>
    </w:p>
    <w:p w:rsidR="00156611" w:rsidRDefault="009A19A7">
      <w:pPr>
        <w:pStyle w:val="FirstParagraph"/>
      </w:pPr>
      <w:r>
        <w:t xml:space="preserve">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t xml:space="preserve"> all state variables vanish, so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>. The current-time Jacobian reduces to: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J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The characteristic equation factors immediately: the predator block yields eigenvalues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 and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, while the prey block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e>
              </m:mr>
            </m:m>
          </m:e>
        </m:d>
      </m:oMath>
      <w:r>
        <w:t xml:space="preserve"> contributes two eigenvalues with 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>
        <w:t>.</w:t>
      </w:r>
    </w:p>
    <w:p w:rsidR="00156611" w:rsidRDefault="009A19A7">
      <w:pPr>
        <w:pStyle w:val="BodyText"/>
      </w:pPr>
      <w:r>
        <w:rPr>
          <w:b/>
          <w:bCs/>
        </w:rPr>
        <w:t>Theorem 4</w:t>
      </w:r>
      <w:r>
        <w:t xml:space="preserve"> (Local stability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).  </w:t>
      </w:r>
      <w:r>
        <w:rPr>
          <w:i/>
          <w:iCs/>
        </w:rPr>
        <w:t xml:space="preserve">The trivial equilibrium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rPr>
          <w:i/>
          <w:iCs/>
        </w:rPr>
        <w:t xml:space="preserve"> is unstable whenever </w:t>
      </w:r>
      <m:oMath>
        <m:r>
          <m:rPr>
            <m:sty m:val="p"/>
          </m:rPr>
          <w:rPr>
            <w:rFonts w:ascii="Cambria Math" w:hAnsi="Cambria Math"/>
          </w:rPr>
          <m:t>max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i/>
          <w:iCs/>
        </w:rPr>
        <w:t xml:space="preserve">. In particular, under the existence condition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i/>
          <w:iCs/>
        </w:rPr>
        <w:t xml:space="preserve">, the prey block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i/>
          <w:iCs/>
        </w:rPr>
        <w:t xml:space="preserve"> has negative determinant, so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i/>
          <w:iCs/>
        </w:rPr>
        <w:t xml:space="preserve"> is a saddle point.</w:t>
      </w:r>
    </w:p>
    <w:p w:rsidR="00156611" w:rsidRDefault="009A19A7">
      <w:pPr>
        <w:pStyle w:val="BodyText"/>
      </w:pPr>
      <w:r>
        <w:rPr>
          <w:i/>
          <w:iCs/>
        </w:rPr>
        <w:t>Proof.</w:t>
      </w:r>
      <w:r>
        <w:t xml:space="preserve"> Since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, the predator eigenvalues </w:t>
      </w:r>
      <m:oMath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are always negative. The eigenvalues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are </w:t>
      </w:r>
      <m:oMath>
        <m:r>
          <m:rPr>
            <m:sty m:val="p"/>
          </m:rPr>
          <w:rPr>
            <w:rFonts w:ascii="Cambria Math" w:hAnsi="Cambria Math"/>
          </w:rPr>
          <m:t>max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</w:t>
      </w:r>
      <m:oMath>
        <m:r>
          <m:rPr>
            <m:sty m:val="p"/>
          </m:rPr>
          <w:rPr>
            <w:rFonts w:ascii="Cambria Math" w:hAnsi="Cambria Math"/>
          </w:rPr>
          <m:t>min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Whenever </w:t>
      </w:r>
      <m:oMath>
        <m:r>
          <m:rPr>
            <m:sty m:val="p"/>
          </m:rPr>
          <w:rPr>
            <w:rFonts w:ascii="Cambria Math" w:hAnsi="Cambria Math"/>
          </w:rPr>
          <m:t>max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the larger eigenvalue is positive, so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is unstable. Under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</w:t>
      </w:r>
      <m:oMath>
        <m:r>
          <m:rPr>
            <m:sty m:val="p"/>
          </m:rPr>
          <w:rPr>
            <w:rFonts w:ascii="Cambria Math" w:hAnsi="Cambria Math"/>
          </w:rPr>
          <m:t>det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>, confirming eigenvalues of opposite sign and a saddle structure. Biologically, total extinction is unstable whenever intrinsic prey growth exceeds the migration drain. ◻</w:t>
      </w:r>
    </w:p>
    <w:p w:rsidR="00156611" w:rsidRDefault="009A19A7">
      <w:pPr>
        <w:pStyle w:val="Heading2"/>
      </w:pPr>
      <w:bookmarkStart w:id="16" w:name="stability-of-e_1"/>
      <w:bookmarkEnd w:id="15"/>
      <w:r>
        <w:t xml:space="preserve">Stability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</m:oMath>
    </w:p>
    <w:p w:rsidR="00156611" w:rsidRDefault="009A19A7">
      <w:pPr>
        <w:pStyle w:val="FirstParagraph"/>
      </w:pPr>
      <w:r>
        <w:rPr>
          <w:b/>
          <w:bCs/>
        </w:rPr>
        <w:t>Theorem 5</w:t>
      </w:r>
      <w:r>
        <w:t xml:space="preserve"> (Local stability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).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0</m:t>
            </m:r>
          </m:e>
        </m:d>
      </m:oMath>
      <w:r>
        <w:rPr>
          <w:i/>
          <w:iCs/>
        </w:rPr>
        <w:t xml:space="preserve"> is locally asymptotically stable if and only if (S1)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rPr>
          <w:i/>
          <w:iCs/>
        </w:rPr>
        <w:t xml:space="preserve">; (S2)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i/>
          <w:iCs/>
        </w:rPr>
        <w:t xml:space="preserve">; (S3) </w:t>
      </w:r>
      <m:oMath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2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rPr>
          <w:i/>
          <w:iCs/>
        </w:rPr>
        <w:t>.</w:t>
      </w:r>
    </w:p>
    <w:p w:rsidR="00156611" w:rsidRDefault="009A19A7">
      <w:pPr>
        <w:pStyle w:val="BodyText"/>
      </w:pPr>
      <w:r>
        <w:rPr>
          <w:i/>
          <w:iCs/>
        </w:rPr>
        <w:t>Proof.</w:t>
      </w:r>
      <w:r>
        <w:t xml:space="preserve"> Set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. The current-time and delayed Jacobians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are: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J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τ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lastRenderedPageBreak/>
        <w:t xml:space="preserve">The characteristic matrix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λI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J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λτ</m:t>
            </m:r>
          </m:sup>
        </m:sSup>
      </m:oMath>
      <w:r>
        <w:t xml:space="preserve"> is: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0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α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den>
                    </m:f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λτ</m:t>
                            </m:r>
                          </m:sup>
                        </m:sSup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r>
                      <w:rPr>
                        <w:rFonts w:ascii="Cambria Math" w:hAnsi="Cambria Math"/>
                      </w:rPr>
                      <m:t>b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λτ</m:t>
                        </m:r>
                      </m:sup>
                    </m:sSup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Expanding </w:t>
      </w:r>
      <m:oMath>
        <m:r>
          <m:rPr>
            <m:sty m:val="p"/>
          </m:rPr>
          <w:rPr>
            <w:rFonts w:ascii="Cambria Math" w:hAnsi="Cambria Math"/>
          </w:rPr>
          <m:t>det</m:t>
        </m:r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>
        <w:t xml:space="preserve"> along column 3, the characteristic equation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factors as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b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λτ</m:t>
                  </m:r>
                </m:sup>
              </m:sSup>
            </m:e>
          </m:d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λ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bSup>
                </m:e>
              </m:d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Factor 1 gives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. All roots of the factor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b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λτ</m:t>
            </m:r>
          </m:sup>
        </m:sSup>
      </m:oMath>
      <w:r>
        <w:t xml:space="preserve"> lie in the left half-plane iff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which is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 (condition S1). The quadratic factor satisfies Routh-Hurwitz iff trace </w:t>
      </w:r>
      <m:oMath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t xml:space="preserve"> (condition S2) and determinant </w:t>
      </w:r>
      <m:oMath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 (condition S3). ◻</w:t>
      </w:r>
    </w:p>
    <w:p w:rsidR="00156611" w:rsidRDefault="009A19A7">
      <w:pPr>
        <w:pStyle w:val="Heading2"/>
      </w:pPr>
      <w:bookmarkStart w:id="17" w:name="stability-of-e_2"/>
      <w:bookmarkEnd w:id="16"/>
      <w:r>
        <w:t xml:space="preserve">Stability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E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sub>
        </m:sSub>
      </m:oMath>
    </w:p>
    <w:p w:rsidR="00156611" w:rsidRDefault="009A19A7">
      <w:pPr>
        <w:pStyle w:val="FirstParagraph"/>
      </w:pPr>
      <w:r>
        <w:t xml:space="preserve">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the equilibrium identity </w:t>
      </w:r>
      <m:oMath>
        <m:r>
          <w:rPr>
            <w:rFonts w:ascii="Cambria Math" w:hAnsi="Cambria Math"/>
          </w:rPr>
          <m:t>β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holds, so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The Jacobian entries are: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14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24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α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β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42</m:t>
            </m:r>
          </m:sub>
        </m:sSub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r>
          <w:rPr>
            <w:rFonts w:ascii="Cambria Math" w:hAnsi="Cambria Math"/>
          </w:rPr>
          <m:t>β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The current-time and delayed Jacobians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are: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J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14</m:t>
                        </m:r>
                      </m:sub>
                    </m:sSub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24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J</m:t>
              </m:r>
            </m:e>
            <m:sub>
              <m:r>
                <w:rPr>
                  <w:rFonts w:ascii="Cambria Math" w:hAnsi="Cambria Math"/>
                </w:rPr>
                <m:t>τ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</w:rPr>
                <m:t>|</m:t>
              </m:r>
            </m:e>
            <m:sub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The characteristic matrix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λI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J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τ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E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λτ</m:t>
            </m:r>
          </m:sup>
        </m:sSup>
      </m:oMath>
      <w:r>
        <w:t xml:space="preserve"> is: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M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4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14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24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e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</w:rPr>
                              <m:t>λτ</m:t>
                            </m:r>
                          </m:sup>
                        </m:sSup>
                      </m:e>
                    </m:d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λτ</m:t>
                        </m:r>
                      </m:sup>
                    </m:sSup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Expanding along column 3 gives </w:t>
      </w:r>
      <m:oMath>
        <m:r>
          <m:rPr>
            <m:sty m:val="p"/>
          </m:rPr>
          <w:rPr>
            <w:rFonts w:ascii="Cambria Math" w:hAnsi="Cambria Math"/>
          </w:rPr>
          <m:t>det</m:t>
        </m:r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⋅det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>
        <w:t>, where: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M</m:t>
              </m:r>
            </m:e>
            <m:sub>
              <m:r>
                <w:rPr>
                  <w:rFonts w:ascii="Cambria Math" w:hAnsi="Cambria Math"/>
                </w:rPr>
                <m:t>33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λ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11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14</m:t>
                        </m:r>
                      </m:sub>
                    </m:sSub>
                  </m:e>
                </m:m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21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22</m:t>
                        </m:r>
                      </m:sub>
                    </m:sSub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24</m:t>
                        </m:r>
                      </m:sub>
                    </m:sSub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b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42</m:t>
                        </m:r>
                      </m:sub>
                    </m:sSub>
                  </m:e>
                  <m:e>
                    <m:r>
                      <w:rPr>
                        <w:rFonts w:ascii="Cambria Math" w:hAnsi="Cambria Math"/>
                      </w:rPr>
                      <m:t>λ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e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</w:rPr>
                          <m:t>λτ</m:t>
                        </m:r>
                      </m:sup>
                    </m:sSup>
                  </m:e>
                </m:mr>
              </m:m>
            </m:e>
          </m:d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rPr>
          <w:b/>
          <w:bCs/>
        </w:rPr>
        <w:t>Theorem 6</w:t>
      </w:r>
      <w:r>
        <w:t xml:space="preserve"> (Local stability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).  </w:t>
      </w:r>
      <w:r>
        <w:rPr>
          <w:i/>
          <w:iCs/>
        </w:rPr>
        <w:t xml:space="preserve">Assume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rPr>
          <w:i/>
          <w:iCs/>
        </w:rPr>
        <w:t xml:space="preserve"> so that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exists. (i) At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rPr>
          <w:i/>
          <w:iCs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is locally asymptotically stable iff the Routh-Hurwitz conditions</w:t>
      </w:r>
    </w:p>
    <w:p w:rsidR="00156611" w:rsidRDefault="009A19A7">
      <w:pPr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0</m:t>
        </m:r>
      </m:oMath>
      <w:r>
        <w:rPr>
          <w:i/>
          <w:iCs/>
        </w:rPr>
        <w:t>,</w:t>
      </w:r>
    </w:p>
    <w:p w:rsidR="00156611" w:rsidRDefault="009A19A7">
      <w:pPr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42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24</m:t>
            </m:r>
          </m:sub>
        </m:sSub>
      </m:oMath>
      <w:r>
        <w:rPr>
          <w:i/>
          <w:iCs/>
        </w:rPr>
        <w:t>,</w:t>
      </w:r>
    </w:p>
    <w:p w:rsidR="00156611" w:rsidRDefault="009A19A7">
      <w:pPr>
        <w:numPr>
          <w:ilvl w:val="0"/>
          <w:numId w:val="3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42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24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14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21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rPr>
          <w:i/>
          <w:iCs/>
        </w:rPr>
        <w:t>,</w:t>
      </w:r>
    </w:p>
    <w:p w:rsidR="00156611" w:rsidRDefault="009A19A7">
      <w:pPr>
        <w:numPr>
          <w:ilvl w:val="0"/>
          <w:numId w:val="3"/>
        </w:numPr>
      </w:pPr>
      <m:oMath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22</m:t>
                </m:r>
              </m:sub>
            </m:sSub>
          </m:e>
        </m:d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42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24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42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24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14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21</m:t>
                </m:r>
              </m:sub>
            </m:sSub>
          </m:e>
        </m:d>
      </m:oMath>
    </w:p>
    <w:p w:rsidR="00156611" w:rsidRDefault="009A19A7">
      <w:pPr>
        <w:pStyle w:val="FirstParagraph"/>
      </w:pPr>
      <w:r>
        <w:rPr>
          <w:i/>
          <w:iCs/>
        </w:rPr>
        <w:t xml:space="preserve">hold simultaneously. (ii) For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∈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H</m:t>
                </m:r>
              </m:sub>
            </m:sSub>
          </m:e>
        </m:d>
      </m:oMath>
      <w:r>
        <w:rPr>
          <w:i/>
          <w:iCs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remains locally asymptotically stable under (H1)–(H4). (iii) At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>
        <w:rPr>
          <w:i/>
          <w:iCs/>
        </w:rPr>
        <w:t xml:space="preserve"> a Hopf bifurcation occurs; for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>
        <w:rPr>
          <w:i/>
          <w:iCs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is unstable.</w:t>
      </w:r>
    </w:p>
    <w:p w:rsidR="00156611" w:rsidRDefault="009A19A7">
      <w:pPr>
        <w:pStyle w:val="BodyText"/>
      </w:pPr>
      <w:r>
        <w:rPr>
          <w:i/>
          <w:iCs/>
        </w:rPr>
        <w:t>Proof.</w:t>
      </w:r>
      <w:r>
        <w:t xml:space="preserve"> Expanding </w:t>
      </w:r>
      <m:oMath>
        <m:r>
          <m:rPr>
            <m:sty m:val="p"/>
          </m:rPr>
          <w:rPr>
            <w:rFonts w:ascii="Cambria Math" w:hAnsi="Cambria Math"/>
          </w:rPr>
          <m:t>det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33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</m:oMath>
      <w:r>
        <w:t xml:space="preserve"> along its last row gives </w:t>
      </w:r>
      <m:oMath>
        <m:r>
          <m:rPr>
            <m:sty m:val="p"/>
          </m:rPr>
          <w:rPr>
            <w:rFonts w:ascii="Cambria Math" w:hAnsi="Cambria Math"/>
          </w:rPr>
          <m:t>det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33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λτ</m:t>
                </m:r>
              </m:sup>
            </m:sSup>
          </m:e>
        </m:d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42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24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λ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11</m:t>
                    </m:r>
                  </m:sub>
                </m:sSub>
              </m:e>
            </m:d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14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21</m:t>
                </m:r>
              </m:sub>
            </m:sSub>
          </m:e>
        </m:d>
      </m:oMath>
      <w:r>
        <w:t xml:space="preserve">, where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λ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22</m:t>
                </m:r>
              </m:sub>
            </m:sSub>
          </m:e>
        </m:d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+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12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21</m:t>
                </m:r>
              </m:sub>
            </m:sSub>
          </m:e>
        </m:d>
      </m:oMath>
      <w:r>
        <w:t xml:space="preserve">. At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this reduces to the cubic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T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λ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Qλ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R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with </w:t>
      </w:r>
      <m:oMath>
        <m:r>
          <w:rPr>
            <w:rFonts w:ascii="Cambria Math" w:hAnsi="Cambria Math"/>
          </w:rPr>
          <m:t>T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Q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  <m:r>
          <m:rPr>
            <m:sty m:val="p"/>
          </m:rP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42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24</m:t>
            </m:r>
          </m:sub>
        </m:sSub>
      </m:oMath>
      <w:r>
        <w:t xml:space="preserve">, </w:t>
      </w:r>
      <m:oMath>
        <m:r>
          <w:rPr>
            <w:rFonts w:ascii="Cambria Math" w:hAnsi="Cambria Math"/>
          </w:rPr>
          <m:t>R</m:t>
        </m:r>
        <m:box>
          <m:boxPr>
            <m:opEmu m:val="1"/>
            <m:ctrlPr>
              <w:rPr>
                <w:rFonts w:ascii="Cambria Math" w:hAnsi="Cambria Math"/>
              </w:rPr>
            </m:ctrlPr>
          </m:boxPr>
          <m:e>
            <m:r>
              <m:rPr>
                <m:sty m:val="p"/>
              </m:rPr>
              <w:rPr>
                <w:rFonts w:ascii="Cambria Math" w:hAnsi="Cambria Math"/>
              </w:rPr>
              <m:t>:=</m:t>
            </m:r>
          </m:e>
        </m:box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b</m:t>
            </m:r>
          </m:e>
          <m:sub>
            <m:r>
              <w:rPr>
                <w:rFonts w:ascii="Cambria Math" w:hAnsi="Cambria Math"/>
              </w:rPr>
              <m:t>42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24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14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b</m:t>
                </m:r>
              </m:e>
              <m:sub>
                <m:r>
                  <w:rPr>
                    <w:rFonts w:ascii="Cambria Math" w:hAnsi="Cambria Math"/>
                  </w:rPr>
                  <m:t>21</m:t>
                </m:r>
              </m:sub>
            </m:sSub>
          </m:e>
        </m:d>
      </m:oMath>
      <w:r>
        <w:t xml:space="preserve">. The Routh-Hurwitz criterion for the cubic gives conditions (H1)–(H4). Continuity of eigenvalues in </w:t>
      </w:r>
      <m:oMath>
        <m:r>
          <w:rPr>
            <w:rFonts w:ascii="Cambria Math" w:hAnsi="Cambria Math"/>
          </w:rPr>
          <m:t>τ</m:t>
        </m:r>
      </m:oMath>
      <w:r>
        <w:t xml:space="preserve"> gives part (ii); the first imaginary-axis crossing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H</m:t>
            </m:r>
          </m:sub>
        </m:sSub>
      </m:oMath>
      <w:r>
        <w:t xml:space="preserve"> gives part (iii). ◻</w:t>
      </w:r>
    </w:p>
    <w:p w:rsidR="00156611" w:rsidRDefault="009A19A7">
      <w:pPr>
        <w:pStyle w:val="Heading1"/>
      </w:pPr>
      <w:bookmarkStart w:id="18" w:name="global-stability-analysis"/>
      <w:bookmarkEnd w:id="14"/>
      <w:bookmarkEnd w:id="17"/>
      <w:r>
        <w:t>Global Stability Analysis</w:t>
      </w:r>
    </w:p>
    <w:p w:rsidR="00156611" w:rsidRDefault="009A19A7">
      <w:pPr>
        <w:pStyle w:val="FirstParagraph"/>
      </w:pPr>
      <w:r>
        <w:rPr>
          <w:b/>
          <w:bCs/>
        </w:rPr>
        <w:t>Theorem 7</w:t>
      </w:r>
      <w:r>
        <w:t xml:space="preserve"> (Global stability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). 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i/>
          <w:iCs/>
        </w:rPr>
        <w:t xml:space="preserve"> is globally asymptotically stable in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</m:oMath>
      <w:r>
        <w:rPr>
          <w:i/>
          <w:iCs/>
        </w:rPr>
        <w:t xml:space="preserve"> provided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rPr>
          <w:i/>
          <w:iCs/>
        </w:rPr>
        <w:t xml:space="preserve">, conditions (S2)–(S3) hold, and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rPr>
          <w:i/>
          <w:iCs/>
        </w:rPr>
        <w:t>.</w:t>
      </w:r>
    </w:p>
    <w:p w:rsidR="00156611" w:rsidRDefault="009A19A7">
      <w:pPr>
        <w:pStyle w:val="BodyText"/>
      </w:pPr>
      <w:r>
        <w:rPr>
          <w:i/>
          <w:iCs/>
        </w:rPr>
        <w:t>Proof.</w:t>
      </w:r>
      <w:r>
        <w:t xml:space="preserve"> Define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τ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β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den>
              </m:f>
            </m:e>
          </m:nary>
          <m:r>
            <w:rPr>
              <w:rFonts w:ascii="Cambria Math" w:hAnsi="Cambria Math"/>
            </w:rPr>
            <m:t> ds</m:t>
          </m:r>
          <m:r>
            <m:rPr>
              <m:sty m:val="p"/>
            </m:rPr>
            <w:rPr>
              <w:rFonts w:ascii="Cambria Math" w:hAnsi="Cambria Math"/>
            </w:rPr>
            <m:t>.</m:t>
          </m:r>
        </m:oMath>
      </m:oMathPara>
    </w:p>
    <w:p w:rsidR="00156611" w:rsidRDefault="009A19A7">
      <w:pPr>
        <w:pStyle w:val="FirstParagraph"/>
      </w:pPr>
      <w:r>
        <w:t xml:space="preserve">The integral term cancels the delayed terms in </w:t>
      </w:r>
      <m:oMath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</m:oMath>
      <w:r>
        <w:t xml:space="preserve"> arising from the predator equations. Under (S2)–(S3) the prey contribution is negative definite. Using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 and the inequality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≤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ε</m:t>
        </m:r>
      </m:oMath>
      <w:r>
        <w:t xml:space="preserve"> near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>: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acc>
            <m:accPr>
              <m:chr m:val="̇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V</m:t>
              </m:r>
            </m:e>
          </m:acc>
          <m:r>
            <m:rPr>
              <m:sty m:val="p"/>
            </m:rPr>
            <w:rPr>
              <w:rFonts w:ascii="Cambria Math" w:hAnsi="Cambria Math"/>
            </w:rPr>
            <m:t>≤-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δ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≤</m:t>
          </m:r>
          <m:r>
            <w:rPr>
              <w:rFonts w:ascii="Cambria Math" w:hAnsi="Cambria Math"/>
            </w:rPr>
            <m:t>0</m:t>
          </m:r>
        </m:oMath>
      </m:oMathPara>
    </w:p>
    <w:p w:rsidR="00156611" w:rsidRDefault="009A19A7">
      <w:pPr>
        <w:pStyle w:val="FirstParagraph"/>
      </w:pPr>
      <w:r>
        <w:t xml:space="preserve">for some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λ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δ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. LaSalle’s invariance principle [14] gives convergence to </w:t>
      </w:r>
      <m:oMath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>. ◻</w:t>
      </w:r>
    </w:p>
    <w:p w:rsidR="00156611" w:rsidRDefault="009A19A7">
      <w:pPr>
        <w:pStyle w:val="BodyText"/>
      </w:pPr>
      <w:r>
        <w:rPr>
          <w:b/>
          <w:bCs/>
        </w:rPr>
        <w:t>Theorem 8</w:t>
      </w:r>
      <w:r>
        <w:t xml:space="preserve"> (Global stability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).  </w:t>
      </w:r>
      <w:r>
        <w:rPr>
          <w:i/>
          <w:iCs/>
        </w:rPr>
        <w:t xml:space="preserve">Let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rPr>
          <w:i/>
          <w:iCs/>
        </w:rPr>
        <w:t xml:space="preserve">.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is globally asymptotically stable in the interior of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m:rPr>
                <m:scr m:val="double-struck"/>
                <m:sty m:val="p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+</m:t>
            </m:r>
          </m:sub>
          <m:sup>
            <m:r>
              <w:rPr>
                <w:rFonts w:ascii="Cambria Math" w:hAnsi="Cambria Math"/>
              </w:rPr>
              <m:t>4</m:t>
            </m:r>
          </m:sup>
        </m:sSubSup>
      </m:oMath>
      <w:r>
        <w:rPr>
          <w:i/>
          <w:iCs/>
        </w:rPr>
        <w:t xml:space="preserve"> provided: (i)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β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; (ii)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&gt;max{</m:t>
        </m:r>
        <m:r>
          <w:rPr>
            <w:rFonts w:ascii="Cambria Math" w:hAnsi="Cambria Math"/>
          </w:rPr>
          <m:t>α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/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/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}</m:t>
        </m:r>
      </m:oMath>
      <w:r>
        <w:rPr>
          <w:i/>
          <w:iCs/>
        </w:rPr>
        <w:t xml:space="preserve">; (iii)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  <m:r>
          <m:rPr>
            <m:sty m:val="p"/>
          </m:rPr>
          <w:rPr>
            <w:rFonts w:ascii="Cambria Math" w:hAnsi="Cambria Math"/>
          </w:rPr>
          <m:t>=min{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β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  <w:r>
        <w:rPr>
          <w:i/>
          <w:iCs/>
        </w:rPr>
        <w:t xml:space="preserve">; (iv)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α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</m:e>
            </m:d>
          </m:e>
        </m:d>
      </m:oMath>
      <w:r>
        <w:rPr>
          <w:i/>
          <w:iCs/>
        </w:rPr>
        <w:t>.</w:t>
      </w:r>
    </w:p>
    <w:p w:rsidR="00156611" w:rsidRDefault="009A19A7">
      <w:pPr>
        <w:pStyle w:val="BodyText"/>
      </w:pPr>
      <w:r>
        <w:rPr>
          <w:i/>
          <w:iCs/>
        </w:rPr>
        <w:t>Proof.</w:t>
      </w:r>
      <w:r>
        <w:t xml:space="preserve"> Define the Lyapunov-Krasovskii functional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m>
            <m:mPr>
              <m:plcHide m:val="1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</w:rPr>
              </m:ctrlPr>
            </m:mPr>
            <m:mr>
              <m:e>
                <m:r>
                  <w:rPr>
                    <w:rFonts w:ascii="Cambria Math" w:hAnsi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</m:e>
              <m:e>
                <m:r>
                  <w:rPr>
                    <w:rFonts w:ascii="Cambria Math" w:hAnsi="Cambria Math"/>
                  </w:rPr>
                  <m:t> 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n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den>
                    </m:f>
                  </m:e>
                </m:d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*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ln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Sup>
                          <m:sSub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*</m:t>
                            </m:r>
                          </m:sup>
                        </m:sSubSup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e>
            </m:mr>
          </m:m>
        </m:oMath>
      </m:oMathPara>
    </w:p>
    <w:p w:rsidR="00156611" w:rsidRDefault="009A19A7">
      <w:pPr>
        <w:pStyle w:val="FirstParagraph"/>
      </w:pPr>
      <w:r>
        <w:t>where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nary>
            <m:naryPr>
              <m:limLoc m:val="subSup"/>
              <m:ctrlPr>
                <w:rPr>
                  <w:rFonts w:ascii="Cambria Math" w:hAnsi="Cambria Math"/>
                </w:rPr>
              </m:ctrlPr>
            </m:naryPr>
            <m:sub>
              <m:r>
                <w:rPr>
                  <w:rFonts w:ascii="Cambria Math" w:hAnsi="Cambria Math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τ</m:t>
              </m:r>
            </m:sub>
            <m:sup>
              <m:r>
                <w:rPr>
                  <w:rFonts w:ascii="Cambria Math" w:hAnsi="Cambria Math"/>
                </w:rPr>
                <m:t>t</m:t>
              </m:r>
            </m:sup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β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β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β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ln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β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*</m:t>
                              </m:r>
                            </m:sup>
                          </m:sSubSup>
                        </m:e>
                      </m:d>
                    </m:num>
                    <m:den>
                      <m:r>
                        <w:rPr>
                          <w:rFonts w:ascii="Cambria Math" w:hAnsi="Cambria Math"/>
                        </w:rPr>
                        <m:t>β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n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den>
                  </m:f>
                </m:e>
              </m:d>
            </m:e>
          </m:nary>
          <m:r>
            <w:rPr>
              <w:rFonts w:ascii="Cambria Math" w:hAnsi="Cambria Math"/>
            </w:rPr>
            <m:t>ds</m:t>
          </m:r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156611" w:rsidRDefault="009A19A7">
      <w:pPr>
        <w:pStyle w:val="FirstParagraph"/>
      </w:pPr>
      <w:r>
        <w:t xml:space="preserve">with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α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β</m:t>
        </m:r>
      </m:oMath>
      <w:r>
        <w:t xml:space="preserve">. The derivative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cancels all delayed terms in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</w:rPr>
                </m:ctrlPr>
              </m:accPr>
              <m:e>
                <m:r>
                  <w:rPr>
                    <w:rFonts w:ascii="Cambria Math" w:hAnsi="Cambria Math"/>
                  </w:rPr>
                  <m:t>V</m:t>
                </m:r>
              </m:e>
            </m:acc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. Under the stated conditions, </w:t>
      </w:r>
      <m:oMath>
        <m:acc>
          <m:accPr>
            <m:chr m:val="̇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V</m:t>
            </m:r>
          </m:e>
        </m:acc>
        <m:r>
          <m:rPr>
            <m:sty m:val="p"/>
          </m:rPr>
          <w:rPr>
            <w:rFonts w:ascii="Cambria Math" w:hAnsi="Cambria Math"/>
          </w:rPr>
          <m:t>≤-</m:t>
        </m:r>
        <m:r>
          <w:rPr>
            <w:rFonts w:ascii="Cambria Math" w:hAnsi="Cambria Math"/>
          </w:rPr>
          <m:t>W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≤</m:t>
        </m:r>
        <m:r>
          <w:rPr>
            <w:rFonts w:ascii="Cambria Math" w:hAnsi="Cambria Math"/>
          </w:rPr>
          <m:t>0</m:t>
        </m:r>
      </m:oMath>
      <w:r>
        <w:t xml:space="preserve"> where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W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4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/>
                        </w:rPr>
                      </m:ctrlPr>
                    </m:sSubSupPr>
                    <m:e>
                      <m:r>
                        <w:rPr>
                          <w:rFonts w:ascii="Cambria Math" w:hAnsi="Cambria Math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*</m:t>
                      </m:r>
                    </m:sup>
                  </m:sSubSup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</w:rPr>
                      </m:ctrlPr>
                    </m:fPr>
                    <m:num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*</m:t>
                          </m:r>
                        </m:sup>
                      </m:sSubSup>
                    </m:den>
                  </m:f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56611" w:rsidRDefault="009A19A7">
      <w:pPr>
        <w:pStyle w:val="FirstParagraph"/>
      </w:pPr>
      <w:r>
        <w:t xml:space="preserve">is positive definite. LaSalle’s principle [14] gives convergence to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>. ◻</w:t>
      </w:r>
    </w:p>
    <w:p w:rsidR="00156611" w:rsidRDefault="009A19A7">
      <w:pPr>
        <w:pStyle w:val="Heading1"/>
      </w:pPr>
      <w:bookmarkStart w:id="19" w:name="bifurcation-analysis"/>
      <w:bookmarkEnd w:id="18"/>
      <w:r>
        <w:t>Bifurcation Analysis</w:t>
      </w:r>
    </w:p>
    <w:p w:rsidR="00156611" w:rsidRDefault="009A19A7">
      <w:pPr>
        <w:pStyle w:val="Heading2"/>
      </w:pPr>
      <w:bookmarkStart w:id="20" w:name="transcritical-bifurcation-at-r_0-1"/>
      <w:r>
        <w:t xml:space="preserve">Transcritical Bifurcation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</m:sSub>
        <m:r>
          <m:rPr>
            <m:sty m:val="b"/>
          </m:rPr>
          <w:rPr>
            <w:rFonts w:ascii="Cambria Math" w:hAnsi="Cambria Math"/>
          </w:rPr>
          <m:t>=</m:t>
        </m:r>
        <m:r>
          <m:rPr>
            <m:sty m:val="bi"/>
          </m:rPr>
          <w:rPr>
            <w:rFonts w:ascii="Cambria Math" w:hAnsi="Cambria Math"/>
          </w:rPr>
          <m:t>1</m:t>
        </m:r>
      </m:oMath>
    </w:p>
    <w:p w:rsidR="00156611" w:rsidRDefault="009A19A7">
      <w:pPr>
        <w:pStyle w:val="FirstParagraph"/>
      </w:pPr>
      <w:r>
        <w:t xml:space="preserve">Taking </w:t>
      </w:r>
      <m:oMath>
        <m:r>
          <w:rPr>
            <w:rFonts w:ascii="Cambria Math" w:hAnsi="Cambria Math"/>
          </w:rPr>
          <m:t>β</m:t>
        </m:r>
      </m:oMath>
      <w:r>
        <w:t xml:space="preserve"> as the bifurcation parameter, the critical value is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τ</m:t>
            </m:r>
          </m:sup>
        </m:sSup>
      </m:oMath>
      <w:r>
        <w:t>.</w:t>
      </w:r>
    </w:p>
    <w:p w:rsidR="00156611" w:rsidRDefault="009A19A7">
      <w:pPr>
        <w:pStyle w:val="BodyText"/>
      </w:pPr>
      <w:r>
        <w:rPr>
          <w:b/>
          <w:bCs/>
        </w:rPr>
        <w:t>Theorem 9</w:t>
      </w:r>
      <w:r>
        <w:t xml:space="preserve"> (Transcritical bifurcation).  </w:t>
      </w:r>
      <w:r>
        <w:rPr>
          <w:i/>
          <w:iCs/>
        </w:rPr>
        <w:t xml:space="preserve">At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rPr>
          <w:i/>
          <w:iCs/>
        </w:rPr>
        <w:t xml:space="preserve">: (i)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i/>
          <w:iCs/>
        </w:rPr>
        <w:t xml:space="preserve"> is non-hyperbolic with a simple zero eigenvalue; (ii)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rPr>
          <w:i/>
          <w:iCs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i/>
          <w:iCs/>
        </w:rPr>
        <w:t xml:space="preserve"> is stable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is infeasible; (iii)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rPr>
          <w:i/>
          <w:iCs/>
        </w:rPr>
        <w:t xml:space="preserve">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rPr>
          <w:i/>
          <w:iCs/>
        </w:rPr>
        <w:t xml:space="preserve"> loses stability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emerges. The transversality condition </w:t>
      </w:r>
      <m:oMath>
        <m:r>
          <w:rPr>
            <w:rFonts w:ascii="Cambria Math" w:hAnsi="Cambria Math"/>
          </w:rPr>
          <m:t>dλ</m:t>
        </m:r>
        <m:r>
          <m:rPr>
            <m:sty m:val="p"/>
          </m:rPr>
          <w:rPr>
            <w:rFonts w:ascii="Cambria Math" w:hAnsi="Cambria Math"/>
          </w:rPr>
          <m:t>/</m:t>
        </m:r>
        <m:r>
          <w:rPr>
            <w:rFonts w:ascii="Cambria Math" w:hAnsi="Cambria Math"/>
          </w:rPr>
          <m:t>dβ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|</m:t>
            </m:r>
          </m:e>
          <m:sub>
            <m:r>
              <w:rPr>
                <w:rFonts w:ascii="Cambria Math" w:hAnsi="Cambria Math"/>
              </w:rPr>
              <m:t>β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β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p>
          </m:sub>
        </m:sSub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/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</m:e>
            </m:d>
          </m:e>
        </m:d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τ</m:t>
            </m:r>
          </m:e>
        </m:d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rPr>
          <w:i/>
          <w:iCs/>
        </w:rPr>
        <w:t xml:space="preserve"> holds.</w:t>
      </w:r>
    </w:p>
    <w:p w:rsidR="00156611" w:rsidRDefault="009A19A7">
      <w:pPr>
        <w:pStyle w:val="BodyText"/>
      </w:pPr>
      <w:r>
        <w:rPr>
          <w:i/>
          <w:iCs/>
        </w:rPr>
        <w:t>Proof.</w:t>
      </w:r>
      <w:r>
        <w:t xml:space="preserve"> Setting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in the predator characteristic factor gives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b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/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a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e>
        </m:d>
      </m:oMath>
      <w:r>
        <w:t xml:space="preserve">, which is exactly </w:t>
      </w:r>
      <m:oMath>
        <m:r>
          <w:rPr>
            <w:rFonts w:ascii="Cambria Math" w:hAnsi="Cambria Math"/>
          </w:rPr>
          <m:t>β</m:t>
        </m:r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β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</m:oMath>
      <w:r>
        <w:t xml:space="preserve">. Implicit differentiation at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</m:t>
        </m:r>
      </m:oMath>
      <w:r>
        <w:t xml:space="preserve"> yields the stated transversality inequality. ◻</w:t>
      </w:r>
    </w:p>
    <w:p w:rsidR="00156611" w:rsidRDefault="009A19A7">
      <w:pPr>
        <w:pStyle w:val="Heading2"/>
      </w:pPr>
      <w:bookmarkStart w:id="21" w:name="X426b3086e06ee08df1327410b6e90f06e47fb50"/>
      <w:bookmarkEnd w:id="20"/>
      <w:r>
        <w:t>Hopf Bifurcation Induced by the Maturation Delay</w:t>
      </w:r>
    </w:p>
    <w:p w:rsidR="00156611" w:rsidRDefault="009A19A7">
      <w:pPr>
        <w:pStyle w:val="FirstParagraph"/>
      </w:pPr>
      <w:r>
        <w:t xml:space="preserve">Setting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iω</m:t>
        </m:r>
      </m:oMath>
      <w:r>
        <w:t xml:space="preserve"> (</w:t>
      </w:r>
      <m:oMath>
        <m:r>
          <w:rPr>
            <w:rFonts w:ascii="Cambria Math" w:hAnsi="Cambria Math"/>
          </w:rPr>
          <m:t>ω</m:t>
        </m:r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</m:oMath>
      <w:r>
        <w:t xml:space="preserve">) in the characteristic equation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, separating real and imaginary parts and eliminating </w:t>
      </w:r>
      <m:oMath>
        <m:r>
          <w:rPr>
            <w:rFonts w:ascii="Cambria Math" w:hAnsi="Cambria Math"/>
          </w:rPr>
          <m:t>τ</m:t>
        </m:r>
      </m:oMath>
      <w:r>
        <w:t xml:space="preserve"> gives the frequency polynomial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z</m:t>
              </m:r>
            </m:e>
          </m:d>
          <m:box>
            <m:boxPr>
              <m:opEmu m:val="1"/>
              <m:ctrlPr>
                <w:rPr>
                  <w:rFonts w:ascii="Cambria Math" w:hAnsi="Cambria Math"/>
                </w:rPr>
              </m:ctrlPr>
            </m:boxPr>
            <m:e>
              <m:r>
                <m:rPr>
                  <m:sty m:val="p"/>
                </m:rPr>
                <w:rPr>
                  <w:rFonts w:ascii="Cambria Math" w:hAnsi="Cambria Math"/>
                </w:rPr>
                <m:t>:=</m:t>
              </m:r>
            </m:e>
          </m:box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z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z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3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 z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ω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/>
            </w:rPr>
            <m:t>,</m:t>
          </m:r>
        </m:oMath>
      </m:oMathPara>
    </w:p>
    <w:p w:rsidR="00156611" w:rsidRDefault="009A19A7">
      <w:pPr>
        <w:pStyle w:val="FirstParagraph"/>
      </w:pPr>
      <w:r>
        <w:t xml:space="preserve">with coefficients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determined from the Jacobian entries at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. When </w:t>
      </w:r>
      <m:oMath>
        <m:r>
          <w:rPr>
            <w:rFonts w:ascii="Cambria Math" w:hAnsi="Cambria Math"/>
          </w:rPr>
          <m:t>h</m:t>
        </m:r>
      </m:oMath>
      <w:r>
        <w:t xml:space="preserve"> has a positive real root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ω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>
        <w:t>, the critical delay is</w:t>
      </w:r>
    </w:p>
    <w:p w:rsidR="00156611" w:rsidRDefault="009A19A7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τ</m:t>
              </m:r>
            </m:e>
            <m:sub>
              <m:r>
                <w:rPr>
                  <w:rFonts w:ascii="Cambria Math" w:hAnsi="Cambria Math"/>
                </w:rPr>
                <m:t>j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arccos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d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ν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ν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ν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3</m:t>
                          </m:r>
                        </m:sup>
                      </m:sSubSup>
                    </m:e>
                  </m:d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Λ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</m:sSub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</w:rPr>
                                <m:t>-</m:t>
                              </m:r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ω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0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p>
                              </m:sSubSup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  <m:sSubSup>
                        <m:sSubSupPr>
                          <m:ctrlPr>
                            <w:rPr>
                              <w:rFonts w:ascii="Cambria Math" w:hAnsi="Cambria Math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0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bSup>
                    </m:e>
                  </m:d>
                </m:den>
              </m:f>
            </m:e>
          </m:d>
          <m:r>
            <m:rPr>
              <m:sty m:val="p"/>
            </m:rP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2jπ</m:t>
              </m:r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ω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 j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0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1</m:t>
          </m:r>
          <m:r>
            <m:rPr>
              <m:sty m:val="p"/>
            </m:rPr>
            <w:rPr>
              <w:rFonts w:ascii="Cambria Math" w:hAnsi="Cambria Math"/>
            </w:rPr>
            <m:t>,</m:t>
          </m:r>
          <m:r>
            <w:rPr>
              <w:rFonts w:ascii="Cambria Math" w:hAnsi="Cambria Math"/>
            </w:rPr>
            <m:t>2</m:t>
          </m:r>
          <m:r>
            <m:rPr>
              <m:sty m:val="p"/>
            </m:rPr>
            <w:rPr>
              <w:rFonts w:ascii="Cambria Math" w:hAnsi="Cambria Math"/>
            </w:rPr>
            <m:t>,…,</m:t>
          </m:r>
        </m:oMath>
      </m:oMathPara>
    </w:p>
    <w:p w:rsidR="00156611" w:rsidRDefault="009A19A7">
      <w:pPr>
        <w:pStyle w:val="FirstParagraph"/>
      </w:pPr>
      <w:r>
        <w:t xml:space="preserve">and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min</m:t>
            </m:r>
          </m:e>
          <m:sub>
            <m:r>
              <w:rPr>
                <w:rFonts w:ascii="Cambria Math" w:hAnsi="Cambria Math"/>
              </w:rPr>
              <m:t>j</m:t>
            </m:r>
            <m:r>
              <m:rPr>
                <m:sty m:val="p"/>
              </m:rPr>
              <w:rPr>
                <w:rFonts w:ascii="Cambria Math" w:hAnsi="Cambria Math"/>
              </w:rPr>
              <m:t>≥</m:t>
            </m:r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: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j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}</m:t>
        </m:r>
      </m:oMath>
      <w:r>
        <w:t>.</w:t>
      </w:r>
    </w:p>
    <w:p w:rsidR="00156611" w:rsidRDefault="009A19A7">
      <w:pPr>
        <w:pStyle w:val="BodyText"/>
      </w:pPr>
      <w:r>
        <w:rPr>
          <w:b/>
          <w:bCs/>
        </w:rPr>
        <w:t>Theorem 10</w:t>
      </w:r>
      <w:r>
        <w:t xml:space="preserve"> (Hopf bifurcation).  </w:t>
      </w:r>
      <w:r>
        <w:rPr>
          <w:i/>
          <w:iCs/>
        </w:rPr>
        <w:t xml:space="preserve">Assume (H1)–(H4) hold and </w:t>
      </w:r>
      <m:oMath>
        <m:r>
          <w:rPr>
            <w:rFonts w:ascii="Cambria Math" w:hAnsi="Cambria Math"/>
          </w:rPr>
          <m:t>h</m:t>
        </m:r>
      </m:oMath>
      <w:r>
        <w:rPr>
          <w:i/>
          <w:iCs/>
        </w:rPr>
        <w:t xml:space="preserve"> has a positive real root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rPr>
          <w:i/>
          <w:iCs/>
        </w:rPr>
        <w:t xml:space="preserve">. (i)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is locally asymptotically stable for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∈[</m:t>
        </m:r>
        <m:r>
          <w:rPr>
            <w:rFonts w:ascii="Cambria Math" w:hAnsi="Cambria Math"/>
          </w:rPr>
          <m:t>0</m:t>
        </m:r>
        <m:r>
          <m:rPr>
            <m:sty m:val="p"/>
          </m:rPr>
          <w:rPr>
            <w:rFonts w:ascii="Cambria Math" w:hAnsi="Cambria Math"/>
          </w:rPr>
          <m:t>,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i/>
          <w:iCs/>
        </w:rPr>
        <w:t xml:space="preserve">. (ii) At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rPr>
          <w:i/>
          <w:iCs/>
        </w:rPr>
        <w:t xml:space="preserve"> a Hopf bifurcation occurs and a branch of periodic orbits is born. (iii) The transversality condition </w:t>
      </w:r>
      <m:oMath>
        <m:r>
          <m:rPr>
            <m:nor/>
          </m:rPr>
          <m:t>sign</m:t>
        </m:r>
        <m:r>
          <m:rPr>
            <m:sty m:val="p"/>
          </m:rPr>
          <w:rPr>
            <w:rFonts w:ascii="Cambria Math" w:hAnsi="Cambria Math"/>
          </w:rPr>
          <m:t>{</m:t>
        </m:r>
        <m:r>
          <m:rPr>
            <m:nor/>
          </m:rPr>
          <m:t>Re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dλ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/</m:t>
                </m:r>
                <m:r>
                  <w:rPr>
                    <w:rFonts w:ascii="Cambria Math" w:hAnsi="Cambria Math"/>
                  </w:rPr>
                  <m:t>dτ</m:t>
                </m:r>
              </m:e>
            </m:d>
          </m:e>
          <m:sub>
            <m:r>
              <w:rPr>
                <w:rFonts w:ascii="Cambria Math" w:hAnsi="Cambria Math"/>
              </w:rPr>
              <m:t>τ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τ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bSup>
          </m:sub>
        </m:sSub>
        <m:r>
          <m:rPr>
            <m:sty m:val="p"/>
          </m:rPr>
          <w:rPr>
            <w:rFonts w:ascii="Cambria Math" w:hAnsi="Cambria Math"/>
          </w:rPr>
          <m:t>}=</m:t>
        </m:r>
        <m:r>
          <m:rPr>
            <m:nor/>
          </m:rPr>
          <m:t>sign</m:t>
        </m:r>
        <m:r>
          <m:rPr>
            <m:sty m:val="p"/>
          </m:rPr>
          <w:rPr>
            <w:rFonts w:ascii="Cambria Math" w:hAnsi="Cambria Math"/>
          </w:rPr>
          <m:t>{</m:t>
        </m:r>
        <m:r>
          <w:rPr>
            <w:rFonts w:ascii="Cambria Math" w:hAnsi="Cambria Math"/>
          </w:rPr>
          <m:t>h</m:t>
        </m:r>
        <m:r>
          <m:rPr>
            <m:sty m:val="p"/>
          </m:rPr>
          <w:rPr>
            <w:rFonts w:ascii="Cambria Math" w:hAnsi="Cambria Math"/>
          </w:rPr>
          <m:t>'</m:t>
        </m:r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z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}</m:t>
        </m:r>
      </m:oMath>
      <w:r>
        <w:rPr>
          <w:i/>
          <w:iCs/>
        </w:rPr>
        <w:t xml:space="preserve"> holds. If </w:t>
      </w:r>
      <m:oMath>
        <m:r>
          <w:rPr>
            <w:rFonts w:ascii="Cambria Math" w:hAnsi="Cambria Math"/>
          </w:rPr>
          <m:t>h</m:t>
        </m:r>
      </m:oMath>
      <w:r>
        <w:rPr>
          <w:i/>
          <w:iCs/>
        </w:rPr>
        <w:t xml:space="preserve"> has no positive real root,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rPr>
          <w:i/>
          <w:iCs/>
        </w:rPr>
        <w:t xml:space="preserve"> is delay-independently stable.</w:t>
      </w:r>
    </w:p>
    <w:p w:rsidR="00156611" w:rsidRDefault="009A19A7">
      <w:pPr>
        <w:pStyle w:val="Heading1"/>
      </w:pPr>
      <w:bookmarkStart w:id="22" w:name="conclusion"/>
      <w:bookmarkEnd w:id="19"/>
      <w:bookmarkEnd w:id="21"/>
      <w:r>
        <w:lastRenderedPageBreak/>
        <w:t>Conclusion</w:t>
      </w:r>
    </w:p>
    <w:p w:rsidR="00156611" w:rsidRDefault="009A19A7">
      <w:pPr>
        <w:pStyle w:val="FirstParagraph"/>
      </w:pPr>
      <w:r>
        <w:t>A two-patch DDE predator-prey model with density-dependent fear-driven migration and a stage-structured maturation delay has been formulated and analysed. The principal results are recorded below.</w:t>
      </w:r>
    </w:p>
    <w:p w:rsidR="00156611" w:rsidRDefault="009A19A7">
      <w:pPr>
        <w:pStyle w:val="BodyText"/>
      </w:pPr>
      <w:r>
        <w:t xml:space="preserve">Exponential boundedness is established with the explicit bound </w:t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≤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μt</m:t>
            </m:r>
          </m:sup>
        </m:sSup>
      </m:oMath>
      <w:r>
        <w:t xml:space="preserve">, </w:t>
      </w:r>
      <m:oMath>
        <m:r>
          <w:rPr>
            <w:rFonts w:ascii="Cambria Math" w:hAnsi="Cambria Math"/>
          </w:rPr>
          <m:t>μ</m:t>
        </m:r>
        <m:r>
          <m:rPr>
            <m:sty m:val="p"/>
          </m:rPr>
          <w:rPr>
            <w:rFonts w:ascii="Cambria Math" w:hAnsi="Cambria Math"/>
          </w:rPr>
          <m:t>=max{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</w:rPr>
          <m:t>,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</w:rPr>
          <m:t>}</m:t>
        </m:r>
      </m:oMath>
      <w:r>
        <w:t xml:space="preserve">, via Gronwall’s inequality after exact cancellation of the migration and delay flux terms. The predator-free equilibrium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exists whenever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  <m:r>
          <m:rPr>
            <m:sty m:val="p"/>
          </m:rPr>
          <w:rPr>
            <w:rFonts w:ascii="Cambria Math" w:hAnsi="Cambria Math"/>
          </w:rPr>
          <m:t>&gt;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(proved via the Intermediate Value Theorem applied to a cubic polynomial); the coexistence equilibrium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is given in explicit closed form by (11).</w:t>
      </w:r>
    </w:p>
    <w:p w:rsidR="00156611" w:rsidRDefault="009A19A7">
      <w:pPr>
        <w:pStyle w:val="BodyText"/>
      </w:pPr>
      <w:r>
        <w:t xml:space="preserve">The basic reproduction number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β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τ</m:t>
            </m:r>
          </m:sup>
        </m:sSup>
        <m:r>
          <m:rPr>
            <m:sty m:val="p"/>
          </m:rPr>
          <w:rPr>
            <w:rFonts w:ascii="Cambria Math" w:hAnsi="Cambria Math"/>
          </w:rPr>
          <m:t>/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*</m:t>
                    </m:r>
                  </m:sup>
                </m:sSubSup>
              </m:e>
            </m:d>
          </m:e>
        </m:d>
      </m:oMath>
      <w:r>
        <w:t xml:space="preserve"> decreases monotonically in </w:t>
      </w:r>
      <m:oMath>
        <m:r>
          <w:rPr>
            <w:rFonts w:ascii="Cambria Math" w:hAnsi="Cambria Math"/>
          </w:rPr>
          <m:t>τ</m:t>
        </m:r>
      </m:oMath>
      <w:r>
        <w:t xml:space="preserve">: every unit increase in the maturation period compresses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by the factor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d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sup>
        </m:sSup>
      </m:oMath>
      <w:r>
        <w:t xml:space="preserve">. The sensitivity analysis identifies </w:t>
      </w:r>
      <m:oMath>
        <m:r>
          <w:rPr>
            <w:rFonts w:ascii="Cambria Math" w:hAnsi="Cambria Math"/>
          </w:rPr>
          <m:t>β</m:t>
        </m:r>
      </m:oMath>
      <w:r>
        <w:t xml:space="preserve"> and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as the primary controls (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Υ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</m:oMath>
      <w:r>
        <w:t xml:space="preserve">) and the product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τ</m:t>
        </m:r>
      </m:oMath>
      <w:r>
        <w:t xml:space="preserve"> as the secondary control (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Υ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d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τ</m:t>
        </m:r>
      </m:oMath>
      <w:r>
        <w:t xml:space="preserve">); the fear coefficient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and maximum predation rate </w:t>
      </w:r>
      <m:oMath>
        <m:r>
          <w:rPr>
            <w:rFonts w:ascii="Cambria Math" w:hAnsi="Cambria Math"/>
          </w:rPr>
          <m:t>α</m:t>
        </m:r>
      </m:oMath>
      <w:r>
        <w:t xml:space="preserve"> carry zero first-order sensitivity.</w:t>
      </w:r>
    </w:p>
    <w:p w:rsidR="00156611" w:rsidRDefault="009A19A7">
      <w:pPr>
        <w:pStyle w:val="BodyText"/>
      </w:pPr>
      <w:r>
        <w:t xml:space="preserve">Global asymptotic stability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&lt;</m:t>
        </m:r>
        <m:r>
          <w:rPr>
            <w:rFonts w:ascii="Cambria Math" w:hAnsi="Cambria Math"/>
          </w:rPr>
          <m:t>1</m:t>
        </m:r>
      </m:oMath>
      <w:r>
        <w:t xml:space="preserve"> and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for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m:rPr>
            <m:sty m:val="p"/>
          </m:rPr>
          <w:rPr>
            <w:rFonts w:ascii="Cambria Math" w:hAnsi="Cambria Math"/>
          </w:rPr>
          <m:t>&gt;</m:t>
        </m:r>
        <m:r>
          <w:rPr>
            <w:rFonts w:ascii="Cambria Math" w:hAnsi="Cambria Math"/>
          </w:rPr>
          <m:t>1</m:t>
        </m:r>
      </m:oMath>
      <w:r>
        <w:t xml:space="preserve"> (with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&lt;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τ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max</m:t>
            </m:r>
          </m:sub>
        </m:sSub>
      </m:oMath>
      <w:r>
        <w:t xml:space="preserve">) is established by explicit Lyapunov-Krasovskii functionals. The maturation delay </w:t>
      </w:r>
      <m:oMath>
        <m:r>
          <w:rPr>
            <w:rFonts w:ascii="Cambria Math" w:hAnsi="Cambria Math"/>
          </w:rPr>
          <m:t>τ</m:t>
        </m:r>
      </m:oMath>
      <w:r>
        <w:t xml:space="preserve"> drives a Hopf bifurcation of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at the threshold 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 xml:space="preserve"> computed from the scalar cubic (24); for </w:t>
      </w:r>
      <m:oMath>
        <m:r>
          <w:rPr>
            <w:rFonts w:ascii="Cambria Math" w:hAnsi="Cambria Math"/>
          </w:rPr>
          <m:t>τ</m:t>
        </m:r>
        <m:r>
          <m:rPr>
            <m:sty m:val="p"/>
          </m:rPr>
          <w:rPr>
            <w:rFonts w:ascii="Cambria Math" w:hAnsi="Cambria Math"/>
          </w:rPr>
          <m:t>&gt;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τ</m:t>
            </m:r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bSup>
      </m:oMath>
      <w:r>
        <w:t>, the coexistence equilibrium is unstable and sustained predator-prey oscillations emerge.</w:t>
      </w:r>
    </w:p>
    <w:p w:rsidR="00156611" w:rsidRDefault="009A19A7">
      <w:pPr>
        <w:pStyle w:val="Heading1"/>
      </w:pPr>
      <w:bookmarkStart w:id="23" w:name="references"/>
      <w:bookmarkEnd w:id="22"/>
      <w:r>
        <w:t>References</w:t>
      </w:r>
    </w:p>
    <w:p w:rsidR="00156611" w:rsidRDefault="009A19A7">
      <w:pPr>
        <w:numPr>
          <w:ilvl w:val="0"/>
          <w:numId w:val="4"/>
        </w:numPr>
      </w:pPr>
      <w:r>
        <w:t>Lotka, A. J. (1925). Elements of Physical Biology. Williams and Wilkins, Baltimore.</w:t>
      </w:r>
    </w:p>
    <w:p w:rsidR="00156611" w:rsidRDefault="009A19A7">
      <w:pPr>
        <w:numPr>
          <w:ilvl w:val="0"/>
          <w:numId w:val="4"/>
        </w:numPr>
      </w:pPr>
      <w:r>
        <w:t>Volterra, V. (1926). Variazioni e fluttuazioni del numero d’individui in specie conviventi. Memorie dell’Accademia Lincei Roma, 2, 31–113.</w:t>
      </w:r>
    </w:p>
    <w:p w:rsidR="00156611" w:rsidRDefault="009A19A7">
      <w:pPr>
        <w:numPr>
          <w:ilvl w:val="0"/>
          <w:numId w:val="4"/>
        </w:numPr>
      </w:pPr>
      <w:r>
        <w:t>Ma, Z., Wang, S., Wang, T., and Tang, H. (2017). Stability analysis of prey-predator system with Holling type functional response and prey refuge. Advances in Difference Equations, 2017(1), 1–12.</w:t>
      </w:r>
    </w:p>
    <w:p w:rsidR="00156611" w:rsidRDefault="009A19A7">
      <w:pPr>
        <w:numPr>
          <w:ilvl w:val="0"/>
          <w:numId w:val="4"/>
        </w:numPr>
      </w:pPr>
      <w:r>
        <w:t>Panday, P., Pal, N., Samanta, S., and Chattopadhyay, J. (2018). Stability and bifurcation analysis of a three-species food chain model with fear. International Journal of Bifurcation and Chaos, 28(1), 1850009.</w:t>
      </w:r>
    </w:p>
    <w:p w:rsidR="00156611" w:rsidRDefault="009A19A7">
      <w:pPr>
        <w:numPr>
          <w:ilvl w:val="0"/>
          <w:numId w:val="4"/>
        </w:numPr>
      </w:pPr>
      <w:r>
        <w:t>Wang, W., and Chen, L. (1997). A predator-prey system with stage-structure for predator. Computers and Mathematics with Applications, 33(8), 83–91.</w:t>
      </w:r>
    </w:p>
    <w:p w:rsidR="00156611" w:rsidRDefault="009A19A7">
      <w:pPr>
        <w:numPr>
          <w:ilvl w:val="0"/>
          <w:numId w:val="4"/>
        </w:numPr>
      </w:pPr>
      <w:r>
        <w:t>Sundari, N. M. S., and Valliathal, M. (2021). Dynamics of the stage structured population model with predator accompanied by Michaelis-Menten Holling type functional response, delay and prey refuge. Turkish Journal of Computer and Mathematics Education, 12(2), 2280–2294.</w:t>
      </w:r>
    </w:p>
    <w:p w:rsidR="00156611" w:rsidRDefault="009A19A7">
      <w:pPr>
        <w:numPr>
          <w:ilvl w:val="0"/>
          <w:numId w:val="4"/>
        </w:numPr>
      </w:pPr>
      <w:r>
        <w:lastRenderedPageBreak/>
        <w:t>Bhattacharjee, B., and Sarmah, H. K. (2021). Stability analysis and bifurcation of a predator-prey model with stage structure and maturation delay. Communications in Mathematical Biology and Neuroscience, Article ID 62.</w:t>
      </w:r>
    </w:p>
    <w:p w:rsidR="00156611" w:rsidRDefault="009A19A7">
      <w:pPr>
        <w:numPr>
          <w:ilvl w:val="0"/>
          <w:numId w:val="4"/>
        </w:numPr>
      </w:pPr>
      <w:r>
        <w:t>Maiti, A. P., Dubey, B., and Tushar, J. (2017). A delayed prey-predator model with Crowley-Martin-type functional response including prey refuge. Mathematical Methods in the Applied Sciences, 40(16), 5792–5809.</w:t>
      </w:r>
    </w:p>
    <w:p w:rsidR="00156611" w:rsidRDefault="009A19A7">
      <w:pPr>
        <w:numPr>
          <w:ilvl w:val="0"/>
          <w:numId w:val="4"/>
        </w:numPr>
      </w:pPr>
      <w:r>
        <w:t>Rosenzweig, M. L., and MacArthur, R. H. (1963). Graphical representation and stability conditions of predator-prey interaction. American Naturalist, 97, 209–223.</w:t>
      </w:r>
    </w:p>
    <w:p w:rsidR="00156611" w:rsidRDefault="009A19A7">
      <w:pPr>
        <w:numPr>
          <w:ilvl w:val="0"/>
          <w:numId w:val="4"/>
        </w:numPr>
      </w:pPr>
      <w:r>
        <w:t>Pusawidjayanti, K., and Kusumasari, V. (2021). Dynamical analysis predator-prey population with Holling type II functional response. Journal of Physics: Conference Series, 1872(1), 012035.</w:t>
      </w:r>
    </w:p>
    <w:p w:rsidR="00156611" w:rsidRDefault="009A19A7">
      <w:pPr>
        <w:numPr>
          <w:ilvl w:val="0"/>
          <w:numId w:val="4"/>
        </w:numPr>
      </w:pPr>
      <w:r>
        <w:t>Lu, W., Xia, Y., and Bai, Y. (2020). Periodic solution of a stage-structured predator-prey model incorporating prey refuge. Mathematical Biosciences and Engineering, 17(4), 3160–3174.</w:t>
      </w:r>
    </w:p>
    <w:p w:rsidR="00156611" w:rsidRDefault="009A19A7">
      <w:pPr>
        <w:numPr>
          <w:ilvl w:val="0"/>
          <w:numId w:val="4"/>
        </w:numPr>
      </w:pPr>
      <w:r>
        <w:t>Kuang, Y. (1993). Delay Differential Equations with Applications in Population Dynamics. Academic Press, New York.</w:t>
      </w:r>
    </w:p>
    <w:p w:rsidR="00156611" w:rsidRDefault="009A19A7">
      <w:pPr>
        <w:numPr>
          <w:ilvl w:val="0"/>
          <w:numId w:val="4"/>
        </w:numPr>
      </w:pPr>
      <w:r>
        <w:t>Van den Driessche, P., and Watmough, J. (2002). Reproduction numbers and sub-threshold endemic equilibria for compartmental models of disease transmission. Mathematical Biosciences, 180, 29–48.</w:t>
      </w:r>
    </w:p>
    <w:p w:rsidR="00156611" w:rsidRDefault="009A19A7">
      <w:pPr>
        <w:numPr>
          <w:ilvl w:val="0"/>
          <w:numId w:val="4"/>
        </w:numPr>
      </w:pPr>
      <w:r>
        <w:t>LaSalle, J. P. (1968). Stability theory for ordinary differential equations. Journal of Differential Equations, 4(1), 57–65.</w:t>
      </w:r>
    </w:p>
    <w:p w:rsidR="00156611" w:rsidRDefault="009A19A7">
      <w:pPr>
        <w:numPr>
          <w:ilvl w:val="0"/>
          <w:numId w:val="4"/>
        </w:numPr>
      </w:pPr>
      <w:r>
        <w:t>Bhattacharjee, D., Roy, T., Acharjee, S., and Dutta, T. K. (2024). Predator-prey dynamics pertaining to structuralizing predator species into three stages coupled with maturation delay owing to juvenile hunting. The European Physical Journal Plus, 139(5), 441.</w:t>
      </w:r>
    </w:p>
    <w:p w:rsidR="00156611" w:rsidRDefault="009A19A7">
      <w:pPr>
        <w:numPr>
          <w:ilvl w:val="0"/>
          <w:numId w:val="4"/>
        </w:numPr>
      </w:pPr>
      <w:r>
        <w:t>Kalinkat, G., Rall, B. C., Uiterwaal, S. F., and Uszko, W. (2023). Empirical evidence of type III functional responses and why it remains rare. Frontiers in Ecology and Evolution, 11, 1033818.</w:t>
      </w:r>
      <w:bookmarkEnd w:id="23"/>
    </w:p>
    <w:sectPr w:rsidR="00156611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7135" w:rsidRDefault="000F7135">
      <w:pPr>
        <w:spacing w:after="0"/>
      </w:pPr>
      <w:r>
        <w:separator/>
      </w:r>
    </w:p>
  </w:endnote>
  <w:endnote w:type="continuationSeparator" w:id="0">
    <w:p w:rsidR="000F7135" w:rsidRDefault="000F71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7135" w:rsidRDefault="000F7135">
      <w:r>
        <w:separator/>
      </w:r>
    </w:p>
  </w:footnote>
  <w:footnote w:type="continuationSeparator" w:id="0">
    <w:p w:rsidR="000F7135" w:rsidRDefault="000F7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9ED8581E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5B24E0EA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00A99201"/>
    <w:multiLevelType w:val="multilevel"/>
    <w:tmpl w:val="CC185BA0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611"/>
    <w:rsid w:val="000F7135"/>
    <w:rsid w:val="00156611"/>
    <w:rsid w:val="009A19A7"/>
    <w:rsid w:val="00D0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1E912"/>
  <w15:docId w15:val="{79A5B8C6-03AF-456D-99A6-AF4433215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color w:val="345A8A"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</Pages>
  <Words>4502</Words>
  <Characters>25662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Mathematical Analysis of a Stage-Structured Two-Patch Predator-Prey Model with Density-Dependent Prey Migration and Predator Maturation Delay</vt:lpstr>
    </vt:vector>
  </TitlesOfParts>
  <Company/>
  <LinksUpToDate>false</LinksUpToDate>
  <CharactersWithSpaces>30104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Analysis of a Stage-Structured Two-Patch Predator-Prey Model with Density-Dependent Prey Migration and Predator Maturation Delay</dc:title>
  <dc:creator>Nebert Kituni Wafula; Boniface Otieno Kwach; Samuel Bong’ang’a Apima</dc:creator>
  <cp:keywords/>
  <cp:lastModifiedBy>USER</cp:lastModifiedBy>
  <cp:revision>2</cp:revision>
  <dcterms:created xsi:type="dcterms:W3CDTF">2026-06-01T19:00:00Z</dcterms:created>
  <dcterms:modified xsi:type="dcterms:W3CDTF">2026-06-01T19:53:00Z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stage structured predator-prey model is formulated in which the prey population is partitioned between a refuge patch and a predation patch with density-dependent fear-driven migration, and the predator population is divided into juvenile and adult stag</vt:lpwstr>
  </property>
  <property fmtid="{D5CDD505-2E9C-101B-9397-08002B2CF9AE}" pid="3" name="date">
    <vt:lpwstr>Correspondence: nebwafula@kibu.ac.ke</vt:lpwstr>
  </property>
</Properties>
</file>