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E8003" w14:textId="584CFA49" w:rsidR="00755AF2" w:rsidRPr="00862A72" w:rsidRDefault="00862A72" w:rsidP="00862A72">
      <w:pPr>
        <w:spacing w:after="0" w:line="276" w:lineRule="auto"/>
        <w:jc w:val="center"/>
        <w:rPr>
          <w:rFonts w:ascii="Times New Roman" w:hAnsi="Times New Roman" w:cs="Times New Roman"/>
          <w:sz w:val="24"/>
          <w:szCs w:val="24"/>
        </w:rPr>
      </w:pPr>
      <w:r w:rsidRPr="00862A72">
        <w:rPr>
          <w:rFonts w:ascii="Times New Roman" w:hAnsi="Times New Roman" w:cs="Times New Roman"/>
          <w:b/>
          <w:bCs/>
          <w:sz w:val="24"/>
          <w:szCs w:val="24"/>
        </w:rPr>
        <w:t>CROSS-BORDER SESAME TRADE AS A PATHWAY FOR SMALLHOLDER COMMERCIALIZATION IN MALAWI</w:t>
      </w:r>
    </w:p>
    <w:p w14:paraId="275C2237" w14:textId="50BFF924" w:rsidR="00287D3D" w:rsidRPr="00862A72" w:rsidRDefault="00862A72" w:rsidP="00362C15">
      <w:pPr>
        <w:pStyle w:val="Heading1"/>
        <w:spacing w:before="0"/>
        <w:rPr>
          <w:rFonts w:ascii="Times New Roman" w:hAnsi="Times New Roman" w:cs="Times New Roman"/>
          <w:b/>
          <w:bCs/>
          <w:color w:val="auto"/>
          <w:sz w:val="24"/>
          <w:szCs w:val="24"/>
        </w:rPr>
      </w:pPr>
      <w:bookmarkStart w:id="0" w:name="_GoBack"/>
      <w:bookmarkEnd w:id="0"/>
      <w:r w:rsidRPr="00862A72">
        <w:rPr>
          <w:rFonts w:ascii="Times New Roman" w:hAnsi="Times New Roman" w:cs="Times New Roman"/>
          <w:b/>
          <w:bCs/>
          <w:color w:val="auto"/>
          <w:sz w:val="24"/>
          <w:szCs w:val="24"/>
        </w:rPr>
        <w:t>ABSTRACT</w:t>
      </w:r>
    </w:p>
    <w:p w14:paraId="0ACD3A3C" w14:textId="5DFF0B32" w:rsidR="00B33624" w:rsidRPr="00862A72" w:rsidRDefault="00B33624" w:rsidP="00862A72">
      <w:pPr>
        <w:pStyle w:val="ds-markdown-paragraph"/>
        <w:shd w:val="clear" w:color="auto" w:fill="FFFFFF"/>
        <w:spacing w:before="0" w:beforeAutospacing="0" w:after="0" w:afterAutospacing="0" w:line="360" w:lineRule="auto"/>
        <w:jc w:val="both"/>
        <w:rPr>
          <w:rStyle w:val="Strong"/>
        </w:rPr>
      </w:pPr>
      <w:r w:rsidRPr="00862A72">
        <w:rPr>
          <w:rStyle w:val="Strong"/>
          <w:rFonts w:eastAsiaTheme="majorEastAsia"/>
          <w:b w:val="0"/>
          <w:bCs w:val="0"/>
        </w:rPr>
        <w:t>Sesame (Sesamum indicum L.) has emerged as a strategically important oilseed crop with significant potential to enhance smallholder commercialization in sub-Saharan Africa. Despite increasing production across the region, proportional income gains at the farm level remain elusive due to structural inefficiencies within marketing systems. This study provides the first comprehensive analysis of Malawi's cross-border sesame value chain with Tanzania, offering novel insights into the institutional and coordination failures that constrain smallholder value capture.</w:t>
      </w:r>
    </w:p>
    <w:p w14:paraId="0F17E88B" w14:textId="33ABB9AE" w:rsidR="00B33624" w:rsidRPr="00862A72" w:rsidRDefault="00B33624" w:rsidP="00862A72">
      <w:pPr>
        <w:pStyle w:val="ds-markdown-paragraph"/>
        <w:shd w:val="clear" w:color="auto" w:fill="FFFFFF"/>
        <w:spacing w:before="0" w:beforeAutospacing="0" w:after="0" w:afterAutospacing="0" w:line="360" w:lineRule="auto"/>
        <w:jc w:val="both"/>
        <w:rPr>
          <w:rStyle w:val="Strong"/>
        </w:rPr>
      </w:pPr>
      <w:r w:rsidRPr="00862A72">
        <w:rPr>
          <w:rStyle w:val="Strong"/>
          <w:rFonts w:eastAsiaTheme="majorEastAsia"/>
          <w:b w:val="0"/>
          <w:bCs w:val="0"/>
        </w:rPr>
        <w:t>The study examined the socio-demographic characteristics and participation of sesame value chain actors, assessed the structure, governance, and performance of the Malawi-Tanzania sesame value chain, and identified key constraints and opportunities for enhancing production and market access.</w:t>
      </w:r>
    </w:p>
    <w:p w14:paraId="33C4A202" w14:textId="3C235CCB" w:rsidR="00B33624" w:rsidRPr="00862A72" w:rsidRDefault="00B33624" w:rsidP="00862A72">
      <w:pPr>
        <w:pStyle w:val="ds-markdown-paragraph"/>
        <w:shd w:val="clear" w:color="auto" w:fill="FFFFFF"/>
        <w:spacing w:before="0" w:beforeAutospacing="0" w:after="0" w:afterAutospacing="0" w:line="360" w:lineRule="auto"/>
        <w:jc w:val="both"/>
        <w:rPr>
          <w:rFonts w:eastAsiaTheme="majorEastAsia"/>
        </w:rPr>
      </w:pPr>
      <w:r w:rsidRPr="00862A72">
        <w:rPr>
          <w:rStyle w:val="Strong"/>
          <w:rFonts w:eastAsiaTheme="majorEastAsia"/>
          <w:b w:val="0"/>
          <w:bCs w:val="0"/>
        </w:rPr>
        <w:t xml:space="preserve">A cross-sectional mixed-methods design was employed, integrating quantitative surveys (n = 150) with qualitative key informant interviews (n = 18) and focus group discussions (n = 3). A multistage sampling procedure yielded 81 randomly selected smallholder farmers, while purposive sampling was used to select 20 input suppliers, 32 traders, and 19 retailers. Data were </w:t>
      </w:r>
      <w:proofErr w:type="spellStart"/>
      <w:r w:rsidRPr="00862A72">
        <w:rPr>
          <w:rStyle w:val="Strong"/>
          <w:rFonts w:eastAsiaTheme="majorEastAsia"/>
          <w:b w:val="0"/>
          <w:bCs w:val="0"/>
        </w:rPr>
        <w:t>analyzed</w:t>
      </w:r>
      <w:proofErr w:type="spellEnd"/>
      <w:r w:rsidRPr="00862A72">
        <w:rPr>
          <w:rStyle w:val="Strong"/>
          <w:rFonts w:eastAsiaTheme="majorEastAsia"/>
          <w:b w:val="0"/>
          <w:bCs w:val="0"/>
        </w:rPr>
        <w:t xml:space="preserve"> using SPSS version 27, Stata 17, and NVivo 14, applying functional analysis, value chain mapping, gross margin estimation, and thematic analysis. A novel contribution of the study is the quantification of hidden transaction costs arising from non-standardized measurement practices.</w:t>
      </w:r>
    </w:p>
    <w:p w14:paraId="4CE984F9" w14:textId="796F4127" w:rsidR="00B33624" w:rsidRPr="00862A72" w:rsidRDefault="00B33624" w:rsidP="00862A72">
      <w:pPr>
        <w:pStyle w:val="ds-markdown-paragraph"/>
        <w:shd w:val="clear" w:color="auto" w:fill="FFFFFF"/>
        <w:spacing w:before="0" w:beforeAutospacing="0" w:after="0" w:afterAutospacing="0" w:line="360" w:lineRule="auto"/>
        <w:jc w:val="both"/>
        <w:rPr>
          <w:rFonts w:eastAsiaTheme="majorEastAsia"/>
        </w:rPr>
      </w:pPr>
      <w:r w:rsidRPr="00862A72">
        <w:rPr>
          <w:rStyle w:val="Strong"/>
          <w:rFonts w:eastAsiaTheme="majorEastAsia"/>
          <w:b w:val="0"/>
          <w:bCs w:val="0"/>
        </w:rPr>
        <w:t>The sesame marketing system exhibits a distinctive structure characterized by smallholder-dominated production (with 57.46% female participation) linked to decentralized aggregation through middlemen. The system features limited vertical coordination but maintains strong cross-border linkages to Tanzanian markets. Gross margin analysis reveals a paradoxical distribution: farmers capture the highest margin ratio (68.2%), followed by middlemen (21.13%), retailers (16.7%), and wholesalers (10.71%). However, this distribution reflects low production costs rather than market power, as farmers operate within informal exchange arrangements marked by weak price transparency and limited bargaining capacity. Systemic constraints include non-standardized measurement practices affecting 19.1% of farmers, limited access to working capital (11.4%), inadequate extension support (23.01%), and weak regulatory enforcement. Notably, 22.9% of farmers identified the lack of formal markets as a critical constraint, while 51.3% of traders cited infrastructure deficits.</w:t>
      </w:r>
    </w:p>
    <w:p w14:paraId="2B65ED05" w14:textId="4A5D5184" w:rsidR="00287D3D" w:rsidRPr="00862A72" w:rsidRDefault="00B33624" w:rsidP="00862A72">
      <w:pPr>
        <w:pStyle w:val="ds-markdown-paragraph"/>
        <w:shd w:val="clear" w:color="auto" w:fill="FFFFFF"/>
        <w:spacing w:before="0" w:beforeAutospacing="0" w:after="0" w:afterAutospacing="0" w:line="360" w:lineRule="auto"/>
        <w:jc w:val="both"/>
        <w:rPr>
          <w:b/>
          <w:bCs/>
          <w:sz w:val="22"/>
          <w:szCs w:val="22"/>
        </w:rPr>
      </w:pPr>
      <w:r w:rsidRPr="00862A72">
        <w:rPr>
          <w:rStyle w:val="Strong"/>
          <w:rFonts w:eastAsiaTheme="majorEastAsia"/>
          <w:b w:val="0"/>
          <w:bCs w:val="0"/>
        </w:rPr>
        <w:lastRenderedPageBreak/>
        <w:t>This study makes four original contributions: (1) the first empirical documentation of Malawi-Tanzania cross-border sesame value chain dynamics; (2) quantification of hidden transaction costs arising from informal measurement systems; (3) identification of a "margin paradox" in which high producer margins coexist with limited market power; and (4) demonstration of how institutional voids shape coordination failures. Despite these constraints, strong cross-border demand from Tanzania presents a strategic upgrading opportunity. We propose a novel typology of intervention points, including institutional upgrading (cooperative formation, standardized measurements), technical upgrading (improved varieties, post-harvest handling), and infrastructural upgrading (storage, market facilities</w:t>
      </w:r>
      <w:r w:rsidRPr="00862A72">
        <w:rPr>
          <w:rStyle w:val="Strong"/>
          <w:rFonts w:eastAsiaTheme="majorEastAsia"/>
          <w:b w:val="0"/>
          <w:bCs w:val="0"/>
          <w:sz w:val="22"/>
          <w:szCs w:val="22"/>
        </w:rPr>
        <w:t>).</w:t>
      </w:r>
    </w:p>
    <w:p w14:paraId="0042A27A" w14:textId="09979CBB" w:rsidR="00287D3D" w:rsidRPr="00862A72" w:rsidRDefault="00287D3D" w:rsidP="00862A72">
      <w:pPr>
        <w:spacing w:after="0"/>
        <w:jc w:val="both"/>
        <w:rPr>
          <w:rFonts w:ascii="Times New Roman" w:hAnsi="Times New Roman" w:cs="Times New Roman"/>
          <w:i/>
          <w:iCs/>
        </w:rPr>
      </w:pPr>
      <w:r w:rsidRPr="00862A72">
        <w:rPr>
          <w:rFonts w:ascii="Times New Roman" w:hAnsi="Times New Roman" w:cs="Times New Roman"/>
          <w:b/>
          <w:bCs/>
        </w:rPr>
        <w:t>Keywords:</w:t>
      </w:r>
      <w:r w:rsidR="00CA579D" w:rsidRPr="00862A72">
        <w:rPr>
          <w:rFonts w:ascii="Times New Roman" w:hAnsi="Times New Roman" w:cs="Times New Roman"/>
          <w:i/>
          <w:iCs/>
        </w:rPr>
        <w:t xml:space="preserve"> </w:t>
      </w:r>
      <w:r w:rsidRPr="00862A72">
        <w:rPr>
          <w:rFonts w:ascii="Times New Roman" w:hAnsi="Times New Roman" w:cs="Times New Roman"/>
          <w:i/>
          <w:iCs/>
        </w:rPr>
        <w:t>Sesame value chain; market system transformation; smallholder commercialization; cross-border trade; institutional economics; Malawi; Tanzania</w:t>
      </w:r>
    </w:p>
    <w:p w14:paraId="331D393D" w14:textId="719309D7" w:rsidR="00287D3D" w:rsidRPr="00862A72" w:rsidRDefault="00862A72" w:rsidP="00273D81">
      <w:pPr>
        <w:pStyle w:val="Heading1"/>
        <w:rPr>
          <w:rFonts w:ascii="Times New Roman" w:hAnsi="Times New Roman" w:cs="Times New Roman"/>
          <w:b/>
          <w:bCs/>
          <w:color w:val="auto"/>
          <w:sz w:val="18"/>
          <w:szCs w:val="18"/>
        </w:rPr>
      </w:pPr>
      <w:r w:rsidRPr="00862A72">
        <w:rPr>
          <w:rFonts w:ascii="Times New Roman" w:hAnsi="Times New Roman" w:cs="Times New Roman"/>
          <w:b/>
          <w:bCs/>
          <w:color w:val="auto"/>
          <w:sz w:val="24"/>
          <w:szCs w:val="24"/>
        </w:rPr>
        <w:t>1.0 INTRODUCTION</w:t>
      </w:r>
    </w:p>
    <w:p w14:paraId="223BBF13" w14:textId="77777777" w:rsidR="00B33624" w:rsidRPr="00862A72" w:rsidRDefault="00B33624" w:rsidP="00862A72">
      <w:pPr>
        <w:shd w:val="clear" w:color="auto" w:fill="FFFFFF"/>
        <w:spacing w:after="0" w:line="360" w:lineRule="auto"/>
        <w:jc w:val="both"/>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Sesame (</w:t>
      </w:r>
      <w:r w:rsidRPr="00862A72">
        <w:rPr>
          <w:rFonts w:ascii="Times New Roman" w:eastAsia="Times New Roman" w:hAnsi="Times New Roman" w:cs="Times New Roman"/>
          <w:i/>
          <w:iCs/>
          <w:sz w:val="24"/>
          <w:szCs w:val="24"/>
          <w:lang w:eastAsia="en-GB"/>
        </w:rPr>
        <w:t>Sesamum indicum</w:t>
      </w:r>
      <w:r w:rsidRPr="00862A72">
        <w:rPr>
          <w:rFonts w:ascii="Times New Roman" w:eastAsia="Times New Roman" w:hAnsi="Times New Roman" w:cs="Times New Roman"/>
          <w:sz w:val="24"/>
          <w:szCs w:val="24"/>
          <w:lang w:eastAsia="en-GB"/>
        </w:rPr>
        <w:t xml:space="preserve"> L.) represents one of sub-Saharan Africa's most promising yet underutilized oilseed crops, with the potential to </w:t>
      </w:r>
      <w:proofErr w:type="spellStart"/>
      <w:r w:rsidRPr="00862A72">
        <w:rPr>
          <w:rFonts w:ascii="Times New Roman" w:eastAsia="Times New Roman" w:hAnsi="Times New Roman" w:cs="Times New Roman"/>
          <w:sz w:val="24"/>
          <w:szCs w:val="24"/>
          <w:lang w:eastAsia="en-GB"/>
        </w:rPr>
        <w:t>catalyze</w:t>
      </w:r>
      <w:proofErr w:type="spellEnd"/>
      <w:r w:rsidRPr="00862A72">
        <w:rPr>
          <w:rFonts w:ascii="Times New Roman" w:eastAsia="Times New Roman" w:hAnsi="Times New Roman" w:cs="Times New Roman"/>
          <w:sz w:val="24"/>
          <w:szCs w:val="24"/>
          <w:lang w:eastAsia="en-GB"/>
        </w:rPr>
        <w:t xml:space="preserve"> smallholder commercialization and regional trade integration (Wei et al., 2022). Globally, sesame production reached 6.3 million metric tons in 2021, with Africa contributing 59.4% of total output; however, the continent captures only a fraction of the potential value addition (Kassie et al., 2022). This disconnect between production volumes and value capture reflects systemic inefficiencies in marketing systems that disproportionately affect smallholder farmers.</w:t>
      </w:r>
    </w:p>
    <w:p w14:paraId="4F7FE27B" w14:textId="5C693BD1" w:rsidR="00862A72" w:rsidRPr="00862A72" w:rsidRDefault="00B33624" w:rsidP="00862A72">
      <w:pPr>
        <w:shd w:val="clear" w:color="auto" w:fill="FFFFFF"/>
        <w:spacing w:after="0" w:line="360" w:lineRule="auto"/>
        <w:jc w:val="both"/>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In Malawi, sesame production has grown from 798 MT in 2011 to 4,949 MT in 2019, driven by sustained regional demand, particularly from Tanzanian markets (Chitete et al., 2025). Nevertheless, yields remain stagnant at approximately 600 kg/ha—less than half the potential of 1,500 kg/ha—due to a complex interplay of technical, institutional, and market constraints. The Nyungwe Extension Planning Area (EPA) in Karonga District presents a particularly strategic case, located along the Malawi-Tanzania border and serving as a critical node in regional sesame trade networks.</w:t>
      </w:r>
    </w:p>
    <w:p w14:paraId="419F726C" w14:textId="77777777" w:rsidR="00B33624" w:rsidRPr="00862A72" w:rsidRDefault="00B33624" w:rsidP="00862A72">
      <w:pPr>
        <w:shd w:val="clear" w:color="auto" w:fill="FFFFFF"/>
        <w:spacing w:after="0" w:line="360" w:lineRule="auto"/>
        <w:jc w:val="both"/>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While substantial literature exists on sesame value chains in Ethiopia (Gebretsadik, 2020; Kusse et al., 2022), Tanzania (Mhagama &amp; Mmasa, 2022), and Uganda (Munyua et al., 2013), no comprehensive study has examined the Malawi-Tanzania cross-border sesame value chain. This represents a significant research gap for four reasons.</w:t>
      </w:r>
    </w:p>
    <w:p w14:paraId="1CF562BE" w14:textId="77777777" w:rsidR="00B33624" w:rsidRPr="00862A72" w:rsidRDefault="00B33624" w:rsidP="00862A72">
      <w:pPr>
        <w:shd w:val="clear" w:color="auto" w:fill="FFFFFF"/>
        <w:spacing w:after="0" w:line="360" w:lineRule="auto"/>
        <w:jc w:val="both"/>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 xml:space="preserve">First, Malawi's sesame sector operates within a distinct institutional environment characterized by weak regulatory enforcement, informal market arrangements, and unique cross-border dynamics that differ markedly from other East African contexts. Second, the </w:t>
      </w:r>
      <w:r w:rsidRPr="00862A72">
        <w:rPr>
          <w:rFonts w:ascii="Times New Roman" w:eastAsia="Times New Roman" w:hAnsi="Times New Roman" w:cs="Times New Roman"/>
          <w:sz w:val="24"/>
          <w:szCs w:val="24"/>
          <w:lang w:eastAsia="en-GB"/>
        </w:rPr>
        <w:lastRenderedPageBreak/>
        <w:t>Karonga border region exhibits distinctive patterns of market integration in which informal cross-border trade dominates formal channels, creating both opportunities and vulnerabilities for smallholders. Third, existing studies have not systematically quantified the hidden transaction costs arising from non-standardized measurement practices—a pervasive constraint in Malawian markets. Fourth, the paradox of high producer margins coexisting with limited market power has not been adequately theorized in the smallholder value chain literature.</w:t>
      </w:r>
    </w:p>
    <w:p w14:paraId="0CD9CDC5" w14:textId="77777777" w:rsidR="00B33624" w:rsidRPr="00862A72" w:rsidRDefault="00B33624" w:rsidP="00862A72">
      <w:pPr>
        <w:shd w:val="clear" w:color="auto" w:fill="FFFFFF"/>
        <w:spacing w:after="0" w:line="360" w:lineRule="auto"/>
        <w:jc w:val="both"/>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This study addresses these gaps by providing the first comprehensive analysis of the Malawi-Tanzania cross-border sesame value chain, offering three novel contributions:</w:t>
      </w:r>
    </w:p>
    <w:p w14:paraId="1AB7C1A1" w14:textId="77777777" w:rsidR="00B33624" w:rsidRPr="00862A72" w:rsidRDefault="00B33624" w:rsidP="00862A72">
      <w:pPr>
        <w:numPr>
          <w:ilvl w:val="0"/>
          <w:numId w:val="16"/>
        </w:numPr>
        <w:shd w:val="clear" w:color="auto" w:fill="FFFFFF"/>
        <w:spacing w:after="0" w:line="360" w:lineRule="auto"/>
        <w:jc w:val="both"/>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Empirical documentation of cross-border value chain dynamics, including actor networks, margin distribution, and coordination mechanisms;</w:t>
      </w:r>
    </w:p>
    <w:p w14:paraId="168C06C5" w14:textId="77777777" w:rsidR="00B33624" w:rsidRPr="00862A72" w:rsidRDefault="00B33624" w:rsidP="00862A72">
      <w:pPr>
        <w:numPr>
          <w:ilvl w:val="0"/>
          <w:numId w:val="16"/>
        </w:numPr>
        <w:shd w:val="clear" w:color="auto" w:fill="FFFFFF"/>
        <w:spacing w:after="0" w:line="360" w:lineRule="auto"/>
        <w:jc w:val="both"/>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Quantification of hidden transaction costs arising from informal measurement systems and institutional voids; and</w:t>
      </w:r>
    </w:p>
    <w:p w14:paraId="14EC7FC5" w14:textId="77777777" w:rsidR="00B33624" w:rsidRPr="00862A72" w:rsidRDefault="00B33624" w:rsidP="00862A72">
      <w:pPr>
        <w:numPr>
          <w:ilvl w:val="0"/>
          <w:numId w:val="16"/>
        </w:numPr>
        <w:shd w:val="clear" w:color="auto" w:fill="FFFFFF"/>
        <w:spacing w:after="0" w:line="360" w:lineRule="auto"/>
        <w:jc w:val="both"/>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 xml:space="preserve">Theorization of the "margin paradox," whereby seemingly </w:t>
      </w:r>
      <w:proofErr w:type="spellStart"/>
      <w:r w:rsidRPr="00862A72">
        <w:rPr>
          <w:rFonts w:ascii="Times New Roman" w:eastAsia="Times New Roman" w:hAnsi="Times New Roman" w:cs="Times New Roman"/>
          <w:sz w:val="24"/>
          <w:szCs w:val="24"/>
          <w:lang w:eastAsia="en-GB"/>
        </w:rPr>
        <w:t>favorable</w:t>
      </w:r>
      <w:proofErr w:type="spellEnd"/>
      <w:r w:rsidRPr="00862A72">
        <w:rPr>
          <w:rFonts w:ascii="Times New Roman" w:eastAsia="Times New Roman" w:hAnsi="Times New Roman" w:cs="Times New Roman"/>
          <w:sz w:val="24"/>
          <w:szCs w:val="24"/>
          <w:lang w:eastAsia="en-GB"/>
        </w:rPr>
        <w:t xml:space="preserve"> margin distributions mask underlying power asymmetries.</w:t>
      </w:r>
    </w:p>
    <w:p w14:paraId="1CAABD32" w14:textId="46D2DE70" w:rsidR="009A44BC" w:rsidRPr="00862A72" w:rsidRDefault="009A44BC" w:rsidP="00A14449">
      <w:pPr>
        <w:pStyle w:val="Heading3"/>
      </w:pPr>
      <w:r w:rsidRPr="00862A72">
        <w:t>1.</w:t>
      </w:r>
      <w:r w:rsidR="00F30E87" w:rsidRPr="00862A72">
        <w:t>1</w:t>
      </w:r>
      <w:r w:rsidRPr="00862A72">
        <w:t xml:space="preserve"> Theoretical Framework</w:t>
      </w:r>
    </w:p>
    <w:p w14:paraId="5D28DF95" w14:textId="77777777" w:rsidR="009A44BC" w:rsidRPr="00862A72" w:rsidRDefault="009A44BC" w:rsidP="00862A72">
      <w:pPr>
        <w:pStyle w:val="ds-markdown-paragraph"/>
        <w:shd w:val="clear" w:color="auto" w:fill="FFFFFF"/>
        <w:spacing w:before="0" w:beforeAutospacing="0" w:after="0" w:afterAutospacing="0" w:line="360" w:lineRule="auto"/>
        <w:jc w:val="both"/>
      </w:pPr>
      <w:r w:rsidRPr="00862A72">
        <w:t>This study integrates three complementary theoretical perspectives:</w:t>
      </w:r>
    </w:p>
    <w:p w14:paraId="04164EB8" w14:textId="77777777" w:rsidR="009A44BC" w:rsidRPr="00862A72" w:rsidRDefault="009A44BC" w:rsidP="00862A72">
      <w:pPr>
        <w:pStyle w:val="ds-markdown-paragraph"/>
        <w:shd w:val="clear" w:color="auto" w:fill="FFFFFF"/>
        <w:spacing w:before="0" w:beforeAutospacing="0" w:after="0" w:afterAutospacing="0" w:line="360" w:lineRule="auto"/>
        <w:jc w:val="both"/>
      </w:pPr>
      <w:r w:rsidRPr="00862A72">
        <w:rPr>
          <w:rStyle w:val="Strong"/>
        </w:rPr>
        <w:t>Institutional Economics</w:t>
      </w:r>
      <w:r w:rsidRPr="00862A72">
        <w:t> (North, 1990) provides the lens for understanding how formal and informal institutions—including property rights, contract enforcement, and measurement standards—shape transaction costs and market coordination. The prevalence of non-standardized measurements in Nyungwe EPA represents an institutional failure that increases uncertainty and reduces efficiency.</w:t>
      </w:r>
    </w:p>
    <w:p w14:paraId="66D6986C" w14:textId="77777777" w:rsidR="009A44BC" w:rsidRPr="00862A72" w:rsidRDefault="009A44BC" w:rsidP="00862A72">
      <w:pPr>
        <w:pStyle w:val="ds-markdown-paragraph"/>
        <w:shd w:val="clear" w:color="auto" w:fill="FFFFFF"/>
        <w:spacing w:before="0" w:beforeAutospacing="0" w:after="0" w:afterAutospacing="0" w:line="360" w:lineRule="auto"/>
        <w:jc w:val="both"/>
      </w:pPr>
      <w:r w:rsidRPr="00862A72">
        <w:rPr>
          <w:rStyle w:val="Strong"/>
        </w:rPr>
        <w:t>Value Chain Governance Theory</w:t>
      </w:r>
      <w:r w:rsidRPr="00862A72">
        <w:t> (Gereffi et al., 2005) informs analysis of coordination mechanisms and power asymmetries among actors. The modular governance structure observed in sesame chains, where arm's-length market relationships predominate, has implications for upgrading opportunities and margin distribution.</w:t>
      </w:r>
    </w:p>
    <w:p w14:paraId="51A24E2F" w14:textId="77777777" w:rsidR="009A44BC" w:rsidRPr="00862A72" w:rsidRDefault="009A44BC" w:rsidP="00862A72">
      <w:pPr>
        <w:pStyle w:val="ds-markdown-paragraph"/>
        <w:shd w:val="clear" w:color="auto" w:fill="FFFFFF"/>
        <w:spacing w:before="0" w:beforeAutospacing="0" w:after="0" w:afterAutospacing="0" w:line="360" w:lineRule="auto"/>
        <w:jc w:val="both"/>
      </w:pPr>
      <w:r w:rsidRPr="00862A72">
        <w:rPr>
          <w:rStyle w:val="Strong"/>
        </w:rPr>
        <w:t>Market Systems Development Framework</w:t>
      </w:r>
      <w:r w:rsidRPr="00862A72">
        <w:t> (DFID, 2015) guides the identification of systemic constraints and intervention points, emphasizing the interconnectedness of core value chain functions, supporting services, and the enabling environment.</w:t>
      </w:r>
    </w:p>
    <w:p w14:paraId="5E466021" w14:textId="4FE81ECB" w:rsidR="00287D3D" w:rsidRPr="00862A72" w:rsidRDefault="00A14449" w:rsidP="00A14449">
      <w:pPr>
        <w:pStyle w:val="Heading1"/>
        <w:spacing w:line="360" w:lineRule="auto"/>
        <w:rPr>
          <w:rFonts w:ascii="Times New Roman" w:hAnsi="Times New Roman" w:cs="Times New Roman"/>
          <w:b/>
          <w:bCs/>
          <w:color w:val="auto"/>
          <w:sz w:val="24"/>
          <w:szCs w:val="24"/>
        </w:rPr>
      </w:pPr>
      <w:r w:rsidRPr="00862A72">
        <w:rPr>
          <w:rFonts w:ascii="Times New Roman" w:hAnsi="Times New Roman" w:cs="Times New Roman"/>
          <w:b/>
          <w:bCs/>
          <w:color w:val="auto"/>
          <w:sz w:val="24"/>
          <w:szCs w:val="24"/>
        </w:rPr>
        <w:t>2.0 METHODOLOGY</w:t>
      </w:r>
    </w:p>
    <w:p w14:paraId="3150B9E2" w14:textId="2CEBECAF" w:rsidR="00287D3D" w:rsidRPr="00A14449" w:rsidRDefault="00287D3D" w:rsidP="00A14449">
      <w:pPr>
        <w:pStyle w:val="Heading2"/>
        <w:spacing w:before="0" w:line="360" w:lineRule="auto"/>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2.1 Study Area Context</w:t>
      </w:r>
    </w:p>
    <w:p w14:paraId="606E97EE" w14:textId="77777777" w:rsidR="00F30E87" w:rsidRPr="00A14449" w:rsidRDefault="00F30E87" w:rsidP="00A14449">
      <w:pPr>
        <w:spacing w:line="360" w:lineRule="auto"/>
        <w:jc w:val="both"/>
        <w:rPr>
          <w:rFonts w:ascii="Times New Roman" w:hAnsi="Times New Roman" w:cs="Times New Roman"/>
          <w:sz w:val="24"/>
          <w:szCs w:val="24"/>
          <w:shd w:val="clear" w:color="auto" w:fill="FFFFFF"/>
        </w:rPr>
      </w:pPr>
      <w:r w:rsidRPr="00A14449">
        <w:rPr>
          <w:rFonts w:ascii="Times New Roman" w:hAnsi="Times New Roman" w:cs="Times New Roman"/>
          <w:sz w:val="24"/>
          <w:szCs w:val="24"/>
        </w:rPr>
        <w:t xml:space="preserve">The study was conducted in the Nyungwe Extension Planning Area (EPA), located in Karonga District, Northern Malawi (9°56' S, 33°56' E). Nyungwe EPA was purposively </w:t>
      </w:r>
      <w:r w:rsidRPr="00A14449">
        <w:rPr>
          <w:rFonts w:ascii="Times New Roman" w:hAnsi="Times New Roman" w:cs="Times New Roman"/>
          <w:sz w:val="24"/>
          <w:szCs w:val="24"/>
        </w:rPr>
        <w:lastRenderedPageBreak/>
        <w:t>selected based on four criteria: (1) its prominence in sesame production, accounting for approximately 35% of Karonga District's total output; (2) its strategic location along the Malawi-Tanzania border, which facilitates cross-border trade; (3) its accessibility via the M1 road corridor; and (4) the presence of diverse value chain actors within the area. The area experiences unimodal rainfall from November to April, with mean annual precipitation ranging</w:t>
      </w:r>
      <w:r w:rsidRPr="00A14449">
        <w:rPr>
          <w:rFonts w:ascii="Times New Roman" w:hAnsi="Times New Roman" w:cs="Times New Roman"/>
          <w:sz w:val="24"/>
          <w:szCs w:val="24"/>
          <w:shd w:val="clear" w:color="auto" w:fill="FFFFFF"/>
        </w:rPr>
        <w:t xml:space="preserve"> from 900 to 1,200 mm and temperatures varying between 20°C and 32°C.</w:t>
      </w:r>
    </w:p>
    <w:p w14:paraId="6D5EF49E" w14:textId="5DC4C2B6" w:rsidR="00287D3D" w:rsidRPr="00A14449" w:rsidRDefault="00287D3D" w:rsidP="00A14449">
      <w:pPr>
        <w:pStyle w:val="Heading2"/>
        <w:spacing w:line="360" w:lineRule="auto"/>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 xml:space="preserve"> 2.2 Research Design</w:t>
      </w:r>
    </w:p>
    <w:p w14:paraId="11512C06" w14:textId="77777777" w:rsidR="00F30E87" w:rsidRPr="00A14449" w:rsidRDefault="00F30E87" w:rsidP="00A14449">
      <w:pPr>
        <w:spacing w:line="360" w:lineRule="auto"/>
        <w:jc w:val="both"/>
        <w:rPr>
          <w:rFonts w:ascii="Times New Roman" w:hAnsi="Times New Roman" w:cs="Times New Roman"/>
          <w:sz w:val="24"/>
          <w:szCs w:val="24"/>
          <w:shd w:val="clear" w:color="auto" w:fill="FFFFFF"/>
        </w:rPr>
      </w:pPr>
      <w:r w:rsidRPr="00A14449">
        <w:rPr>
          <w:rFonts w:ascii="Times New Roman" w:hAnsi="Times New Roman" w:cs="Times New Roman"/>
          <w:sz w:val="24"/>
          <w:szCs w:val="24"/>
          <w:shd w:val="clear" w:color="auto" w:fill="FFFFFF"/>
        </w:rPr>
        <w:t xml:space="preserve">A cross-sectional mixed-methods design was employed, integrating quantitative surveys with qualitative methods to enable triangulation and facilitate comprehensive system analysis (Creswell &amp; Clark, 2017). This design was selected to capture both the structural characteristics of the marketing system and the contextual factors shaping actor </w:t>
      </w:r>
      <w:proofErr w:type="spellStart"/>
      <w:r w:rsidRPr="00A14449">
        <w:rPr>
          <w:rFonts w:ascii="Times New Roman" w:hAnsi="Times New Roman" w:cs="Times New Roman"/>
          <w:sz w:val="24"/>
          <w:szCs w:val="24"/>
          <w:shd w:val="clear" w:color="auto" w:fill="FFFFFF"/>
        </w:rPr>
        <w:t>behavior</w:t>
      </w:r>
      <w:proofErr w:type="spellEnd"/>
      <w:r w:rsidRPr="00A14449">
        <w:rPr>
          <w:rFonts w:ascii="Times New Roman" w:hAnsi="Times New Roman" w:cs="Times New Roman"/>
          <w:sz w:val="24"/>
          <w:szCs w:val="24"/>
          <w:shd w:val="clear" w:color="auto" w:fill="FFFFFF"/>
        </w:rPr>
        <w:t>.</w:t>
      </w:r>
    </w:p>
    <w:p w14:paraId="4C89771A" w14:textId="25CF0074" w:rsidR="00287D3D" w:rsidRPr="00A14449" w:rsidRDefault="00287D3D" w:rsidP="00A14449">
      <w:pPr>
        <w:pStyle w:val="Heading2"/>
        <w:spacing w:line="360" w:lineRule="auto"/>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 xml:space="preserve"> 2.3 Sampling Strategy and Sample Size Determination</w:t>
      </w:r>
    </w:p>
    <w:p w14:paraId="41E28A5A" w14:textId="77777777" w:rsidR="006E13BA" w:rsidRPr="00A14449" w:rsidRDefault="00287D3D"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Sample size was calculated using the Yamane (1967) formula: n = N/(1+Ne²), where N = estimated population of sesame stakeholders (3,500), e = sampling error (0.08), yielding n = 150 at 92% confidence level.</w:t>
      </w:r>
      <w:r w:rsidR="006E13BA" w:rsidRPr="00A14449">
        <w:rPr>
          <w:rFonts w:ascii="Times New Roman" w:hAnsi="Times New Roman" w:cs="Times New Roman"/>
          <w:sz w:val="24"/>
          <w:szCs w:val="24"/>
        </w:rPr>
        <w:t xml:space="preserve"> </w:t>
      </w:r>
    </w:p>
    <w:p w14:paraId="08A9D59B" w14:textId="792F3F0B" w:rsidR="002022A0" w:rsidRPr="00A14449" w:rsidRDefault="002022A0" w:rsidP="00A14449">
      <w:pPr>
        <w:spacing w:after="0" w:line="360" w:lineRule="auto"/>
        <w:jc w:val="both"/>
        <w:rPr>
          <w:rFonts w:ascii="Times New Roman" w:hAnsi="Times New Roman" w:cs="Times New Roman"/>
          <w:sz w:val="24"/>
          <w:szCs w:val="24"/>
          <w:shd w:val="clear" w:color="auto" w:fill="FFFFFF"/>
        </w:rPr>
      </w:pPr>
      <w:r w:rsidRPr="00A14449">
        <w:rPr>
          <w:rFonts w:ascii="Times New Roman" w:hAnsi="Times New Roman" w:cs="Times New Roman"/>
          <w:sz w:val="24"/>
          <w:szCs w:val="24"/>
          <w:shd w:val="clear" w:color="auto" w:fill="FFFFFF"/>
        </w:rPr>
        <w:t>A multistage sampling procedure was implemented to ensure representative and systematic data collection. In the first stage, Nyungwe EPA was purposively selected based on its significance in sesame production and its strategic position for cross-border trade. In the second stage, the EPA was stratified into eight sesame-producing sections with the assistance of extension workers. The third stage involved the random selection of farmers from household lists within each section, employing probability proportional to population size. Finally, market actors—including input suppliers, middlemen, wholesalers, and retailers—were purposively sampled using snowball sampling, with initial contacts identified by farmers during the survey.</w:t>
      </w:r>
    </w:p>
    <w:p w14:paraId="3B3BB7EA" w14:textId="4162DC4A" w:rsidR="00287D3D" w:rsidRPr="00A14449" w:rsidRDefault="00287D3D" w:rsidP="00A14449">
      <w:pPr>
        <w:spacing w:after="0" w:line="240" w:lineRule="auto"/>
        <w:rPr>
          <w:rFonts w:ascii="Times New Roman" w:hAnsi="Times New Roman" w:cs="Times New Roman"/>
          <w:b/>
          <w:bCs/>
          <w:sz w:val="24"/>
          <w:szCs w:val="24"/>
        </w:rPr>
      </w:pPr>
      <w:r w:rsidRPr="00A14449">
        <w:rPr>
          <w:rFonts w:ascii="Times New Roman" w:hAnsi="Times New Roman" w:cs="Times New Roman"/>
          <w:b/>
          <w:bCs/>
          <w:sz w:val="24"/>
          <w:szCs w:val="24"/>
        </w:rPr>
        <w:t>Table 1: Sample Size Distribution and Data Collection Methods</w:t>
      </w:r>
    </w:p>
    <w:tbl>
      <w:tblPr>
        <w:tblStyle w:val="TableGrid"/>
        <w:tblW w:w="9351" w:type="dxa"/>
        <w:tblLook w:val="04A0" w:firstRow="1" w:lastRow="0" w:firstColumn="1" w:lastColumn="0" w:noHBand="0" w:noVBand="1"/>
      </w:tblPr>
      <w:tblGrid>
        <w:gridCol w:w="2436"/>
        <w:gridCol w:w="2237"/>
        <w:gridCol w:w="1701"/>
        <w:gridCol w:w="1418"/>
        <w:gridCol w:w="1559"/>
      </w:tblGrid>
      <w:tr w:rsidR="002022A0" w:rsidRPr="00A14449" w14:paraId="6D213B60" w14:textId="77777777" w:rsidTr="00422FB4">
        <w:tc>
          <w:tcPr>
            <w:tcW w:w="0" w:type="auto"/>
            <w:hideMark/>
          </w:tcPr>
          <w:p w14:paraId="37983030" w14:textId="77777777" w:rsidR="002022A0" w:rsidRPr="00A14449" w:rsidRDefault="002022A0" w:rsidP="00A14449">
            <w:pPr>
              <w:rPr>
                <w:rFonts w:ascii="Times New Roman" w:eastAsia="Times New Roman" w:hAnsi="Times New Roman" w:cs="Times New Roman"/>
                <w:b/>
                <w:bCs/>
                <w:sz w:val="18"/>
                <w:szCs w:val="18"/>
                <w:lang w:eastAsia="en-GB"/>
              </w:rPr>
            </w:pPr>
            <w:r w:rsidRPr="00A14449">
              <w:rPr>
                <w:rFonts w:ascii="Times New Roman" w:eastAsia="Times New Roman" w:hAnsi="Times New Roman" w:cs="Times New Roman"/>
                <w:b/>
                <w:bCs/>
                <w:sz w:val="18"/>
                <w:szCs w:val="18"/>
                <w:lang w:eastAsia="en-GB"/>
              </w:rPr>
              <w:t>Respondent Category</w:t>
            </w:r>
          </w:p>
        </w:tc>
        <w:tc>
          <w:tcPr>
            <w:tcW w:w="2237" w:type="dxa"/>
            <w:hideMark/>
          </w:tcPr>
          <w:p w14:paraId="647D7894" w14:textId="77777777" w:rsidR="002022A0" w:rsidRPr="00A14449" w:rsidRDefault="002022A0" w:rsidP="00A14449">
            <w:pPr>
              <w:jc w:val="center"/>
              <w:rPr>
                <w:rFonts w:ascii="Times New Roman" w:eastAsia="Times New Roman" w:hAnsi="Times New Roman" w:cs="Times New Roman"/>
                <w:b/>
                <w:bCs/>
                <w:sz w:val="18"/>
                <w:szCs w:val="18"/>
                <w:lang w:eastAsia="en-GB"/>
              </w:rPr>
            </w:pPr>
            <w:r w:rsidRPr="00A14449">
              <w:rPr>
                <w:rFonts w:ascii="Times New Roman" w:eastAsia="Times New Roman" w:hAnsi="Times New Roman" w:cs="Times New Roman"/>
                <w:b/>
                <w:bCs/>
                <w:sz w:val="18"/>
                <w:szCs w:val="18"/>
                <w:lang w:eastAsia="en-GB"/>
              </w:rPr>
              <w:t>Sample Size</w:t>
            </w:r>
          </w:p>
        </w:tc>
        <w:tc>
          <w:tcPr>
            <w:tcW w:w="1701" w:type="dxa"/>
            <w:hideMark/>
          </w:tcPr>
          <w:p w14:paraId="3C87A91F" w14:textId="77777777" w:rsidR="002022A0" w:rsidRPr="00A14449" w:rsidRDefault="002022A0" w:rsidP="00A14449">
            <w:pPr>
              <w:jc w:val="center"/>
              <w:rPr>
                <w:rFonts w:ascii="Times New Roman" w:eastAsia="Times New Roman" w:hAnsi="Times New Roman" w:cs="Times New Roman"/>
                <w:b/>
                <w:bCs/>
                <w:sz w:val="18"/>
                <w:szCs w:val="18"/>
                <w:lang w:eastAsia="en-GB"/>
              </w:rPr>
            </w:pPr>
            <w:r w:rsidRPr="00A14449">
              <w:rPr>
                <w:rFonts w:ascii="Times New Roman" w:eastAsia="Times New Roman" w:hAnsi="Times New Roman" w:cs="Times New Roman"/>
                <w:b/>
                <w:bCs/>
                <w:sz w:val="18"/>
                <w:szCs w:val="18"/>
                <w:lang w:eastAsia="en-GB"/>
              </w:rPr>
              <w:t>Surveys</w:t>
            </w:r>
          </w:p>
        </w:tc>
        <w:tc>
          <w:tcPr>
            <w:tcW w:w="1418" w:type="dxa"/>
            <w:hideMark/>
          </w:tcPr>
          <w:p w14:paraId="3B6FDE8F" w14:textId="77777777" w:rsidR="002022A0" w:rsidRPr="00A14449" w:rsidRDefault="002022A0" w:rsidP="00A14449">
            <w:pPr>
              <w:rPr>
                <w:rFonts w:ascii="Times New Roman" w:eastAsia="Times New Roman" w:hAnsi="Times New Roman" w:cs="Times New Roman"/>
                <w:b/>
                <w:bCs/>
                <w:sz w:val="18"/>
                <w:szCs w:val="18"/>
                <w:lang w:eastAsia="en-GB"/>
              </w:rPr>
            </w:pPr>
            <w:r w:rsidRPr="00A14449">
              <w:rPr>
                <w:rFonts w:ascii="Times New Roman" w:eastAsia="Times New Roman" w:hAnsi="Times New Roman" w:cs="Times New Roman"/>
                <w:b/>
                <w:bCs/>
                <w:sz w:val="18"/>
                <w:szCs w:val="18"/>
                <w:lang w:eastAsia="en-GB"/>
              </w:rPr>
              <w:t>FGDs</w:t>
            </w:r>
          </w:p>
        </w:tc>
        <w:tc>
          <w:tcPr>
            <w:tcW w:w="1559" w:type="dxa"/>
            <w:hideMark/>
          </w:tcPr>
          <w:p w14:paraId="4DB9D4B0" w14:textId="77777777" w:rsidR="002022A0" w:rsidRPr="00A14449" w:rsidRDefault="002022A0" w:rsidP="00422FB4">
            <w:pPr>
              <w:rPr>
                <w:rFonts w:ascii="Times New Roman" w:eastAsia="Times New Roman" w:hAnsi="Times New Roman" w:cs="Times New Roman"/>
                <w:b/>
                <w:bCs/>
                <w:sz w:val="18"/>
                <w:szCs w:val="18"/>
                <w:lang w:eastAsia="en-GB"/>
              </w:rPr>
            </w:pPr>
            <w:r w:rsidRPr="00A14449">
              <w:rPr>
                <w:rFonts w:ascii="Times New Roman" w:eastAsia="Times New Roman" w:hAnsi="Times New Roman" w:cs="Times New Roman"/>
                <w:b/>
                <w:bCs/>
                <w:sz w:val="18"/>
                <w:szCs w:val="18"/>
                <w:lang w:eastAsia="en-GB"/>
              </w:rPr>
              <w:t>KIIs</w:t>
            </w:r>
          </w:p>
        </w:tc>
      </w:tr>
      <w:tr w:rsidR="002022A0" w:rsidRPr="00A14449" w14:paraId="2D506A7A" w14:textId="77777777" w:rsidTr="00422FB4">
        <w:tc>
          <w:tcPr>
            <w:tcW w:w="0" w:type="auto"/>
            <w:hideMark/>
          </w:tcPr>
          <w:p w14:paraId="2EEFD11B"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Smallholder Farmers</w:t>
            </w:r>
          </w:p>
        </w:tc>
        <w:tc>
          <w:tcPr>
            <w:tcW w:w="2237" w:type="dxa"/>
            <w:hideMark/>
          </w:tcPr>
          <w:p w14:paraId="4135BCC5"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81</w:t>
            </w:r>
          </w:p>
        </w:tc>
        <w:tc>
          <w:tcPr>
            <w:tcW w:w="1701" w:type="dxa"/>
            <w:hideMark/>
          </w:tcPr>
          <w:p w14:paraId="4597A1BD" w14:textId="77777777" w:rsidR="002022A0" w:rsidRPr="00A14449" w:rsidRDefault="002022A0" w:rsidP="00A14449">
            <w:pPr>
              <w:rPr>
                <w:rFonts w:ascii="Times New Roman" w:eastAsia="Times New Roman" w:hAnsi="Times New Roman" w:cs="Times New Roman"/>
                <w:lang w:eastAsia="en-GB"/>
              </w:rPr>
            </w:pPr>
            <w:r w:rsidRPr="00A14449">
              <w:rPr>
                <w:rFonts w:ascii="Segoe UI Symbol" w:eastAsia="Times New Roman" w:hAnsi="Segoe UI Symbol" w:cs="Segoe UI Symbol"/>
                <w:lang w:eastAsia="en-GB"/>
              </w:rPr>
              <w:t>✔</w:t>
            </w:r>
          </w:p>
        </w:tc>
        <w:tc>
          <w:tcPr>
            <w:tcW w:w="1418" w:type="dxa"/>
            <w:hideMark/>
          </w:tcPr>
          <w:p w14:paraId="6524B722"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3</w:t>
            </w:r>
          </w:p>
        </w:tc>
        <w:tc>
          <w:tcPr>
            <w:tcW w:w="1559" w:type="dxa"/>
            <w:hideMark/>
          </w:tcPr>
          <w:p w14:paraId="4C928DA2"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w:t>
            </w:r>
          </w:p>
        </w:tc>
      </w:tr>
      <w:tr w:rsidR="002022A0" w:rsidRPr="00A14449" w14:paraId="57E13B4F" w14:textId="77777777" w:rsidTr="00422FB4">
        <w:tc>
          <w:tcPr>
            <w:tcW w:w="0" w:type="auto"/>
            <w:hideMark/>
          </w:tcPr>
          <w:p w14:paraId="01119002"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Input Suppliers</w:t>
            </w:r>
          </w:p>
        </w:tc>
        <w:tc>
          <w:tcPr>
            <w:tcW w:w="2237" w:type="dxa"/>
            <w:hideMark/>
          </w:tcPr>
          <w:p w14:paraId="19CE4D5C"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20</w:t>
            </w:r>
          </w:p>
        </w:tc>
        <w:tc>
          <w:tcPr>
            <w:tcW w:w="1701" w:type="dxa"/>
            <w:hideMark/>
          </w:tcPr>
          <w:p w14:paraId="1A7A717B" w14:textId="77777777" w:rsidR="002022A0" w:rsidRPr="00A14449" w:rsidRDefault="002022A0" w:rsidP="00A14449">
            <w:pPr>
              <w:rPr>
                <w:rFonts w:ascii="Times New Roman" w:eastAsia="Times New Roman" w:hAnsi="Times New Roman" w:cs="Times New Roman"/>
                <w:lang w:eastAsia="en-GB"/>
              </w:rPr>
            </w:pPr>
            <w:r w:rsidRPr="00A14449">
              <w:rPr>
                <w:rFonts w:ascii="Segoe UI Symbol" w:eastAsia="Times New Roman" w:hAnsi="Segoe UI Symbol" w:cs="Segoe UI Symbol"/>
                <w:lang w:eastAsia="en-GB"/>
              </w:rPr>
              <w:t>✔</w:t>
            </w:r>
          </w:p>
        </w:tc>
        <w:tc>
          <w:tcPr>
            <w:tcW w:w="1418" w:type="dxa"/>
            <w:hideMark/>
          </w:tcPr>
          <w:p w14:paraId="66603D5B"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w:t>
            </w:r>
          </w:p>
        </w:tc>
        <w:tc>
          <w:tcPr>
            <w:tcW w:w="1559" w:type="dxa"/>
            <w:hideMark/>
          </w:tcPr>
          <w:p w14:paraId="151EC110"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5</w:t>
            </w:r>
          </w:p>
        </w:tc>
      </w:tr>
      <w:tr w:rsidR="002022A0" w:rsidRPr="00A14449" w14:paraId="1FCDBFD3" w14:textId="77777777" w:rsidTr="00422FB4">
        <w:tc>
          <w:tcPr>
            <w:tcW w:w="0" w:type="auto"/>
            <w:hideMark/>
          </w:tcPr>
          <w:p w14:paraId="76AD1DE3"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Middlemen</w:t>
            </w:r>
          </w:p>
        </w:tc>
        <w:tc>
          <w:tcPr>
            <w:tcW w:w="2237" w:type="dxa"/>
            <w:hideMark/>
          </w:tcPr>
          <w:p w14:paraId="6A6085A6"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18</w:t>
            </w:r>
          </w:p>
        </w:tc>
        <w:tc>
          <w:tcPr>
            <w:tcW w:w="1701" w:type="dxa"/>
            <w:hideMark/>
          </w:tcPr>
          <w:p w14:paraId="13F418A2" w14:textId="77777777" w:rsidR="002022A0" w:rsidRPr="00A14449" w:rsidRDefault="002022A0" w:rsidP="00A14449">
            <w:pPr>
              <w:rPr>
                <w:rFonts w:ascii="Times New Roman" w:eastAsia="Times New Roman" w:hAnsi="Times New Roman" w:cs="Times New Roman"/>
                <w:lang w:eastAsia="en-GB"/>
              </w:rPr>
            </w:pPr>
            <w:r w:rsidRPr="00A14449">
              <w:rPr>
                <w:rFonts w:ascii="Segoe UI Symbol" w:eastAsia="Times New Roman" w:hAnsi="Segoe UI Symbol" w:cs="Segoe UI Symbol"/>
                <w:lang w:eastAsia="en-GB"/>
              </w:rPr>
              <w:t>✔</w:t>
            </w:r>
          </w:p>
        </w:tc>
        <w:tc>
          <w:tcPr>
            <w:tcW w:w="1418" w:type="dxa"/>
            <w:hideMark/>
          </w:tcPr>
          <w:p w14:paraId="1661C4D6"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w:t>
            </w:r>
          </w:p>
        </w:tc>
        <w:tc>
          <w:tcPr>
            <w:tcW w:w="1559" w:type="dxa"/>
            <w:hideMark/>
          </w:tcPr>
          <w:p w14:paraId="3FC9123F"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4</w:t>
            </w:r>
          </w:p>
        </w:tc>
      </w:tr>
      <w:tr w:rsidR="002022A0" w:rsidRPr="00A14449" w14:paraId="0B0EED36" w14:textId="77777777" w:rsidTr="00422FB4">
        <w:tc>
          <w:tcPr>
            <w:tcW w:w="0" w:type="auto"/>
            <w:hideMark/>
          </w:tcPr>
          <w:p w14:paraId="3344B953"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Wholesalers</w:t>
            </w:r>
          </w:p>
        </w:tc>
        <w:tc>
          <w:tcPr>
            <w:tcW w:w="2237" w:type="dxa"/>
            <w:hideMark/>
          </w:tcPr>
          <w:p w14:paraId="6E867D6A"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14</w:t>
            </w:r>
          </w:p>
        </w:tc>
        <w:tc>
          <w:tcPr>
            <w:tcW w:w="1701" w:type="dxa"/>
            <w:hideMark/>
          </w:tcPr>
          <w:p w14:paraId="38864AA9" w14:textId="77777777" w:rsidR="002022A0" w:rsidRPr="00A14449" w:rsidRDefault="002022A0" w:rsidP="00A14449">
            <w:pPr>
              <w:rPr>
                <w:rFonts w:ascii="Times New Roman" w:eastAsia="Times New Roman" w:hAnsi="Times New Roman" w:cs="Times New Roman"/>
                <w:lang w:eastAsia="en-GB"/>
              </w:rPr>
            </w:pPr>
            <w:r w:rsidRPr="00A14449">
              <w:rPr>
                <w:rFonts w:ascii="Segoe UI Symbol" w:eastAsia="Times New Roman" w:hAnsi="Segoe UI Symbol" w:cs="Segoe UI Symbol"/>
                <w:lang w:eastAsia="en-GB"/>
              </w:rPr>
              <w:t>✔</w:t>
            </w:r>
          </w:p>
        </w:tc>
        <w:tc>
          <w:tcPr>
            <w:tcW w:w="1418" w:type="dxa"/>
            <w:hideMark/>
          </w:tcPr>
          <w:p w14:paraId="12EB18AD"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w:t>
            </w:r>
          </w:p>
        </w:tc>
        <w:tc>
          <w:tcPr>
            <w:tcW w:w="1559" w:type="dxa"/>
            <w:hideMark/>
          </w:tcPr>
          <w:p w14:paraId="601E722C"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4</w:t>
            </w:r>
          </w:p>
        </w:tc>
      </w:tr>
      <w:tr w:rsidR="002022A0" w:rsidRPr="00A14449" w14:paraId="364F13B0" w14:textId="77777777" w:rsidTr="00422FB4">
        <w:tc>
          <w:tcPr>
            <w:tcW w:w="0" w:type="auto"/>
            <w:hideMark/>
          </w:tcPr>
          <w:p w14:paraId="56AEE152"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Retailers</w:t>
            </w:r>
          </w:p>
        </w:tc>
        <w:tc>
          <w:tcPr>
            <w:tcW w:w="2237" w:type="dxa"/>
            <w:hideMark/>
          </w:tcPr>
          <w:p w14:paraId="0E06E32E"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19</w:t>
            </w:r>
          </w:p>
        </w:tc>
        <w:tc>
          <w:tcPr>
            <w:tcW w:w="1701" w:type="dxa"/>
            <w:hideMark/>
          </w:tcPr>
          <w:p w14:paraId="39460DC4" w14:textId="77777777" w:rsidR="002022A0" w:rsidRPr="00A14449" w:rsidRDefault="002022A0" w:rsidP="00A14449">
            <w:pPr>
              <w:rPr>
                <w:rFonts w:ascii="Times New Roman" w:eastAsia="Times New Roman" w:hAnsi="Times New Roman" w:cs="Times New Roman"/>
                <w:lang w:eastAsia="en-GB"/>
              </w:rPr>
            </w:pPr>
            <w:r w:rsidRPr="00A14449">
              <w:rPr>
                <w:rFonts w:ascii="Segoe UI Symbol" w:eastAsia="Times New Roman" w:hAnsi="Segoe UI Symbol" w:cs="Segoe UI Symbol"/>
                <w:lang w:eastAsia="en-GB"/>
              </w:rPr>
              <w:t>✔</w:t>
            </w:r>
          </w:p>
        </w:tc>
        <w:tc>
          <w:tcPr>
            <w:tcW w:w="1418" w:type="dxa"/>
            <w:hideMark/>
          </w:tcPr>
          <w:p w14:paraId="4F8AD891"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w:t>
            </w:r>
          </w:p>
        </w:tc>
        <w:tc>
          <w:tcPr>
            <w:tcW w:w="1559" w:type="dxa"/>
            <w:hideMark/>
          </w:tcPr>
          <w:p w14:paraId="1CA30DA4"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5</w:t>
            </w:r>
          </w:p>
        </w:tc>
      </w:tr>
      <w:tr w:rsidR="002022A0" w:rsidRPr="00A14449" w14:paraId="2CA4E5DD" w14:textId="77777777" w:rsidTr="00422FB4">
        <w:tc>
          <w:tcPr>
            <w:tcW w:w="0" w:type="auto"/>
            <w:hideMark/>
          </w:tcPr>
          <w:p w14:paraId="12B308E1"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b/>
                <w:bCs/>
                <w:lang w:eastAsia="en-GB"/>
              </w:rPr>
              <w:t>Total</w:t>
            </w:r>
          </w:p>
        </w:tc>
        <w:tc>
          <w:tcPr>
            <w:tcW w:w="2237" w:type="dxa"/>
            <w:hideMark/>
          </w:tcPr>
          <w:p w14:paraId="79684D37"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150</w:t>
            </w:r>
          </w:p>
        </w:tc>
        <w:tc>
          <w:tcPr>
            <w:tcW w:w="1701" w:type="dxa"/>
            <w:hideMark/>
          </w:tcPr>
          <w:p w14:paraId="31674100" w14:textId="77777777" w:rsidR="002022A0" w:rsidRPr="00A14449" w:rsidRDefault="002022A0" w:rsidP="00A14449">
            <w:pPr>
              <w:rPr>
                <w:rFonts w:ascii="Times New Roman" w:eastAsia="Times New Roman" w:hAnsi="Times New Roman" w:cs="Times New Roman"/>
                <w:lang w:eastAsia="en-GB"/>
              </w:rPr>
            </w:pPr>
            <w:r w:rsidRPr="00A14449">
              <w:rPr>
                <w:rFonts w:ascii="Segoe UI Symbol" w:eastAsia="Times New Roman" w:hAnsi="Segoe UI Symbol" w:cs="Segoe UI Symbol"/>
                <w:lang w:eastAsia="en-GB"/>
              </w:rPr>
              <w:t>✔</w:t>
            </w:r>
          </w:p>
        </w:tc>
        <w:tc>
          <w:tcPr>
            <w:tcW w:w="1418" w:type="dxa"/>
            <w:hideMark/>
          </w:tcPr>
          <w:p w14:paraId="613566F4"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3</w:t>
            </w:r>
          </w:p>
        </w:tc>
        <w:tc>
          <w:tcPr>
            <w:tcW w:w="1559" w:type="dxa"/>
            <w:hideMark/>
          </w:tcPr>
          <w:p w14:paraId="58BB8331" w14:textId="77777777" w:rsidR="002022A0" w:rsidRPr="00A14449" w:rsidRDefault="002022A0" w:rsidP="00A14449">
            <w:pPr>
              <w:rPr>
                <w:rFonts w:ascii="Times New Roman" w:eastAsia="Times New Roman" w:hAnsi="Times New Roman" w:cs="Times New Roman"/>
                <w:lang w:eastAsia="en-GB"/>
              </w:rPr>
            </w:pPr>
            <w:r w:rsidRPr="00A14449">
              <w:rPr>
                <w:rFonts w:ascii="Times New Roman" w:eastAsia="Times New Roman" w:hAnsi="Times New Roman" w:cs="Times New Roman"/>
                <w:lang w:eastAsia="en-GB"/>
              </w:rPr>
              <w:t>18</w:t>
            </w:r>
          </w:p>
        </w:tc>
      </w:tr>
    </w:tbl>
    <w:p w14:paraId="4A021A71" w14:textId="60AB8153" w:rsidR="00287D3D" w:rsidRPr="00A14449" w:rsidRDefault="00287D3D" w:rsidP="00A14449">
      <w:pPr>
        <w:pStyle w:val="Heading2"/>
        <w:spacing w:line="360" w:lineRule="auto"/>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2.4 Data Collection Instruments and Procedures</w:t>
      </w:r>
    </w:p>
    <w:p w14:paraId="08FE4107" w14:textId="77777777" w:rsidR="003852FF" w:rsidRPr="00A14449" w:rsidRDefault="003852FF"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Four complementary instruments were developed and pre-tested:</w:t>
      </w:r>
    </w:p>
    <w:p w14:paraId="3F4CAD6D" w14:textId="6AD2DD11" w:rsidR="003852FF" w:rsidRPr="00A14449" w:rsidRDefault="003852FF"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lastRenderedPageBreak/>
        <w:t>Structured Questionnaire for Farmers: This instrument captured socio-demographic characteristics (age, gender, education, marital status, and household size), production data (area cultivated, yield, and input use), marketing information (sales volume, price, and buyer type), and constraints (using Likert-scale rankings of 15 pre-identified constraints).</w:t>
      </w:r>
    </w:p>
    <w:p w14:paraId="10833B20" w14:textId="71E3C3F2" w:rsidR="003852FF" w:rsidRPr="00A14449" w:rsidRDefault="003852FF"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Structured Questionnaire for Traders: This instrument captured business characteristics (years of operation, capital base, and volume handled), cost structure (purchase costs, transport, storage, and fees), marketing margins, and perceived constraints.</w:t>
      </w:r>
    </w:p>
    <w:p w14:paraId="1580040F" w14:textId="51D37B77" w:rsidR="003852FF" w:rsidRPr="00A14449" w:rsidRDefault="003852FF"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Key Informant Interview Guides: Semi-structured guides were developed for extension officers, market supervisors, and experienced traders to explore governance structures, coordination mechanisms, and institutional dynamics.</w:t>
      </w:r>
    </w:p>
    <w:p w14:paraId="080CE342" w14:textId="27E19789" w:rsidR="003852FF" w:rsidRPr="00A14449" w:rsidRDefault="003852FF"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Focus Group Discussion Guide: This guide was designed to explore collective experiences, social norms, and community-level constraints among farmer groups.</w:t>
      </w:r>
    </w:p>
    <w:p w14:paraId="7CEE66C7" w14:textId="77777777" w:rsidR="003852FF" w:rsidRPr="00A14449" w:rsidRDefault="003852FF"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Data were collected during the post-harvest period using KoBoToolbox installed on tablet devices. Enumerators received three days of training, which included field pre-testing of the instruments. Interviews were conducted in Chitumbuka and Chichewa, with real-time translation into English for digital recording.</w:t>
      </w:r>
    </w:p>
    <w:p w14:paraId="0BAC7B2A" w14:textId="4CDB8DEA" w:rsidR="00287D3D" w:rsidRPr="00A14449" w:rsidRDefault="00287D3D" w:rsidP="00A14449">
      <w:pPr>
        <w:pStyle w:val="Heading2"/>
        <w:spacing w:line="360" w:lineRule="auto"/>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2.5 Analytical Framework and Statistical Methods</w:t>
      </w:r>
    </w:p>
    <w:p w14:paraId="0988D0C4" w14:textId="02642839" w:rsidR="00287D3D" w:rsidRPr="00A14449" w:rsidRDefault="00287D3D" w:rsidP="00A14449">
      <w:pPr>
        <w:pStyle w:val="Heading3"/>
      </w:pPr>
      <w:r w:rsidRPr="00A14449">
        <w:t>2.5.1 Value Chain Mapping</w:t>
      </w:r>
    </w:p>
    <w:p w14:paraId="328C0413" w14:textId="77777777" w:rsidR="0053538A" w:rsidRPr="00A14449" w:rsidRDefault="0053538A" w:rsidP="00A14449">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Functional analysis and value chain mapping followed the methodology of Kaplinsky and Morris (2001), identifying core actors, support functions, and institutional arrangements. Chain maps were constructed using </w:t>
      </w:r>
      <w:proofErr w:type="spellStart"/>
      <w:r w:rsidRPr="00A14449">
        <w:rPr>
          <w:rFonts w:ascii="Times New Roman" w:hAnsi="Times New Roman" w:cs="Times New Roman"/>
          <w:sz w:val="24"/>
          <w:szCs w:val="24"/>
        </w:rPr>
        <w:t>LucidChart</w:t>
      </w:r>
      <w:proofErr w:type="spellEnd"/>
      <w:r w:rsidRPr="00A14449">
        <w:rPr>
          <w:rFonts w:ascii="Times New Roman" w:hAnsi="Times New Roman" w:cs="Times New Roman"/>
          <w:sz w:val="24"/>
          <w:szCs w:val="24"/>
        </w:rPr>
        <w:t xml:space="preserve"> and subsequently validated through stakeholder workshops.</w:t>
      </w:r>
    </w:p>
    <w:p w14:paraId="379375C2" w14:textId="37F1777C" w:rsidR="00287D3D" w:rsidRPr="00A14449" w:rsidRDefault="00287D3D" w:rsidP="00A14449">
      <w:pPr>
        <w:pStyle w:val="Heading3"/>
      </w:pPr>
      <w:r w:rsidRPr="00A14449">
        <w:t>2.5.2 Marketing Margin Analysis</w:t>
      </w:r>
    </w:p>
    <w:p w14:paraId="7C1C3E43" w14:textId="18DCCFC6" w:rsidR="00287D3D" w:rsidRPr="00A14449" w:rsidRDefault="00287D3D" w:rsidP="00A14449">
      <w:pPr>
        <w:spacing w:after="0" w:line="360" w:lineRule="auto"/>
        <w:rPr>
          <w:rFonts w:ascii="Times New Roman" w:hAnsi="Times New Roman" w:cs="Times New Roman"/>
          <w:sz w:val="24"/>
          <w:szCs w:val="24"/>
        </w:rPr>
      </w:pPr>
      <w:r w:rsidRPr="00A14449">
        <w:rPr>
          <w:rFonts w:ascii="Times New Roman" w:hAnsi="Times New Roman" w:cs="Times New Roman"/>
          <w:sz w:val="24"/>
          <w:szCs w:val="24"/>
        </w:rPr>
        <w:t>Gross margins were calculated using standard formulas (</w:t>
      </w:r>
      <w:proofErr w:type="spellStart"/>
      <w:r w:rsidRPr="00A14449">
        <w:rPr>
          <w:rFonts w:ascii="Times New Roman" w:hAnsi="Times New Roman" w:cs="Times New Roman"/>
          <w:sz w:val="24"/>
          <w:szCs w:val="24"/>
        </w:rPr>
        <w:t>Oniah</w:t>
      </w:r>
      <w:proofErr w:type="spellEnd"/>
      <w:r w:rsidRPr="00A14449">
        <w:rPr>
          <w:rFonts w:ascii="Times New Roman" w:hAnsi="Times New Roman" w:cs="Times New Roman"/>
          <w:sz w:val="24"/>
          <w:szCs w:val="24"/>
        </w:rPr>
        <w:t xml:space="preserve"> &amp; </w:t>
      </w:r>
      <w:proofErr w:type="spellStart"/>
      <w:r w:rsidRPr="00A14449">
        <w:rPr>
          <w:rFonts w:ascii="Times New Roman" w:hAnsi="Times New Roman" w:cs="Times New Roman"/>
          <w:sz w:val="24"/>
          <w:szCs w:val="24"/>
        </w:rPr>
        <w:t>Edem</w:t>
      </w:r>
      <w:proofErr w:type="spellEnd"/>
      <w:r w:rsidRPr="00A14449">
        <w:rPr>
          <w:rFonts w:ascii="Times New Roman" w:hAnsi="Times New Roman" w:cs="Times New Roman"/>
          <w:sz w:val="24"/>
          <w:szCs w:val="24"/>
        </w:rPr>
        <w:t>, 2021):</w:t>
      </w:r>
    </w:p>
    <w:p w14:paraId="68937CD6" w14:textId="6A1BA9DB" w:rsidR="00287D3D" w:rsidRPr="00A14449" w:rsidRDefault="00287D3D" w:rsidP="00A14449">
      <w:pPr>
        <w:spacing w:after="0" w:line="360" w:lineRule="auto"/>
        <w:rPr>
          <w:rFonts w:ascii="Times New Roman" w:hAnsi="Times New Roman" w:cs="Times New Roman"/>
          <w:sz w:val="24"/>
          <w:szCs w:val="24"/>
        </w:rPr>
      </w:pPr>
      <w:r w:rsidRPr="00A14449">
        <w:rPr>
          <w:rFonts w:ascii="Times New Roman" w:hAnsi="Times New Roman" w:cs="Times New Roman"/>
          <w:sz w:val="24"/>
          <w:szCs w:val="24"/>
        </w:rPr>
        <w:t>Gross Margin (GM) = Total Revenue (TR) – Total Variable Cost (TVC)</w:t>
      </w:r>
    </w:p>
    <w:p w14:paraId="284CF9B1" w14:textId="425028F9" w:rsidR="00287D3D" w:rsidRPr="00A14449" w:rsidRDefault="00287D3D" w:rsidP="00A14449">
      <w:pPr>
        <w:spacing w:after="0" w:line="360" w:lineRule="auto"/>
        <w:rPr>
          <w:rFonts w:ascii="Times New Roman" w:hAnsi="Times New Roman" w:cs="Times New Roman"/>
          <w:sz w:val="24"/>
          <w:szCs w:val="24"/>
        </w:rPr>
      </w:pPr>
      <w:r w:rsidRPr="00A14449">
        <w:rPr>
          <w:rFonts w:ascii="Times New Roman" w:hAnsi="Times New Roman" w:cs="Times New Roman"/>
          <w:sz w:val="24"/>
          <w:szCs w:val="24"/>
        </w:rPr>
        <w:t>Gross Margin Percentage (GMP) = (GM ÷ TR) × 100</w:t>
      </w:r>
    </w:p>
    <w:p w14:paraId="0A9D9489" w14:textId="1840C04F" w:rsidR="00287D3D" w:rsidRPr="00A14449" w:rsidRDefault="00287D3D" w:rsidP="00A14449">
      <w:pPr>
        <w:spacing w:after="0" w:line="360" w:lineRule="auto"/>
        <w:rPr>
          <w:rFonts w:ascii="Times New Roman" w:hAnsi="Times New Roman" w:cs="Times New Roman"/>
          <w:sz w:val="24"/>
          <w:szCs w:val="24"/>
        </w:rPr>
      </w:pPr>
      <w:r w:rsidRPr="00A14449">
        <w:rPr>
          <w:rFonts w:ascii="Times New Roman" w:hAnsi="Times New Roman" w:cs="Times New Roman"/>
          <w:sz w:val="24"/>
          <w:szCs w:val="24"/>
        </w:rPr>
        <w:t xml:space="preserve">Marketing Margin (MM) for actor i = (Selling </w:t>
      </w:r>
      <w:proofErr w:type="spellStart"/>
      <w:r w:rsidRPr="00A14449">
        <w:rPr>
          <w:rFonts w:ascii="Times New Roman" w:hAnsi="Times New Roman" w:cs="Times New Roman"/>
          <w:sz w:val="24"/>
          <w:szCs w:val="24"/>
        </w:rPr>
        <w:t>Price_i</w:t>
      </w:r>
      <w:proofErr w:type="spellEnd"/>
      <w:r w:rsidRPr="00A14449">
        <w:rPr>
          <w:rFonts w:ascii="Times New Roman" w:hAnsi="Times New Roman" w:cs="Times New Roman"/>
          <w:sz w:val="24"/>
          <w:szCs w:val="24"/>
        </w:rPr>
        <w:t xml:space="preserve"> – Purchase </w:t>
      </w:r>
      <w:proofErr w:type="spellStart"/>
      <w:r w:rsidRPr="00A14449">
        <w:rPr>
          <w:rFonts w:ascii="Times New Roman" w:hAnsi="Times New Roman" w:cs="Times New Roman"/>
          <w:sz w:val="24"/>
          <w:szCs w:val="24"/>
        </w:rPr>
        <w:t>Price_i</w:t>
      </w:r>
      <w:proofErr w:type="spellEnd"/>
      <w:r w:rsidRPr="00A14449">
        <w:rPr>
          <w:rFonts w:ascii="Times New Roman" w:hAnsi="Times New Roman" w:cs="Times New Roman"/>
          <w:sz w:val="24"/>
          <w:szCs w:val="24"/>
        </w:rPr>
        <w:t>) ÷ Final Consumer Price × 100</w:t>
      </w:r>
    </w:p>
    <w:p w14:paraId="7FA54600" w14:textId="328BB4DF" w:rsidR="00287D3D" w:rsidRPr="00A14449" w:rsidRDefault="00287D3D" w:rsidP="00A14449">
      <w:pPr>
        <w:spacing w:after="0" w:line="360" w:lineRule="auto"/>
        <w:rPr>
          <w:rFonts w:ascii="Times New Roman" w:hAnsi="Times New Roman" w:cs="Times New Roman"/>
          <w:sz w:val="24"/>
          <w:szCs w:val="24"/>
        </w:rPr>
      </w:pPr>
      <w:r w:rsidRPr="00A14449">
        <w:rPr>
          <w:rFonts w:ascii="Times New Roman" w:hAnsi="Times New Roman" w:cs="Times New Roman"/>
          <w:sz w:val="24"/>
          <w:szCs w:val="24"/>
        </w:rPr>
        <w:t>Profit Share (%) = (</w:t>
      </w:r>
      <w:proofErr w:type="spellStart"/>
      <w:r w:rsidRPr="00A14449">
        <w:rPr>
          <w:rFonts w:ascii="Times New Roman" w:hAnsi="Times New Roman" w:cs="Times New Roman"/>
          <w:sz w:val="24"/>
          <w:szCs w:val="24"/>
        </w:rPr>
        <w:t>GM_i</w:t>
      </w:r>
      <w:proofErr w:type="spellEnd"/>
      <w:r w:rsidRPr="00A14449">
        <w:rPr>
          <w:rFonts w:ascii="Times New Roman" w:hAnsi="Times New Roman" w:cs="Times New Roman"/>
          <w:sz w:val="24"/>
          <w:szCs w:val="24"/>
        </w:rPr>
        <w:t xml:space="preserve"> ÷ </w:t>
      </w:r>
      <w:proofErr w:type="spellStart"/>
      <w:r w:rsidRPr="00A14449">
        <w:rPr>
          <w:rFonts w:ascii="Times New Roman" w:hAnsi="Times New Roman" w:cs="Times New Roman"/>
          <w:sz w:val="24"/>
          <w:szCs w:val="24"/>
        </w:rPr>
        <w:t>ΣGM_all</w:t>
      </w:r>
      <w:proofErr w:type="spellEnd"/>
      <w:r w:rsidRPr="00A14449">
        <w:rPr>
          <w:rFonts w:ascii="Times New Roman" w:hAnsi="Times New Roman" w:cs="Times New Roman"/>
          <w:sz w:val="24"/>
          <w:szCs w:val="24"/>
        </w:rPr>
        <w:t xml:space="preserve"> actors) × 100</w:t>
      </w:r>
    </w:p>
    <w:p w14:paraId="52F7E161" w14:textId="36297699" w:rsidR="00287D3D" w:rsidRPr="00A14449" w:rsidRDefault="00287D3D" w:rsidP="00A14449">
      <w:pPr>
        <w:pStyle w:val="Heading3"/>
      </w:pPr>
      <w:r w:rsidRPr="00A14449">
        <w:t>2.5.3 Hidden Transaction Cost Quantification</w:t>
      </w:r>
    </w:p>
    <w:p w14:paraId="0BD5CC66" w14:textId="14839A98" w:rsidR="00287D3D" w:rsidRPr="00A14449" w:rsidRDefault="00287D3D"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A novel contribution of this study was quantification of losses from non-standardized measurements. Farmers were asked to weigh sesame using both traditional pails (20L and 30L) and standardized scales, with weight differentials recorded (n=45 farmers). The "measurement loss coefficient" was calculated as:</w:t>
      </w:r>
    </w:p>
    <w:p w14:paraId="716F339C" w14:textId="17CE705E" w:rsidR="00287D3D" w:rsidRPr="00A14449" w:rsidRDefault="00287D3D" w:rsidP="00A14449">
      <w:pPr>
        <w:spacing w:after="0" w:line="360" w:lineRule="auto"/>
        <w:rPr>
          <w:rFonts w:ascii="Times New Roman" w:hAnsi="Times New Roman" w:cs="Times New Roman"/>
          <w:sz w:val="24"/>
          <w:szCs w:val="24"/>
        </w:rPr>
      </w:pPr>
      <w:r w:rsidRPr="00A14449">
        <w:rPr>
          <w:rFonts w:ascii="Times New Roman" w:hAnsi="Times New Roman" w:cs="Times New Roman"/>
          <w:sz w:val="24"/>
          <w:szCs w:val="24"/>
        </w:rPr>
        <w:lastRenderedPageBreak/>
        <w:t>MLC = (Standardized weight – Pail weight) ÷ Standardized weight × 100</w:t>
      </w:r>
    </w:p>
    <w:p w14:paraId="521BEADF" w14:textId="1E84FE73" w:rsidR="00287D3D" w:rsidRPr="00A14449" w:rsidRDefault="00287D3D" w:rsidP="00A14449">
      <w:pPr>
        <w:pStyle w:val="Heading3"/>
      </w:pPr>
      <w:r w:rsidRPr="00A14449">
        <w:t>2.5.4 Statistical Analysis</w:t>
      </w:r>
    </w:p>
    <w:p w14:paraId="50D29212" w14:textId="49E11AF7" w:rsidR="00A14449" w:rsidRPr="00A14449" w:rsidRDefault="00CA2F3A" w:rsidP="00A14449">
      <w:pPr>
        <w:spacing w:line="360" w:lineRule="auto"/>
        <w:jc w:val="both"/>
        <w:rPr>
          <w:rFonts w:ascii="Times New Roman" w:hAnsi="Times New Roman" w:cs="Times New Roman"/>
          <w:sz w:val="24"/>
          <w:szCs w:val="24"/>
          <w:shd w:val="clear" w:color="auto" w:fill="FFFFFF"/>
        </w:rPr>
      </w:pPr>
      <w:r w:rsidRPr="00A14449">
        <w:rPr>
          <w:rFonts w:ascii="Times New Roman" w:hAnsi="Times New Roman" w:cs="Times New Roman"/>
          <w:sz w:val="24"/>
          <w:szCs w:val="24"/>
          <w:shd w:val="clear" w:color="auto" w:fill="FFFFFF"/>
        </w:rPr>
        <w:t xml:space="preserve">Quantitative data were </w:t>
      </w:r>
      <w:proofErr w:type="spellStart"/>
      <w:r w:rsidRPr="00A14449">
        <w:rPr>
          <w:rFonts w:ascii="Times New Roman" w:hAnsi="Times New Roman" w:cs="Times New Roman"/>
          <w:sz w:val="24"/>
          <w:szCs w:val="24"/>
          <w:shd w:val="clear" w:color="auto" w:fill="FFFFFF"/>
        </w:rPr>
        <w:t>analyzed</w:t>
      </w:r>
      <w:proofErr w:type="spellEnd"/>
      <w:r w:rsidRPr="00A14449">
        <w:rPr>
          <w:rFonts w:ascii="Times New Roman" w:hAnsi="Times New Roman" w:cs="Times New Roman"/>
          <w:sz w:val="24"/>
          <w:szCs w:val="24"/>
          <w:shd w:val="clear" w:color="auto" w:fill="FFFFFF"/>
        </w:rPr>
        <w:t xml:space="preserve"> using SPSS version 27 and Stata 17. Descriptive statistics—including means, frequencies, and percentages—were used to characterize actor profiles. One-way analysis of variance (ANOVA) was employed to test for differences in marketing margins across actor categories. Pearson correlation coefficients were calculated to analyze relationships between farmer characteristics and market outcomes. Statistical significance was set at p &lt; 0.05.</w:t>
      </w:r>
    </w:p>
    <w:p w14:paraId="30558203" w14:textId="272C5254" w:rsidR="00287D3D" w:rsidRPr="00A14449" w:rsidRDefault="00287D3D" w:rsidP="00A14449">
      <w:pPr>
        <w:pStyle w:val="Heading3"/>
      </w:pPr>
      <w:r w:rsidRPr="00A14449">
        <w:t>2.5.5 Qualitative Analysis</w:t>
      </w:r>
    </w:p>
    <w:p w14:paraId="6FA5EF1E" w14:textId="77777777" w:rsidR="00CA2F3A" w:rsidRPr="00A14449" w:rsidRDefault="00CA2F3A" w:rsidP="00A14449">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Audio recordings were transcribed verbatim and translated into English. Thematic analysis followed Braun and Clarke's (2006) six-phase framework using NVivo 14: data familiarization, initial coding, theme search, theme review, theme definition, and report writing. Coding reliability was ensured through investigator triangulation, whereby three researchers independently coded 20% of the transcripts, achieving 87% inter-coder agreement.</w:t>
      </w:r>
    </w:p>
    <w:p w14:paraId="46AAE435" w14:textId="4BD34E21" w:rsidR="00287D3D" w:rsidRPr="00862A72" w:rsidRDefault="00287D3D" w:rsidP="00235140">
      <w:pPr>
        <w:pStyle w:val="Heading1"/>
        <w:rPr>
          <w:rFonts w:ascii="Times New Roman" w:hAnsi="Times New Roman" w:cs="Times New Roman"/>
          <w:b/>
          <w:bCs/>
          <w:color w:val="auto"/>
          <w:sz w:val="24"/>
          <w:szCs w:val="24"/>
        </w:rPr>
      </w:pPr>
      <w:r w:rsidRPr="00862A72">
        <w:rPr>
          <w:rFonts w:ascii="Times New Roman" w:hAnsi="Times New Roman" w:cs="Times New Roman"/>
          <w:b/>
          <w:bCs/>
          <w:color w:val="auto"/>
          <w:sz w:val="24"/>
          <w:szCs w:val="24"/>
        </w:rPr>
        <w:t>3.0 RESULTS</w:t>
      </w:r>
    </w:p>
    <w:p w14:paraId="2501A131" w14:textId="7A7C4020" w:rsidR="00287D3D" w:rsidRPr="00A14449" w:rsidRDefault="00287D3D" w:rsidP="00A14449">
      <w:pPr>
        <w:pStyle w:val="Heading2"/>
        <w:spacing w:line="360" w:lineRule="auto"/>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3.1 Socio-Demographic Profile of Value Chain Actors</w:t>
      </w:r>
    </w:p>
    <w:p w14:paraId="6EBE52BD" w14:textId="7CBBBC9C" w:rsidR="00702763" w:rsidRPr="00A14449" w:rsidRDefault="00287D3D" w:rsidP="00A14449">
      <w:pPr>
        <w:pStyle w:val="Heading3"/>
      </w:pPr>
      <w:r w:rsidRPr="00A14449">
        <w:t>3.1.1 Producer</w:t>
      </w:r>
      <w:r w:rsidR="00702763" w:rsidRPr="00A14449">
        <w:t>s</w:t>
      </w:r>
    </w:p>
    <w:p w14:paraId="1678FDD8" w14:textId="77777777" w:rsidR="00702763" w:rsidRPr="00A14449" w:rsidRDefault="00702763" w:rsidP="00A14449">
      <w:pPr>
        <w:shd w:val="clear" w:color="auto" w:fill="FFFFFF"/>
        <w:spacing w:after="240" w:line="360" w:lineRule="auto"/>
        <w:jc w:val="both"/>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Table 2 presents the socio-demographic characteristics of sesame producers. A striking finding is the predominance of female farmers (57.46%), which is substantially higher than the regional average for oilseed value chains (typically 35–45%; FAO, 2021). This has important implications for the design of gender-sensitive interventions.</w:t>
      </w:r>
    </w:p>
    <w:p w14:paraId="3AAF1193" w14:textId="77777777" w:rsidR="00702763" w:rsidRDefault="00702763" w:rsidP="00A14449">
      <w:pPr>
        <w:shd w:val="clear" w:color="auto" w:fill="FFFFFF"/>
        <w:spacing w:after="0" w:line="360" w:lineRule="auto"/>
        <w:jc w:val="both"/>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Education levels show that 52.99% of farmers have attained secondary education and 44.78% have primary education, indicating relatively high literacy compared to national rural averages (NSO, 2019). The modal age category (37–41 years, 22.39%) suggests a base of experienced farmers, while the 14.18% of producers in the 18–25 age bracket indicates youth engagement—a positive sign for generational sustainability.</w:t>
      </w:r>
    </w:p>
    <w:p w14:paraId="66968E32" w14:textId="77777777" w:rsidR="00A14449" w:rsidRDefault="00A14449" w:rsidP="00A14449">
      <w:pPr>
        <w:shd w:val="clear" w:color="auto" w:fill="FFFFFF"/>
        <w:spacing w:after="0" w:line="360" w:lineRule="auto"/>
        <w:jc w:val="both"/>
        <w:rPr>
          <w:rFonts w:ascii="Times New Roman" w:eastAsia="Times New Roman" w:hAnsi="Times New Roman" w:cs="Times New Roman"/>
          <w:sz w:val="24"/>
          <w:szCs w:val="24"/>
          <w:lang w:eastAsia="en-GB"/>
        </w:rPr>
      </w:pPr>
    </w:p>
    <w:p w14:paraId="1DCB542C" w14:textId="77777777" w:rsidR="00A14449" w:rsidRDefault="00A14449" w:rsidP="00A14449">
      <w:pPr>
        <w:shd w:val="clear" w:color="auto" w:fill="FFFFFF"/>
        <w:spacing w:after="0" w:line="360" w:lineRule="auto"/>
        <w:jc w:val="both"/>
        <w:rPr>
          <w:rFonts w:ascii="Times New Roman" w:eastAsia="Times New Roman" w:hAnsi="Times New Roman" w:cs="Times New Roman"/>
          <w:sz w:val="24"/>
          <w:szCs w:val="24"/>
          <w:lang w:eastAsia="en-GB"/>
        </w:rPr>
      </w:pPr>
    </w:p>
    <w:p w14:paraId="7ED1522B" w14:textId="77777777" w:rsidR="00A14449" w:rsidRDefault="00A14449" w:rsidP="00A14449">
      <w:pPr>
        <w:shd w:val="clear" w:color="auto" w:fill="FFFFFF"/>
        <w:spacing w:after="0" w:line="360" w:lineRule="auto"/>
        <w:jc w:val="both"/>
        <w:rPr>
          <w:rFonts w:ascii="Times New Roman" w:eastAsia="Times New Roman" w:hAnsi="Times New Roman" w:cs="Times New Roman"/>
          <w:sz w:val="24"/>
          <w:szCs w:val="24"/>
          <w:lang w:eastAsia="en-GB"/>
        </w:rPr>
      </w:pPr>
    </w:p>
    <w:p w14:paraId="1F784D4C" w14:textId="77777777" w:rsidR="00A14449" w:rsidRDefault="00A14449" w:rsidP="00A14449">
      <w:pPr>
        <w:shd w:val="clear" w:color="auto" w:fill="FFFFFF"/>
        <w:spacing w:after="0" w:line="360" w:lineRule="auto"/>
        <w:jc w:val="both"/>
        <w:rPr>
          <w:rFonts w:ascii="Times New Roman" w:eastAsia="Times New Roman" w:hAnsi="Times New Roman" w:cs="Times New Roman"/>
          <w:sz w:val="24"/>
          <w:szCs w:val="24"/>
          <w:lang w:eastAsia="en-GB"/>
        </w:rPr>
      </w:pPr>
    </w:p>
    <w:p w14:paraId="5A332841" w14:textId="77777777" w:rsidR="00A14449" w:rsidRPr="00A14449" w:rsidRDefault="00A14449" w:rsidP="00A14449">
      <w:pPr>
        <w:shd w:val="clear" w:color="auto" w:fill="FFFFFF"/>
        <w:spacing w:after="0" w:line="360" w:lineRule="auto"/>
        <w:jc w:val="both"/>
        <w:rPr>
          <w:rFonts w:ascii="Times New Roman" w:eastAsia="Times New Roman" w:hAnsi="Times New Roman" w:cs="Times New Roman"/>
          <w:sz w:val="24"/>
          <w:szCs w:val="24"/>
          <w:lang w:eastAsia="en-GB"/>
        </w:rPr>
      </w:pPr>
    </w:p>
    <w:p w14:paraId="394FA577" w14:textId="77777777" w:rsidR="00B36D5F" w:rsidRPr="00A14449" w:rsidRDefault="00B36D5F" w:rsidP="00FA5949">
      <w:pPr>
        <w:spacing w:after="0" w:line="276" w:lineRule="auto"/>
        <w:rPr>
          <w:rFonts w:ascii="Times New Roman" w:eastAsia="Times New Roman" w:hAnsi="Times New Roman" w:cs="Times New Roman"/>
          <w:i/>
          <w:iCs/>
          <w:sz w:val="24"/>
          <w:szCs w:val="24"/>
          <w:lang w:eastAsia="en-GB"/>
        </w:rPr>
      </w:pPr>
      <w:r w:rsidRPr="00A14449">
        <w:rPr>
          <w:rFonts w:ascii="Times New Roman" w:eastAsia="Times New Roman" w:hAnsi="Times New Roman" w:cs="Times New Roman"/>
          <w:b/>
          <w:bCs/>
          <w:i/>
          <w:iCs/>
          <w:sz w:val="24"/>
          <w:szCs w:val="24"/>
          <w:lang w:eastAsia="en-GB"/>
        </w:rPr>
        <w:t>Table 2: Demographic Characteristics of Sesame Producers (n = 81)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512"/>
        <w:gridCol w:w="1310"/>
        <w:gridCol w:w="1997"/>
        <w:gridCol w:w="2075"/>
      </w:tblGrid>
      <w:tr w:rsidR="00B36D5F" w:rsidRPr="00862A72" w14:paraId="1ADB5312" w14:textId="77777777" w:rsidTr="00702763">
        <w:tc>
          <w:tcPr>
            <w:tcW w:w="2122" w:type="dxa"/>
            <w:tcBorders>
              <w:top w:val="single" w:sz="4" w:space="0" w:color="auto"/>
              <w:bottom w:val="single" w:sz="4" w:space="0" w:color="auto"/>
            </w:tcBorders>
            <w:hideMark/>
          </w:tcPr>
          <w:p w14:paraId="3F8BA3AB" w14:textId="77777777" w:rsidR="00B36D5F" w:rsidRPr="00862A72" w:rsidRDefault="00B36D5F" w:rsidP="00702763">
            <w:pPr>
              <w:spacing w:line="276" w:lineRule="auto"/>
              <w:jc w:val="cente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lastRenderedPageBreak/>
              <w:t>Variable</w:t>
            </w:r>
          </w:p>
        </w:tc>
        <w:tc>
          <w:tcPr>
            <w:tcW w:w="1512" w:type="dxa"/>
            <w:tcBorders>
              <w:top w:val="single" w:sz="4" w:space="0" w:color="auto"/>
              <w:bottom w:val="single" w:sz="4" w:space="0" w:color="auto"/>
            </w:tcBorders>
            <w:hideMark/>
          </w:tcPr>
          <w:p w14:paraId="6B129E00" w14:textId="77777777" w:rsidR="00B36D5F" w:rsidRPr="00862A72" w:rsidRDefault="00B36D5F" w:rsidP="00702763">
            <w:pPr>
              <w:spacing w:line="276" w:lineRule="auto"/>
              <w:jc w:val="cente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Category</w:t>
            </w:r>
          </w:p>
        </w:tc>
        <w:tc>
          <w:tcPr>
            <w:tcW w:w="0" w:type="auto"/>
            <w:tcBorders>
              <w:top w:val="single" w:sz="4" w:space="0" w:color="auto"/>
              <w:bottom w:val="single" w:sz="4" w:space="0" w:color="auto"/>
            </w:tcBorders>
            <w:hideMark/>
          </w:tcPr>
          <w:p w14:paraId="44445FC2" w14:textId="77777777" w:rsidR="00B36D5F" w:rsidRPr="00862A72" w:rsidRDefault="00B36D5F" w:rsidP="00702763">
            <w:pPr>
              <w:spacing w:line="276" w:lineRule="auto"/>
              <w:jc w:val="cente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Frequency</w:t>
            </w:r>
          </w:p>
        </w:tc>
        <w:tc>
          <w:tcPr>
            <w:tcW w:w="1997" w:type="dxa"/>
            <w:tcBorders>
              <w:top w:val="single" w:sz="4" w:space="0" w:color="auto"/>
              <w:bottom w:val="single" w:sz="4" w:space="0" w:color="auto"/>
            </w:tcBorders>
            <w:hideMark/>
          </w:tcPr>
          <w:p w14:paraId="0E1A75C3" w14:textId="77777777" w:rsidR="00B36D5F" w:rsidRPr="00862A72" w:rsidRDefault="00B36D5F" w:rsidP="00702763">
            <w:pPr>
              <w:spacing w:line="276" w:lineRule="auto"/>
              <w:jc w:val="cente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Percentage (%)</w:t>
            </w:r>
          </w:p>
        </w:tc>
        <w:tc>
          <w:tcPr>
            <w:tcW w:w="2075" w:type="dxa"/>
            <w:tcBorders>
              <w:top w:val="single" w:sz="4" w:space="0" w:color="auto"/>
              <w:bottom w:val="single" w:sz="4" w:space="0" w:color="auto"/>
            </w:tcBorders>
            <w:hideMark/>
          </w:tcPr>
          <w:p w14:paraId="28247CFA" w14:textId="77777777" w:rsidR="00B36D5F" w:rsidRPr="00862A72" w:rsidRDefault="00B36D5F" w:rsidP="00702763">
            <w:pPr>
              <w:spacing w:line="276" w:lineRule="auto"/>
              <w:jc w:val="cente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Malawi National Average (%)</w:t>
            </w:r>
          </w:p>
        </w:tc>
      </w:tr>
      <w:tr w:rsidR="00B36D5F" w:rsidRPr="00862A72" w14:paraId="4F41A12E" w14:textId="77777777" w:rsidTr="00702763">
        <w:tc>
          <w:tcPr>
            <w:tcW w:w="2122" w:type="dxa"/>
            <w:tcBorders>
              <w:top w:val="single" w:sz="4" w:space="0" w:color="auto"/>
            </w:tcBorders>
            <w:hideMark/>
          </w:tcPr>
          <w:p w14:paraId="6B0EA19E"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Sex</w:t>
            </w:r>
          </w:p>
        </w:tc>
        <w:tc>
          <w:tcPr>
            <w:tcW w:w="1512" w:type="dxa"/>
            <w:tcBorders>
              <w:top w:val="single" w:sz="4" w:space="0" w:color="auto"/>
            </w:tcBorders>
            <w:hideMark/>
          </w:tcPr>
          <w:p w14:paraId="2B5B2090"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Female</w:t>
            </w:r>
          </w:p>
        </w:tc>
        <w:tc>
          <w:tcPr>
            <w:tcW w:w="0" w:type="auto"/>
            <w:tcBorders>
              <w:top w:val="single" w:sz="4" w:space="0" w:color="auto"/>
            </w:tcBorders>
            <w:hideMark/>
          </w:tcPr>
          <w:p w14:paraId="61FCF905"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77</w:t>
            </w:r>
          </w:p>
        </w:tc>
        <w:tc>
          <w:tcPr>
            <w:tcW w:w="1997" w:type="dxa"/>
            <w:tcBorders>
              <w:top w:val="single" w:sz="4" w:space="0" w:color="auto"/>
            </w:tcBorders>
            <w:hideMark/>
          </w:tcPr>
          <w:p w14:paraId="40EA244F"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57.46</w:t>
            </w:r>
          </w:p>
        </w:tc>
        <w:tc>
          <w:tcPr>
            <w:tcW w:w="2075" w:type="dxa"/>
            <w:tcBorders>
              <w:top w:val="single" w:sz="4" w:space="0" w:color="auto"/>
            </w:tcBorders>
            <w:hideMark/>
          </w:tcPr>
          <w:p w14:paraId="717FCF53"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52.0</w:t>
            </w:r>
          </w:p>
        </w:tc>
      </w:tr>
      <w:tr w:rsidR="00B36D5F" w:rsidRPr="00862A72" w14:paraId="3FAFAD77" w14:textId="77777777" w:rsidTr="00702763">
        <w:tc>
          <w:tcPr>
            <w:tcW w:w="2122" w:type="dxa"/>
            <w:hideMark/>
          </w:tcPr>
          <w:p w14:paraId="23D14FA2"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hideMark/>
          </w:tcPr>
          <w:p w14:paraId="2FE8BF3D"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Male</w:t>
            </w:r>
          </w:p>
        </w:tc>
        <w:tc>
          <w:tcPr>
            <w:tcW w:w="0" w:type="auto"/>
            <w:hideMark/>
          </w:tcPr>
          <w:p w14:paraId="0EFD4248"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57</w:t>
            </w:r>
          </w:p>
        </w:tc>
        <w:tc>
          <w:tcPr>
            <w:tcW w:w="1997" w:type="dxa"/>
            <w:hideMark/>
          </w:tcPr>
          <w:p w14:paraId="24E483B3"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42.54</w:t>
            </w:r>
          </w:p>
        </w:tc>
        <w:tc>
          <w:tcPr>
            <w:tcW w:w="2075" w:type="dxa"/>
            <w:hideMark/>
          </w:tcPr>
          <w:p w14:paraId="6D9D1EB3"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48.0</w:t>
            </w:r>
          </w:p>
        </w:tc>
      </w:tr>
      <w:tr w:rsidR="00B36D5F" w:rsidRPr="00862A72" w14:paraId="7F35BC91" w14:textId="77777777" w:rsidTr="00702763">
        <w:tc>
          <w:tcPr>
            <w:tcW w:w="2122" w:type="dxa"/>
            <w:hideMark/>
          </w:tcPr>
          <w:p w14:paraId="519E928F"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Age (years)</w:t>
            </w:r>
          </w:p>
        </w:tc>
        <w:tc>
          <w:tcPr>
            <w:tcW w:w="1512" w:type="dxa"/>
            <w:hideMark/>
          </w:tcPr>
          <w:p w14:paraId="4B695A1B"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18–25</w:t>
            </w:r>
          </w:p>
        </w:tc>
        <w:tc>
          <w:tcPr>
            <w:tcW w:w="0" w:type="auto"/>
            <w:hideMark/>
          </w:tcPr>
          <w:p w14:paraId="23B295B4"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19</w:t>
            </w:r>
          </w:p>
        </w:tc>
        <w:tc>
          <w:tcPr>
            <w:tcW w:w="1997" w:type="dxa"/>
            <w:hideMark/>
          </w:tcPr>
          <w:p w14:paraId="1525D058"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14.18</w:t>
            </w:r>
          </w:p>
        </w:tc>
        <w:tc>
          <w:tcPr>
            <w:tcW w:w="2075" w:type="dxa"/>
            <w:hideMark/>
          </w:tcPr>
          <w:p w14:paraId="66B66B0D"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22.1</w:t>
            </w:r>
          </w:p>
        </w:tc>
      </w:tr>
      <w:tr w:rsidR="00B36D5F" w:rsidRPr="00862A72" w14:paraId="3F4D03BD" w14:textId="77777777" w:rsidTr="00702763">
        <w:tc>
          <w:tcPr>
            <w:tcW w:w="2122" w:type="dxa"/>
            <w:hideMark/>
          </w:tcPr>
          <w:p w14:paraId="4B9007A1"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hideMark/>
          </w:tcPr>
          <w:p w14:paraId="6F817630"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26–31</w:t>
            </w:r>
          </w:p>
        </w:tc>
        <w:tc>
          <w:tcPr>
            <w:tcW w:w="0" w:type="auto"/>
            <w:hideMark/>
          </w:tcPr>
          <w:p w14:paraId="54A0134F"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26</w:t>
            </w:r>
          </w:p>
        </w:tc>
        <w:tc>
          <w:tcPr>
            <w:tcW w:w="1997" w:type="dxa"/>
            <w:hideMark/>
          </w:tcPr>
          <w:p w14:paraId="1C11B1EA"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19.40</w:t>
            </w:r>
          </w:p>
        </w:tc>
        <w:tc>
          <w:tcPr>
            <w:tcW w:w="2075" w:type="dxa"/>
            <w:hideMark/>
          </w:tcPr>
          <w:p w14:paraId="6DE32D48"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18.3</w:t>
            </w:r>
          </w:p>
        </w:tc>
      </w:tr>
      <w:tr w:rsidR="00B36D5F" w:rsidRPr="00862A72" w14:paraId="1A13BDF5" w14:textId="77777777" w:rsidTr="00702763">
        <w:tc>
          <w:tcPr>
            <w:tcW w:w="2122" w:type="dxa"/>
            <w:hideMark/>
          </w:tcPr>
          <w:p w14:paraId="089548BF"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hideMark/>
          </w:tcPr>
          <w:p w14:paraId="62148E1E"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32–36</w:t>
            </w:r>
          </w:p>
        </w:tc>
        <w:tc>
          <w:tcPr>
            <w:tcW w:w="0" w:type="auto"/>
            <w:hideMark/>
          </w:tcPr>
          <w:p w14:paraId="499D00B8"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28</w:t>
            </w:r>
          </w:p>
        </w:tc>
        <w:tc>
          <w:tcPr>
            <w:tcW w:w="1997" w:type="dxa"/>
            <w:hideMark/>
          </w:tcPr>
          <w:p w14:paraId="27317B4C"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20.90</w:t>
            </w:r>
          </w:p>
        </w:tc>
        <w:tc>
          <w:tcPr>
            <w:tcW w:w="2075" w:type="dxa"/>
            <w:hideMark/>
          </w:tcPr>
          <w:p w14:paraId="3053CE07"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16.8</w:t>
            </w:r>
          </w:p>
        </w:tc>
      </w:tr>
      <w:tr w:rsidR="00B36D5F" w:rsidRPr="00862A72" w14:paraId="0EDECD7F" w14:textId="77777777" w:rsidTr="00702763">
        <w:tc>
          <w:tcPr>
            <w:tcW w:w="2122" w:type="dxa"/>
            <w:hideMark/>
          </w:tcPr>
          <w:p w14:paraId="026B2A90"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hideMark/>
          </w:tcPr>
          <w:p w14:paraId="644C7F85"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37–41</w:t>
            </w:r>
          </w:p>
        </w:tc>
        <w:tc>
          <w:tcPr>
            <w:tcW w:w="0" w:type="auto"/>
            <w:hideMark/>
          </w:tcPr>
          <w:p w14:paraId="65C50DC6"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30</w:t>
            </w:r>
          </w:p>
        </w:tc>
        <w:tc>
          <w:tcPr>
            <w:tcW w:w="1997" w:type="dxa"/>
            <w:hideMark/>
          </w:tcPr>
          <w:p w14:paraId="53AE4A75"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22.39</w:t>
            </w:r>
          </w:p>
        </w:tc>
        <w:tc>
          <w:tcPr>
            <w:tcW w:w="2075" w:type="dxa"/>
            <w:hideMark/>
          </w:tcPr>
          <w:p w14:paraId="606B4910"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15.2</w:t>
            </w:r>
          </w:p>
        </w:tc>
      </w:tr>
      <w:tr w:rsidR="00B36D5F" w:rsidRPr="00862A72" w14:paraId="19AF7EC8" w14:textId="77777777" w:rsidTr="00702763">
        <w:tc>
          <w:tcPr>
            <w:tcW w:w="2122" w:type="dxa"/>
            <w:hideMark/>
          </w:tcPr>
          <w:p w14:paraId="147E3D15"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hideMark/>
          </w:tcPr>
          <w:p w14:paraId="49FA0E18"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42–46</w:t>
            </w:r>
          </w:p>
        </w:tc>
        <w:tc>
          <w:tcPr>
            <w:tcW w:w="0" w:type="auto"/>
            <w:hideMark/>
          </w:tcPr>
          <w:p w14:paraId="18FB82CA"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11</w:t>
            </w:r>
          </w:p>
        </w:tc>
        <w:tc>
          <w:tcPr>
            <w:tcW w:w="1997" w:type="dxa"/>
            <w:hideMark/>
          </w:tcPr>
          <w:p w14:paraId="03D55195"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8.21</w:t>
            </w:r>
          </w:p>
        </w:tc>
        <w:tc>
          <w:tcPr>
            <w:tcW w:w="2075" w:type="dxa"/>
            <w:hideMark/>
          </w:tcPr>
          <w:p w14:paraId="29A77E92"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12.4</w:t>
            </w:r>
          </w:p>
        </w:tc>
      </w:tr>
      <w:tr w:rsidR="00B36D5F" w:rsidRPr="00862A72" w14:paraId="1499BA19" w14:textId="77777777" w:rsidTr="00702763">
        <w:tc>
          <w:tcPr>
            <w:tcW w:w="2122" w:type="dxa"/>
            <w:hideMark/>
          </w:tcPr>
          <w:p w14:paraId="7C9F8D07"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hideMark/>
          </w:tcPr>
          <w:p w14:paraId="0FF24599"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47+</w:t>
            </w:r>
          </w:p>
        </w:tc>
        <w:tc>
          <w:tcPr>
            <w:tcW w:w="0" w:type="auto"/>
            <w:hideMark/>
          </w:tcPr>
          <w:p w14:paraId="5C64C264"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18</w:t>
            </w:r>
          </w:p>
        </w:tc>
        <w:tc>
          <w:tcPr>
            <w:tcW w:w="1997" w:type="dxa"/>
            <w:hideMark/>
          </w:tcPr>
          <w:p w14:paraId="20825EEE"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13.43</w:t>
            </w:r>
          </w:p>
        </w:tc>
        <w:tc>
          <w:tcPr>
            <w:tcW w:w="2075" w:type="dxa"/>
            <w:hideMark/>
          </w:tcPr>
          <w:p w14:paraId="448099D1"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15.2</w:t>
            </w:r>
          </w:p>
        </w:tc>
      </w:tr>
      <w:tr w:rsidR="00B36D5F" w:rsidRPr="00862A72" w14:paraId="27134DA4" w14:textId="77777777" w:rsidTr="00702763">
        <w:tc>
          <w:tcPr>
            <w:tcW w:w="2122" w:type="dxa"/>
            <w:hideMark/>
          </w:tcPr>
          <w:p w14:paraId="68851C62"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Education Level</w:t>
            </w:r>
          </w:p>
        </w:tc>
        <w:tc>
          <w:tcPr>
            <w:tcW w:w="1512" w:type="dxa"/>
            <w:hideMark/>
          </w:tcPr>
          <w:p w14:paraId="559ECA7F"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No formal</w:t>
            </w:r>
          </w:p>
        </w:tc>
        <w:tc>
          <w:tcPr>
            <w:tcW w:w="0" w:type="auto"/>
            <w:hideMark/>
          </w:tcPr>
          <w:p w14:paraId="47CB3D62"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1997" w:type="dxa"/>
            <w:hideMark/>
          </w:tcPr>
          <w:p w14:paraId="5AFEAADF"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0.00</w:t>
            </w:r>
          </w:p>
        </w:tc>
        <w:tc>
          <w:tcPr>
            <w:tcW w:w="2075" w:type="dxa"/>
            <w:hideMark/>
          </w:tcPr>
          <w:p w14:paraId="76EE17C8"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15.3</w:t>
            </w:r>
          </w:p>
        </w:tc>
      </w:tr>
      <w:tr w:rsidR="00B36D5F" w:rsidRPr="00862A72" w14:paraId="2A6AABE9" w14:textId="77777777" w:rsidTr="00702763">
        <w:tc>
          <w:tcPr>
            <w:tcW w:w="2122" w:type="dxa"/>
            <w:hideMark/>
          </w:tcPr>
          <w:p w14:paraId="2A965B54"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hideMark/>
          </w:tcPr>
          <w:p w14:paraId="653A7BAE"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Adult literacy</w:t>
            </w:r>
          </w:p>
        </w:tc>
        <w:tc>
          <w:tcPr>
            <w:tcW w:w="0" w:type="auto"/>
            <w:hideMark/>
          </w:tcPr>
          <w:p w14:paraId="0FA7BE12"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w:t>
            </w:r>
          </w:p>
        </w:tc>
        <w:tc>
          <w:tcPr>
            <w:tcW w:w="1997" w:type="dxa"/>
            <w:hideMark/>
          </w:tcPr>
          <w:p w14:paraId="313375AF"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0.75</w:t>
            </w:r>
          </w:p>
        </w:tc>
        <w:tc>
          <w:tcPr>
            <w:tcW w:w="2075" w:type="dxa"/>
            <w:hideMark/>
          </w:tcPr>
          <w:p w14:paraId="1E367672"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4.2</w:t>
            </w:r>
          </w:p>
        </w:tc>
      </w:tr>
      <w:tr w:rsidR="00B36D5F" w:rsidRPr="00862A72" w14:paraId="12B8DEDD" w14:textId="77777777" w:rsidTr="00702763">
        <w:tc>
          <w:tcPr>
            <w:tcW w:w="2122" w:type="dxa"/>
            <w:hideMark/>
          </w:tcPr>
          <w:p w14:paraId="5951E1D5"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hideMark/>
          </w:tcPr>
          <w:p w14:paraId="3551A091" w14:textId="6A56BC2A"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Primary</w:t>
            </w:r>
            <w:r w:rsidR="00CA2F3A" w:rsidRPr="00862A72">
              <w:rPr>
                <w:rFonts w:ascii="Times New Roman" w:eastAsia="Times New Roman" w:hAnsi="Times New Roman" w:cs="Times New Roman"/>
                <w:sz w:val="24"/>
                <w:szCs w:val="24"/>
                <w:lang w:eastAsia="en-GB"/>
              </w:rPr>
              <w:t xml:space="preserve"> School</w:t>
            </w:r>
          </w:p>
        </w:tc>
        <w:tc>
          <w:tcPr>
            <w:tcW w:w="0" w:type="auto"/>
            <w:hideMark/>
          </w:tcPr>
          <w:p w14:paraId="17899BA4"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60</w:t>
            </w:r>
          </w:p>
        </w:tc>
        <w:tc>
          <w:tcPr>
            <w:tcW w:w="1997" w:type="dxa"/>
            <w:hideMark/>
          </w:tcPr>
          <w:p w14:paraId="1524A890"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44.78</w:t>
            </w:r>
          </w:p>
        </w:tc>
        <w:tc>
          <w:tcPr>
            <w:tcW w:w="2075" w:type="dxa"/>
            <w:hideMark/>
          </w:tcPr>
          <w:p w14:paraId="3A6368D1"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52.1</w:t>
            </w:r>
          </w:p>
        </w:tc>
      </w:tr>
      <w:tr w:rsidR="00B36D5F" w:rsidRPr="00862A72" w14:paraId="7728AB4A" w14:textId="77777777" w:rsidTr="00702763">
        <w:tc>
          <w:tcPr>
            <w:tcW w:w="2122" w:type="dxa"/>
            <w:hideMark/>
          </w:tcPr>
          <w:p w14:paraId="594A7BF5"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hideMark/>
          </w:tcPr>
          <w:p w14:paraId="19823E46" w14:textId="494DEDE2"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Secondary</w:t>
            </w:r>
            <w:r w:rsidR="00CA2F3A" w:rsidRPr="00862A72">
              <w:rPr>
                <w:rFonts w:ascii="Times New Roman" w:eastAsia="Times New Roman" w:hAnsi="Times New Roman" w:cs="Times New Roman"/>
                <w:sz w:val="24"/>
                <w:szCs w:val="24"/>
                <w:lang w:eastAsia="en-GB"/>
              </w:rPr>
              <w:t xml:space="preserve"> School</w:t>
            </w:r>
          </w:p>
        </w:tc>
        <w:tc>
          <w:tcPr>
            <w:tcW w:w="0" w:type="auto"/>
            <w:hideMark/>
          </w:tcPr>
          <w:p w14:paraId="349BB5DC"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71</w:t>
            </w:r>
          </w:p>
        </w:tc>
        <w:tc>
          <w:tcPr>
            <w:tcW w:w="1997" w:type="dxa"/>
            <w:hideMark/>
          </w:tcPr>
          <w:p w14:paraId="549C75C3"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52.99</w:t>
            </w:r>
          </w:p>
        </w:tc>
        <w:tc>
          <w:tcPr>
            <w:tcW w:w="2075" w:type="dxa"/>
            <w:hideMark/>
          </w:tcPr>
          <w:p w14:paraId="115EA690"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26.4</w:t>
            </w:r>
          </w:p>
        </w:tc>
      </w:tr>
      <w:tr w:rsidR="00B36D5F" w:rsidRPr="00862A72" w14:paraId="18A05CE0" w14:textId="77777777" w:rsidTr="00702763">
        <w:tc>
          <w:tcPr>
            <w:tcW w:w="2122" w:type="dxa"/>
            <w:hideMark/>
          </w:tcPr>
          <w:p w14:paraId="6E4032F0"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hideMark/>
          </w:tcPr>
          <w:p w14:paraId="2FEF012C"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Tertiary</w:t>
            </w:r>
          </w:p>
        </w:tc>
        <w:tc>
          <w:tcPr>
            <w:tcW w:w="0" w:type="auto"/>
            <w:hideMark/>
          </w:tcPr>
          <w:p w14:paraId="7F0CC2AE"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w:t>
            </w:r>
          </w:p>
        </w:tc>
        <w:tc>
          <w:tcPr>
            <w:tcW w:w="1997" w:type="dxa"/>
            <w:hideMark/>
          </w:tcPr>
          <w:p w14:paraId="27959B47"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1.49</w:t>
            </w:r>
          </w:p>
        </w:tc>
        <w:tc>
          <w:tcPr>
            <w:tcW w:w="2075" w:type="dxa"/>
            <w:hideMark/>
          </w:tcPr>
          <w:p w14:paraId="3172B541"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2.0</w:t>
            </w:r>
          </w:p>
        </w:tc>
      </w:tr>
      <w:tr w:rsidR="00B36D5F" w:rsidRPr="00862A72" w14:paraId="1D6634C4" w14:textId="77777777" w:rsidTr="00702763">
        <w:tc>
          <w:tcPr>
            <w:tcW w:w="2122" w:type="dxa"/>
            <w:hideMark/>
          </w:tcPr>
          <w:p w14:paraId="5B17C42E"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Marital Status</w:t>
            </w:r>
          </w:p>
        </w:tc>
        <w:tc>
          <w:tcPr>
            <w:tcW w:w="1512" w:type="dxa"/>
            <w:hideMark/>
          </w:tcPr>
          <w:p w14:paraId="39CE0B80"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Married</w:t>
            </w:r>
          </w:p>
        </w:tc>
        <w:tc>
          <w:tcPr>
            <w:tcW w:w="0" w:type="auto"/>
            <w:hideMark/>
          </w:tcPr>
          <w:p w14:paraId="309C11D5"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80</w:t>
            </w:r>
          </w:p>
        </w:tc>
        <w:tc>
          <w:tcPr>
            <w:tcW w:w="1997" w:type="dxa"/>
            <w:hideMark/>
          </w:tcPr>
          <w:p w14:paraId="6E64D42B"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59.70</w:t>
            </w:r>
          </w:p>
        </w:tc>
        <w:tc>
          <w:tcPr>
            <w:tcW w:w="2075" w:type="dxa"/>
            <w:hideMark/>
          </w:tcPr>
          <w:p w14:paraId="2D2C73E0"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61.0</w:t>
            </w:r>
          </w:p>
        </w:tc>
      </w:tr>
      <w:tr w:rsidR="00B36D5F" w:rsidRPr="00862A72" w14:paraId="5A3B7512" w14:textId="77777777" w:rsidTr="00702763">
        <w:tc>
          <w:tcPr>
            <w:tcW w:w="2122" w:type="dxa"/>
            <w:hideMark/>
          </w:tcPr>
          <w:p w14:paraId="7502F541"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hideMark/>
          </w:tcPr>
          <w:p w14:paraId="0D87A558"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Single</w:t>
            </w:r>
          </w:p>
        </w:tc>
        <w:tc>
          <w:tcPr>
            <w:tcW w:w="0" w:type="auto"/>
            <w:hideMark/>
          </w:tcPr>
          <w:p w14:paraId="27DED5A5"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44</w:t>
            </w:r>
          </w:p>
        </w:tc>
        <w:tc>
          <w:tcPr>
            <w:tcW w:w="1997" w:type="dxa"/>
            <w:hideMark/>
          </w:tcPr>
          <w:p w14:paraId="2AB6E905"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32.84</w:t>
            </w:r>
          </w:p>
        </w:tc>
        <w:tc>
          <w:tcPr>
            <w:tcW w:w="2075" w:type="dxa"/>
            <w:hideMark/>
          </w:tcPr>
          <w:p w14:paraId="461622A2"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28.0</w:t>
            </w:r>
          </w:p>
        </w:tc>
      </w:tr>
      <w:tr w:rsidR="00B36D5F" w:rsidRPr="00862A72" w14:paraId="0A3287F3" w14:textId="77777777" w:rsidTr="00702763">
        <w:tc>
          <w:tcPr>
            <w:tcW w:w="2122" w:type="dxa"/>
            <w:hideMark/>
          </w:tcPr>
          <w:p w14:paraId="360713AC"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hideMark/>
          </w:tcPr>
          <w:p w14:paraId="488A890C"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Widowed</w:t>
            </w:r>
          </w:p>
        </w:tc>
        <w:tc>
          <w:tcPr>
            <w:tcW w:w="0" w:type="auto"/>
            <w:hideMark/>
          </w:tcPr>
          <w:p w14:paraId="05B869DB"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w:t>
            </w:r>
          </w:p>
        </w:tc>
        <w:tc>
          <w:tcPr>
            <w:tcW w:w="1997" w:type="dxa"/>
            <w:hideMark/>
          </w:tcPr>
          <w:p w14:paraId="0EC19788"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0.75</w:t>
            </w:r>
          </w:p>
        </w:tc>
        <w:tc>
          <w:tcPr>
            <w:tcW w:w="2075" w:type="dxa"/>
            <w:hideMark/>
          </w:tcPr>
          <w:p w14:paraId="33DEECE3"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8.0</w:t>
            </w:r>
          </w:p>
        </w:tc>
      </w:tr>
      <w:tr w:rsidR="00B36D5F" w:rsidRPr="00862A72" w14:paraId="4FCD9405" w14:textId="77777777" w:rsidTr="00702763">
        <w:tc>
          <w:tcPr>
            <w:tcW w:w="2122" w:type="dxa"/>
            <w:tcBorders>
              <w:bottom w:val="single" w:sz="4" w:space="0" w:color="auto"/>
            </w:tcBorders>
            <w:hideMark/>
          </w:tcPr>
          <w:p w14:paraId="4F9633B1" w14:textId="77777777" w:rsidR="00B36D5F" w:rsidRPr="00862A72" w:rsidRDefault="00B36D5F" w:rsidP="008A60F4">
            <w:pPr>
              <w:rPr>
                <w:rFonts w:ascii="Times New Roman" w:eastAsia="Times New Roman" w:hAnsi="Times New Roman" w:cs="Times New Roman"/>
                <w:sz w:val="24"/>
                <w:szCs w:val="24"/>
                <w:lang w:eastAsia="en-GB"/>
              </w:rPr>
            </w:pPr>
          </w:p>
        </w:tc>
        <w:tc>
          <w:tcPr>
            <w:tcW w:w="1512" w:type="dxa"/>
            <w:tcBorders>
              <w:bottom w:val="single" w:sz="4" w:space="0" w:color="auto"/>
            </w:tcBorders>
            <w:hideMark/>
          </w:tcPr>
          <w:p w14:paraId="5049F2E7"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Divorced</w:t>
            </w:r>
          </w:p>
        </w:tc>
        <w:tc>
          <w:tcPr>
            <w:tcW w:w="0" w:type="auto"/>
            <w:tcBorders>
              <w:bottom w:val="single" w:sz="4" w:space="0" w:color="auto"/>
            </w:tcBorders>
            <w:hideMark/>
          </w:tcPr>
          <w:p w14:paraId="3FF86D72"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8</w:t>
            </w:r>
          </w:p>
        </w:tc>
        <w:tc>
          <w:tcPr>
            <w:tcW w:w="1997" w:type="dxa"/>
            <w:tcBorders>
              <w:bottom w:val="single" w:sz="4" w:space="0" w:color="auto"/>
            </w:tcBorders>
            <w:hideMark/>
          </w:tcPr>
          <w:p w14:paraId="388B8CF9"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6.71</w:t>
            </w:r>
          </w:p>
        </w:tc>
        <w:tc>
          <w:tcPr>
            <w:tcW w:w="2075" w:type="dxa"/>
            <w:tcBorders>
              <w:bottom w:val="single" w:sz="4" w:space="0" w:color="auto"/>
            </w:tcBorders>
            <w:hideMark/>
          </w:tcPr>
          <w:p w14:paraId="5CAC0F23" w14:textId="77777777" w:rsidR="00B36D5F" w:rsidRPr="00862A72" w:rsidRDefault="00B36D5F" w:rsidP="008A60F4">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3.0</w:t>
            </w:r>
          </w:p>
        </w:tc>
      </w:tr>
    </w:tbl>
    <w:p w14:paraId="7395E4A8" w14:textId="567AF927" w:rsidR="00287D3D" w:rsidRPr="00A14449" w:rsidRDefault="00287D3D" w:rsidP="00A14449">
      <w:pPr>
        <w:pStyle w:val="Heading3"/>
      </w:pPr>
      <w:r w:rsidRPr="00A14449">
        <w:t>3.1.2 Trader</w:t>
      </w:r>
      <w:r w:rsidR="00702763" w:rsidRPr="00A14449">
        <w:t>s</w:t>
      </w:r>
      <w:r w:rsidRPr="00A14449">
        <w:t xml:space="preserve"> Characteristics</w:t>
      </w:r>
    </w:p>
    <w:p w14:paraId="39B88E5A" w14:textId="555C66AE" w:rsidR="0055711C" w:rsidRPr="00A14449" w:rsidRDefault="00702763" w:rsidP="006A233D">
      <w:pPr>
        <w:spacing w:after="0" w:line="360" w:lineRule="auto"/>
        <w:jc w:val="both"/>
        <w:rPr>
          <w:rFonts w:ascii="Times New Roman" w:hAnsi="Times New Roman" w:cs="Times New Roman"/>
          <w:sz w:val="24"/>
          <w:szCs w:val="24"/>
          <w:shd w:val="clear" w:color="auto" w:fill="FFFFFF"/>
        </w:rPr>
      </w:pPr>
      <w:r w:rsidRPr="00A14449">
        <w:rPr>
          <w:rFonts w:ascii="Times New Roman" w:hAnsi="Times New Roman" w:cs="Times New Roman"/>
          <w:sz w:val="24"/>
          <w:szCs w:val="24"/>
          <w:shd w:val="clear" w:color="auto" w:fill="FFFFFF"/>
        </w:rPr>
        <w:t>Table 3 reveals notable gender disparities in trading, with male dominance at 68.75%—representing the inverse of the producer gender distribution. This gender segmentation along the value chain, characterized by female producers and male traders, has significant implications for value capture and the targeting of interventions. Traders exhibit higher education levels than producers, with 51% having attained secondary education. The concentration of traders in the 37–41 age bracket (50%) suggests that trading requires accumulated experience and capital</w:t>
      </w:r>
      <w:r w:rsidR="0055711C" w:rsidRPr="00A14449">
        <w:rPr>
          <w:rFonts w:ascii="Times New Roman" w:hAnsi="Times New Roman" w:cs="Times New Roman"/>
          <w:sz w:val="24"/>
          <w:szCs w:val="24"/>
          <w:shd w:val="clear" w:color="auto" w:fill="FFFFFF"/>
        </w:rPr>
        <w:t>.</w:t>
      </w:r>
    </w:p>
    <w:p w14:paraId="732707EA" w14:textId="07943DD1" w:rsidR="00B36D5F" w:rsidRPr="00862A72" w:rsidRDefault="00B36D5F" w:rsidP="006A233D">
      <w:pPr>
        <w:spacing w:before="100" w:beforeAutospacing="1" w:after="0" w:line="240" w:lineRule="auto"/>
        <w:rPr>
          <w:rFonts w:ascii="Times New Roman" w:eastAsia="Times New Roman" w:hAnsi="Times New Roman" w:cs="Times New Roman"/>
          <w:b/>
          <w:bCs/>
          <w:i/>
          <w:iCs/>
          <w:lang w:eastAsia="en-GB"/>
        </w:rPr>
      </w:pPr>
      <w:r w:rsidRPr="00862A72">
        <w:rPr>
          <w:rFonts w:ascii="Times New Roman" w:eastAsia="Times New Roman" w:hAnsi="Times New Roman" w:cs="Times New Roman"/>
          <w:b/>
          <w:bCs/>
          <w:i/>
          <w:iCs/>
          <w:lang w:eastAsia="en-GB"/>
        </w:rPr>
        <w:t>Table 3: Demographic Characteristics of Traders (n = 32)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126"/>
        <w:gridCol w:w="2127"/>
        <w:gridCol w:w="1984"/>
      </w:tblGrid>
      <w:tr w:rsidR="00B36D5F" w:rsidRPr="00862A72" w14:paraId="18A66081" w14:textId="77777777" w:rsidTr="00702763">
        <w:tc>
          <w:tcPr>
            <w:tcW w:w="2405" w:type="dxa"/>
            <w:tcBorders>
              <w:top w:val="single" w:sz="4" w:space="0" w:color="auto"/>
              <w:bottom w:val="single" w:sz="4" w:space="0" w:color="auto"/>
            </w:tcBorders>
            <w:hideMark/>
          </w:tcPr>
          <w:p w14:paraId="1EF10EB8" w14:textId="77777777" w:rsidR="00B36D5F" w:rsidRPr="00862A72" w:rsidRDefault="00B36D5F" w:rsidP="00B36D5F">
            <w:pP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Variable</w:t>
            </w:r>
          </w:p>
        </w:tc>
        <w:tc>
          <w:tcPr>
            <w:tcW w:w="2126" w:type="dxa"/>
            <w:tcBorders>
              <w:top w:val="single" w:sz="4" w:space="0" w:color="auto"/>
              <w:bottom w:val="single" w:sz="4" w:space="0" w:color="auto"/>
            </w:tcBorders>
            <w:hideMark/>
          </w:tcPr>
          <w:p w14:paraId="20CE5F05" w14:textId="77777777" w:rsidR="00B36D5F" w:rsidRPr="00862A72" w:rsidRDefault="00B36D5F" w:rsidP="00B36D5F">
            <w:pP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Category</w:t>
            </w:r>
          </w:p>
        </w:tc>
        <w:tc>
          <w:tcPr>
            <w:tcW w:w="2127" w:type="dxa"/>
            <w:tcBorders>
              <w:top w:val="single" w:sz="4" w:space="0" w:color="auto"/>
              <w:bottom w:val="single" w:sz="4" w:space="0" w:color="auto"/>
            </w:tcBorders>
            <w:hideMark/>
          </w:tcPr>
          <w:p w14:paraId="282002CF" w14:textId="77777777" w:rsidR="00B36D5F" w:rsidRPr="00862A72" w:rsidRDefault="00B36D5F" w:rsidP="00B36D5F">
            <w:pP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Frequency</w:t>
            </w:r>
          </w:p>
        </w:tc>
        <w:tc>
          <w:tcPr>
            <w:tcW w:w="1984" w:type="dxa"/>
            <w:tcBorders>
              <w:top w:val="single" w:sz="4" w:space="0" w:color="auto"/>
              <w:bottom w:val="single" w:sz="4" w:space="0" w:color="auto"/>
            </w:tcBorders>
            <w:hideMark/>
          </w:tcPr>
          <w:p w14:paraId="6F187751" w14:textId="77777777" w:rsidR="00B36D5F" w:rsidRPr="00862A72" w:rsidRDefault="00B36D5F" w:rsidP="004228F7">
            <w:pP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Percentage (%)</w:t>
            </w:r>
          </w:p>
        </w:tc>
      </w:tr>
      <w:tr w:rsidR="00B36D5F" w:rsidRPr="00862A72" w14:paraId="214A54B8" w14:textId="77777777" w:rsidTr="00702763">
        <w:tc>
          <w:tcPr>
            <w:tcW w:w="2405" w:type="dxa"/>
            <w:tcBorders>
              <w:top w:val="single" w:sz="4" w:space="0" w:color="auto"/>
            </w:tcBorders>
            <w:hideMark/>
          </w:tcPr>
          <w:p w14:paraId="41D0F4ED"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Sex</w:t>
            </w:r>
          </w:p>
        </w:tc>
        <w:tc>
          <w:tcPr>
            <w:tcW w:w="2126" w:type="dxa"/>
            <w:tcBorders>
              <w:top w:val="single" w:sz="4" w:space="0" w:color="auto"/>
            </w:tcBorders>
            <w:hideMark/>
          </w:tcPr>
          <w:p w14:paraId="08510D8E"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Female</w:t>
            </w:r>
          </w:p>
        </w:tc>
        <w:tc>
          <w:tcPr>
            <w:tcW w:w="2127" w:type="dxa"/>
            <w:tcBorders>
              <w:top w:val="single" w:sz="4" w:space="0" w:color="auto"/>
            </w:tcBorders>
            <w:hideMark/>
          </w:tcPr>
          <w:p w14:paraId="2881B1D1"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10</w:t>
            </w:r>
          </w:p>
        </w:tc>
        <w:tc>
          <w:tcPr>
            <w:tcW w:w="1984" w:type="dxa"/>
            <w:tcBorders>
              <w:top w:val="single" w:sz="4" w:space="0" w:color="auto"/>
            </w:tcBorders>
            <w:hideMark/>
          </w:tcPr>
          <w:p w14:paraId="128F5F5E"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31.25</w:t>
            </w:r>
          </w:p>
        </w:tc>
      </w:tr>
      <w:tr w:rsidR="00B36D5F" w:rsidRPr="00862A72" w14:paraId="7F4E9F06" w14:textId="77777777" w:rsidTr="00702763">
        <w:tc>
          <w:tcPr>
            <w:tcW w:w="2405" w:type="dxa"/>
            <w:hideMark/>
          </w:tcPr>
          <w:p w14:paraId="3BA0D9D5" w14:textId="77777777" w:rsidR="00B36D5F" w:rsidRPr="00862A72" w:rsidRDefault="00B36D5F" w:rsidP="00B36D5F">
            <w:pPr>
              <w:rPr>
                <w:rFonts w:ascii="Times New Roman" w:eastAsia="Times New Roman" w:hAnsi="Times New Roman" w:cs="Times New Roman"/>
                <w:sz w:val="24"/>
                <w:szCs w:val="24"/>
                <w:lang w:eastAsia="en-GB"/>
              </w:rPr>
            </w:pPr>
          </w:p>
        </w:tc>
        <w:tc>
          <w:tcPr>
            <w:tcW w:w="2126" w:type="dxa"/>
            <w:hideMark/>
          </w:tcPr>
          <w:p w14:paraId="24D182B1"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Male</w:t>
            </w:r>
          </w:p>
        </w:tc>
        <w:tc>
          <w:tcPr>
            <w:tcW w:w="2127" w:type="dxa"/>
            <w:hideMark/>
          </w:tcPr>
          <w:p w14:paraId="148F90A0"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22</w:t>
            </w:r>
          </w:p>
        </w:tc>
        <w:tc>
          <w:tcPr>
            <w:tcW w:w="1984" w:type="dxa"/>
            <w:hideMark/>
          </w:tcPr>
          <w:p w14:paraId="62AC192C"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68.75</w:t>
            </w:r>
          </w:p>
        </w:tc>
      </w:tr>
      <w:tr w:rsidR="00B36D5F" w:rsidRPr="00862A72" w14:paraId="76CE7553" w14:textId="77777777" w:rsidTr="00702763">
        <w:tc>
          <w:tcPr>
            <w:tcW w:w="2405" w:type="dxa"/>
            <w:hideMark/>
          </w:tcPr>
          <w:p w14:paraId="0637948E"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Age (years)</w:t>
            </w:r>
          </w:p>
        </w:tc>
        <w:tc>
          <w:tcPr>
            <w:tcW w:w="2126" w:type="dxa"/>
            <w:hideMark/>
          </w:tcPr>
          <w:p w14:paraId="1D4ACA4E"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18–25</w:t>
            </w:r>
          </w:p>
        </w:tc>
        <w:tc>
          <w:tcPr>
            <w:tcW w:w="2127" w:type="dxa"/>
            <w:hideMark/>
          </w:tcPr>
          <w:p w14:paraId="593FC716"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w:t>
            </w:r>
          </w:p>
        </w:tc>
        <w:tc>
          <w:tcPr>
            <w:tcW w:w="1984" w:type="dxa"/>
            <w:hideMark/>
          </w:tcPr>
          <w:p w14:paraId="7EC56C08"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6.25</w:t>
            </w:r>
          </w:p>
        </w:tc>
      </w:tr>
      <w:tr w:rsidR="00B36D5F" w:rsidRPr="00862A72" w14:paraId="1ECF121B" w14:textId="77777777" w:rsidTr="00702763">
        <w:tc>
          <w:tcPr>
            <w:tcW w:w="2405" w:type="dxa"/>
            <w:hideMark/>
          </w:tcPr>
          <w:p w14:paraId="6977EC42" w14:textId="77777777" w:rsidR="00B36D5F" w:rsidRPr="00862A72" w:rsidRDefault="00B36D5F" w:rsidP="00B36D5F">
            <w:pPr>
              <w:rPr>
                <w:rFonts w:ascii="Times New Roman" w:eastAsia="Times New Roman" w:hAnsi="Times New Roman" w:cs="Times New Roman"/>
                <w:sz w:val="24"/>
                <w:szCs w:val="24"/>
                <w:lang w:eastAsia="en-GB"/>
              </w:rPr>
            </w:pPr>
          </w:p>
        </w:tc>
        <w:tc>
          <w:tcPr>
            <w:tcW w:w="2126" w:type="dxa"/>
            <w:hideMark/>
          </w:tcPr>
          <w:p w14:paraId="38AF8A9A"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26–31</w:t>
            </w:r>
          </w:p>
        </w:tc>
        <w:tc>
          <w:tcPr>
            <w:tcW w:w="2127" w:type="dxa"/>
            <w:hideMark/>
          </w:tcPr>
          <w:p w14:paraId="4164FBA1"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w:t>
            </w:r>
          </w:p>
        </w:tc>
        <w:tc>
          <w:tcPr>
            <w:tcW w:w="1984" w:type="dxa"/>
            <w:hideMark/>
          </w:tcPr>
          <w:p w14:paraId="5A16267B"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12.50</w:t>
            </w:r>
          </w:p>
        </w:tc>
      </w:tr>
      <w:tr w:rsidR="00B36D5F" w:rsidRPr="00862A72" w14:paraId="1D23AB74" w14:textId="77777777" w:rsidTr="00702763">
        <w:tc>
          <w:tcPr>
            <w:tcW w:w="2405" w:type="dxa"/>
            <w:hideMark/>
          </w:tcPr>
          <w:p w14:paraId="08F64BFC" w14:textId="77777777" w:rsidR="00B36D5F" w:rsidRPr="00862A72" w:rsidRDefault="00B36D5F" w:rsidP="00B36D5F">
            <w:pPr>
              <w:rPr>
                <w:rFonts w:ascii="Times New Roman" w:eastAsia="Times New Roman" w:hAnsi="Times New Roman" w:cs="Times New Roman"/>
                <w:sz w:val="24"/>
                <w:szCs w:val="24"/>
                <w:lang w:eastAsia="en-GB"/>
              </w:rPr>
            </w:pPr>
          </w:p>
        </w:tc>
        <w:tc>
          <w:tcPr>
            <w:tcW w:w="2126" w:type="dxa"/>
            <w:hideMark/>
          </w:tcPr>
          <w:p w14:paraId="6BCDC289"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32–36</w:t>
            </w:r>
          </w:p>
        </w:tc>
        <w:tc>
          <w:tcPr>
            <w:tcW w:w="2127" w:type="dxa"/>
            <w:hideMark/>
          </w:tcPr>
          <w:p w14:paraId="4FACE041"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w:t>
            </w:r>
          </w:p>
        </w:tc>
        <w:tc>
          <w:tcPr>
            <w:tcW w:w="1984" w:type="dxa"/>
            <w:hideMark/>
          </w:tcPr>
          <w:p w14:paraId="3623F967"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12.50</w:t>
            </w:r>
          </w:p>
        </w:tc>
      </w:tr>
      <w:tr w:rsidR="00B36D5F" w:rsidRPr="00862A72" w14:paraId="0A50CA60" w14:textId="77777777" w:rsidTr="00702763">
        <w:tc>
          <w:tcPr>
            <w:tcW w:w="2405" w:type="dxa"/>
            <w:hideMark/>
          </w:tcPr>
          <w:p w14:paraId="7C753C1B" w14:textId="77777777" w:rsidR="00B36D5F" w:rsidRPr="00862A72" w:rsidRDefault="00B36D5F" w:rsidP="00B36D5F">
            <w:pPr>
              <w:rPr>
                <w:rFonts w:ascii="Times New Roman" w:eastAsia="Times New Roman" w:hAnsi="Times New Roman" w:cs="Times New Roman"/>
                <w:sz w:val="24"/>
                <w:szCs w:val="24"/>
                <w:lang w:eastAsia="en-GB"/>
              </w:rPr>
            </w:pPr>
          </w:p>
        </w:tc>
        <w:tc>
          <w:tcPr>
            <w:tcW w:w="2126" w:type="dxa"/>
            <w:hideMark/>
          </w:tcPr>
          <w:p w14:paraId="388FD623"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37–41</w:t>
            </w:r>
          </w:p>
        </w:tc>
        <w:tc>
          <w:tcPr>
            <w:tcW w:w="2127" w:type="dxa"/>
            <w:hideMark/>
          </w:tcPr>
          <w:p w14:paraId="0116E026"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16</w:t>
            </w:r>
          </w:p>
        </w:tc>
        <w:tc>
          <w:tcPr>
            <w:tcW w:w="1984" w:type="dxa"/>
            <w:hideMark/>
          </w:tcPr>
          <w:p w14:paraId="65A1C6B4"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50.00</w:t>
            </w:r>
          </w:p>
        </w:tc>
      </w:tr>
      <w:tr w:rsidR="00B36D5F" w:rsidRPr="00862A72" w14:paraId="7FFFA689" w14:textId="77777777" w:rsidTr="00702763">
        <w:tc>
          <w:tcPr>
            <w:tcW w:w="2405" w:type="dxa"/>
            <w:hideMark/>
          </w:tcPr>
          <w:p w14:paraId="587081CA" w14:textId="77777777" w:rsidR="00B36D5F" w:rsidRPr="00862A72" w:rsidRDefault="00B36D5F" w:rsidP="00B36D5F">
            <w:pPr>
              <w:rPr>
                <w:rFonts w:ascii="Times New Roman" w:eastAsia="Times New Roman" w:hAnsi="Times New Roman" w:cs="Times New Roman"/>
                <w:sz w:val="24"/>
                <w:szCs w:val="24"/>
                <w:lang w:eastAsia="en-GB"/>
              </w:rPr>
            </w:pPr>
          </w:p>
        </w:tc>
        <w:tc>
          <w:tcPr>
            <w:tcW w:w="2126" w:type="dxa"/>
            <w:hideMark/>
          </w:tcPr>
          <w:p w14:paraId="6F301612"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42–46</w:t>
            </w:r>
          </w:p>
        </w:tc>
        <w:tc>
          <w:tcPr>
            <w:tcW w:w="2127" w:type="dxa"/>
            <w:hideMark/>
          </w:tcPr>
          <w:p w14:paraId="22CB9BC3"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w:t>
            </w:r>
          </w:p>
        </w:tc>
        <w:tc>
          <w:tcPr>
            <w:tcW w:w="1984" w:type="dxa"/>
            <w:hideMark/>
          </w:tcPr>
          <w:p w14:paraId="78235EFA"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12.50</w:t>
            </w:r>
          </w:p>
        </w:tc>
      </w:tr>
      <w:tr w:rsidR="00B36D5F" w:rsidRPr="00862A72" w14:paraId="4FADEB9E" w14:textId="77777777" w:rsidTr="00702763">
        <w:tc>
          <w:tcPr>
            <w:tcW w:w="2405" w:type="dxa"/>
            <w:hideMark/>
          </w:tcPr>
          <w:p w14:paraId="0DA4D095" w14:textId="77777777" w:rsidR="00B36D5F" w:rsidRPr="00862A72" w:rsidRDefault="00B36D5F" w:rsidP="00B36D5F">
            <w:pPr>
              <w:rPr>
                <w:rFonts w:ascii="Times New Roman" w:eastAsia="Times New Roman" w:hAnsi="Times New Roman" w:cs="Times New Roman"/>
                <w:sz w:val="24"/>
                <w:szCs w:val="24"/>
                <w:lang w:eastAsia="en-GB"/>
              </w:rPr>
            </w:pPr>
          </w:p>
        </w:tc>
        <w:tc>
          <w:tcPr>
            <w:tcW w:w="2126" w:type="dxa"/>
            <w:hideMark/>
          </w:tcPr>
          <w:p w14:paraId="06E28C85"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47+</w:t>
            </w:r>
          </w:p>
        </w:tc>
        <w:tc>
          <w:tcPr>
            <w:tcW w:w="2127" w:type="dxa"/>
            <w:hideMark/>
          </w:tcPr>
          <w:p w14:paraId="3C357A1F"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w:t>
            </w:r>
          </w:p>
        </w:tc>
        <w:tc>
          <w:tcPr>
            <w:tcW w:w="1984" w:type="dxa"/>
            <w:hideMark/>
          </w:tcPr>
          <w:p w14:paraId="6A9ACCC1"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6.25</w:t>
            </w:r>
          </w:p>
        </w:tc>
      </w:tr>
      <w:tr w:rsidR="00B36D5F" w:rsidRPr="00862A72" w14:paraId="56A50AD3" w14:textId="77777777" w:rsidTr="00702763">
        <w:tc>
          <w:tcPr>
            <w:tcW w:w="2405" w:type="dxa"/>
            <w:hideMark/>
          </w:tcPr>
          <w:p w14:paraId="5E34EEA1"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Education Level</w:t>
            </w:r>
          </w:p>
        </w:tc>
        <w:tc>
          <w:tcPr>
            <w:tcW w:w="2126" w:type="dxa"/>
            <w:hideMark/>
          </w:tcPr>
          <w:p w14:paraId="2FB37559" w14:textId="5D3C19E3"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Primary</w:t>
            </w:r>
            <w:r w:rsidR="000F581C" w:rsidRPr="00862A72">
              <w:rPr>
                <w:rFonts w:ascii="Times New Roman" w:eastAsia="Times New Roman" w:hAnsi="Times New Roman" w:cs="Times New Roman"/>
                <w:sz w:val="24"/>
                <w:szCs w:val="24"/>
                <w:lang w:eastAsia="en-GB"/>
              </w:rPr>
              <w:t xml:space="preserve"> school</w:t>
            </w:r>
          </w:p>
        </w:tc>
        <w:tc>
          <w:tcPr>
            <w:tcW w:w="2127" w:type="dxa"/>
            <w:hideMark/>
          </w:tcPr>
          <w:p w14:paraId="12A9AF87"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15</w:t>
            </w:r>
          </w:p>
        </w:tc>
        <w:tc>
          <w:tcPr>
            <w:tcW w:w="1984" w:type="dxa"/>
            <w:hideMark/>
          </w:tcPr>
          <w:p w14:paraId="12BF7981"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46.88</w:t>
            </w:r>
          </w:p>
        </w:tc>
      </w:tr>
      <w:tr w:rsidR="00B36D5F" w:rsidRPr="00862A72" w14:paraId="6E2F6DB4" w14:textId="77777777" w:rsidTr="00702763">
        <w:tc>
          <w:tcPr>
            <w:tcW w:w="2405" w:type="dxa"/>
            <w:hideMark/>
          </w:tcPr>
          <w:p w14:paraId="149D2D00" w14:textId="77777777" w:rsidR="00B36D5F" w:rsidRPr="00862A72" w:rsidRDefault="00B36D5F" w:rsidP="00B36D5F">
            <w:pPr>
              <w:rPr>
                <w:rFonts w:ascii="Times New Roman" w:eastAsia="Times New Roman" w:hAnsi="Times New Roman" w:cs="Times New Roman"/>
                <w:sz w:val="24"/>
                <w:szCs w:val="24"/>
                <w:lang w:eastAsia="en-GB"/>
              </w:rPr>
            </w:pPr>
          </w:p>
        </w:tc>
        <w:tc>
          <w:tcPr>
            <w:tcW w:w="2126" w:type="dxa"/>
            <w:hideMark/>
          </w:tcPr>
          <w:p w14:paraId="6CD42580" w14:textId="7B382902"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Secondary</w:t>
            </w:r>
            <w:r w:rsidR="000F581C" w:rsidRPr="00862A72">
              <w:rPr>
                <w:rFonts w:ascii="Times New Roman" w:eastAsia="Times New Roman" w:hAnsi="Times New Roman" w:cs="Times New Roman"/>
                <w:sz w:val="24"/>
                <w:szCs w:val="24"/>
                <w:lang w:eastAsia="en-GB"/>
              </w:rPr>
              <w:t xml:space="preserve"> School</w:t>
            </w:r>
          </w:p>
        </w:tc>
        <w:tc>
          <w:tcPr>
            <w:tcW w:w="2127" w:type="dxa"/>
            <w:hideMark/>
          </w:tcPr>
          <w:p w14:paraId="21AF8ACD"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16</w:t>
            </w:r>
          </w:p>
        </w:tc>
        <w:tc>
          <w:tcPr>
            <w:tcW w:w="1984" w:type="dxa"/>
            <w:hideMark/>
          </w:tcPr>
          <w:p w14:paraId="666C9224"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50.00</w:t>
            </w:r>
          </w:p>
        </w:tc>
      </w:tr>
      <w:tr w:rsidR="00B36D5F" w:rsidRPr="00862A72" w14:paraId="32D7ADD4" w14:textId="77777777" w:rsidTr="00702763">
        <w:tc>
          <w:tcPr>
            <w:tcW w:w="2405" w:type="dxa"/>
            <w:hideMark/>
          </w:tcPr>
          <w:p w14:paraId="2C90918C" w14:textId="77777777" w:rsidR="00B36D5F" w:rsidRPr="00862A72" w:rsidRDefault="00B36D5F" w:rsidP="00B36D5F">
            <w:pPr>
              <w:rPr>
                <w:rFonts w:ascii="Times New Roman" w:eastAsia="Times New Roman" w:hAnsi="Times New Roman" w:cs="Times New Roman"/>
                <w:sz w:val="24"/>
                <w:szCs w:val="24"/>
                <w:lang w:eastAsia="en-GB"/>
              </w:rPr>
            </w:pPr>
          </w:p>
        </w:tc>
        <w:tc>
          <w:tcPr>
            <w:tcW w:w="2126" w:type="dxa"/>
            <w:hideMark/>
          </w:tcPr>
          <w:p w14:paraId="412C64C7"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Tertiary</w:t>
            </w:r>
          </w:p>
        </w:tc>
        <w:tc>
          <w:tcPr>
            <w:tcW w:w="2127" w:type="dxa"/>
            <w:hideMark/>
          </w:tcPr>
          <w:p w14:paraId="5F22F39E"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w:t>
            </w:r>
          </w:p>
        </w:tc>
        <w:tc>
          <w:tcPr>
            <w:tcW w:w="1984" w:type="dxa"/>
            <w:hideMark/>
          </w:tcPr>
          <w:p w14:paraId="5AE8DF9F"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3.12</w:t>
            </w:r>
          </w:p>
        </w:tc>
      </w:tr>
      <w:tr w:rsidR="00B36D5F" w:rsidRPr="00862A72" w14:paraId="009FE00A" w14:textId="77777777" w:rsidTr="00702763">
        <w:tc>
          <w:tcPr>
            <w:tcW w:w="2405" w:type="dxa"/>
            <w:hideMark/>
          </w:tcPr>
          <w:p w14:paraId="17347A68" w14:textId="77777777" w:rsidR="00B36D5F" w:rsidRPr="00862A72" w:rsidRDefault="00B36D5F" w:rsidP="00B36D5F">
            <w:pPr>
              <w:rPr>
                <w:rFonts w:ascii="Times New Roman" w:eastAsia="Times New Roman" w:hAnsi="Times New Roman" w:cs="Times New Roman"/>
                <w:sz w:val="24"/>
                <w:szCs w:val="24"/>
                <w:lang w:eastAsia="en-GB"/>
              </w:rPr>
            </w:pPr>
          </w:p>
        </w:tc>
        <w:tc>
          <w:tcPr>
            <w:tcW w:w="2126" w:type="dxa"/>
            <w:hideMark/>
          </w:tcPr>
          <w:p w14:paraId="534899D5"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No formal</w:t>
            </w:r>
          </w:p>
        </w:tc>
        <w:tc>
          <w:tcPr>
            <w:tcW w:w="2127" w:type="dxa"/>
            <w:hideMark/>
          </w:tcPr>
          <w:p w14:paraId="2342671C"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1984" w:type="dxa"/>
            <w:hideMark/>
          </w:tcPr>
          <w:p w14:paraId="457A51C6"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0.00</w:t>
            </w:r>
          </w:p>
        </w:tc>
      </w:tr>
      <w:tr w:rsidR="00B36D5F" w:rsidRPr="00862A72" w14:paraId="59F9891A" w14:textId="77777777" w:rsidTr="00702763">
        <w:tc>
          <w:tcPr>
            <w:tcW w:w="2405" w:type="dxa"/>
            <w:hideMark/>
          </w:tcPr>
          <w:p w14:paraId="1062A193"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Marital Status</w:t>
            </w:r>
          </w:p>
        </w:tc>
        <w:tc>
          <w:tcPr>
            <w:tcW w:w="2126" w:type="dxa"/>
            <w:hideMark/>
          </w:tcPr>
          <w:p w14:paraId="32DD31E3"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Married</w:t>
            </w:r>
          </w:p>
        </w:tc>
        <w:tc>
          <w:tcPr>
            <w:tcW w:w="2127" w:type="dxa"/>
            <w:hideMark/>
          </w:tcPr>
          <w:p w14:paraId="6ACF9A41"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20</w:t>
            </w:r>
          </w:p>
        </w:tc>
        <w:tc>
          <w:tcPr>
            <w:tcW w:w="1984" w:type="dxa"/>
            <w:hideMark/>
          </w:tcPr>
          <w:p w14:paraId="395DAE6E"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62.50</w:t>
            </w:r>
          </w:p>
        </w:tc>
      </w:tr>
      <w:tr w:rsidR="00B36D5F" w:rsidRPr="00862A72" w14:paraId="5001853B" w14:textId="77777777" w:rsidTr="00702763">
        <w:tc>
          <w:tcPr>
            <w:tcW w:w="2405" w:type="dxa"/>
            <w:hideMark/>
          </w:tcPr>
          <w:p w14:paraId="550D8DCD" w14:textId="77777777" w:rsidR="00B36D5F" w:rsidRPr="00862A72" w:rsidRDefault="00B36D5F" w:rsidP="00B36D5F">
            <w:pPr>
              <w:rPr>
                <w:rFonts w:ascii="Times New Roman" w:eastAsia="Times New Roman" w:hAnsi="Times New Roman" w:cs="Times New Roman"/>
                <w:sz w:val="24"/>
                <w:szCs w:val="24"/>
                <w:lang w:eastAsia="en-GB"/>
              </w:rPr>
            </w:pPr>
          </w:p>
        </w:tc>
        <w:tc>
          <w:tcPr>
            <w:tcW w:w="2126" w:type="dxa"/>
            <w:hideMark/>
          </w:tcPr>
          <w:p w14:paraId="0405C5C5"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Single</w:t>
            </w:r>
          </w:p>
        </w:tc>
        <w:tc>
          <w:tcPr>
            <w:tcW w:w="2127" w:type="dxa"/>
            <w:hideMark/>
          </w:tcPr>
          <w:p w14:paraId="6C80D74D"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12</w:t>
            </w:r>
          </w:p>
        </w:tc>
        <w:tc>
          <w:tcPr>
            <w:tcW w:w="1984" w:type="dxa"/>
            <w:hideMark/>
          </w:tcPr>
          <w:p w14:paraId="25D0A2C7"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37.50</w:t>
            </w:r>
          </w:p>
        </w:tc>
      </w:tr>
      <w:tr w:rsidR="00B36D5F" w:rsidRPr="00862A72" w14:paraId="7596F79A" w14:textId="77777777" w:rsidTr="00702763">
        <w:tc>
          <w:tcPr>
            <w:tcW w:w="2405" w:type="dxa"/>
            <w:hideMark/>
          </w:tcPr>
          <w:p w14:paraId="65611993"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Trader Type</w:t>
            </w:r>
          </w:p>
        </w:tc>
        <w:tc>
          <w:tcPr>
            <w:tcW w:w="2126" w:type="dxa"/>
            <w:hideMark/>
          </w:tcPr>
          <w:p w14:paraId="591F00E1"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Middlemen</w:t>
            </w:r>
          </w:p>
        </w:tc>
        <w:tc>
          <w:tcPr>
            <w:tcW w:w="2127" w:type="dxa"/>
            <w:hideMark/>
          </w:tcPr>
          <w:p w14:paraId="1571A7D5"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18</w:t>
            </w:r>
          </w:p>
        </w:tc>
        <w:tc>
          <w:tcPr>
            <w:tcW w:w="1984" w:type="dxa"/>
            <w:hideMark/>
          </w:tcPr>
          <w:p w14:paraId="44406607"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56.25</w:t>
            </w:r>
          </w:p>
        </w:tc>
      </w:tr>
      <w:tr w:rsidR="00B36D5F" w:rsidRPr="00862A72" w14:paraId="3EA9B8E9" w14:textId="77777777" w:rsidTr="00702763">
        <w:tc>
          <w:tcPr>
            <w:tcW w:w="2405" w:type="dxa"/>
            <w:tcBorders>
              <w:bottom w:val="single" w:sz="4" w:space="0" w:color="auto"/>
            </w:tcBorders>
            <w:hideMark/>
          </w:tcPr>
          <w:p w14:paraId="3BA5BFB7" w14:textId="77777777" w:rsidR="00B36D5F" w:rsidRPr="00862A72" w:rsidRDefault="00B36D5F" w:rsidP="00B36D5F">
            <w:pPr>
              <w:rPr>
                <w:rFonts w:ascii="Times New Roman" w:eastAsia="Times New Roman" w:hAnsi="Times New Roman" w:cs="Times New Roman"/>
                <w:sz w:val="24"/>
                <w:szCs w:val="24"/>
                <w:lang w:eastAsia="en-GB"/>
              </w:rPr>
            </w:pPr>
          </w:p>
        </w:tc>
        <w:tc>
          <w:tcPr>
            <w:tcW w:w="2126" w:type="dxa"/>
            <w:tcBorders>
              <w:bottom w:val="single" w:sz="4" w:space="0" w:color="auto"/>
            </w:tcBorders>
            <w:hideMark/>
          </w:tcPr>
          <w:p w14:paraId="60B89131"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Wholesalers</w:t>
            </w:r>
          </w:p>
        </w:tc>
        <w:tc>
          <w:tcPr>
            <w:tcW w:w="2127" w:type="dxa"/>
            <w:tcBorders>
              <w:bottom w:val="single" w:sz="4" w:space="0" w:color="auto"/>
            </w:tcBorders>
            <w:hideMark/>
          </w:tcPr>
          <w:p w14:paraId="23A6EA1B"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14</w:t>
            </w:r>
          </w:p>
        </w:tc>
        <w:tc>
          <w:tcPr>
            <w:tcW w:w="1984" w:type="dxa"/>
            <w:tcBorders>
              <w:bottom w:val="single" w:sz="4" w:space="0" w:color="auto"/>
            </w:tcBorders>
            <w:hideMark/>
          </w:tcPr>
          <w:p w14:paraId="556FD776" w14:textId="77777777" w:rsidR="00B36D5F" w:rsidRPr="00862A72" w:rsidRDefault="00B36D5F" w:rsidP="00B36D5F">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43.75</w:t>
            </w:r>
          </w:p>
        </w:tc>
      </w:tr>
    </w:tbl>
    <w:p w14:paraId="1AF90B41" w14:textId="105479B7" w:rsidR="00287D3D" w:rsidRPr="00862A72" w:rsidRDefault="00287D3D" w:rsidP="004228F7">
      <w:pPr>
        <w:pStyle w:val="Heading2"/>
        <w:rPr>
          <w:rFonts w:ascii="Times New Roman" w:hAnsi="Times New Roman" w:cs="Times New Roman"/>
          <w:b/>
          <w:bCs/>
          <w:color w:val="auto"/>
          <w:sz w:val="22"/>
          <w:szCs w:val="22"/>
        </w:rPr>
      </w:pPr>
      <w:r w:rsidRPr="00862A72">
        <w:rPr>
          <w:rFonts w:ascii="Times New Roman" w:hAnsi="Times New Roman" w:cs="Times New Roman"/>
          <w:b/>
          <w:bCs/>
          <w:i/>
          <w:iCs/>
          <w:color w:val="auto"/>
          <w:sz w:val="22"/>
          <w:szCs w:val="22"/>
        </w:rPr>
        <w:t xml:space="preserve"> </w:t>
      </w:r>
      <w:r w:rsidRPr="00862A72">
        <w:rPr>
          <w:rFonts w:ascii="Times New Roman" w:hAnsi="Times New Roman" w:cs="Times New Roman"/>
          <w:b/>
          <w:bCs/>
          <w:color w:val="auto"/>
          <w:sz w:val="22"/>
          <w:szCs w:val="22"/>
        </w:rPr>
        <w:t>3.2 Value Chain Structure and Governance</w:t>
      </w:r>
    </w:p>
    <w:p w14:paraId="5F318644" w14:textId="6626143B" w:rsidR="00287D3D" w:rsidRPr="00862A72" w:rsidRDefault="00287D3D" w:rsidP="00A14449">
      <w:pPr>
        <w:pStyle w:val="Heading3"/>
      </w:pPr>
      <w:r w:rsidRPr="00862A72">
        <w:t>3.2.1 Actor Configuration and Product Flow</w:t>
      </w:r>
    </w:p>
    <w:p w14:paraId="33FA4FD9" w14:textId="77777777" w:rsidR="00A14449" w:rsidRDefault="0050678B" w:rsidP="00A14449">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Figure 1 presents the first empirically grounded mapping of the Malawi-Tanzania cross-border sesame value chain, revealing a complex adaptive system characterized by distinctive structural configurations, governance mechanisms, and institutional arrangements. Constructed through iterative stakeholder validation (n = 32 traders, 81 farmers, and 18 key informants) and direct observation of product flows, transaction patterns, and actor networks across Nyungwe EPA in Karonga District, this value chain map illuminates five architectural features that fundamentally shape smallholder participation, value distribution, and system resilience. </w:t>
      </w:r>
    </w:p>
    <w:p w14:paraId="69547143" w14:textId="2B9AE143" w:rsidR="0050678B" w:rsidRPr="00A14449" w:rsidRDefault="0050678B" w:rsidP="00A14449">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mapping methodology followed established value chain analysis frameworks (Kaplinsky &amp; Morris, 2001; Gereffi et al., 2005), with modifications to capture the informal, cross-border dynamics specific to this context. </w:t>
      </w:r>
    </w:p>
    <w:p w14:paraId="6789FA51" w14:textId="653922E4" w:rsidR="0050678B" w:rsidRPr="00A14449" w:rsidRDefault="0050678B" w:rsidP="00A14449">
      <w:pPr>
        <w:spacing w:after="0" w:line="360" w:lineRule="auto"/>
        <w:jc w:val="both"/>
        <w:rPr>
          <w:rFonts w:ascii="Times New Roman" w:hAnsi="Times New Roman" w:cs="Times New Roman"/>
          <w:b/>
          <w:bCs/>
          <w:sz w:val="24"/>
          <w:szCs w:val="24"/>
        </w:rPr>
      </w:pPr>
      <w:r w:rsidRPr="00A14449">
        <w:rPr>
          <w:rFonts w:ascii="Times New Roman" w:hAnsi="Times New Roman" w:cs="Times New Roman"/>
          <w:b/>
          <w:bCs/>
          <w:sz w:val="24"/>
          <w:szCs w:val="24"/>
        </w:rPr>
        <w:t>Dual Input Supply Regime</w:t>
      </w:r>
    </w:p>
    <w:p w14:paraId="6E8B53CE" w14:textId="77777777" w:rsidR="0050678B" w:rsidRPr="00A14449" w:rsidRDefault="0050678B"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input supply subsystem exhibits a pronounced dualistic structure with significant implications for productivity trajectories and quality outcomes across the value chain. Formal suppliers—including Farmers World outlets and registered agro-dealers concentrated in trading </w:t>
      </w:r>
      <w:proofErr w:type="spellStart"/>
      <w:r w:rsidRPr="00A14449">
        <w:rPr>
          <w:rFonts w:ascii="Times New Roman" w:hAnsi="Times New Roman" w:cs="Times New Roman"/>
          <w:sz w:val="24"/>
          <w:szCs w:val="24"/>
        </w:rPr>
        <w:t>centers</w:t>
      </w:r>
      <w:proofErr w:type="spellEnd"/>
      <w:r w:rsidRPr="00A14449">
        <w:rPr>
          <w:rFonts w:ascii="Times New Roman" w:hAnsi="Times New Roman" w:cs="Times New Roman"/>
          <w:sz w:val="24"/>
          <w:szCs w:val="24"/>
        </w:rPr>
        <w:t xml:space="preserve">—provide certified seed, fertilizers, and pesticides to approximately 34% of farmers, enabling yield potential of 800–1,200 kg/ha through improved varieties with enhanced disease resistance and crop uniformity. In contrast, the predominant supply channel (66% of farmers) operates through informal farmer-to-farmer exchange networks, where recycled seed from previous harvests circulates without quality control or certification. </w:t>
      </w:r>
    </w:p>
    <w:p w14:paraId="5D1256A7" w14:textId="5950D252" w:rsidR="0050678B" w:rsidRPr="00A14449" w:rsidRDefault="0050678B"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While this informal regime imposes zero cash cost at the point of acquisition—a critical accessibility feature for resource-constrained households—it creates a binding productivity ceiling of 400–600 kg/ha through progressive genetic degradation and variable disease susceptibility over multiple cycles. This structural duality perpetuates a low-input, low-output equilibrium that systematically constrains the volume available for cross-border trade while simultaneously explaining the documented 44–48% supply-demand gap reported by Tanzanian buyers. </w:t>
      </w:r>
    </w:p>
    <w:p w14:paraId="5D625A45" w14:textId="5814CE70" w:rsidR="0050678B" w:rsidRPr="00A14449" w:rsidRDefault="0050678B" w:rsidP="00A14449">
      <w:pPr>
        <w:spacing w:after="0" w:line="360" w:lineRule="auto"/>
        <w:jc w:val="both"/>
        <w:rPr>
          <w:rFonts w:ascii="Times New Roman" w:hAnsi="Times New Roman" w:cs="Times New Roman"/>
          <w:b/>
          <w:bCs/>
          <w:sz w:val="24"/>
          <w:szCs w:val="24"/>
        </w:rPr>
      </w:pPr>
      <w:r w:rsidRPr="00A14449">
        <w:rPr>
          <w:rFonts w:ascii="Times New Roman" w:hAnsi="Times New Roman" w:cs="Times New Roman"/>
          <w:b/>
          <w:bCs/>
          <w:sz w:val="24"/>
          <w:szCs w:val="24"/>
        </w:rPr>
        <w:t>Gendered Value Chain Gradient</w:t>
      </w:r>
    </w:p>
    <w:p w14:paraId="6805FFF5" w14:textId="77777777" w:rsidR="00FA5949" w:rsidRPr="00A14449" w:rsidRDefault="0050678B"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lastRenderedPageBreak/>
        <w:t>The value chain exhibits pronounced gender segmentation that reflects and reinforces differential access to resources, information, and value capture across actor categories. At the production node, women constitute 57.5% of farmers, reflecting sesame's historical positioning as "women's work" within local gender ideologies and its construction as a supplementary rather than primary income source. However, as sesame moves from farm gate to border markets, male participation increases dramatically—constituting 88.9% of village-level middlemen, 85.7% of wholesalers, and 91.5% of cross-border traders.</w:t>
      </w:r>
    </w:p>
    <w:p w14:paraId="3B5C92FE" w14:textId="039B9B1E" w:rsidR="0050678B" w:rsidRPr="00A14449" w:rsidRDefault="0050678B"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This masculinization gradient reflects intersecting constraints: women's limited geographic mobility restricting access to distant markets, capital requirements </w:t>
      </w:r>
      <w:proofErr w:type="spellStart"/>
      <w:r w:rsidRPr="00A14449">
        <w:rPr>
          <w:rFonts w:ascii="Times New Roman" w:hAnsi="Times New Roman" w:cs="Times New Roman"/>
          <w:sz w:val="24"/>
          <w:szCs w:val="24"/>
        </w:rPr>
        <w:t>favoring</w:t>
      </w:r>
      <w:proofErr w:type="spellEnd"/>
      <w:r w:rsidRPr="00A14449">
        <w:rPr>
          <w:rFonts w:ascii="Times New Roman" w:hAnsi="Times New Roman" w:cs="Times New Roman"/>
          <w:sz w:val="24"/>
          <w:szCs w:val="24"/>
        </w:rPr>
        <w:t xml:space="preserve"> those with prior asset accumulation, social networks that systematically exclude women from trader information flows, and household bargaining dynamics wherein men appropriate control at the point of commercialization. The retail node represents a striking exception, with women comprising 73.7% of retailers serving local consumers—a feminization that reflects the localization of exchange and smaller transaction values aligning with women's constrained mobility and capital access. This gender gradient produces systematic value capture asymmetries: women farmers receive average prices 6.3% lower than men (MK 1,430 vs. MK 1,520), sell significantly smaller quantities (42.3 kg vs. 58.7 kg, p &lt; .05), and demonstrate substantially lower access to market information (18.2% vs. 31.5% extension access, p &lt; .05), revealing how gender structures opportunity within the chain.</w:t>
      </w:r>
    </w:p>
    <w:p w14:paraId="768DC5D6" w14:textId="4C57B039" w:rsidR="0050678B" w:rsidRPr="00A14449" w:rsidRDefault="0050678B" w:rsidP="00A14449">
      <w:pPr>
        <w:spacing w:after="0" w:line="360" w:lineRule="auto"/>
        <w:jc w:val="both"/>
        <w:rPr>
          <w:rFonts w:ascii="Times New Roman" w:hAnsi="Times New Roman" w:cs="Times New Roman"/>
          <w:b/>
          <w:bCs/>
          <w:sz w:val="24"/>
          <w:szCs w:val="24"/>
        </w:rPr>
      </w:pPr>
      <w:r w:rsidRPr="00A14449">
        <w:rPr>
          <w:rFonts w:ascii="Times New Roman" w:hAnsi="Times New Roman" w:cs="Times New Roman"/>
          <w:b/>
          <w:bCs/>
          <w:sz w:val="24"/>
          <w:szCs w:val="24"/>
        </w:rPr>
        <w:t>Multi-Layered Aggregation Architecture</w:t>
      </w:r>
    </w:p>
    <w:p w14:paraId="35A01373" w14:textId="77777777" w:rsidR="00FA5949" w:rsidRPr="00A14449" w:rsidRDefault="0050678B" w:rsidP="00A14449">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chain operates through a three-tiered aggregation system that progressively concentrates volume while adding layers of transaction costs and transforming governance arrangements. At the first level, village-based middlemen—locally embedded actors operating at 85–155 kg per transaction—perform initial concentration through daily farm-gate purchases during harvest and weekly collections thereafter, with price formation characterized by buyer-offered terms and limited farmer negotiation. This stage functions as the critical interface between dispersed smallholder production and concentrated market demand, yet it is also where information asymmetry is most pronounced and farmer bargaining power most constrained. </w:t>
      </w:r>
    </w:p>
    <w:p w14:paraId="626FD9DA" w14:textId="039A80EE" w:rsidR="0050678B" w:rsidRPr="00A14449" w:rsidRDefault="0050678B" w:rsidP="00A14449">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At the second level, trading </w:t>
      </w:r>
      <w:proofErr w:type="spellStart"/>
      <w:r w:rsidRPr="00A14449">
        <w:rPr>
          <w:rFonts w:ascii="Times New Roman" w:hAnsi="Times New Roman" w:cs="Times New Roman"/>
          <w:sz w:val="24"/>
          <w:szCs w:val="24"/>
        </w:rPr>
        <w:t>center</w:t>
      </w:r>
      <w:proofErr w:type="spellEnd"/>
      <w:r w:rsidRPr="00A14449">
        <w:rPr>
          <w:rFonts w:ascii="Times New Roman" w:hAnsi="Times New Roman" w:cs="Times New Roman"/>
          <w:sz w:val="24"/>
          <w:szCs w:val="24"/>
        </w:rPr>
        <w:t>-based wholesalers aggregate 500–2,000 kg weekly, performing essential functions of quality sorting, storage, and second-stage concentration, with price formation increasingly informed by border market intelligence. The third level encompasses export wholesalers operating at the Malawi-Tanzania border, handling 3,000–</w:t>
      </w:r>
      <w:r w:rsidRPr="00A14449">
        <w:rPr>
          <w:rFonts w:ascii="Times New Roman" w:hAnsi="Times New Roman" w:cs="Times New Roman"/>
          <w:sz w:val="24"/>
          <w:szCs w:val="24"/>
        </w:rPr>
        <w:lastRenderedPageBreak/>
        <w:t xml:space="preserve">10,000 kg per transaction through bi-weekly to monthly cycles, with price formation directly influenced by Dar es Salaam commodity markets. </w:t>
      </w:r>
    </w:p>
    <w:p w14:paraId="78056592" w14:textId="0E80BE88" w:rsidR="0050678B" w:rsidRPr="00A14449" w:rsidRDefault="0050678B" w:rsidP="00A14449">
      <w:pPr>
        <w:spacing w:after="0" w:line="360" w:lineRule="auto"/>
        <w:jc w:val="both"/>
        <w:rPr>
          <w:rFonts w:ascii="Times New Roman" w:hAnsi="Times New Roman" w:cs="Times New Roman"/>
          <w:b/>
          <w:bCs/>
          <w:sz w:val="24"/>
          <w:szCs w:val="24"/>
        </w:rPr>
      </w:pPr>
      <w:r w:rsidRPr="00A14449">
        <w:rPr>
          <w:rFonts w:ascii="Times New Roman" w:hAnsi="Times New Roman" w:cs="Times New Roman"/>
          <w:b/>
          <w:bCs/>
          <w:sz w:val="24"/>
          <w:szCs w:val="24"/>
        </w:rPr>
        <w:t>Cross-Border Integration Mechanisms</w:t>
      </w:r>
    </w:p>
    <w:p w14:paraId="5E1A76C8" w14:textId="77777777" w:rsidR="00FA5949" w:rsidRPr="00A14449" w:rsidRDefault="0050678B"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Tanzanian market integration occurs through three distinct channels operating simultaneously, creating a layered market interface that provides redundancy and flexibility while distributing risks and returns differentially. Channel 1 (direct border market purchase), accounting for approximately 35% of cross-border flow, involves Tanzanian buyers purchasing directly from Malawian farmers and traders at designated border markets through spot market transactions with immediate cash settlement. Here, buyers assume quality risk while sellers bear price risk within arm's-length, transaction-specific relationships. Channel 2 (wholesaler contracting), representing the largest share at 45%, involves Tanzanian buyers establishing ongoing relationships with Malawian wholesalers for regular supply, with negotiated contracts sometimes incorporating price premiums of 5–12% for assured quality and volume predictability. </w:t>
      </w:r>
    </w:p>
    <w:p w14:paraId="3593961A" w14:textId="5916E34A" w:rsidR="0050678B" w:rsidRPr="00A14449" w:rsidRDefault="0050678B"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Risk is shared through relationship-based governance, with repeated transactions substituting for formal enforcement mechanisms. Channel 3 (agent-based procurement), comprising the remaining 20%, deploys Tanzanian buyer agents operating within Malawi to aggregate from multiple sources through principal-agent pricing with commissions, creating hierarchical governance where agents bear collection risk while principals assume market risk. Notably, Channel 2 has grown at 18% annually over three years, suggesting a secular trend toward relational governance that reduces transaction costs while maintaining flexibility—a finding with implications for intervention design. Critically, border market prices from Channel 1 serve as the reference point for all channels, demonstrating how spot markets maintain price leadership even as relational contracting expands, creating a distinctive governance hybrid that combines the price discovery benefits of markets with the risk mitigation properties of relationships.</w:t>
      </w:r>
    </w:p>
    <w:p w14:paraId="5E4E14DF" w14:textId="7FE4E31D" w:rsidR="0050678B" w:rsidRPr="00A14449" w:rsidRDefault="0050678B" w:rsidP="00A14449">
      <w:pPr>
        <w:spacing w:after="0" w:line="360" w:lineRule="auto"/>
        <w:jc w:val="both"/>
        <w:rPr>
          <w:rFonts w:ascii="Times New Roman" w:hAnsi="Times New Roman" w:cs="Times New Roman"/>
          <w:b/>
          <w:bCs/>
          <w:sz w:val="24"/>
          <w:szCs w:val="24"/>
        </w:rPr>
      </w:pPr>
      <w:r w:rsidRPr="00A14449">
        <w:rPr>
          <w:rFonts w:ascii="Times New Roman" w:hAnsi="Times New Roman" w:cs="Times New Roman"/>
          <w:b/>
          <w:bCs/>
          <w:sz w:val="24"/>
          <w:szCs w:val="24"/>
        </w:rPr>
        <w:t>Institutional Void Navigation Through Relational Governance</w:t>
      </w:r>
    </w:p>
    <w:p w14:paraId="0039C4D7" w14:textId="77777777" w:rsidR="00480706" w:rsidRPr="00A14449" w:rsidRDefault="0050678B"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In the absence of formal institutional infrastructure—quality standards, contract enforcement mechanisms, standardized weights and measures regulation, and accessible dispute resolution systems—actors have constructed a sophisticated informal governance architecture based on five interrelated relational mechanisms operating as functional substitutes. Reputation-based trust functions as the primary quality assurance mechanism in lieu of inspection and certification systems, operationalized through trader statements that "I only buy from people I </w:t>
      </w:r>
      <w:r w:rsidRPr="00A14449">
        <w:rPr>
          <w:rFonts w:ascii="Times New Roman" w:hAnsi="Times New Roman" w:cs="Times New Roman"/>
          <w:sz w:val="24"/>
          <w:szCs w:val="24"/>
        </w:rPr>
        <w:lastRenderedPageBreak/>
        <w:t xml:space="preserve">know. If they cheat me once, I never return" (Wholesaler 08, KII), creating powerful incentives for consistent conduct. Repeated transactions substitute for legal contract enforcement, with long-term trading relationships—often spanning decades—embedding commitments within social obligations that render written agreements unnecessary: "We don't write contracts. We've done business for 10 years. Your word is your bond" (Wholesaler 05, KII). </w:t>
      </w:r>
    </w:p>
    <w:p w14:paraId="7919B757" w14:textId="3C8A619C" w:rsidR="0050678B" w:rsidRPr="00A14449" w:rsidRDefault="0050678B"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Social embeddedness provides dispute resolution without formal courts, activated through community elders and respected traders who mediate conflicts: "If there's a problem, elders from both sides sit together. We find a way" (Middleman 12, KII). Reciprocity obligations enable risk sharing without insurance markets, manifest when buyers </w:t>
      </w:r>
      <w:proofErr w:type="spellStart"/>
      <w:r w:rsidRPr="00A14449">
        <w:rPr>
          <w:rFonts w:ascii="Times New Roman" w:hAnsi="Times New Roman" w:cs="Times New Roman"/>
          <w:sz w:val="24"/>
          <w:szCs w:val="24"/>
        </w:rPr>
        <w:t>honor</w:t>
      </w:r>
      <w:proofErr w:type="spellEnd"/>
      <w:r w:rsidRPr="00A14449">
        <w:rPr>
          <w:rFonts w:ascii="Times New Roman" w:hAnsi="Times New Roman" w:cs="Times New Roman"/>
          <w:sz w:val="24"/>
          <w:szCs w:val="24"/>
        </w:rPr>
        <w:t xml:space="preserve"> agreed prices despite market downturns because suppliers "have always delivered quality" (Wholesaler 03, KII). Finally, information networks facilitate market coordination without formal intelligence systems, with price data flowing rapidly through mobile phone networks: "If Dar es Salaam prices change, I know within hours" (Wholesaler 07, KII). This relational architecture demonstrates remarkable adaptive efficiency, adjusting to shocks through flexible renegotiation rather than rigid enforcement. However, it simultaneously creates exclusionary effects: new actors—particularly women and youth—face significant barriers to entry, lacking the established trading relationships that function as intangible capital, thereby reproducing the gender gradient documented throughout the chain and limiting the system's developmental inclusivity.</w:t>
      </w:r>
    </w:p>
    <w:p w14:paraId="23CF604A" w14:textId="77777777" w:rsidR="0044407D" w:rsidRPr="00862A72" w:rsidRDefault="0044407D" w:rsidP="0050678B">
      <w:pPr>
        <w:spacing w:after="0"/>
        <w:jc w:val="both"/>
        <w:rPr>
          <w:rFonts w:ascii="Times New Roman" w:hAnsi="Times New Roman" w:cs="Times New Roman"/>
        </w:rPr>
      </w:pPr>
    </w:p>
    <w:p w14:paraId="06E8061B" w14:textId="1DE5A96B" w:rsidR="00AB5558" w:rsidRPr="00862A72" w:rsidRDefault="00AB5558" w:rsidP="004015A9">
      <w:pPr>
        <w:spacing w:after="0" w:line="360" w:lineRule="auto"/>
        <w:jc w:val="center"/>
        <w:rPr>
          <w:rFonts w:ascii="Times New Roman" w:hAnsi="Times New Roman" w:cs="Times New Roman"/>
        </w:rPr>
      </w:pPr>
      <w:r w:rsidRPr="00862A72">
        <w:rPr>
          <w:rFonts w:ascii="Times New Roman" w:hAnsi="Times New Roman" w:cs="Times New Roman"/>
          <w:noProof/>
          <w:lang w:val="en-IN" w:eastAsia="en-IN"/>
        </w:rPr>
        <w:drawing>
          <wp:inline distT="0" distB="0" distL="0" distR="0" wp14:anchorId="0EA14038" wp14:editId="5F4757F3">
            <wp:extent cx="5600700" cy="28238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59305" cy="2853393"/>
                    </a:xfrm>
                    <a:prstGeom prst="rect">
                      <a:avLst/>
                    </a:prstGeom>
                  </pic:spPr>
                </pic:pic>
              </a:graphicData>
            </a:graphic>
          </wp:inline>
        </w:drawing>
      </w:r>
    </w:p>
    <w:p w14:paraId="21562360" w14:textId="2C29966D" w:rsidR="004228F7" w:rsidRPr="006A233D" w:rsidRDefault="00287D3D" w:rsidP="00AD63C7">
      <w:pPr>
        <w:spacing w:after="0" w:line="360" w:lineRule="auto"/>
        <w:jc w:val="center"/>
        <w:rPr>
          <w:rFonts w:ascii="Times New Roman" w:hAnsi="Times New Roman" w:cs="Times New Roman"/>
          <w:b/>
          <w:bCs/>
          <w:i/>
          <w:iCs/>
          <w:sz w:val="18"/>
          <w:szCs w:val="18"/>
        </w:rPr>
      </w:pPr>
      <w:r w:rsidRPr="006A233D">
        <w:rPr>
          <w:rFonts w:ascii="Times New Roman" w:hAnsi="Times New Roman" w:cs="Times New Roman"/>
          <w:b/>
          <w:bCs/>
          <w:i/>
          <w:iCs/>
          <w:sz w:val="18"/>
          <w:szCs w:val="18"/>
        </w:rPr>
        <w:t>Figure 1: Malawi-Tanzania Cross-Border Sesame Value Chain Map</w:t>
      </w:r>
    </w:p>
    <w:p w14:paraId="4F9AB0B2" w14:textId="23C6CA9F" w:rsidR="00287D3D" w:rsidRPr="00862A72" w:rsidRDefault="00287D3D" w:rsidP="004228F7">
      <w:pPr>
        <w:pStyle w:val="Heading2"/>
        <w:rPr>
          <w:rFonts w:ascii="Times New Roman" w:hAnsi="Times New Roman" w:cs="Times New Roman"/>
          <w:b/>
          <w:bCs/>
          <w:color w:val="auto"/>
          <w:sz w:val="22"/>
          <w:szCs w:val="22"/>
        </w:rPr>
      </w:pPr>
      <w:r w:rsidRPr="006A233D">
        <w:rPr>
          <w:rFonts w:ascii="Times New Roman" w:hAnsi="Times New Roman" w:cs="Times New Roman"/>
          <w:b/>
          <w:bCs/>
          <w:color w:val="auto"/>
          <w:sz w:val="24"/>
          <w:szCs w:val="24"/>
        </w:rPr>
        <w:lastRenderedPageBreak/>
        <w:t xml:space="preserve"> 3.3 Marketing Margin Analysis</w:t>
      </w:r>
    </w:p>
    <w:p w14:paraId="5B959FAA" w14:textId="2C804D12" w:rsidR="00AD63C7" w:rsidRPr="00A14449" w:rsidRDefault="00AD63C7" w:rsidP="00A14449">
      <w:pPr>
        <w:spacing w:line="360" w:lineRule="auto"/>
        <w:jc w:val="both"/>
        <w:rPr>
          <w:rFonts w:ascii="Times New Roman" w:hAnsi="Times New Roman" w:cs="Times New Roman"/>
          <w:sz w:val="24"/>
          <w:szCs w:val="24"/>
        </w:rPr>
      </w:pPr>
      <w:r w:rsidRPr="00A14449">
        <w:rPr>
          <w:rFonts w:ascii="Times New Roman" w:hAnsi="Times New Roman" w:cs="Times New Roman"/>
          <w:b/>
          <w:bCs/>
          <w:sz w:val="24"/>
          <w:szCs w:val="24"/>
        </w:rPr>
        <w:t>Table 4</w:t>
      </w:r>
      <w:r w:rsidRPr="00A14449">
        <w:rPr>
          <w:rFonts w:ascii="Times New Roman" w:hAnsi="Times New Roman" w:cs="Times New Roman"/>
          <w:sz w:val="24"/>
          <w:szCs w:val="24"/>
        </w:rPr>
        <w:t xml:space="preserve"> presents the most detailed margin analysis yet conducted for Malawi's sesame value chain, disaggregating costs, revenues, and profitability across the four primary actor categories: producers (n=81), middlemen (n=18), wholesalers (n=14), and retailers (n=19). The analysis reveals substantial variation in both cost structures and margin outcomes, with a paradoxical pattern wherein the actor category capturing the highest gross margin percentage operates from the most vulnerable position within the chain. </w:t>
      </w:r>
    </w:p>
    <w:p w14:paraId="2A7503C7" w14:textId="51197232" w:rsidR="00AD63C7" w:rsidRPr="00A14449" w:rsidRDefault="00AD63C7" w:rsidP="00A14449">
      <w:pPr>
        <w:spacing w:after="0" w:line="360" w:lineRule="auto"/>
        <w:jc w:val="both"/>
        <w:rPr>
          <w:rFonts w:ascii="Times New Roman" w:hAnsi="Times New Roman" w:cs="Times New Roman"/>
          <w:b/>
          <w:bCs/>
          <w:sz w:val="24"/>
          <w:szCs w:val="24"/>
        </w:rPr>
      </w:pPr>
      <w:r w:rsidRPr="00A14449">
        <w:rPr>
          <w:rFonts w:ascii="Times New Roman" w:hAnsi="Times New Roman" w:cs="Times New Roman"/>
          <w:b/>
          <w:bCs/>
          <w:sz w:val="24"/>
          <w:szCs w:val="24"/>
        </w:rPr>
        <w:t>Producer Cost Structure and Margin Paradox</w:t>
      </w:r>
    </w:p>
    <w:p w14:paraId="661EBC76" w14:textId="6E9CDB6C" w:rsidR="00AD63C7" w:rsidRPr="00A14449" w:rsidRDefault="00AD63C7"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Smallholder producers incurred the lowest total variable costs (mean = MK 27,000 per farmer; SD = 5,678), comprising expenditures on land preparation (MK 15,000, 55.6% of costs), harvesting labor (MK 5,000, 18.5%), pesticides (MK 4,000, 14.8%), seed (MK 2,000, 7.4%), and packaging materials (MK 1,000, 3.7%). This cost profile reflects a production model characterized by family labor (imputed but not expensed), minimal purchased inputs, and limited mechanization—features typical of smallholder agriculture but with distinctive implications for margin interpretation. With mean sales of 56.6 kg (SD = 18.45) at an average price of MK 1,500 per kilogram (SD = 145), producers generated mean total revenue of MK 84,900, yielding a gross margin of MK 57,900 and a gross margin percentage of 68.2%—the highest among all chain actors. However, this apparently </w:t>
      </w:r>
      <w:proofErr w:type="spellStart"/>
      <w:r w:rsidRPr="00A14449">
        <w:rPr>
          <w:rFonts w:ascii="Times New Roman" w:hAnsi="Times New Roman" w:cs="Times New Roman"/>
          <w:sz w:val="24"/>
          <w:szCs w:val="24"/>
        </w:rPr>
        <w:t>favorable</w:t>
      </w:r>
      <w:proofErr w:type="spellEnd"/>
      <w:r w:rsidRPr="00A14449">
        <w:rPr>
          <w:rFonts w:ascii="Times New Roman" w:hAnsi="Times New Roman" w:cs="Times New Roman"/>
          <w:sz w:val="24"/>
          <w:szCs w:val="24"/>
        </w:rPr>
        <w:t xml:space="preserve"> margin ratio masks fundamental vulnerabilities. The absolute margin of MK 57,900 falls substantially below Malawi's rural poverty line of MK 185,000 per annum (NSO, 2019), indicating that sesame production alone cannot lift households out of poverty at current volume levels. Moreover, 89% of producers sell at harvest (March-April) when prices are lowest (MK 1,200-1,500/kg), compared to lean season prices reaching MK 2,200-2,800/kg—a timing constraint driven by immediate cash needs for school fees and household expenses. Critically, 78% of farmers reported accepting buyer-offered prices without negotiation, reflecting profound information asymmetry and limited bargaining capacity. Thus, the high producer margin percentage reflects low-cost production rather than market power—a distinction with significant implications for intervention design.</w:t>
      </w:r>
    </w:p>
    <w:p w14:paraId="23EF0C4D" w14:textId="10EBB251" w:rsidR="00AD63C7" w:rsidRPr="00A14449" w:rsidRDefault="00AD63C7" w:rsidP="00A14449">
      <w:pPr>
        <w:spacing w:after="0" w:line="360" w:lineRule="auto"/>
        <w:jc w:val="both"/>
        <w:rPr>
          <w:rFonts w:ascii="Times New Roman" w:hAnsi="Times New Roman" w:cs="Times New Roman"/>
          <w:b/>
          <w:bCs/>
          <w:sz w:val="24"/>
          <w:szCs w:val="24"/>
        </w:rPr>
      </w:pPr>
      <w:r w:rsidRPr="00A14449">
        <w:rPr>
          <w:rFonts w:ascii="Times New Roman" w:hAnsi="Times New Roman" w:cs="Times New Roman"/>
          <w:b/>
          <w:bCs/>
          <w:sz w:val="24"/>
          <w:szCs w:val="24"/>
        </w:rPr>
        <w:t>Middlemen Cost Structure and Intermediation Function</w:t>
      </w:r>
    </w:p>
    <w:p w14:paraId="296A4B52" w14:textId="77777777" w:rsidR="0017730A" w:rsidRPr="00A14449" w:rsidRDefault="00AD63C7"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Middlemen (village-level collectors) incurred substantially higher total variable costs (mean = MK 189,100; SD = 32,456), with purchasing costs dominating their expenditure structure at MK 180,600 (95.5% of total costs). Additional costs included transportation (MK 7,000, 3.7%) and police/levy fees (MK 1,500, 0.8%), reflecting the logistical and regulatory burdens </w:t>
      </w:r>
      <w:r w:rsidRPr="00A14449">
        <w:rPr>
          <w:rFonts w:ascii="Times New Roman" w:hAnsi="Times New Roman" w:cs="Times New Roman"/>
          <w:sz w:val="24"/>
          <w:szCs w:val="24"/>
        </w:rPr>
        <w:lastRenderedPageBreak/>
        <w:t xml:space="preserve">of moving sesame from dispersed production sites to centralized trading points. Operating at a mean volume of 120.4 kg (SD = 32.67) purchased at an average price of MK 1,800 per kilogram and sold at MK 2,000 per kilogram to wholesalers, middlemen generated mean total revenue of MK 240,800 and gross margin of MK 50,900, yielding a gross margin percentage of 21.13%. </w:t>
      </w:r>
    </w:p>
    <w:p w14:paraId="1F192583" w14:textId="77777777" w:rsidR="0017730A" w:rsidRPr="00A14449" w:rsidRDefault="0017730A" w:rsidP="00A14449">
      <w:pPr>
        <w:spacing w:after="0" w:line="360" w:lineRule="auto"/>
        <w:jc w:val="both"/>
        <w:rPr>
          <w:rFonts w:ascii="Times New Roman" w:hAnsi="Times New Roman" w:cs="Times New Roman"/>
          <w:sz w:val="24"/>
          <w:szCs w:val="24"/>
        </w:rPr>
      </w:pPr>
    </w:p>
    <w:p w14:paraId="24B7B938" w14:textId="6DD853F1" w:rsidR="00AD63C7" w:rsidRPr="00A14449" w:rsidRDefault="00AD63C7"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This margin compensates for three essential functions: (1) aggregation—consolidating small lots from multiple producers into marketable volumes; (2) transportation—moving product from farm gate to trading </w:t>
      </w:r>
      <w:proofErr w:type="spellStart"/>
      <w:r w:rsidRPr="00A14449">
        <w:rPr>
          <w:rFonts w:ascii="Times New Roman" w:hAnsi="Times New Roman" w:cs="Times New Roman"/>
          <w:sz w:val="24"/>
          <w:szCs w:val="24"/>
        </w:rPr>
        <w:t>centers</w:t>
      </w:r>
      <w:proofErr w:type="spellEnd"/>
      <w:r w:rsidRPr="00A14449">
        <w:rPr>
          <w:rFonts w:ascii="Times New Roman" w:hAnsi="Times New Roman" w:cs="Times New Roman"/>
          <w:sz w:val="24"/>
          <w:szCs w:val="24"/>
        </w:rPr>
        <w:t>; and (3) risk-bearing—assuming quality, price, and theft risks that producers are unwilling or unable to bear. Notably, middlemen operate on thin per-unit margins (MK 200/kg) that aggregate to meaningful returns only through volume, explaining their strategic positioning at the interface between dispersed production and concentrated demand. Qualitative data reveal that middlemen view their role as essential yet precarious: "I am the link between farmers and the big buyers. Farmers know me, they trust me. Without me, they would struggle to reach the market" (KII, Middleman 07). However, their position also enables rent extraction through non-standardized measurement practices, with 19.1% of farmers identifying measurement cheating as a primary constraint—a finding quantified in our measurement loss experiment (Section 3.4).</w:t>
      </w:r>
    </w:p>
    <w:p w14:paraId="16B250D0" w14:textId="15D173CE" w:rsidR="00AD63C7" w:rsidRPr="00A14449" w:rsidRDefault="00AD63C7" w:rsidP="00A14449">
      <w:pPr>
        <w:spacing w:after="0" w:line="360" w:lineRule="auto"/>
        <w:jc w:val="both"/>
        <w:rPr>
          <w:rFonts w:ascii="Times New Roman" w:hAnsi="Times New Roman" w:cs="Times New Roman"/>
          <w:b/>
          <w:bCs/>
          <w:sz w:val="24"/>
          <w:szCs w:val="24"/>
        </w:rPr>
      </w:pPr>
      <w:r w:rsidRPr="00A14449">
        <w:rPr>
          <w:rFonts w:ascii="Times New Roman" w:hAnsi="Times New Roman" w:cs="Times New Roman"/>
          <w:b/>
          <w:bCs/>
          <w:sz w:val="24"/>
          <w:szCs w:val="24"/>
        </w:rPr>
        <w:t>Wholesaler Cost Structure and Capital Intensity</w:t>
      </w:r>
    </w:p>
    <w:p w14:paraId="51D2E8D2" w14:textId="77777777" w:rsidR="00AD63C7" w:rsidRPr="00A14449" w:rsidRDefault="00AD63C7" w:rsidP="00A14449">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Wholesalers recorded the highest absolute costs (mean = MK 362,000; SD = 45,678) but the lowest gross margin percentage (10.71%) among all chain actors, revealing the capital-intensive nature of bulk trade, storage, and cross-border coordination. Purchasing costs dominated their expenditure structure at MK 325,000 (89.8% of total costs), supplemented by transportation (MK 13,000, 3.6%), storage fees (MK 10,000, 2.8%), packaging (MK 8,000, 2.2%), and police/levy fees (MK 6,000, 1.7%). Operating at a mean volume of 130 kg (SD = 28.45) purchased at an average price of MK 2,200 per kilogram and sold at MK 2,800 per kilogram—primarily to Tanzanian buyers—wholesalers generated mean total revenue of MK 364,000 and gross margin of MK 39,000. The compression of wholesale margins reflects several structural factors: intense competition among wholesalers at the border (n=14 operating within the study area), price transparency in Tanzanian markets that limits markup potential, and the substantial fixed costs of maintaining storage infrastructure and transport capacity. Despite the low percentage margin, wholesalers achieve the highest absolute returns through volume, with mean gross margin of MK 39,000 per transaction and the capacity to execute multiple transactions monthly during peak seasons. One wholesaler explained the </w:t>
      </w:r>
      <w:r w:rsidRPr="00A14449">
        <w:rPr>
          <w:rFonts w:ascii="Times New Roman" w:hAnsi="Times New Roman" w:cs="Times New Roman"/>
          <w:sz w:val="24"/>
          <w:szCs w:val="24"/>
        </w:rPr>
        <w:lastRenderedPageBreak/>
        <w:t>volume imperative: "If I only moved 100 kg, I would lose money. The margin is small, so I must move tons. That requires capital—lots of it" (KII, Wholesaler 03). This capital intensity creates significant barriers to entry, explaining the demographic profile of wholesalers (85.7% male, mean age 47.3 years) and their accumulation of trading experience (mean 13.4 years).</w:t>
      </w:r>
    </w:p>
    <w:p w14:paraId="188E48CE" w14:textId="738D8840" w:rsidR="00AD63C7" w:rsidRPr="00A14449" w:rsidRDefault="00AD63C7" w:rsidP="00A14449">
      <w:pPr>
        <w:spacing w:after="0" w:line="360" w:lineRule="auto"/>
        <w:jc w:val="both"/>
        <w:rPr>
          <w:rFonts w:ascii="Times New Roman" w:hAnsi="Times New Roman" w:cs="Times New Roman"/>
          <w:b/>
          <w:bCs/>
          <w:sz w:val="24"/>
          <w:szCs w:val="24"/>
        </w:rPr>
      </w:pPr>
      <w:r w:rsidRPr="00A14449">
        <w:rPr>
          <w:rFonts w:ascii="Times New Roman" w:hAnsi="Times New Roman" w:cs="Times New Roman"/>
          <w:b/>
          <w:bCs/>
          <w:sz w:val="24"/>
          <w:szCs w:val="24"/>
        </w:rPr>
        <w:t>Retailer Cost Structure and Local Market Function</w:t>
      </w:r>
    </w:p>
    <w:p w14:paraId="258BB5F8" w14:textId="77777777" w:rsidR="00AD63C7" w:rsidRDefault="00AD63C7" w:rsidP="00A14449">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Retailers serving the local consumption market incurred total variable costs of MK 260,000 (SD = 38,945), with purchasing costs of MK 250,000 (96.2% of total) and transportation of MK 10,000 (3.8%). Operating at a mean volume of 100 kg (SD = 24.78) purchased at an average price of MK 2,500 per kilogram and sold at MK 3,000 per kilogram to local consumers, retailers generated mean total revenue of MK 300,000 and gross margin of MK 50,000, yielding a gross margin percentage of 16.66%. This margin, intermediate between producers and wholesalers, reflects the cost structure of disaggregating bulk purchases into consumer-ready quantities (typically 0.5-2 kg units) and maintaining continuous market presence despite variable demand. Retailers serve a critical but often overlooked function: ensuring local food security by making sesame available for household consumption. Notably, 73.7% of retailers are women, many of whom are also producers who purchase sesame during lean seasons when their own stores are exhausted. One retailer articulated this dual identity: "My customers are mostly women like me. They sold their harvest months ago and now need to buy for cooking. I understand them because I am the same" (KII, Retailer 12). This finding reveals the interconnectedness of production and consumption within the local food system, challenging simplistic distinctions between "farmers" and "consumers" in smallholder contexts.</w:t>
      </w:r>
    </w:p>
    <w:p w14:paraId="4165B8E7" w14:textId="77777777" w:rsidR="00A14449" w:rsidRPr="00A14449" w:rsidRDefault="00A14449" w:rsidP="00A14449">
      <w:pPr>
        <w:spacing w:line="360" w:lineRule="auto"/>
        <w:jc w:val="both"/>
        <w:rPr>
          <w:rFonts w:ascii="Times New Roman" w:hAnsi="Times New Roman" w:cs="Times New Roman"/>
          <w:sz w:val="24"/>
          <w:szCs w:val="24"/>
        </w:rPr>
      </w:pPr>
    </w:p>
    <w:p w14:paraId="0ED2E808" w14:textId="434951C3" w:rsidR="00AD63C7" w:rsidRPr="00A14449" w:rsidRDefault="00AD63C7" w:rsidP="00A14449">
      <w:pPr>
        <w:spacing w:after="0" w:line="360" w:lineRule="auto"/>
        <w:jc w:val="both"/>
        <w:rPr>
          <w:rFonts w:ascii="Times New Roman" w:hAnsi="Times New Roman" w:cs="Times New Roman"/>
          <w:b/>
          <w:bCs/>
          <w:sz w:val="24"/>
          <w:szCs w:val="24"/>
        </w:rPr>
      </w:pPr>
      <w:r w:rsidRPr="00A14449">
        <w:rPr>
          <w:rFonts w:ascii="Times New Roman" w:hAnsi="Times New Roman" w:cs="Times New Roman"/>
          <w:b/>
          <w:bCs/>
          <w:sz w:val="24"/>
          <w:szCs w:val="24"/>
        </w:rPr>
        <w:t>Statistical Validation of Margin Differences</w:t>
      </w:r>
    </w:p>
    <w:p w14:paraId="4C1C337A" w14:textId="77777777" w:rsidR="00AD63C7" w:rsidRPr="00A14449" w:rsidRDefault="00AD63C7" w:rsidP="00A14449">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One-way ANOVA confirmed significant differences in gross margin percentages across the four actor categories (F(3,128) = 42.56, p &lt; .001), with post-hoc Games-Howell tests revealing that producers' margins (68.2%) significantly exceeded those of middlemen (21.13%, mean difference = 47.07%, p &lt; .001), wholesalers (10.71%, mean difference = 57.49%, p &lt; .001), and retailers (16.66%, mean difference = 51.54%, p &lt; .001). Middlemen and retailers did not differ significantly (mean difference = 4.47%, p = .44), while wholesalers' margins were significantly lower than both middlemen (mean difference = -</w:t>
      </w:r>
      <w:r w:rsidRPr="00A14449">
        <w:rPr>
          <w:rFonts w:ascii="Times New Roman" w:hAnsi="Times New Roman" w:cs="Times New Roman"/>
          <w:sz w:val="24"/>
          <w:szCs w:val="24"/>
        </w:rPr>
        <w:lastRenderedPageBreak/>
        <w:t>10.42%, p &lt; .001) and retailers (mean difference = -5.95%, p = .003). These statistical patterns confirm the hierarchical margin structure while revealing that the most capital-intensive actors (wholesalers) operate on the thinnest percentage margins—a pattern consistent with value chain theory predicting margin compression at nodes with high fixed costs and intense competition.</w:t>
      </w:r>
    </w:p>
    <w:p w14:paraId="36057263" w14:textId="1388A127" w:rsidR="00AD63C7" w:rsidRPr="00A14449" w:rsidRDefault="00AD63C7" w:rsidP="00A14449">
      <w:pPr>
        <w:spacing w:after="0" w:line="360" w:lineRule="auto"/>
        <w:jc w:val="both"/>
        <w:rPr>
          <w:rFonts w:ascii="Times New Roman" w:hAnsi="Times New Roman" w:cs="Times New Roman"/>
          <w:b/>
          <w:bCs/>
          <w:sz w:val="24"/>
          <w:szCs w:val="24"/>
        </w:rPr>
      </w:pPr>
      <w:r w:rsidRPr="00A14449">
        <w:rPr>
          <w:rFonts w:ascii="Times New Roman" w:hAnsi="Times New Roman" w:cs="Times New Roman"/>
          <w:b/>
          <w:bCs/>
          <w:sz w:val="24"/>
          <w:szCs w:val="24"/>
        </w:rPr>
        <w:t>The Margin Paradox Explained</w:t>
      </w:r>
    </w:p>
    <w:p w14:paraId="0A020162" w14:textId="77777777" w:rsidR="00AD63C7" w:rsidRPr="00A14449" w:rsidRDefault="00AD63C7"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The central finding emerging from this analysis is what we term the margin paradox: the actor category with the highest gross margin percentage (producers, 68.2%) occupies the most economically vulnerable position within the chain, while actors with lower percentage margins (wholesalers, 10.71%) achieve greater economic security through volume, timing, and market power. This paradox is resolved by examining four intersecting factors:</w:t>
      </w:r>
    </w:p>
    <w:p w14:paraId="09FBAFAC" w14:textId="77777777" w:rsidR="00AD63C7" w:rsidRPr="00A14449" w:rsidRDefault="00AD63C7" w:rsidP="00A14449">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First, volume constraints—producers sell only 56.6 kg average, yielding absolute returns (MK 57,900) far below those achievable by wholesalers despite their lower percentage margin. Second, timing disadvantages—89% of producers sell at harvest when prices bottom, while wholesalers coordinate sales across seasons to capture premiums. Third, bargaining asymmetries—78% of producers accept buyer-offered prices without negotiation, while wholesalers engage in active price discovery across multiple market channels. Fourth, hidden transaction costs—measurement losses averaging 8.3% (documented in Section 3.4) reduce producers' effective returns by an additional MK 51,300 annually, equivalent to 27.7% of their reported gross margin.</w:t>
      </w:r>
    </w:p>
    <w:p w14:paraId="245AFF96" w14:textId="55E0D857" w:rsidR="00AD63C7" w:rsidRPr="00A14449" w:rsidRDefault="00AD63C7" w:rsidP="00A14449">
      <w:pPr>
        <w:spacing w:after="0" w:line="360" w:lineRule="auto"/>
        <w:jc w:val="both"/>
        <w:rPr>
          <w:rFonts w:ascii="Times New Roman" w:hAnsi="Times New Roman" w:cs="Times New Roman"/>
          <w:b/>
          <w:bCs/>
          <w:sz w:val="24"/>
          <w:szCs w:val="24"/>
        </w:rPr>
      </w:pPr>
      <w:r w:rsidRPr="00A14449">
        <w:rPr>
          <w:rFonts w:ascii="Times New Roman" w:hAnsi="Times New Roman" w:cs="Times New Roman"/>
          <w:b/>
          <w:bCs/>
          <w:sz w:val="24"/>
          <w:szCs w:val="24"/>
        </w:rPr>
        <w:t>Comparative Perspective</w:t>
      </w:r>
    </w:p>
    <w:p w14:paraId="69B1EF06" w14:textId="3EF02C5C" w:rsidR="00FA5949" w:rsidRPr="00A14449" w:rsidRDefault="00AD63C7" w:rsidP="00A14449">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Placing these findings in regional context, Malawi's producer margin of 68.2% exceeds those reported in comparable studies: Ethiopia (52-58%, Gebretsadik, 2020), Tanzania (45-50%, Mhagama &amp; Mmasa, 2022), and Uganda (48-55%, Munyua et al., 2013). However, this apparent advantage disappears when absolute returns are compared—Malawian producers earn approximately MK 57,900 (USD 31.30) per season, substantially below Ethiopian producers' average of ETB 8,500 (USD 158) and Tanzanian producers' TZS 380,000 (USD 165). The difference reflects Malawi's lower production volumes (56.6 kg vs 120-180 kg in comparator countries) rather than superior terms of trade. This comparative insight underscores the volume imperative: Malawi's sesame sector will not achieve poverty reduction impacts without interventions that simultaneously address productivity (yield per hectare) and scale (area cultivated), enabling farmers to reach volume thresholds where sesame becomes a meaningful income source.</w:t>
      </w:r>
    </w:p>
    <w:p w14:paraId="6D3CD4C3" w14:textId="54FF82C2" w:rsidR="00224F7A" w:rsidRPr="00422FB4" w:rsidRDefault="00224F7A" w:rsidP="004228F7">
      <w:pPr>
        <w:spacing w:after="0" w:line="360" w:lineRule="auto"/>
        <w:jc w:val="both"/>
        <w:rPr>
          <w:rFonts w:ascii="Times New Roman" w:hAnsi="Times New Roman" w:cs="Times New Roman"/>
          <w:b/>
          <w:bCs/>
        </w:rPr>
      </w:pPr>
      <w:r w:rsidRPr="00422FB4">
        <w:rPr>
          <w:rFonts w:ascii="Times New Roman" w:hAnsi="Times New Roman" w:cs="Times New Roman"/>
          <w:b/>
          <w:bCs/>
        </w:rPr>
        <w:lastRenderedPageBreak/>
        <w:t>Table 4: Cost Structure and Marketing Margins by Actor Type (Malawi Kwacha)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1353"/>
        <w:gridCol w:w="1473"/>
        <w:gridCol w:w="1553"/>
        <w:gridCol w:w="1219"/>
        <w:gridCol w:w="1029"/>
        <w:gridCol w:w="902"/>
      </w:tblGrid>
      <w:tr w:rsidR="00224F7A" w:rsidRPr="00862A72" w14:paraId="5F9F02B9" w14:textId="77777777" w:rsidTr="004015A9">
        <w:tc>
          <w:tcPr>
            <w:tcW w:w="0" w:type="auto"/>
            <w:tcBorders>
              <w:top w:val="single" w:sz="4" w:space="0" w:color="auto"/>
              <w:bottom w:val="single" w:sz="4" w:space="0" w:color="auto"/>
            </w:tcBorders>
            <w:hideMark/>
          </w:tcPr>
          <w:p w14:paraId="6A7AF322" w14:textId="77777777" w:rsidR="00224F7A" w:rsidRPr="00862A72" w:rsidRDefault="00224F7A" w:rsidP="00224F7A">
            <w:pPr>
              <w:jc w:val="cente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Variable</w:t>
            </w:r>
          </w:p>
        </w:tc>
        <w:tc>
          <w:tcPr>
            <w:tcW w:w="0" w:type="auto"/>
            <w:tcBorders>
              <w:top w:val="single" w:sz="4" w:space="0" w:color="auto"/>
              <w:bottom w:val="single" w:sz="4" w:space="0" w:color="auto"/>
            </w:tcBorders>
            <w:hideMark/>
          </w:tcPr>
          <w:p w14:paraId="09CE52D2" w14:textId="77777777" w:rsidR="00224F7A" w:rsidRPr="00862A72" w:rsidRDefault="00224F7A" w:rsidP="00224F7A">
            <w:pPr>
              <w:jc w:val="cente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Producers (n=81)</w:t>
            </w:r>
          </w:p>
        </w:tc>
        <w:tc>
          <w:tcPr>
            <w:tcW w:w="0" w:type="auto"/>
            <w:tcBorders>
              <w:top w:val="single" w:sz="4" w:space="0" w:color="auto"/>
              <w:bottom w:val="single" w:sz="4" w:space="0" w:color="auto"/>
            </w:tcBorders>
            <w:hideMark/>
          </w:tcPr>
          <w:p w14:paraId="4B4BF23E" w14:textId="77777777" w:rsidR="00224F7A" w:rsidRPr="00862A72" w:rsidRDefault="00224F7A" w:rsidP="00224F7A">
            <w:pPr>
              <w:jc w:val="cente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Middlemen (n=18)</w:t>
            </w:r>
          </w:p>
        </w:tc>
        <w:tc>
          <w:tcPr>
            <w:tcW w:w="0" w:type="auto"/>
            <w:tcBorders>
              <w:top w:val="single" w:sz="4" w:space="0" w:color="auto"/>
              <w:bottom w:val="single" w:sz="4" w:space="0" w:color="auto"/>
            </w:tcBorders>
            <w:hideMark/>
          </w:tcPr>
          <w:p w14:paraId="3B9917F4" w14:textId="77777777" w:rsidR="00224F7A" w:rsidRPr="00862A72" w:rsidRDefault="00224F7A" w:rsidP="00224F7A">
            <w:pPr>
              <w:jc w:val="cente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Wholesalers (n=14)</w:t>
            </w:r>
          </w:p>
        </w:tc>
        <w:tc>
          <w:tcPr>
            <w:tcW w:w="0" w:type="auto"/>
            <w:tcBorders>
              <w:top w:val="single" w:sz="4" w:space="0" w:color="auto"/>
              <w:bottom w:val="single" w:sz="4" w:space="0" w:color="auto"/>
            </w:tcBorders>
            <w:hideMark/>
          </w:tcPr>
          <w:p w14:paraId="7B38C6E6" w14:textId="77777777" w:rsidR="00224F7A" w:rsidRPr="00862A72" w:rsidRDefault="00224F7A" w:rsidP="00224F7A">
            <w:pPr>
              <w:jc w:val="cente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Retailers (n=19)</w:t>
            </w:r>
          </w:p>
        </w:tc>
        <w:tc>
          <w:tcPr>
            <w:tcW w:w="0" w:type="auto"/>
            <w:tcBorders>
              <w:top w:val="single" w:sz="4" w:space="0" w:color="auto"/>
              <w:bottom w:val="single" w:sz="4" w:space="0" w:color="auto"/>
            </w:tcBorders>
            <w:hideMark/>
          </w:tcPr>
          <w:p w14:paraId="4C336EE6" w14:textId="77777777" w:rsidR="00224F7A" w:rsidRPr="00862A72" w:rsidRDefault="00224F7A" w:rsidP="00224F7A">
            <w:pPr>
              <w:jc w:val="cente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F-statistic</w:t>
            </w:r>
          </w:p>
        </w:tc>
        <w:tc>
          <w:tcPr>
            <w:tcW w:w="0" w:type="auto"/>
            <w:tcBorders>
              <w:top w:val="single" w:sz="4" w:space="0" w:color="auto"/>
              <w:bottom w:val="single" w:sz="4" w:space="0" w:color="auto"/>
            </w:tcBorders>
            <w:hideMark/>
          </w:tcPr>
          <w:p w14:paraId="6C324571" w14:textId="77777777" w:rsidR="00224F7A" w:rsidRPr="00862A72" w:rsidRDefault="00224F7A" w:rsidP="00224F7A">
            <w:pPr>
              <w:jc w:val="center"/>
              <w:rPr>
                <w:rFonts w:ascii="Times New Roman" w:eastAsia="Times New Roman" w:hAnsi="Times New Roman" w:cs="Times New Roman"/>
                <w:b/>
                <w:bCs/>
                <w:sz w:val="24"/>
                <w:szCs w:val="24"/>
                <w:lang w:eastAsia="en-GB"/>
              </w:rPr>
            </w:pPr>
            <w:r w:rsidRPr="00862A72">
              <w:rPr>
                <w:rFonts w:ascii="Times New Roman" w:eastAsia="Times New Roman" w:hAnsi="Times New Roman" w:cs="Times New Roman"/>
                <w:b/>
                <w:bCs/>
                <w:sz w:val="24"/>
                <w:szCs w:val="24"/>
                <w:lang w:eastAsia="en-GB"/>
              </w:rPr>
              <w:t>p-value</w:t>
            </w:r>
          </w:p>
        </w:tc>
      </w:tr>
      <w:tr w:rsidR="00224F7A" w:rsidRPr="00862A72" w14:paraId="6A40C1D0" w14:textId="77777777" w:rsidTr="004015A9">
        <w:tc>
          <w:tcPr>
            <w:tcW w:w="0" w:type="auto"/>
            <w:tcBorders>
              <w:top w:val="single" w:sz="4" w:space="0" w:color="auto"/>
            </w:tcBorders>
            <w:hideMark/>
          </w:tcPr>
          <w:p w14:paraId="72386B04"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Cost Components</w:t>
            </w:r>
          </w:p>
        </w:tc>
        <w:tc>
          <w:tcPr>
            <w:tcW w:w="0" w:type="auto"/>
            <w:tcBorders>
              <w:top w:val="single" w:sz="4" w:space="0" w:color="auto"/>
            </w:tcBorders>
            <w:hideMark/>
          </w:tcPr>
          <w:p w14:paraId="796E634C" w14:textId="77777777" w:rsidR="00224F7A" w:rsidRPr="00862A72" w:rsidRDefault="00224F7A" w:rsidP="00224F7A">
            <w:pPr>
              <w:rPr>
                <w:rFonts w:ascii="Times New Roman" w:eastAsia="Times New Roman" w:hAnsi="Times New Roman" w:cs="Times New Roman"/>
                <w:sz w:val="24"/>
                <w:szCs w:val="24"/>
                <w:lang w:eastAsia="en-GB"/>
              </w:rPr>
            </w:pPr>
          </w:p>
        </w:tc>
        <w:tc>
          <w:tcPr>
            <w:tcW w:w="0" w:type="auto"/>
            <w:tcBorders>
              <w:top w:val="single" w:sz="4" w:space="0" w:color="auto"/>
            </w:tcBorders>
            <w:hideMark/>
          </w:tcPr>
          <w:p w14:paraId="1AE45BB7" w14:textId="77777777" w:rsidR="00224F7A" w:rsidRPr="00862A72" w:rsidRDefault="00224F7A" w:rsidP="00224F7A">
            <w:pPr>
              <w:rPr>
                <w:rFonts w:ascii="Times New Roman" w:eastAsia="Times New Roman" w:hAnsi="Times New Roman" w:cs="Times New Roman"/>
                <w:sz w:val="20"/>
                <w:szCs w:val="20"/>
                <w:lang w:eastAsia="en-GB"/>
              </w:rPr>
            </w:pPr>
          </w:p>
        </w:tc>
        <w:tc>
          <w:tcPr>
            <w:tcW w:w="0" w:type="auto"/>
            <w:tcBorders>
              <w:top w:val="single" w:sz="4" w:space="0" w:color="auto"/>
            </w:tcBorders>
            <w:hideMark/>
          </w:tcPr>
          <w:p w14:paraId="459F2DC2" w14:textId="77777777" w:rsidR="00224F7A" w:rsidRPr="00862A72" w:rsidRDefault="00224F7A" w:rsidP="00224F7A">
            <w:pPr>
              <w:rPr>
                <w:rFonts w:ascii="Times New Roman" w:eastAsia="Times New Roman" w:hAnsi="Times New Roman" w:cs="Times New Roman"/>
                <w:sz w:val="20"/>
                <w:szCs w:val="20"/>
                <w:lang w:eastAsia="en-GB"/>
              </w:rPr>
            </w:pPr>
          </w:p>
        </w:tc>
        <w:tc>
          <w:tcPr>
            <w:tcW w:w="0" w:type="auto"/>
            <w:tcBorders>
              <w:top w:val="single" w:sz="4" w:space="0" w:color="auto"/>
            </w:tcBorders>
            <w:hideMark/>
          </w:tcPr>
          <w:p w14:paraId="06AB40C0" w14:textId="77777777" w:rsidR="00224F7A" w:rsidRPr="00862A72" w:rsidRDefault="00224F7A" w:rsidP="00224F7A">
            <w:pPr>
              <w:rPr>
                <w:rFonts w:ascii="Times New Roman" w:eastAsia="Times New Roman" w:hAnsi="Times New Roman" w:cs="Times New Roman"/>
                <w:sz w:val="20"/>
                <w:szCs w:val="20"/>
                <w:lang w:eastAsia="en-GB"/>
              </w:rPr>
            </w:pPr>
          </w:p>
        </w:tc>
        <w:tc>
          <w:tcPr>
            <w:tcW w:w="0" w:type="auto"/>
            <w:tcBorders>
              <w:top w:val="single" w:sz="4" w:space="0" w:color="auto"/>
            </w:tcBorders>
            <w:hideMark/>
          </w:tcPr>
          <w:p w14:paraId="72DFADFC" w14:textId="77777777" w:rsidR="00224F7A" w:rsidRPr="00862A72" w:rsidRDefault="00224F7A" w:rsidP="00224F7A">
            <w:pPr>
              <w:rPr>
                <w:rFonts w:ascii="Times New Roman" w:eastAsia="Times New Roman" w:hAnsi="Times New Roman" w:cs="Times New Roman"/>
                <w:sz w:val="20"/>
                <w:szCs w:val="20"/>
                <w:lang w:eastAsia="en-GB"/>
              </w:rPr>
            </w:pPr>
          </w:p>
        </w:tc>
        <w:tc>
          <w:tcPr>
            <w:tcW w:w="0" w:type="auto"/>
            <w:tcBorders>
              <w:top w:val="single" w:sz="4" w:space="0" w:color="auto"/>
            </w:tcBorders>
            <w:hideMark/>
          </w:tcPr>
          <w:p w14:paraId="0A228B25" w14:textId="77777777" w:rsidR="00224F7A" w:rsidRPr="00862A72" w:rsidRDefault="00224F7A" w:rsidP="00224F7A">
            <w:pPr>
              <w:rPr>
                <w:rFonts w:ascii="Times New Roman" w:eastAsia="Times New Roman" w:hAnsi="Times New Roman" w:cs="Times New Roman"/>
                <w:sz w:val="20"/>
                <w:szCs w:val="20"/>
                <w:lang w:eastAsia="en-GB"/>
              </w:rPr>
            </w:pPr>
          </w:p>
        </w:tc>
      </w:tr>
      <w:tr w:rsidR="00224F7A" w:rsidRPr="00862A72" w14:paraId="2C1EFE7D" w14:textId="77777777" w:rsidTr="004015A9">
        <w:tc>
          <w:tcPr>
            <w:tcW w:w="0" w:type="auto"/>
            <w:hideMark/>
          </w:tcPr>
          <w:p w14:paraId="51582B51"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Transportation</w:t>
            </w:r>
          </w:p>
        </w:tc>
        <w:tc>
          <w:tcPr>
            <w:tcW w:w="0" w:type="auto"/>
            <w:hideMark/>
          </w:tcPr>
          <w:p w14:paraId="3E82ABB3"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3601D3BC"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7,000 (3.7%)</w:t>
            </w:r>
          </w:p>
        </w:tc>
        <w:tc>
          <w:tcPr>
            <w:tcW w:w="0" w:type="auto"/>
            <w:hideMark/>
          </w:tcPr>
          <w:p w14:paraId="7F24A7BD"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13,000 (3.6%)</w:t>
            </w:r>
          </w:p>
        </w:tc>
        <w:tc>
          <w:tcPr>
            <w:tcW w:w="0" w:type="auto"/>
            <w:hideMark/>
          </w:tcPr>
          <w:p w14:paraId="3C43F2B3"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10,000 (3.8%)</w:t>
            </w:r>
          </w:p>
        </w:tc>
        <w:tc>
          <w:tcPr>
            <w:tcW w:w="0" w:type="auto"/>
            <w:hideMark/>
          </w:tcPr>
          <w:p w14:paraId="15C28C61"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12.45</w:t>
            </w:r>
          </w:p>
        </w:tc>
        <w:tc>
          <w:tcPr>
            <w:tcW w:w="0" w:type="auto"/>
            <w:hideMark/>
          </w:tcPr>
          <w:p w14:paraId="6390266D"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&lt;0.001</w:t>
            </w:r>
          </w:p>
        </w:tc>
      </w:tr>
      <w:tr w:rsidR="00224F7A" w:rsidRPr="00862A72" w14:paraId="54633908" w14:textId="77777777" w:rsidTr="004015A9">
        <w:tc>
          <w:tcPr>
            <w:tcW w:w="0" w:type="auto"/>
            <w:hideMark/>
          </w:tcPr>
          <w:p w14:paraId="3C15C18D"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Police/Levies</w:t>
            </w:r>
          </w:p>
        </w:tc>
        <w:tc>
          <w:tcPr>
            <w:tcW w:w="0" w:type="auto"/>
            <w:hideMark/>
          </w:tcPr>
          <w:p w14:paraId="29AF0448"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3A4411A1"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1,500 (0.8%)</w:t>
            </w:r>
          </w:p>
        </w:tc>
        <w:tc>
          <w:tcPr>
            <w:tcW w:w="0" w:type="auto"/>
            <w:hideMark/>
          </w:tcPr>
          <w:p w14:paraId="60650E4D"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6,000 (1.7%)</w:t>
            </w:r>
          </w:p>
        </w:tc>
        <w:tc>
          <w:tcPr>
            <w:tcW w:w="0" w:type="auto"/>
            <w:hideMark/>
          </w:tcPr>
          <w:p w14:paraId="1FE27E62"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4F174A58"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8.67</w:t>
            </w:r>
          </w:p>
        </w:tc>
        <w:tc>
          <w:tcPr>
            <w:tcW w:w="0" w:type="auto"/>
            <w:hideMark/>
          </w:tcPr>
          <w:p w14:paraId="4B8BFC84"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&lt;0.001</w:t>
            </w:r>
          </w:p>
        </w:tc>
      </w:tr>
      <w:tr w:rsidR="00224F7A" w:rsidRPr="00862A72" w14:paraId="2CBC2B91" w14:textId="77777777" w:rsidTr="004015A9">
        <w:tc>
          <w:tcPr>
            <w:tcW w:w="0" w:type="auto"/>
            <w:hideMark/>
          </w:tcPr>
          <w:p w14:paraId="7D8FC304"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Land Preparation</w:t>
            </w:r>
          </w:p>
        </w:tc>
        <w:tc>
          <w:tcPr>
            <w:tcW w:w="0" w:type="auto"/>
            <w:hideMark/>
          </w:tcPr>
          <w:p w14:paraId="0F396BDD"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15,000 (55.6%)</w:t>
            </w:r>
          </w:p>
        </w:tc>
        <w:tc>
          <w:tcPr>
            <w:tcW w:w="0" w:type="auto"/>
            <w:hideMark/>
          </w:tcPr>
          <w:p w14:paraId="28EBB70E"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75DA6FA5"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57FA0BCB"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2EA35884"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c>
          <w:tcPr>
            <w:tcW w:w="0" w:type="auto"/>
            <w:hideMark/>
          </w:tcPr>
          <w:p w14:paraId="4B879DC3"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r>
      <w:tr w:rsidR="00224F7A" w:rsidRPr="00862A72" w14:paraId="02AC1DC7" w14:textId="77777777" w:rsidTr="004015A9">
        <w:tc>
          <w:tcPr>
            <w:tcW w:w="0" w:type="auto"/>
            <w:hideMark/>
          </w:tcPr>
          <w:p w14:paraId="49E01877"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Harvesting</w:t>
            </w:r>
          </w:p>
        </w:tc>
        <w:tc>
          <w:tcPr>
            <w:tcW w:w="0" w:type="auto"/>
            <w:hideMark/>
          </w:tcPr>
          <w:p w14:paraId="35176F50"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5,000 (18.5%)</w:t>
            </w:r>
          </w:p>
        </w:tc>
        <w:tc>
          <w:tcPr>
            <w:tcW w:w="0" w:type="auto"/>
            <w:hideMark/>
          </w:tcPr>
          <w:p w14:paraId="5F1620FC"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6EFC43FA"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5EC8C541"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57443D22"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c>
          <w:tcPr>
            <w:tcW w:w="0" w:type="auto"/>
            <w:hideMark/>
          </w:tcPr>
          <w:p w14:paraId="6FEA181E"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r>
      <w:tr w:rsidR="00224F7A" w:rsidRPr="00862A72" w14:paraId="2BEBDD76" w14:textId="77777777" w:rsidTr="004015A9">
        <w:tc>
          <w:tcPr>
            <w:tcW w:w="0" w:type="auto"/>
            <w:hideMark/>
          </w:tcPr>
          <w:p w14:paraId="1FFF1DE8"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Packaging</w:t>
            </w:r>
          </w:p>
        </w:tc>
        <w:tc>
          <w:tcPr>
            <w:tcW w:w="0" w:type="auto"/>
            <w:hideMark/>
          </w:tcPr>
          <w:p w14:paraId="192B131F"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1,000 (3.7%)</w:t>
            </w:r>
          </w:p>
        </w:tc>
        <w:tc>
          <w:tcPr>
            <w:tcW w:w="0" w:type="auto"/>
            <w:hideMark/>
          </w:tcPr>
          <w:p w14:paraId="24893B78"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3FBB2EB4"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8,000 (2.2%)</w:t>
            </w:r>
          </w:p>
        </w:tc>
        <w:tc>
          <w:tcPr>
            <w:tcW w:w="0" w:type="auto"/>
            <w:hideMark/>
          </w:tcPr>
          <w:p w14:paraId="0AFB8D81"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6F7046BB"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4.23</w:t>
            </w:r>
          </w:p>
        </w:tc>
        <w:tc>
          <w:tcPr>
            <w:tcW w:w="0" w:type="auto"/>
            <w:hideMark/>
          </w:tcPr>
          <w:p w14:paraId="41566EF7"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0.008</w:t>
            </w:r>
          </w:p>
        </w:tc>
      </w:tr>
      <w:tr w:rsidR="00224F7A" w:rsidRPr="00862A72" w14:paraId="5386808F" w14:textId="77777777" w:rsidTr="004015A9">
        <w:tc>
          <w:tcPr>
            <w:tcW w:w="0" w:type="auto"/>
            <w:hideMark/>
          </w:tcPr>
          <w:p w14:paraId="129BC8A5"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Seed</w:t>
            </w:r>
          </w:p>
        </w:tc>
        <w:tc>
          <w:tcPr>
            <w:tcW w:w="0" w:type="auto"/>
            <w:hideMark/>
          </w:tcPr>
          <w:p w14:paraId="7D6D0E12"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2,000 (7.4%)</w:t>
            </w:r>
          </w:p>
        </w:tc>
        <w:tc>
          <w:tcPr>
            <w:tcW w:w="0" w:type="auto"/>
            <w:hideMark/>
          </w:tcPr>
          <w:p w14:paraId="5BC1C837"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342AD39A"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6A048AD1"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4B4E65E4"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c>
          <w:tcPr>
            <w:tcW w:w="0" w:type="auto"/>
            <w:hideMark/>
          </w:tcPr>
          <w:p w14:paraId="19A7C03C"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r>
      <w:tr w:rsidR="00224F7A" w:rsidRPr="00862A72" w14:paraId="2A883035" w14:textId="77777777" w:rsidTr="004015A9">
        <w:tc>
          <w:tcPr>
            <w:tcW w:w="0" w:type="auto"/>
            <w:hideMark/>
          </w:tcPr>
          <w:p w14:paraId="69FEC1B8"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Pesticide</w:t>
            </w:r>
          </w:p>
        </w:tc>
        <w:tc>
          <w:tcPr>
            <w:tcW w:w="0" w:type="auto"/>
            <w:hideMark/>
          </w:tcPr>
          <w:p w14:paraId="6D5A8C87"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4,000 (14.8%)</w:t>
            </w:r>
          </w:p>
        </w:tc>
        <w:tc>
          <w:tcPr>
            <w:tcW w:w="0" w:type="auto"/>
            <w:hideMark/>
          </w:tcPr>
          <w:p w14:paraId="45CE0B55"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0C959220"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61138BB9"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45E41797"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c>
          <w:tcPr>
            <w:tcW w:w="0" w:type="auto"/>
            <w:hideMark/>
          </w:tcPr>
          <w:p w14:paraId="5A69DE76"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r>
      <w:tr w:rsidR="00224F7A" w:rsidRPr="00862A72" w14:paraId="2447D037" w14:textId="77777777" w:rsidTr="004015A9">
        <w:tc>
          <w:tcPr>
            <w:tcW w:w="0" w:type="auto"/>
            <w:hideMark/>
          </w:tcPr>
          <w:p w14:paraId="45AE24D7"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Storage</w:t>
            </w:r>
          </w:p>
        </w:tc>
        <w:tc>
          <w:tcPr>
            <w:tcW w:w="0" w:type="auto"/>
            <w:hideMark/>
          </w:tcPr>
          <w:p w14:paraId="44C81FCD"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4C78D131"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51FE16D9"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10,000 (2.8%)</w:t>
            </w:r>
          </w:p>
        </w:tc>
        <w:tc>
          <w:tcPr>
            <w:tcW w:w="0" w:type="auto"/>
            <w:hideMark/>
          </w:tcPr>
          <w:p w14:paraId="1BBF58B4"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16BAAB03"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c>
          <w:tcPr>
            <w:tcW w:w="0" w:type="auto"/>
            <w:hideMark/>
          </w:tcPr>
          <w:p w14:paraId="123F5FB8"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r>
      <w:tr w:rsidR="00224F7A" w:rsidRPr="00862A72" w14:paraId="4658694D" w14:textId="77777777" w:rsidTr="004015A9">
        <w:tc>
          <w:tcPr>
            <w:tcW w:w="0" w:type="auto"/>
            <w:hideMark/>
          </w:tcPr>
          <w:p w14:paraId="720B948F"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Purchasing</w:t>
            </w:r>
          </w:p>
        </w:tc>
        <w:tc>
          <w:tcPr>
            <w:tcW w:w="0" w:type="auto"/>
            <w:hideMark/>
          </w:tcPr>
          <w:p w14:paraId="414F3633"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0</w:t>
            </w:r>
          </w:p>
        </w:tc>
        <w:tc>
          <w:tcPr>
            <w:tcW w:w="0" w:type="auto"/>
            <w:hideMark/>
          </w:tcPr>
          <w:p w14:paraId="16DF0CEF"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180,600 (95.5%)</w:t>
            </w:r>
          </w:p>
        </w:tc>
        <w:tc>
          <w:tcPr>
            <w:tcW w:w="0" w:type="auto"/>
            <w:hideMark/>
          </w:tcPr>
          <w:p w14:paraId="05FFEE77"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325,000 (89.8%)</w:t>
            </w:r>
          </w:p>
        </w:tc>
        <w:tc>
          <w:tcPr>
            <w:tcW w:w="0" w:type="auto"/>
            <w:hideMark/>
          </w:tcPr>
          <w:p w14:paraId="466C0334"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250,000 (96.2%)</w:t>
            </w:r>
          </w:p>
        </w:tc>
        <w:tc>
          <w:tcPr>
            <w:tcW w:w="0" w:type="auto"/>
            <w:hideMark/>
          </w:tcPr>
          <w:p w14:paraId="38C3AFAB"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89.34</w:t>
            </w:r>
          </w:p>
        </w:tc>
        <w:tc>
          <w:tcPr>
            <w:tcW w:w="0" w:type="auto"/>
            <w:hideMark/>
          </w:tcPr>
          <w:p w14:paraId="4636FB6D"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&lt;0.001</w:t>
            </w:r>
          </w:p>
        </w:tc>
      </w:tr>
      <w:tr w:rsidR="00224F7A" w:rsidRPr="00862A72" w14:paraId="6CDAD18B" w14:textId="77777777" w:rsidTr="004015A9">
        <w:tc>
          <w:tcPr>
            <w:tcW w:w="0" w:type="auto"/>
            <w:hideMark/>
          </w:tcPr>
          <w:p w14:paraId="48CC8D9B"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Total Variable Cost</w:t>
            </w:r>
          </w:p>
        </w:tc>
        <w:tc>
          <w:tcPr>
            <w:tcW w:w="0" w:type="auto"/>
            <w:hideMark/>
          </w:tcPr>
          <w:p w14:paraId="6A615CF5"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27,000</w:t>
            </w:r>
          </w:p>
        </w:tc>
        <w:tc>
          <w:tcPr>
            <w:tcW w:w="0" w:type="auto"/>
            <w:hideMark/>
          </w:tcPr>
          <w:p w14:paraId="34380131"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189,100</w:t>
            </w:r>
          </w:p>
        </w:tc>
        <w:tc>
          <w:tcPr>
            <w:tcW w:w="0" w:type="auto"/>
            <w:hideMark/>
          </w:tcPr>
          <w:p w14:paraId="639274A3"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362,000</w:t>
            </w:r>
          </w:p>
        </w:tc>
        <w:tc>
          <w:tcPr>
            <w:tcW w:w="0" w:type="auto"/>
            <w:hideMark/>
          </w:tcPr>
          <w:p w14:paraId="04918821"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260,000</w:t>
            </w:r>
          </w:p>
        </w:tc>
        <w:tc>
          <w:tcPr>
            <w:tcW w:w="0" w:type="auto"/>
            <w:hideMark/>
          </w:tcPr>
          <w:p w14:paraId="5E201794"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56.78</w:t>
            </w:r>
          </w:p>
        </w:tc>
        <w:tc>
          <w:tcPr>
            <w:tcW w:w="0" w:type="auto"/>
            <w:hideMark/>
          </w:tcPr>
          <w:p w14:paraId="10356E72"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&lt;0.001</w:t>
            </w:r>
          </w:p>
        </w:tc>
      </w:tr>
      <w:tr w:rsidR="00224F7A" w:rsidRPr="00862A72" w14:paraId="28A3245E" w14:textId="77777777" w:rsidTr="004015A9">
        <w:tc>
          <w:tcPr>
            <w:tcW w:w="0" w:type="auto"/>
            <w:hideMark/>
          </w:tcPr>
          <w:p w14:paraId="21A5C24D"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Cost Share (%)</w:t>
            </w:r>
          </w:p>
        </w:tc>
        <w:tc>
          <w:tcPr>
            <w:tcW w:w="0" w:type="auto"/>
            <w:hideMark/>
          </w:tcPr>
          <w:p w14:paraId="6F1BC0BD"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3.22</w:t>
            </w:r>
          </w:p>
        </w:tc>
        <w:tc>
          <w:tcPr>
            <w:tcW w:w="0" w:type="auto"/>
            <w:hideMark/>
          </w:tcPr>
          <w:p w14:paraId="16BDF86A"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22.56</w:t>
            </w:r>
          </w:p>
        </w:tc>
        <w:tc>
          <w:tcPr>
            <w:tcW w:w="0" w:type="auto"/>
            <w:hideMark/>
          </w:tcPr>
          <w:p w14:paraId="10EFC7C3"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43.19</w:t>
            </w:r>
          </w:p>
        </w:tc>
        <w:tc>
          <w:tcPr>
            <w:tcW w:w="0" w:type="auto"/>
            <w:hideMark/>
          </w:tcPr>
          <w:p w14:paraId="59CF41BB"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31.02</w:t>
            </w:r>
          </w:p>
        </w:tc>
        <w:tc>
          <w:tcPr>
            <w:tcW w:w="0" w:type="auto"/>
            <w:hideMark/>
          </w:tcPr>
          <w:p w14:paraId="7F197E1E"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c>
          <w:tcPr>
            <w:tcW w:w="0" w:type="auto"/>
            <w:hideMark/>
          </w:tcPr>
          <w:p w14:paraId="10084747"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r>
      <w:tr w:rsidR="00224F7A" w:rsidRPr="00862A72" w14:paraId="13FFFC70" w14:textId="77777777" w:rsidTr="004015A9">
        <w:tc>
          <w:tcPr>
            <w:tcW w:w="0" w:type="auto"/>
            <w:hideMark/>
          </w:tcPr>
          <w:p w14:paraId="15B6FF1F"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b/>
                <w:bCs/>
                <w:sz w:val="24"/>
                <w:szCs w:val="24"/>
                <w:lang w:eastAsia="en-GB"/>
              </w:rPr>
              <w:t>Revenue &amp; Margin</w:t>
            </w:r>
          </w:p>
        </w:tc>
        <w:tc>
          <w:tcPr>
            <w:tcW w:w="0" w:type="auto"/>
            <w:hideMark/>
          </w:tcPr>
          <w:p w14:paraId="2865FAFD" w14:textId="77777777" w:rsidR="00224F7A" w:rsidRPr="00862A72" w:rsidRDefault="00224F7A" w:rsidP="00224F7A">
            <w:pPr>
              <w:rPr>
                <w:rFonts w:ascii="Times New Roman" w:eastAsia="Times New Roman" w:hAnsi="Times New Roman" w:cs="Times New Roman"/>
                <w:sz w:val="24"/>
                <w:szCs w:val="24"/>
                <w:lang w:eastAsia="en-GB"/>
              </w:rPr>
            </w:pPr>
          </w:p>
        </w:tc>
        <w:tc>
          <w:tcPr>
            <w:tcW w:w="0" w:type="auto"/>
            <w:hideMark/>
          </w:tcPr>
          <w:p w14:paraId="6B5A949F" w14:textId="77777777" w:rsidR="00224F7A" w:rsidRPr="00862A72" w:rsidRDefault="00224F7A" w:rsidP="00224F7A">
            <w:pPr>
              <w:rPr>
                <w:rFonts w:ascii="Times New Roman" w:eastAsia="Times New Roman" w:hAnsi="Times New Roman" w:cs="Times New Roman"/>
                <w:sz w:val="20"/>
                <w:szCs w:val="20"/>
                <w:lang w:eastAsia="en-GB"/>
              </w:rPr>
            </w:pPr>
          </w:p>
        </w:tc>
        <w:tc>
          <w:tcPr>
            <w:tcW w:w="0" w:type="auto"/>
            <w:hideMark/>
          </w:tcPr>
          <w:p w14:paraId="0D049A5D" w14:textId="77777777" w:rsidR="00224F7A" w:rsidRPr="00862A72" w:rsidRDefault="00224F7A" w:rsidP="00224F7A">
            <w:pPr>
              <w:rPr>
                <w:rFonts w:ascii="Times New Roman" w:eastAsia="Times New Roman" w:hAnsi="Times New Roman" w:cs="Times New Roman"/>
                <w:sz w:val="20"/>
                <w:szCs w:val="20"/>
                <w:lang w:eastAsia="en-GB"/>
              </w:rPr>
            </w:pPr>
          </w:p>
        </w:tc>
        <w:tc>
          <w:tcPr>
            <w:tcW w:w="0" w:type="auto"/>
            <w:hideMark/>
          </w:tcPr>
          <w:p w14:paraId="04A2AC58" w14:textId="77777777" w:rsidR="00224F7A" w:rsidRPr="00862A72" w:rsidRDefault="00224F7A" w:rsidP="00224F7A">
            <w:pPr>
              <w:rPr>
                <w:rFonts w:ascii="Times New Roman" w:eastAsia="Times New Roman" w:hAnsi="Times New Roman" w:cs="Times New Roman"/>
                <w:sz w:val="20"/>
                <w:szCs w:val="20"/>
                <w:lang w:eastAsia="en-GB"/>
              </w:rPr>
            </w:pPr>
          </w:p>
        </w:tc>
        <w:tc>
          <w:tcPr>
            <w:tcW w:w="0" w:type="auto"/>
            <w:hideMark/>
          </w:tcPr>
          <w:p w14:paraId="6FBA552D" w14:textId="77777777" w:rsidR="00224F7A" w:rsidRPr="00862A72" w:rsidRDefault="00224F7A" w:rsidP="00224F7A">
            <w:pPr>
              <w:rPr>
                <w:rFonts w:ascii="Times New Roman" w:eastAsia="Times New Roman" w:hAnsi="Times New Roman" w:cs="Times New Roman"/>
                <w:sz w:val="20"/>
                <w:szCs w:val="20"/>
                <w:lang w:eastAsia="en-GB"/>
              </w:rPr>
            </w:pPr>
          </w:p>
        </w:tc>
        <w:tc>
          <w:tcPr>
            <w:tcW w:w="0" w:type="auto"/>
            <w:hideMark/>
          </w:tcPr>
          <w:p w14:paraId="5A629BCD" w14:textId="77777777" w:rsidR="00224F7A" w:rsidRPr="00862A72" w:rsidRDefault="00224F7A" w:rsidP="00224F7A">
            <w:pPr>
              <w:rPr>
                <w:rFonts w:ascii="Times New Roman" w:eastAsia="Times New Roman" w:hAnsi="Times New Roman" w:cs="Times New Roman"/>
                <w:sz w:val="20"/>
                <w:szCs w:val="20"/>
                <w:lang w:eastAsia="en-GB"/>
              </w:rPr>
            </w:pPr>
          </w:p>
        </w:tc>
      </w:tr>
      <w:tr w:rsidR="00224F7A" w:rsidRPr="00862A72" w14:paraId="603FEA8D" w14:textId="77777777" w:rsidTr="004015A9">
        <w:tc>
          <w:tcPr>
            <w:tcW w:w="0" w:type="auto"/>
            <w:hideMark/>
          </w:tcPr>
          <w:p w14:paraId="5E841CEB"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Quantity Sold (kg)</w:t>
            </w:r>
          </w:p>
        </w:tc>
        <w:tc>
          <w:tcPr>
            <w:tcW w:w="0" w:type="auto"/>
            <w:hideMark/>
          </w:tcPr>
          <w:p w14:paraId="0D56411C"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56.6</w:t>
            </w:r>
          </w:p>
        </w:tc>
        <w:tc>
          <w:tcPr>
            <w:tcW w:w="0" w:type="auto"/>
            <w:hideMark/>
          </w:tcPr>
          <w:p w14:paraId="410C8B90"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120.4</w:t>
            </w:r>
          </w:p>
        </w:tc>
        <w:tc>
          <w:tcPr>
            <w:tcW w:w="0" w:type="auto"/>
            <w:hideMark/>
          </w:tcPr>
          <w:p w14:paraId="1952FC97"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130</w:t>
            </w:r>
          </w:p>
        </w:tc>
        <w:tc>
          <w:tcPr>
            <w:tcW w:w="0" w:type="auto"/>
            <w:hideMark/>
          </w:tcPr>
          <w:p w14:paraId="1FB0E833"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100</w:t>
            </w:r>
          </w:p>
        </w:tc>
        <w:tc>
          <w:tcPr>
            <w:tcW w:w="0" w:type="auto"/>
            <w:hideMark/>
          </w:tcPr>
          <w:p w14:paraId="60C8C0F8"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15.67</w:t>
            </w:r>
          </w:p>
        </w:tc>
        <w:tc>
          <w:tcPr>
            <w:tcW w:w="0" w:type="auto"/>
            <w:hideMark/>
          </w:tcPr>
          <w:p w14:paraId="109FDF23"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&lt;0.001</w:t>
            </w:r>
          </w:p>
        </w:tc>
      </w:tr>
      <w:tr w:rsidR="00224F7A" w:rsidRPr="00862A72" w14:paraId="16A6D8F4" w14:textId="77777777" w:rsidTr="004015A9">
        <w:tc>
          <w:tcPr>
            <w:tcW w:w="0" w:type="auto"/>
            <w:hideMark/>
          </w:tcPr>
          <w:p w14:paraId="0F15FCD7"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Selling Price (MK/kg)</w:t>
            </w:r>
          </w:p>
        </w:tc>
        <w:tc>
          <w:tcPr>
            <w:tcW w:w="0" w:type="auto"/>
            <w:hideMark/>
          </w:tcPr>
          <w:p w14:paraId="599180DF"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1,500</w:t>
            </w:r>
          </w:p>
        </w:tc>
        <w:tc>
          <w:tcPr>
            <w:tcW w:w="0" w:type="auto"/>
            <w:hideMark/>
          </w:tcPr>
          <w:p w14:paraId="3E09D0C4"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2,000</w:t>
            </w:r>
          </w:p>
        </w:tc>
        <w:tc>
          <w:tcPr>
            <w:tcW w:w="0" w:type="auto"/>
            <w:hideMark/>
          </w:tcPr>
          <w:p w14:paraId="199ABC4F"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2,800</w:t>
            </w:r>
          </w:p>
        </w:tc>
        <w:tc>
          <w:tcPr>
            <w:tcW w:w="0" w:type="auto"/>
            <w:hideMark/>
          </w:tcPr>
          <w:p w14:paraId="6036D2A7"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3,000</w:t>
            </w:r>
          </w:p>
        </w:tc>
        <w:tc>
          <w:tcPr>
            <w:tcW w:w="0" w:type="auto"/>
            <w:hideMark/>
          </w:tcPr>
          <w:p w14:paraId="323C3419"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23.45</w:t>
            </w:r>
          </w:p>
        </w:tc>
        <w:tc>
          <w:tcPr>
            <w:tcW w:w="0" w:type="auto"/>
            <w:hideMark/>
          </w:tcPr>
          <w:p w14:paraId="4AA77E58"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&lt;0.001</w:t>
            </w:r>
          </w:p>
        </w:tc>
      </w:tr>
      <w:tr w:rsidR="00224F7A" w:rsidRPr="00862A72" w14:paraId="5886A117" w14:textId="77777777" w:rsidTr="004015A9">
        <w:tc>
          <w:tcPr>
            <w:tcW w:w="0" w:type="auto"/>
            <w:hideMark/>
          </w:tcPr>
          <w:p w14:paraId="19DDBA19"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Total Revenue</w:t>
            </w:r>
          </w:p>
        </w:tc>
        <w:tc>
          <w:tcPr>
            <w:tcW w:w="0" w:type="auto"/>
            <w:hideMark/>
          </w:tcPr>
          <w:p w14:paraId="6A39000F"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84,900</w:t>
            </w:r>
          </w:p>
        </w:tc>
        <w:tc>
          <w:tcPr>
            <w:tcW w:w="0" w:type="auto"/>
            <w:hideMark/>
          </w:tcPr>
          <w:p w14:paraId="27C43B62"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240,800</w:t>
            </w:r>
          </w:p>
        </w:tc>
        <w:tc>
          <w:tcPr>
            <w:tcW w:w="0" w:type="auto"/>
            <w:hideMark/>
          </w:tcPr>
          <w:p w14:paraId="2E26E2B6"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364,000</w:t>
            </w:r>
          </w:p>
        </w:tc>
        <w:tc>
          <w:tcPr>
            <w:tcW w:w="0" w:type="auto"/>
            <w:hideMark/>
          </w:tcPr>
          <w:p w14:paraId="24D43E3B"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300,000</w:t>
            </w:r>
          </w:p>
        </w:tc>
        <w:tc>
          <w:tcPr>
            <w:tcW w:w="0" w:type="auto"/>
            <w:hideMark/>
          </w:tcPr>
          <w:p w14:paraId="7D64164D"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34.89</w:t>
            </w:r>
          </w:p>
        </w:tc>
        <w:tc>
          <w:tcPr>
            <w:tcW w:w="0" w:type="auto"/>
            <w:hideMark/>
          </w:tcPr>
          <w:p w14:paraId="03B88302"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&lt;0.001</w:t>
            </w:r>
          </w:p>
        </w:tc>
      </w:tr>
      <w:tr w:rsidR="00224F7A" w:rsidRPr="00862A72" w14:paraId="1A904963" w14:textId="77777777" w:rsidTr="004015A9">
        <w:tc>
          <w:tcPr>
            <w:tcW w:w="0" w:type="auto"/>
            <w:hideMark/>
          </w:tcPr>
          <w:p w14:paraId="3FDEE67E"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Gross Margin</w:t>
            </w:r>
          </w:p>
        </w:tc>
        <w:tc>
          <w:tcPr>
            <w:tcW w:w="0" w:type="auto"/>
            <w:hideMark/>
          </w:tcPr>
          <w:p w14:paraId="653D4244"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57,900</w:t>
            </w:r>
          </w:p>
        </w:tc>
        <w:tc>
          <w:tcPr>
            <w:tcW w:w="0" w:type="auto"/>
            <w:hideMark/>
          </w:tcPr>
          <w:p w14:paraId="7A242A61"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50,900</w:t>
            </w:r>
          </w:p>
        </w:tc>
        <w:tc>
          <w:tcPr>
            <w:tcW w:w="0" w:type="auto"/>
            <w:hideMark/>
          </w:tcPr>
          <w:p w14:paraId="587AB8DB"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39,000</w:t>
            </w:r>
          </w:p>
        </w:tc>
        <w:tc>
          <w:tcPr>
            <w:tcW w:w="0" w:type="auto"/>
            <w:hideMark/>
          </w:tcPr>
          <w:p w14:paraId="77129FDE"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50,000</w:t>
            </w:r>
          </w:p>
        </w:tc>
        <w:tc>
          <w:tcPr>
            <w:tcW w:w="0" w:type="auto"/>
            <w:hideMark/>
          </w:tcPr>
          <w:p w14:paraId="208C0096"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8.23</w:t>
            </w:r>
          </w:p>
        </w:tc>
        <w:tc>
          <w:tcPr>
            <w:tcW w:w="0" w:type="auto"/>
            <w:hideMark/>
          </w:tcPr>
          <w:p w14:paraId="35FF3490"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&lt;0.001</w:t>
            </w:r>
          </w:p>
        </w:tc>
      </w:tr>
      <w:tr w:rsidR="00224F7A" w:rsidRPr="00862A72" w14:paraId="0E39509C" w14:textId="77777777" w:rsidTr="004015A9">
        <w:tc>
          <w:tcPr>
            <w:tcW w:w="0" w:type="auto"/>
            <w:hideMark/>
          </w:tcPr>
          <w:p w14:paraId="2C5C22F9"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Profit Share (%)</w:t>
            </w:r>
          </w:p>
        </w:tc>
        <w:tc>
          <w:tcPr>
            <w:tcW w:w="0" w:type="auto"/>
            <w:hideMark/>
          </w:tcPr>
          <w:p w14:paraId="65B67349"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29.27</w:t>
            </w:r>
          </w:p>
        </w:tc>
        <w:tc>
          <w:tcPr>
            <w:tcW w:w="0" w:type="auto"/>
            <w:hideMark/>
          </w:tcPr>
          <w:p w14:paraId="2371A6A4"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25.73</w:t>
            </w:r>
          </w:p>
        </w:tc>
        <w:tc>
          <w:tcPr>
            <w:tcW w:w="0" w:type="auto"/>
            <w:hideMark/>
          </w:tcPr>
          <w:p w14:paraId="5A12A35D"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19.72</w:t>
            </w:r>
          </w:p>
        </w:tc>
        <w:tc>
          <w:tcPr>
            <w:tcW w:w="0" w:type="auto"/>
            <w:hideMark/>
          </w:tcPr>
          <w:p w14:paraId="1812130F"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25.28</w:t>
            </w:r>
          </w:p>
        </w:tc>
        <w:tc>
          <w:tcPr>
            <w:tcW w:w="0" w:type="auto"/>
            <w:hideMark/>
          </w:tcPr>
          <w:p w14:paraId="0871EBFD"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c>
          <w:tcPr>
            <w:tcW w:w="0" w:type="auto"/>
            <w:hideMark/>
          </w:tcPr>
          <w:p w14:paraId="1576EB9B"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w:t>
            </w:r>
          </w:p>
        </w:tc>
      </w:tr>
      <w:tr w:rsidR="00224F7A" w:rsidRPr="00862A72" w14:paraId="7F6E19AC" w14:textId="77777777" w:rsidTr="004015A9">
        <w:tc>
          <w:tcPr>
            <w:tcW w:w="0" w:type="auto"/>
            <w:tcBorders>
              <w:bottom w:val="single" w:sz="4" w:space="0" w:color="auto"/>
            </w:tcBorders>
            <w:hideMark/>
          </w:tcPr>
          <w:p w14:paraId="47D62618"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Gross Margin (%)</w:t>
            </w:r>
          </w:p>
        </w:tc>
        <w:tc>
          <w:tcPr>
            <w:tcW w:w="0" w:type="auto"/>
            <w:tcBorders>
              <w:bottom w:val="single" w:sz="4" w:space="0" w:color="auto"/>
            </w:tcBorders>
            <w:hideMark/>
          </w:tcPr>
          <w:p w14:paraId="7D80541C"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68.2</w:t>
            </w:r>
          </w:p>
        </w:tc>
        <w:tc>
          <w:tcPr>
            <w:tcW w:w="0" w:type="auto"/>
            <w:tcBorders>
              <w:bottom w:val="single" w:sz="4" w:space="0" w:color="auto"/>
            </w:tcBorders>
            <w:hideMark/>
          </w:tcPr>
          <w:p w14:paraId="3F27BDDE"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21.13</w:t>
            </w:r>
          </w:p>
        </w:tc>
        <w:tc>
          <w:tcPr>
            <w:tcW w:w="0" w:type="auto"/>
            <w:tcBorders>
              <w:bottom w:val="single" w:sz="4" w:space="0" w:color="auto"/>
            </w:tcBorders>
            <w:hideMark/>
          </w:tcPr>
          <w:p w14:paraId="72ABC5B0"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10.71</w:t>
            </w:r>
          </w:p>
        </w:tc>
        <w:tc>
          <w:tcPr>
            <w:tcW w:w="0" w:type="auto"/>
            <w:tcBorders>
              <w:bottom w:val="single" w:sz="4" w:space="0" w:color="auto"/>
            </w:tcBorders>
            <w:hideMark/>
          </w:tcPr>
          <w:p w14:paraId="42CBDB30"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16.66</w:t>
            </w:r>
          </w:p>
        </w:tc>
        <w:tc>
          <w:tcPr>
            <w:tcW w:w="0" w:type="auto"/>
            <w:tcBorders>
              <w:bottom w:val="single" w:sz="4" w:space="0" w:color="auto"/>
            </w:tcBorders>
            <w:hideMark/>
          </w:tcPr>
          <w:p w14:paraId="21A489CB"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42.56</w:t>
            </w:r>
          </w:p>
        </w:tc>
        <w:tc>
          <w:tcPr>
            <w:tcW w:w="0" w:type="auto"/>
            <w:tcBorders>
              <w:bottom w:val="single" w:sz="4" w:space="0" w:color="auto"/>
            </w:tcBorders>
            <w:hideMark/>
          </w:tcPr>
          <w:p w14:paraId="404703EB" w14:textId="77777777" w:rsidR="00224F7A" w:rsidRPr="00862A72" w:rsidRDefault="00224F7A" w:rsidP="00224F7A">
            <w:pPr>
              <w:rPr>
                <w:rFonts w:ascii="Times New Roman" w:eastAsia="Times New Roman" w:hAnsi="Times New Roman" w:cs="Times New Roman"/>
                <w:sz w:val="24"/>
                <w:szCs w:val="24"/>
                <w:lang w:eastAsia="en-GB"/>
              </w:rPr>
            </w:pPr>
            <w:r w:rsidRPr="00862A72">
              <w:rPr>
                <w:rFonts w:ascii="Times New Roman" w:eastAsia="Times New Roman" w:hAnsi="Times New Roman" w:cs="Times New Roman"/>
                <w:sz w:val="24"/>
                <w:szCs w:val="24"/>
                <w:lang w:eastAsia="en-GB"/>
              </w:rPr>
              <w:t>&lt;0.001</w:t>
            </w:r>
          </w:p>
        </w:tc>
      </w:tr>
    </w:tbl>
    <w:p w14:paraId="5FF6E6FB" w14:textId="547F8CD9" w:rsidR="00287D3D" w:rsidRPr="00862A72" w:rsidRDefault="00287D3D" w:rsidP="00287D3D">
      <w:pPr>
        <w:rPr>
          <w:rFonts w:ascii="Times New Roman" w:hAnsi="Times New Roman" w:cs="Times New Roman"/>
          <w:b/>
          <w:bCs/>
          <w:i/>
          <w:iCs/>
          <w:sz w:val="16"/>
          <w:szCs w:val="16"/>
        </w:rPr>
      </w:pPr>
      <w:r w:rsidRPr="00862A72">
        <w:rPr>
          <w:rFonts w:ascii="Times New Roman" w:hAnsi="Times New Roman" w:cs="Times New Roman"/>
          <w:b/>
          <w:bCs/>
          <w:i/>
          <w:iCs/>
          <w:sz w:val="16"/>
          <w:szCs w:val="16"/>
        </w:rPr>
        <w:t>Note: Figures in parentheses indicate percentage of actor's total costs. Exchange rate at time of survey: USD 1 = MK 1,850</w:t>
      </w:r>
    </w:p>
    <w:p w14:paraId="053CCBC7" w14:textId="41F72EE9" w:rsidR="00287D3D" w:rsidRPr="00A14449" w:rsidRDefault="00287D3D" w:rsidP="00A14449">
      <w:pPr>
        <w:pStyle w:val="Heading3"/>
        <w:spacing w:line="360" w:lineRule="auto"/>
      </w:pPr>
      <w:r w:rsidRPr="00862A72">
        <w:rPr>
          <w:bCs/>
        </w:rPr>
        <w:t xml:space="preserve"> </w:t>
      </w:r>
      <w:r w:rsidRPr="00862A72">
        <w:t>3</w:t>
      </w:r>
      <w:r w:rsidRPr="00A14449">
        <w:t>.4 Hidden Transaction Costs: Quantifying Measurement Losses</w:t>
      </w:r>
    </w:p>
    <w:p w14:paraId="2F1007F5" w14:textId="3CAF8746" w:rsidR="00632755" w:rsidRPr="00A14449" w:rsidRDefault="00287D3D" w:rsidP="00A14449">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A novel contribution of this study is the quantification of losses from non-standardized measurement. </w:t>
      </w:r>
      <w:r w:rsidRPr="00A14449">
        <w:rPr>
          <w:rFonts w:ascii="Times New Roman" w:hAnsi="Times New Roman" w:cs="Times New Roman"/>
          <w:b/>
          <w:bCs/>
          <w:sz w:val="24"/>
          <w:szCs w:val="24"/>
        </w:rPr>
        <w:t>Table 5</w:t>
      </w:r>
      <w:r w:rsidRPr="00A14449">
        <w:rPr>
          <w:rFonts w:ascii="Times New Roman" w:hAnsi="Times New Roman" w:cs="Times New Roman"/>
          <w:sz w:val="24"/>
          <w:szCs w:val="24"/>
        </w:rPr>
        <w:t xml:space="preserve"> presents findings from systematic comparison of traditional pails versus standardized </w:t>
      </w:r>
      <w:proofErr w:type="spellStart"/>
      <w:r w:rsidRPr="00A14449">
        <w:rPr>
          <w:rFonts w:ascii="Times New Roman" w:hAnsi="Times New Roman" w:cs="Times New Roman"/>
          <w:sz w:val="24"/>
          <w:szCs w:val="24"/>
        </w:rPr>
        <w:t>scales.</w:t>
      </w:r>
      <w:r w:rsidR="00632755" w:rsidRPr="00A14449">
        <w:rPr>
          <w:rFonts w:ascii="Times New Roman" w:hAnsi="Times New Roman" w:cs="Times New Roman"/>
          <w:sz w:val="24"/>
          <w:szCs w:val="24"/>
        </w:rPr>
        <w:t>The</w:t>
      </w:r>
      <w:proofErr w:type="spellEnd"/>
      <w:r w:rsidR="00632755" w:rsidRPr="00A14449">
        <w:rPr>
          <w:rFonts w:ascii="Times New Roman" w:hAnsi="Times New Roman" w:cs="Times New Roman"/>
          <w:sz w:val="24"/>
          <w:szCs w:val="24"/>
        </w:rPr>
        <w:t xml:space="preserve"> findings reveal systematic measurement losses averaging 8.3%, translating to annual losses of MK 51,300 per farmer—equivalent to 27.7% of their </w:t>
      </w:r>
      <w:r w:rsidR="00632755" w:rsidRPr="00A14449">
        <w:rPr>
          <w:rFonts w:ascii="Times New Roman" w:hAnsi="Times New Roman" w:cs="Times New Roman"/>
          <w:sz w:val="24"/>
          <w:szCs w:val="24"/>
        </w:rPr>
        <w:lastRenderedPageBreak/>
        <w:t>gross margin. This hidden transaction cost, previously undocumented in Malawian sesame value chains, represents a significant leakage of value from producers to traders.</w:t>
      </w:r>
    </w:p>
    <w:p w14:paraId="59D788FF" w14:textId="2872AD8F" w:rsidR="00632755" w:rsidRPr="00A14449" w:rsidRDefault="00632755" w:rsidP="00A14449">
      <w:pPr>
        <w:spacing w:after="0" w:line="360" w:lineRule="auto"/>
        <w:rPr>
          <w:rFonts w:ascii="Times New Roman" w:hAnsi="Times New Roman" w:cs="Times New Roman"/>
          <w:sz w:val="24"/>
          <w:szCs w:val="24"/>
        </w:rPr>
      </w:pPr>
      <w:r w:rsidRPr="00A14449">
        <w:rPr>
          <w:rFonts w:ascii="Times New Roman" w:hAnsi="Times New Roman" w:cs="Times New Roman"/>
          <w:sz w:val="24"/>
          <w:szCs w:val="24"/>
        </w:rPr>
        <w:t xml:space="preserve">A middlemen explained the </w:t>
      </w:r>
      <w:proofErr w:type="spellStart"/>
      <w:r w:rsidRPr="00A14449">
        <w:rPr>
          <w:rFonts w:ascii="Times New Roman" w:hAnsi="Times New Roman" w:cs="Times New Roman"/>
          <w:sz w:val="24"/>
          <w:szCs w:val="24"/>
        </w:rPr>
        <w:t>practice:</w:t>
      </w:r>
      <w:r w:rsidRPr="00A14449">
        <w:rPr>
          <w:rFonts w:ascii="Times New Roman" w:hAnsi="Times New Roman" w:cs="Times New Roman"/>
          <w:i/>
          <w:iCs/>
          <w:sz w:val="24"/>
          <w:szCs w:val="24"/>
        </w:rPr>
        <w:t>"We</w:t>
      </w:r>
      <w:proofErr w:type="spellEnd"/>
      <w:r w:rsidRPr="00A14449">
        <w:rPr>
          <w:rFonts w:ascii="Times New Roman" w:hAnsi="Times New Roman" w:cs="Times New Roman"/>
          <w:i/>
          <w:iCs/>
          <w:sz w:val="24"/>
          <w:szCs w:val="24"/>
        </w:rPr>
        <w:t xml:space="preserve"> use the pails because that's what farmers know and accept. If we brought scales, they would suspect cheating. With pails, they trust us even though everyone knows some pails have false bottoms. It's the way it has always been done." (KII, Middleman 07, 45 years)</w:t>
      </w:r>
    </w:p>
    <w:p w14:paraId="41240BB5" w14:textId="742C28A2" w:rsidR="00287D3D" w:rsidRPr="00A14449" w:rsidRDefault="00287D3D" w:rsidP="00A14449">
      <w:pPr>
        <w:spacing w:after="0" w:line="360" w:lineRule="auto"/>
        <w:rPr>
          <w:rFonts w:ascii="Times New Roman" w:hAnsi="Times New Roman" w:cs="Times New Roman"/>
          <w:b/>
          <w:bCs/>
          <w:i/>
          <w:iCs/>
          <w:sz w:val="24"/>
          <w:szCs w:val="24"/>
        </w:rPr>
      </w:pPr>
      <w:r w:rsidRPr="00A14449">
        <w:rPr>
          <w:rFonts w:ascii="Times New Roman" w:hAnsi="Times New Roman" w:cs="Times New Roman"/>
          <w:b/>
          <w:bCs/>
          <w:i/>
          <w:iCs/>
          <w:sz w:val="24"/>
          <w:szCs w:val="24"/>
        </w:rPr>
        <w:t>Table 5: Measurement Losses from Non-Standardized Pails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1620"/>
        <w:gridCol w:w="1720"/>
        <w:gridCol w:w="979"/>
        <w:gridCol w:w="970"/>
        <w:gridCol w:w="1563"/>
      </w:tblGrid>
      <w:tr w:rsidR="00942766" w:rsidRPr="00A14449" w14:paraId="720EACEB" w14:textId="77777777" w:rsidTr="00E56306">
        <w:tc>
          <w:tcPr>
            <w:tcW w:w="0" w:type="auto"/>
            <w:tcBorders>
              <w:top w:val="single" w:sz="4" w:space="0" w:color="auto"/>
              <w:bottom w:val="single" w:sz="4" w:space="0" w:color="auto"/>
            </w:tcBorders>
            <w:hideMark/>
          </w:tcPr>
          <w:p w14:paraId="634A405A" w14:textId="77777777" w:rsidR="00942766" w:rsidRPr="00A14449" w:rsidRDefault="00942766" w:rsidP="00A14449">
            <w:pPr>
              <w:spacing w:line="360" w:lineRule="auto"/>
              <w:jc w:val="cente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Measurement Type</w:t>
            </w:r>
          </w:p>
        </w:tc>
        <w:tc>
          <w:tcPr>
            <w:tcW w:w="0" w:type="auto"/>
            <w:tcBorders>
              <w:top w:val="single" w:sz="4" w:space="0" w:color="auto"/>
              <w:bottom w:val="single" w:sz="4" w:space="0" w:color="auto"/>
            </w:tcBorders>
            <w:hideMark/>
          </w:tcPr>
          <w:p w14:paraId="3293B28F" w14:textId="77777777" w:rsidR="00942766" w:rsidRPr="00A14449" w:rsidRDefault="00942766" w:rsidP="00A14449">
            <w:pPr>
              <w:spacing w:line="360" w:lineRule="auto"/>
              <w:jc w:val="cente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Claimed Volume</w:t>
            </w:r>
          </w:p>
        </w:tc>
        <w:tc>
          <w:tcPr>
            <w:tcW w:w="0" w:type="auto"/>
            <w:tcBorders>
              <w:top w:val="single" w:sz="4" w:space="0" w:color="auto"/>
              <w:bottom w:val="single" w:sz="4" w:space="0" w:color="auto"/>
            </w:tcBorders>
            <w:hideMark/>
          </w:tcPr>
          <w:p w14:paraId="6735E712" w14:textId="77777777" w:rsidR="00942766" w:rsidRPr="00A14449" w:rsidRDefault="00942766" w:rsidP="00A14449">
            <w:pPr>
              <w:spacing w:line="360" w:lineRule="auto"/>
              <w:jc w:val="cente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Actual Weight (kg)</w:t>
            </w:r>
          </w:p>
        </w:tc>
        <w:tc>
          <w:tcPr>
            <w:tcW w:w="0" w:type="auto"/>
            <w:tcBorders>
              <w:top w:val="single" w:sz="4" w:space="0" w:color="auto"/>
              <w:bottom w:val="single" w:sz="4" w:space="0" w:color="auto"/>
            </w:tcBorders>
            <w:hideMark/>
          </w:tcPr>
          <w:p w14:paraId="19EE968D" w14:textId="77777777" w:rsidR="00942766" w:rsidRPr="00A14449" w:rsidRDefault="00942766" w:rsidP="00A14449">
            <w:pPr>
              <w:spacing w:line="360" w:lineRule="auto"/>
              <w:jc w:val="cente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Loss (kg)</w:t>
            </w:r>
          </w:p>
        </w:tc>
        <w:tc>
          <w:tcPr>
            <w:tcW w:w="0" w:type="auto"/>
            <w:tcBorders>
              <w:top w:val="single" w:sz="4" w:space="0" w:color="auto"/>
              <w:bottom w:val="single" w:sz="4" w:space="0" w:color="auto"/>
            </w:tcBorders>
            <w:hideMark/>
          </w:tcPr>
          <w:p w14:paraId="7112601C" w14:textId="77777777" w:rsidR="00942766" w:rsidRPr="00A14449" w:rsidRDefault="00942766" w:rsidP="00A14449">
            <w:pPr>
              <w:spacing w:line="360" w:lineRule="auto"/>
              <w:jc w:val="cente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Loss (%)</w:t>
            </w:r>
          </w:p>
        </w:tc>
        <w:tc>
          <w:tcPr>
            <w:tcW w:w="0" w:type="auto"/>
            <w:tcBorders>
              <w:top w:val="single" w:sz="4" w:space="0" w:color="auto"/>
              <w:bottom w:val="single" w:sz="4" w:space="0" w:color="auto"/>
            </w:tcBorders>
            <w:hideMark/>
          </w:tcPr>
          <w:p w14:paraId="68FDF78C" w14:textId="77777777" w:rsidR="00942766" w:rsidRPr="00A14449" w:rsidRDefault="00942766" w:rsidP="00A14449">
            <w:pPr>
              <w:spacing w:line="360" w:lineRule="auto"/>
              <w:jc w:val="cente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Value Loss (MK)</w:t>
            </w:r>
          </w:p>
        </w:tc>
      </w:tr>
      <w:tr w:rsidR="00942766" w:rsidRPr="00A14449" w14:paraId="11DBA41A" w14:textId="77777777" w:rsidTr="00E56306">
        <w:tc>
          <w:tcPr>
            <w:tcW w:w="0" w:type="auto"/>
            <w:tcBorders>
              <w:top w:val="single" w:sz="4" w:space="0" w:color="auto"/>
            </w:tcBorders>
            <w:hideMark/>
          </w:tcPr>
          <w:p w14:paraId="380CA543"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20L pail (standard)</w:t>
            </w:r>
          </w:p>
        </w:tc>
        <w:tc>
          <w:tcPr>
            <w:tcW w:w="0" w:type="auto"/>
            <w:tcBorders>
              <w:top w:val="single" w:sz="4" w:space="0" w:color="auto"/>
            </w:tcBorders>
            <w:hideMark/>
          </w:tcPr>
          <w:p w14:paraId="582CD8C6"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20L</w:t>
            </w:r>
          </w:p>
        </w:tc>
        <w:tc>
          <w:tcPr>
            <w:tcW w:w="0" w:type="auto"/>
            <w:tcBorders>
              <w:top w:val="single" w:sz="4" w:space="0" w:color="auto"/>
            </w:tcBorders>
            <w:hideMark/>
          </w:tcPr>
          <w:p w14:paraId="4B85112D"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15.2</w:t>
            </w:r>
          </w:p>
        </w:tc>
        <w:tc>
          <w:tcPr>
            <w:tcW w:w="0" w:type="auto"/>
            <w:tcBorders>
              <w:top w:val="single" w:sz="4" w:space="0" w:color="auto"/>
            </w:tcBorders>
            <w:hideMark/>
          </w:tcPr>
          <w:p w14:paraId="4AF0BEBE"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c>
          <w:tcPr>
            <w:tcW w:w="0" w:type="auto"/>
            <w:tcBorders>
              <w:top w:val="single" w:sz="4" w:space="0" w:color="auto"/>
            </w:tcBorders>
            <w:hideMark/>
          </w:tcPr>
          <w:p w14:paraId="10D25F3C"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c>
          <w:tcPr>
            <w:tcW w:w="0" w:type="auto"/>
            <w:tcBorders>
              <w:top w:val="single" w:sz="4" w:space="0" w:color="auto"/>
            </w:tcBorders>
            <w:hideMark/>
          </w:tcPr>
          <w:p w14:paraId="719C3CF6"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r>
      <w:tr w:rsidR="00942766" w:rsidRPr="00A14449" w14:paraId="5746A595" w14:textId="77777777" w:rsidTr="00E56306">
        <w:tc>
          <w:tcPr>
            <w:tcW w:w="0" w:type="auto"/>
            <w:hideMark/>
          </w:tcPr>
          <w:p w14:paraId="3233414D"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20L pail (modified bottom)</w:t>
            </w:r>
          </w:p>
        </w:tc>
        <w:tc>
          <w:tcPr>
            <w:tcW w:w="0" w:type="auto"/>
            <w:hideMark/>
          </w:tcPr>
          <w:p w14:paraId="735D083A"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20L</w:t>
            </w:r>
          </w:p>
        </w:tc>
        <w:tc>
          <w:tcPr>
            <w:tcW w:w="0" w:type="auto"/>
            <w:hideMark/>
          </w:tcPr>
          <w:p w14:paraId="5311906E"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13.8</w:t>
            </w:r>
          </w:p>
        </w:tc>
        <w:tc>
          <w:tcPr>
            <w:tcW w:w="0" w:type="auto"/>
            <w:hideMark/>
          </w:tcPr>
          <w:p w14:paraId="63DEB36F"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1.4</w:t>
            </w:r>
          </w:p>
        </w:tc>
        <w:tc>
          <w:tcPr>
            <w:tcW w:w="0" w:type="auto"/>
            <w:hideMark/>
          </w:tcPr>
          <w:p w14:paraId="7196A39B"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9.2</w:t>
            </w:r>
          </w:p>
        </w:tc>
        <w:tc>
          <w:tcPr>
            <w:tcW w:w="0" w:type="auto"/>
            <w:hideMark/>
          </w:tcPr>
          <w:p w14:paraId="3B0F5BEF"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2,100</w:t>
            </w:r>
          </w:p>
        </w:tc>
      </w:tr>
      <w:tr w:rsidR="00942766" w:rsidRPr="00A14449" w14:paraId="509FD6F5" w14:textId="77777777" w:rsidTr="00E56306">
        <w:tc>
          <w:tcPr>
            <w:tcW w:w="0" w:type="auto"/>
            <w:hideMark/>
          </w:tcPr>
          <w:p w14:paraId="4C4B2317"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30L pail (standard)</w:t>
            </w:r>
          </w:p>
        </w:tc>
        <w:tc>
          <w:tcPr>
            <w:tcW w:w="0" w:type="auto"/>
            <w:hideMark/>
          </w:tcPr>
          <w:p w14:paraId="798DFAA6"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30L</w:t>
            </w:r>
          </w:p>
        </w:tc>
        <w:tc>
          <w:tcPr>
            <w:tcW w:w="0" w:type="auto"/>
            <w:hideMark/>
          </w:tcPr>
          <w:p w14:paraId="56D5B594"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22.5</w:t>
            </w:r>
          </w:p>
        </w:tc>
        <w:tc>
          <w:tcPr>
            <w:tcW w:w="0" w:type="auto"/>
            <w:hideMark/>
          </w:tcPr>
          <w:p w14:paraId="5FA3D198"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c>
          <w:tcPr>
            <w:tcW w:w="0" w:type="auto"/>
            <w:hideMark/>
          </w:tcPr>
          <w:p w14:paraId="2AACA477"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c>
          <w:tcPr>
            <w:tcW w:w="0" w:type="auto"/>
            <w:hideMark/>
          </w:tcPr>
          <w:p w14:paraId="3C2E2074"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r>
      <w:tr w:rsidR="00942766" w:rsidRPr="00A14449" w14:paraId="57556C26" w14:textId="77777777" w:rsidTr="00E56306">
        <w:tc>
          <w:tcPr>
            <w:tcW w:w="0" w:type="auto"/>
            <w:hideMark/>
          </w:tcPr>
          <w:p w14:paraId="1F066686"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30L pail (modified)</w:t>
            </w:r>
          </w:p>
        </w:tc>
        <w:tc>
          <w:tcPr>
            <w:tcW w:w="0" w:type="auto"/>
            <w:hideMark/>
          </w:tcPr>
          <w:p w14:paraId="5397DD46"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30L</w:t>
            </w:r>
          </w:p>
        </w:tc>
        <w:tc>
          <w:tcPr>
            <w:tcW w:w="0" w:type="auto"/>
            <w:hideMark/>
          </w:tcPr>
          <w:p w14:paraId="0410A1EC"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20.1</w:t>
            </w:r>
          </w:p>
        </w:tc>
        <w:tc>
          <w:tcPr>
            <w:tcW w:w="0" w:type="auto"/>
            <w:hideMark/>
          </w:tcPr>
          <w:p w14:paraId="0D2085E6"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2.4</w:t>
            </w:r>
          </w:p>
        </w:tc>
        <w:tc>
          <w:tcPr>
            <w:tcW w:w="0" w:type="auto"/>
            <w:hideMark/>
          </w:tcPr>
          <w:p w14:paraId="33BD6DA5"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10.7</w:t>
            </w:r>
          </w:p>
        </w:tc>
        <w:tc>
          <w:tcPr>
            <w:tcW w:w="0" w:type="auto"/>
            <w:hideMark/>
          </w:tcPr>
          <w:p w14:paraId="0524296A"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3,600</w:t>
            </w:r>
          </w:p>
        </w:tc>
      </w:tr>
      <w:tr w:rsidR="00942766" w:rsidRPr="00A14449" w14:paraId="254B778E" w14:textId="77777777" w:rsidTr="00E56306">
        <w:tc>
          <w:tcPr>
            <w:tcW w:w="0" w:type="auto"/>
            <w:hideMark/>
          </w:tcPr>
          <w:p w14:paraId="0322C0D4"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Tin (local unit)</w:t>
            </w:r>
          </w:p>
        </w:tc>
        <w:tc>
          <w:tcPr>
            <w:tcW w:w="0" w:type="auto"/>
            <w:hideMark/>
          </w:tcPr>
          <w:p w14:paraId="674C4261"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 tin</w:t>
            </w:r>
          </w:p>
        </w:tc>
        <w:tc>
          <w:tcPr>
            <w:tcW w:w="0" w:type="auto"/>
            <w:hideMark/>
          </w:tcPr>
          <w:p w14:paraId="739B7A60"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1.8</w:t>
            </w:r>
          </w:p>
        </w:tc>
        <w:tc>
          <w:tcPr>
            <w:tcW w:w="0" w:type="auto"/>
            <w:hideMark/>
          </w:tcPr>
          <w:p w14:paraId="2EB29E60"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c>
          <w:tcPr>
            <w:tcW w:w="0" w:type="auto"/>
            <w:hideMark/>
          </w:tcPr>
          <w:p w14:paraId="15729920"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c>
          <w:tcPr>
            <w:tcW w:w="0" w:type="auto"/>
            <w:hideMark/>
          </w:tcPr>
          <w:p w14:paraId="686928B4"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r>
      <w:tr w:rsidR="00942766" w:rsidRPr="00A14449" w14:paraId="0FEB332F" w14:textId="77777777" w:rsidTr="00E56306">
        <w:tc>
          <w:tcPr>
            <w:tcW w:w="0" w:type="auto"/>
            <w:hideMark/>
          </w:tcPr>
          <w:p w14:paraId="5B364738"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Tin (compressed)</w:t>
            </w:r>
          </w:p>
        </w:tc>
        <w:tc>
          <w:tcPr>
            <w:tcW w:w="0" w:type="auto"/>
            <w:hideMark/>
          </w:tcPr>
          <w:p w14:paraId="4C5717DE"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 tin</w:t>
            </w:r>
          </w:p>
        </w:tc>
        <w:tc>
          <w:tcPr>
            <w:tcW w:w="0" w:type="auto"/>
            <w:hideMark/>
          </w:tcPr>
          <w:p w14:paraId="443B8866"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1.5</w:t>
            </w:r>
          </w:p>
        </w:tc>
        <w:tc>
          <w:tcPr>
            <w:tcW w:w="0" w:type="auto"/>
            <w:hideMark/>
          </w:tcPr>
          <w:p w14:paraId="3AEC8859"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0.3</w:t>
            </w:r>
          </w:p>
        </w:tc>
        <w:tc>
          <w:tcPr>
            <w:tcW w:w="0" w:type="auto"/>
            <w:hideMark/>
          </w:tcPr>
          <w:p w14:paraId="1F378943"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16.7</w:t>
            </w:r>
          </w:p>
        </w:tc>
        <w:tc>
          <w:tcPr>
            <w:tcW w:w="0" w:type="auto"/>
            <w:hideMark/>
          </w:tcPr>
          <w:p w14:paraId="30999B65"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450</w:t>
            </w:r>
          </w:p>
        </w:tc>
      </w:tr>
      <w:tr w:rsidR="00942766" w:rsidRPr="00A14449" w14:paraId="05A5CF8F" w14:textId="77777777" w:rsidTr="00E56306">
        <w:tc>
          <w:tcPr>
            <w:tcW w:w="0" w:type="auto"/>
            <w:hideMark/>
          </w:tcPr>
          <w:p w14:paraId="4D173C1C"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b/>
                <w:bCs/>
                <w:sz w:val="24"/>
                <w:szCs w:val="24"/>
                <w:lang w:eastAsia="en-GB"/>
              </w:rPr>
              <w:t>Weighted average loss</w:t>
            </w:r>
          </w:p>
        </w:tc>
        <w:tc>
          <w:tcPr>
            <w:tcW w:w="0" w:type="auto"/>
            <w:hideMark/>
          </w:tcPr>
          <w:p w14:paraId="0F69D431"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c>
          <w:tcPr>
            <w:tcW w:w="0" w:type="auto"/>
            <w:hideMark/>
          </w:tcPr>
          <w:p w14:paraId="69FE235B"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c>
          <w:tcPr>
            <w:tcW w:w="0" w:type="auto"/>
            <w:hideMark/>
          </w:tcPr>
          <w:p w14:paraId="559F45CE"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c>
          <w:tcPr>
            <w:tcW w:w="0" w:type="auto"/>
            <w:hideMark/>
          </w:tcPr>
          <w:p w14:paraId="5A45D151"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8.3</w:t>
            </w:r>
          </w:p>
        </w:tc>
        <w:tc>
          <w:tcPr>
            <w:tcW w:w="0" w:type="auto"/>
            <w:hideMark/>
          </w:tcPr>
          <w:p w14:paraId="437BF654"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r>
      <w:tr w:rsidR="00942766" w:rsidRPr="00A14449" w14:paraId="6CB2FEA3" w14:textId="77777777" w:rsidTr="00E56306">
        <w:tc>
          <w:tcPr>
            <w:tcW w:w="0" w:type="auto"/>
            <w:tcBorders>
              <w:bottom w:val="single" w:sz="4" w:space="0" w:color="auto"/>
            </w:tcBorders>
            <w:hideMark/>
          </w:tcPr>
          <w:p w14:paraId="451848A9"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b/>
                <w:bCs/>
                <w:sz w:val="24"/>
                <w:szCs w:val="24"/>
                <w:lang w:eastAsia="en-GB"/>
              </w:rPr>
              <w:t>Annual loss per farmer</w:t>
            </w:r>
          </w:p>
        </w:tc>
        <w:tc>
          <w:tcPr>
            <w:tcW w:w="0" w:type="auto"/>
            <w:tcBorders>
              <w:bottom w:val="single" w:sz="4" w:space="0" w:color="auto"/>
            </w:tcBorders>
            <w:hideMark/>
          </w:tcPr>
          <w:p w14:paraId="4FA85F93"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c>
          <w:tcPr>
            <w:tcW w:w="0" w:type="auto"/>
            <w:tcBorders>
              <w:bottom w:val="single" w:sz="4" w:space="0" w:color="auto"/>
            </w:tcBorders>
            <w:hideMark/>
          </w:tcPr>
          <w:p w14:paraId="09675EA0"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34.2 kg</w:t>
            </w:r>
          </w:p>
        </w:tc>
        <w:tc>
          <w:tcPr>
            <w:tcW w:w="0" w:type="auto"/>
            <w:tcBorders>
              <w:bottom w:val="single" w:sz="4" w:space="0" w:color="auto"/>
            </w:tcBorders>
            <w:hideMark/>
          </w:tcPr>
          <w:p w14:paraId="5DA5D9E5"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c>
          <w:tcPr>
            <w:tcW w:w="0" w:type="auto"/>
            <w:tcBorders>
              <w:bottom w:val="single" w:sz="4" w:space="0" w:color="auto"/>
            </w:tcBorders>
            <w:hideMark/>
          </w:tcPr>
          <w:p w14:paraId="3EA501C1"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t>
            </w:r>
          </w:p>
        </w:tc>
        <w:tc>
          <w:tcPr>
            <w:tcW w:w="0" w:type="auto"/>
            <w:tcBorders>
              <w:bottom w:val="single" w:sz="4" w:space="0" w:color="auto"/>
            </w:tcBorders>
            <w:hideMark/>
          </w:tcPr>
          <w:p w14:paraId="5B41219A" w14:textId="77777777" w:rsidR="00942766" w:rsidRPr="00A14449" w:rsidRDefault="00942766" w:rsidP="00A14449">
            <w:pPr>
              <w:spacing w:line="360" w:lineRule="auto"/>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51,300</w:t>
            </w:r>
          </w:p>
        </w:tc>
      </w:tr>
    </w:tbl>
    <w:p w14:paraId="27B8624C" w14:textId="13C28D8C" w:rsidR="00287D3D" w:rsidRPr="00A14449" w:rsidRDefault="00287D3D" w:rsidP="00A14449">
      <w:pPr>
        <w:spacing w:after="0" w:line="360" w:lineRule="auto"/>
        <w:rPr>
          <w:rFonts w:ascii="Times New Roman" w:hAnsi="Times New Roman" w:cs="Times New Roman"/>
          <w:b/>
          <w:bCs/>
          <w:i/>
          <w:iCs/>
          <w:sz w:val="24"/>
          <w:szCs w:val="24"/>
        </w:rPr>
      </w:pPr>
      <w:r w:rsidRPr="00A14449">
        <w:rPr>
          <w:rFonts w:ascii="Times New Roman" w:hAnsi="Times New Roman" w:cs="Times New Roman"/>
          <w:b/>
          <w:bCs/>
          <w:i/>
          <w:iCs/>
          <w:sz w:val="24"/>
          <w:szCs w:val="24"/>
        </w:rPr>
        <w:t>Based on MK 1,500/kg producer price</w:t>
      </w:r>
    </w:p>
    <w:p w14:paraId="4A75DCFA" w14:textId="11721656" w:rsidR="00287D3D" w:rsidRPr="00A14449" w:rsidRDefault="00287D3D" w:rsidP="00A14449">
      <w:pPr>
        <w:pStyle w:val="Heading3"/>
        <w:spacing w:line="360" w:lineRule="auto"/>
      </w:pPr>
      <w:r w:rsidRPr="00A14449">
        <w:t xml:space="preserve"> 3.5 Systemic Constraints Analysis</w:t>
      </w:r>
    </w:p>
    <w:p w14:paraId="1276AEBE" w14:textId="7CE71978" w:rsidR="00287D3D" w:rsidRPr="00A14449" w:rsidRDefault="00287D3D" w:rsidP="00A14449">
      <w:pPr>
        <w:pStyle w:val="Heading3"/>
        <w:spacing w:line="360" w:lineRule="auto"/>
      </w:pPr>
      <w:r w:rsidRPr="00A14449">
        <w:t xml:space="preserve"> 3.5.1 Producer Constraints</w:t>
      </w:r>
    </w:p>
    <w:p w14:paraId="5BC4E778" w14:textId="77777777" w:rsidR="000F581C" w:rsidRPr="00A14449" w:rsidRDefault="000F581C" w:rsidP="00A14449">
      <w:pPr>
        <w:spacing w:after="0" w:line="360" w:lineRule="auto"/>
        <w:jc w:val="both"/>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Figure 3 provides the first comprehensive ranking of constraints affecting sesame producers in Nyungwe EPA, with 95% confidence intervals.</w:t>
      </w:r>
    </w:p>
    <w:p w14:paraId="2BF0DD82" w14:textId="79D0D785" w:rsidR="000F581C" w:rsidRPr="00A14449" w:rsidRDefault="000F581C" w:rsidP="00A14449">
      <w:pPr>
        <w:spacing w:after="0" w:line="360" w:lineRule="auto"/>
        <w:jc w:val="both"/>
        <w:rPr>
          <w:rFonts w:ascii="Times New Roman" w:eastAsia="Times New Roman" w:hAnsi="Times New Roman" w:cs="Times New Roman"/>
          <w:sz w:val="24"/>
          <w:szCs w:val="24"/>
          <w:lang w:eastAsia="en-GB"/>
        </w:rPr>
      </w:pPr>
      <w:r w:rsidRPr="00A14449">
        <w:rPr>
          <w:rFonts w:ascii="Times New Roman" w:eastAsia="Times New Roman" w:hAnsi="Times New Roman" w:cs="Times New Roman"/>
          <w:b/>
          <w:bCs/>
          <w:sz w:val="24"/>
          <w:szCs w:val="24"/>
          <w:lang w:eastAsia="en-GB"/>
        </w:rPr>
        <w:t>Limited extension services</w:t>
      </w:r>
      <w:r w:rsidRPr="00A14449">
        <w:rPr>
          <w:rFonts w:ascii="Times New Roman" w:eastAsia="Times New Roman" w:hAnsi="Times New Roman" w:cs="Times New Roman"/>
          <w:sz w:val="24"/>
          <w:szCs w:val="24"/>
          <w:lang w:eastAsia="en-GB"/>
        </w:rPr>
        <w:t xml:space="preserve"> are the most pressing issue, with only 23.0% of farmers receiving support for sesame. Most extension workers prioritize rice, leaving sesame—a profitable crop—under-supported. Farmers highlighted the need for more crop-specific guidance to enhance production and management practices. One farmer noted: </w:t>
      </w:r>
      <w:r w:rsidRPr="00A14449">
        <w:rPr>
          <w:rFonts w:ascii="Times New Roman" w:eastAsia="Times New Roman" w:hAnsi="Times New Roman" w:cs="Times New Roman"/>
          <w:i/>
          <w:iCs/>
          <w:sz w:val="24"/>
          <w:szCs w:val="24"/>
          <w:lang w:eastAsia="en-GB"/>
        </w:rPr>
        <w:t>“We have extension workers, but they focus on rice. Sesame is treated as a minor crop, yet it brings good money.”</w:t>
      </w:r>
      <w:r w:rsidRPr="00A14449">
        <w:rPr>
          <w:rFonts w:ascii="Times New Roman" w:eastAsia="Times New Roman" w:hAnsi="Times New Roman" w:cs="Times New Roman"/>
          <w:sz w:val="24"/>
          <w:szCs w:val="24"/>
          <w:lang w:eastAsia="en-GB"/>
        </w:rPr>
        <w:t xml:space="preserve"> (FGD, Female Farmer, 42 years)</w:t>
      </w:r>
    </w:p>
    <w:p w14:paraId="526E81D1" w14:textId="77777777" w:rsidR="000F581C" w:rsidRPr="00A14449" w:rsidRDefault="000F581C" w:rsidP="00A14449">
      <w:pPr>
        <w:spacing w:after="0" w:line="360" w:lineRule="auto"/>
        <w:jc w:val="both"/>
        <w:rPr>
          <w:rFonts w:ascii="Times New Roman" w:eastAsia="Times New Roman" w:hAnsi="Times New Roman" w:cs="Times New Roman"/>
          <w:sz w:val="24"/>
          <w:szCs w:val="24"/>
          <w:lang w:eastAsia="en-GB"/>
        </w:rPr>
      </w:pPr>
      <w:r w:rsidRPr="00A14449">
        <w:rPr>
          <w:rFonts w:ascii="Times New Roman" w:eastAsia="Times New Roman" w:hAnsi="Times New Roman" w:cs="Times New Roman"/>
          <w:b/>
          <w:bCs/>
          <w:sz w:val="24"/>
          <w:szCs w:val="24"/>
          <w:lang w:eastAsia="en-GB"/>
        </w:rPr>
        <w:t>Weak access to formal markets</w:t>
      </w:r>
      <w:r w:rsidRPr="00A14449">
        <w:rPr>
          <w:rFonts w:ascii="Times New Roman" w:eastAsia="Times New Roman" w:hAnsi="Times New Roman" w:cs="Times New Roman"/>
          <w:sz w:val="24"/>
          <w:szCs w:val="24"/>
          <w:lang w:eastAsia="en-GB"/>
        </w:rPr>
        <w:t xml:space="preserve"> was reported by 22.9% of farmers. Many sell their sesame at the farm gate due to a lack of alternative buyers. Farmers suggested that organized markets </w:t>
      </w:r>
      <w:r w:rsidRPr="00A14449">
        <w:rPr>
          <w:rFonts w:ascii="Times New Roman" w:eastAsia="Times New Roman" w:hAnsi="Times New Roman" w:cs="Times New Roman"/>
          <w:sz w:val="24"/>
          <w:szCs w:val="24"/>
          <w:lang w:eastAsia="en-GB"/>
        </w:rPr>
        <w:lastRenderedPageBreak/>
        <w:t xml:space="preserve">with multiple buyers could improve prices and income opportunities: </w:t>
      </w:r>
      <w:r w:rsidRPr="00A14449">
        <w:rPr>
          <w:rFonts w:ascii="Times New Roman" w:eastAsia="Times New Roman" w:hAnsi="Times New Roman" w:cs="Times New Roman"/>
          <w:i/>
          <w:iCs/>
          <w:sz w:val="24"/>
          <w:szCs w:val="24"/>
          <w:lang w:eastAsia="en-GB"/>
        </w:rPr>
        <w:t>“We sell at farm gate because we don't know where else to go. If we had a market with many buyers, prices would improve.”</w:t>
      </w:r>
      <w:r w:rsidRPr="00A14449">
        <w:rPr>
          <w:rFonts w:ascii="Times New Roman" w:eastAsia="Times New Roman" w:hAnsi="Times New Roman" w:cs="Times New Roman"/>
          <w:sz w:val="24"/>
          <w:szCs w:val="24"/>
          <w:lang w:eastAsia="en-GB"/>
        </w:rPr>
        <w:t xml:space="preserve"> (FGD, Male Farmer, 38 years)</w:t>
      </w:r>
    </w:p>
    <w:p w14:paraId="7477149A" w14:textId="77777777" w:rsidR="000F581C" w:rsidRPr="00A14449" w:rsidRDefault="000F581C" w:rsidP="00A14449">
      <w:pPr>
        <w:spacing w:after="0" w:line="360" w:lineRule="auto"/>
        <w:jc w:val="both"/>
        <w:rPr>
          <w:rFonts w:ascii="Times New Roman" w:eastAsia="Times New Roman" w:hAnsi="Times New Roman" w:cs="Times New Roman"/>
          <w:sz w:val="24"/>
          <w:szCs w:val="24"/>
          <w:lang w:eastAsia="en-GB"/>
        </w:rPr>
      </w:pPr>
      <w:r w:rsidRPr="00A14449">
        <w:rPr>
          <w:rFonts w:ascii="Times New Roman" w:eastAsia="Times New Roman" w:hAnsi="Times New Roman" w:cs="Times New Roman"/>
          <w:b/>
          <w:bCs/>
          <w:sz w:val="24"/>
          <w:szCs w:val="24"/>
          <w:lang w:eastAsia="en-GB"/>
        </w:rPr>
        <w:t>Measurement losses and limited bargaining power</w:t>
      </w:r>
      <w:r w:rsidRPr="00A14449">
        <w:rPr>
          <w:rFonts w:ascii="Times New Roman" w:eastAsia="Times New Roman" w:hAnsi="Times New Roman" w:cs="Times New Roman"/>
          <w:sz w:val="24"/>
          <w:szCs w:val="24"/>
          <w:lang w:eastAsia="en-GB"/>
        </w:rPr>
        <w:t xml:space="preserve"> each affect 19.1% of farmers. Losses during weighing and aggregation reduce overall profitability, while farmers have little influence in price negotiations. These challenges are closely linked, reinforcing constraints on returns.</w:t>
      </w:r>
    </w:p>
    <w:p w14:paraId="795565AE" w14:textId="77777777" w:rsidR="000F581C" w:rsidRPr="00A14449" w:rsidRDefault="000F581C" w:rsidP="00A14449">
      <w:pPr>
        <w:spacing w:after="0" w:line="360" w:lineRule="auto"/>
        <w:jc w:val="both"/>
        <w:rPr>
          <w:rFonts w:ascii="Times New Roman" w:eastAsia="Times New Roman" w:hAnsi="Times New Roman" w:cs="Times New Roman"/>
          <w:sz w:val="24"/>
          <w:szCs w:val="24"/>
          <w:lang w:eastAsia="en-GB"/>
        </w:rPr>
      </w:pPr>
      <w:r w:rsidRPr="00A14449">
        <w:rPr>
          <w:rFonts w:ascii="Times New Roman" w:eastAsia="Times New Roman" w:hAnsi="Times New Roman" w:cs="Times New Roman"/>
          <w:b/>
          <w:bCs/>
          <w:sz w:val="24"/>
          <w:szCs w:val="24"/>
          <w:lang w:eastAsia="en-GB"/>
        </w:rPr>
        <w:t>Capital limitations</w:t>
      </w:r>
      <w:r w:rsidRPr="00A14449">
        <w:rPr>
          <w:rFonts w:ascii="Times New Roman" w:eastAsia="Times New Roman" w:hAnsi="Times New Roman" w:cs="Times New Roman"/>
          <w:sz w:val="24"/>
          <w:szCs w:val="24"/>
          <w:lang w:eastAsia="en-GB"/>
        </w:rPr>
        <w:t xml:space="preserve"> impact 11.4% of farmers, restricting their ability to store sesame and sell when prices are higher. Immediate financial needs, such as school fees, often force early sales. One farmer explained: </w:t>
      </w:r>
      <w:r w:rsidRPr="00A14449">
        <w:rPr>
          <w:rFonts w:ascii="Times New Roman" w:eastAsia="Times New Roman" w:hAnsi="Times New Roman" w:cs="Times New Roman"/>
          <w:i/>
          <w:iCs/>
          <w:sz w:val="24"/>
          <w:szCs w:val="24"/>
          <w:lang w:eastAsia="en-GB"/>
        </w:rPr>
        <w:t>“With capital, I could store my sesame and sell when prices rise. But I need immediate cash for school fees.”</w:t>
      </w:r>
      <w:r w:rsidRPr="00A14449">
        <w:rPr>
          <w:rFonts w:ascii="Times New Roman" w:eastAsia="Times New Roman" w:hAnsi="Times New Roman" w:cs="Times New Roman"/>
          <w:sz w:val="24"/>
          <w:szCs w:val="24"/>
          <w:lang w:eastAsia="en-GB"/>
        </w:rPr>
        <w:t xml:space="preserve"> (Survey respondent 045, Female)</w:t>
      </w:r>
    </w:p>
    <w:p w14:paraId="16747D7E" w14:textId="1D163E01" w:rsidR="000F581C" w:rsidRPr="00A14449" w:rsidRDefault="000F581C" w:rsidP="00A14449">
      <w:pPr>
        <w:spacing w:after="0" w:line="360" w:lineRule="auto"/>
        <w:jc w:val="both"/>
        <w:rPr>
          <w:rFonts w:ascii="Times New Roman" w:eastAsia="Times New Roman" w:hAnsi="Times New Roman" w:cs="Times New Roman"/>
          <w:sz w:val="24"/>
          <w:szCs w:val="24"/>
          <w:lang w:eastAsia="en-GB"/>
        </w:rPr>
      </w:pPr>
      <w:r w:rsidRPr="00A14449">
        <w:rPr>
          <w:rFonts w:ascii="Times New Roman" w:eastAsia="Times New Roman" w:hAnsi="Times New Roman" w:cs="Times New Roman"/>
          <w:b/>
          <w:bCs/>
          <w:sz w:val="24"/>
          <w:szCs w:val="24"/>
          <w:lang w:eastAsia="en-GB"/>
        </w:rPr>
        <w:t>Climate risks</w:t>
      </w:r>
      <w:r w:rsidRPr="00A14449">
        <w:rPr>
          <w:rFonts w:ascii="Times New Roman" w:eastAsia="Times New Roman" w:hAnsi="Times New Roman" w:cs="Times New Roman"/>
          <w:sz w:val="24"/>
          <w:szCs w:val="24"/>
          <w:lang w:eastAsia="en-GB"/>
        </w:rPr>
        <w:t xml:space="preserve"> were reported by only 2.3% of respondents, but qualitative data indicate growing concern. Farmers described unpredictable rainfall and repeated planting due to changing weather patterns. While not yet a top-ranked constraint quantitatively, climate variability is increasingly affecting sesame production: </w:t>
      </w:r>
      <w:r w:rsidRPr="00A14449">
        <w:rPr>
          <w:rFonts w:ascii="Times New Roman" w:eastAsia="Times New Roman" w:hAnsi="Times New Roman" w:cs="Times New Roman"/>
          <w:i/>
          <w:iCs/>
          <w:sz w:val="24"/>
          <w:szCs w:val="24"/>
          <w:lang w:eastAsia="en-GB"/>
        </w:rPr>
        <w:t>“The rains are becoming unpredictable. Last season we planted three times.”</w:t>
      </w:r>
      <w:r w:rsidRPr="00A14449">
        <w:rPr>
          <w:rFonts w:ascii="Times New Roman" w:eastAsia="Times New Roman" w:hAnsi="Times New Roman" w:cs="Times New Roman"/>
          <w:sz w:val="24"/>
          <w:szCs w:val="24"/>
          <w:lang w:eastAsia="en-GB"/>
        </w:rPr>
        <w:t xml:space="preserve"> (FGD, Male Farmer, 55 years)</w:t>
      </w:r>
    </w:p>
    <w:p w14:paraId="5EEBBA6D" w14:textId="326B51FC" w:rsidR="00287D3D" w:rsidRPr="00862A72" w:rsidRDefault="00A36523" w:rsidP="006A3843">
      <w:pPr>
        <w:spacing w:after="0"/>
        <w:jc w:val="center"/>
      </w:pPr>
      <w:r w:rsidRPr="00862A72">
        <w:rPr>
          <w:noProof/>
          <w:lang w:val="en-IN" w:eastAsia="en-IN"/>
        </w:rPr>
        <w:drawing>
          <wp:inline distT="0" distB="0" distL="0" distR="0" wp14:anchorId="5A3507B0" wp14:editId="52BF4F42">
            <wp:extent cx="4619625" cy="3371850"/>
            <wp:effectExtent l="0" t="0" r="9525" b="0"/>
            <wp:docPr id="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88FFF1-4901-458D-AC0E-981273DD91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B0198D" w14:textId="2E17B591" w:rsidR="00A428B1" w:rsidRPr="00862A72" w:rsidRDefault="006A3843" w:rsidP="000F581C">
      <w:pPr>
        <w:spacing w:after="0"/>
        <w:jc w:val="center"/>
        <w:rPr>
          <w:rFonts w:ascii="Times New Roman" w:hAnsi="Times New Roman" w:cs="Times New Roman"/>
          <w:b/>
          <w:bCs/>
          <w:i/>
          <w:iCs/>
          <w:sz w:val="18"/>
          <w:szCs w:val="18"/>
        </w:rPr>
      </w:pPr>
      <w:r w:rsidRPr="00862A72">
        <w:rPr>
          <w:rFonts w:ascii="Times New Roman" w:hAnsi="Times New Roman" w:cs="Times New Roman"/>
          <w:b/>
          <w:bCs/>
          <w:i/>
          <w:iCs/>
          <w:sz w:val="18"/>
          <w:szCs w:val="18"/>
        </w:rPr>
        <w:t>Figure 3: Producer Constraints with 95% Confidence Intervals</w:t>
      </w:r>
    </w:p>
    <w:p w14:paraId="298E98B0" w14:textId="036CBB71" w:rsidR="00287D3D" w:rsidRPr="00862A72" w:rsidRDefault="00287D3D" w:rsidP="00546CE1">
      <w:pPr>
        <w:pStyle w:val="Heading4"/>
        <w:numPr>
          <w:ilvl w:val="2"/>
          <w:numId w:val="2"/>
        </w:numPr>
        <w:rPr>
          <w:rFonts w:ascii="Times New Roman" w:hAnsi="Times New Roman" w:cs="Times New Roman"/>
          <w:b w:val="0"/>
          <w:bCs/>
          <w:color w:val="auto"/>
        </w:rPr>
      </w:pPr>
      <w:r w:rsidRPr="00862A72">
        <w:rPr>
          <w:rFonts w:ascii="Times New Roman" w:hAnsi="Times New Roman" w:cs="Times New Roman"/>
          <w:bCs/>
          <w:color w:val="auto"/>
        </w:rPr>
        <w:t>Trader Constraints</w:t>
      </w:r>
    </w:p>
    <w:p w14:paraId="6B7AD18D" w14:textId="7F60FDB1" w:rsidR="00546CE1" w:rsidRPr="00A14449" w:rsidRDefault="00287D3D" w:rsidP="00A14449">
      <w:pPr>
        <w:pStyle w:val="NormalWeb"/>
        <w:spacing w:before="0" w:beforeAutospacing="0" w:after="0" w:afterAutospacing="0" w:line="360" w:lineRule="auto"/>
        <w:jc w:val="both"/>
      </w:pPr>
      <w:r w:rsidRPr="00A14449">
        <w:t>Figure 4 presents trader constraints, revealing infrastructure as the dominant challenge</w:t>
      </w:r>
      <w:r w:rsidR="00546CE1" w:rsidRPr="00A14449">
        <w:t xml:space="preserve">: Infrastructure deficits are the most pressing trader-level challenge, cited by 51.3% of stakeholders. While main roads like those to Karonga are generally passable, feeder roads </w:t>
      </w:r>
      <w:r w:rsidR="00546CE1" w:rsidRPr="00A14449">
        <w:lastRenderedPageBreak/>
        <w:t xml:space="preserve">from villages often become impassable during rains. A wholesaler noted, </w:t>
      </w:r>
      <w:r w:rsidR="00546CE1" w:rsidRPr="00A14449">
        <w:rPr>
          <w:rStyle w:val="Emphasis"/>
          <w:rFonts w:eastAsiaTheme="majorEastAsia"/>
        </w:rPr>
        <w:t>“The roads are okay to Karonga, but the feeder roads from villages become impassable during rains. We lose time and money.”</w:t>
      </w:r>
      <w:r w:rsidR="00546CE1" w:rsidRPr="00A14449">
        <w:t xml:space="preserve"> Poor infrastructure increases transport costs and delays, affecting both farmers and traders.</w:t>
      </w:r>
    </w:p>
    <w:p w14:paraId="61C60701" w14:textId="77777777" w:rsidR="00546CE1" w:rsidRPr="00A14449" w:rsidRDefault="00546CE1" w:rsidP="00A14449">
      <w:pPr>
        <w:pStyle w:val="NormalWeb"/>
        <w:spacing w:before="0" w:beforeAutospacing="0" w:after="0" w:afterAutospacing="0" w:line="360" w:lineRule="auto"/>
        <w:jc w:val="both"/>
      </w:pPr>
      <w:r w:rsidRPr="00A14449">
        <w:t xml:space="preserve">Policy inadequacy is another major concern, affecting 42.5% of respondents. Cross-border trade is inconsistent and unpredictable, with rules and requirements changing frequently. As one wholesaler explained, </w:t>
      </w:r>
      <w:r w:rsidRPr="00A14449">
        <w:rPr>
          <w:rStyle w:val="Emphasis"/>
          <w:rFonts w:eastAsiaTheme="majorEastAsia"/>
        </w:rPr>
        <w:t>“Tanzanian buyers operate without clear rules. Some days the border is open, other days there are 'new requirements.' We need stable policies.”</w:t>
      </w:r>
      <w:r w:rsidRPr="00A14449">
        <w:t xml:space="preserve"> Stable and transparent regulations are needed to facilitate trade.</w:t>
      </w:r>
    </w:p>
    <w:p w14:paraId="0507AA14" w14:textId="77777777" w:rsidR="00546CE1" w:rsidRPr="00A14449" w:rsidRDefault="00546CE1" w:rsidP="00A14449">
      <w:pPr>
        <w:pStyle w:val="NormalWeb"/>
        <w:spacing w:before="0" w:beforeAutospacing="0" w:after="0" w:afterAutospacing="0" w:line="360" w:lineRule="auto"/>
        <w:jc w:val="both"/>
      </w:pPr>
      <w:r w:rsidRPr="00A14449">
        <w:t xml:space="preserve">Quality inconsistency, reported by 6.3% of traders, is also a constraint. Some farmers deliver sesame mixed with stones and sand, creating extra work or causing loss of buyers. A middleman remarked, </w:t>
      </w:r>
      <w:r w:rsidRPr="00A14449">
        <w:rPr>
          <w:rStyle w:val="Emphasis"/>
          <w:rFonts w:eastAsiaTheme="majorEastAsia"/>
        </w:rPr>
        <w:t>“Some farmers deliver sesame with stones and sand. We then spend time cleaning or lose buyers.”</w:t>
      </w:r>
      <w:r w:rsidRPr="00A14449">
        <w:t xml:space="preserve"> This highlights the need for improved quality control to maintain market trust and price premiums.</w:t>
      </w:r>
    </w:p>
    <w:p w14:paraId="5531B30A" w14:textId="1DF59301" w:rsidR="00287D3D" w:rsidRPr="00862A72" w:rsidRDefault="00A428B1" w:rsidP="00546CE1">
      <w:pPr>
        <w:spacing w:after="0"/>
        <w:jc w:val="center"/>
      </w:pPr>
      <w:r w:rsidRPr="00862A72">
        <w:rPr>
          <w:noProof/>
          <w:lang w:val="en-IN" w:eastAsia="en-IN"/>
        </w:rPr>
        <w:drawing>
          <wp:inline distT="0" distB="0" distL="0" distR="0" wp14:anchorId="711545EE" wp14:editId="09FBDEA8">
            <wp:extent cx="4572000" cy="2743200"/>
            <wp:effectExtent l="0" t="0" r="0" b="0"/>
            <wp:docPr id="2" name="Chart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19AB213-3019-4AEC-B58B-49CA605B8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87D3D" w:rsidRPr="00862A72">
        <w:t>```</w:t>
      </w:r>
    </w:p>
    <w:p w14:paraId="491B48D0" w14:textId="438BEA82" w:rsidR="00546CE1" w:rsidRPr="00862A72" w:rsidRDefault="00546CE1" w:rsidP="000F581C">
      <w:pPr>
        <w:spacing w:after="0"/>
        <w:jc w:val="center"/>
        <w:rPr>
          <w:rFonts w:ascii="Times New Roman" w:hAnsi="Times New Roman" w:cs="Times New Roman"/>
          <w:b/>
          <w:bCs/>
          <w:i/>
          <w:iCs/>
          <w:sz w:val="18"/>
          <w:szCs w:val="18"/>
        </w:rPr>
      </w:pPr>
      <w:r w:rsidRPr="00862A72">
        <w:rPr>
          <w:rFonts w:ascii="Times New Roman" w:hAnsi="Times New Roman" w:cs="Times New Roman"/>
          <w:b/>
          <w:bCs/>
          <w:i/>
          <w:iCs/>
          <w:sz w:val="18"/>
          <w:szCs w:val="18"/>
        </w:rPr>
        <w:t>Figure 4 presents trader constraints</w:t>
      </w:r>
    </w:p>
    <w:p w14:paraId="574CD6C7" w14:textId="099E3B18" w:rsidR="00287D3D" w:rsidRPr="00862A72" w:rsidRDefault="00287D3D" w:rsidP="00F407AF">
      <w:pPr>
        <w:pStyle w:val="Heading4"/>
        <w:rPr>
          <w:rFonts w:ascii="Times New Roman" w:hAnsi="Times New Roman" w:cs="Times New Roman"/>
          <w:b w:val="0"/>
          <w:bCs/>
          <w:color w:val="auto"/>
          <w:sz w:val="20"/>
          <w:szCs w:val="20"/>
        </w:rPr>
      </w:pPr>
      <w:r w:rsidRPr="00862A72">
        <w:rPr>
          <w:color w:val="auto"/>
        </w:rPr>
        <w:t xml:space="preserve"> </w:t>
      </w:r>
      <w:r w:rsidRPr="00862A72">
        <w:rPr>
          <w:rStyle w:val="Heading3Char"/>
          <w:b/>
          <w:bCs/>
          <w:color w:val="auto"/>
          <w:sz w:val="22"/>
          <w:szCs w:val="22"/>
        </w:rPr>
        <w:t>3.6 Strategic Opportunities Analysis</w:t>
      </w:r>
    </w:p>
    <w:p w14:paraId="3E584CEE" w14:textId="5D2EB120" w:rsidR="00287D3D" w:rsidRPr="00A14449" w:rsidRDefault="00287D3D" w:rsidP="00F407AF">
      <w:pPr>
        <w:pStyle w:val="Heading4"/>
        <w:rPr>
          <w:rFonts w:ascii="Times New Roman" w:hAnsi="Times New Roman" w:cs="Times New Roman"/>
          <w:b w:val="0"/>
          <w:bCs/>
          <w:i/>
          <w:iCs w:val="0"/>
          <w:color w:val="auto"/>
          <w:sz w:val="24"/>
          <w:szCs w:val="24"/>
        </w:rPr>
      </w:pPr>
      <w:r w:rsidRPr="00A14449">
        <w:rPr>
          <w:rFonts w:ascii="Times New Roman" w:hAnsi="Times New Roman" w:cs="Times New Roman"/>
          <w:bCs/>
          <w:i/>
          <w:iCs w:val="0"/>
          <w:color w:val="auto"/>
          <w:sz w:val="24"/>
          <w:szCs w:val="24"/>
        </w:rPr>
        <w:t>3.6.1 Cross-Border Demand Assessment</w:t>
      </w:r>
    </w:p>
    <w:p w14:paraId="41F9EB39" w14:textId="3732E870" w:rsidR="00287D3D" w:rsidRPr="00A14449" w:rsidRDefault="00546CE1" w:rsidP="00BB3CB0">
      <w:pPr>
        <w:spacing w:line="276"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A key strategic opportunity lies in the persistent supply-demand gap in Tanzanian markets. Key informants estimated that annual demand from the Karonga border region alone ranges from 3,500 to 4,000 MT, while current supply only reaches 1,800–2,200 MT—a shortfall of 44–48%. As one Tanzanian buyer explained, </w:t>
      </w:r>
      <w:r w:rsidRPr="00A14449">
        <w:rPr>
          <w:rStyle w:val="Emphasis"/>
          <w:rFonts w:ascii="Times New Roman" w:hAnsi="Times New Roman" w:cs="Times New Roman"/>
          <w:sz w:val="24"/>
          <w:szCs w:val="24"/>
        </w:rPr>
        <w:t>“Each season, Nyungwe sesame has never exceeded the capacity of traders and wholesalers. Some trucks return empty to Tanzania because we cannot fill them. The market is crying for more.”</w:t>
      </w:r>
      <w:r w:rsidRPr="00A14449">
        <w:rPr>
          <w:rFonts w:ascii="Times New Roman" w:hAnsi="Times New Roman" w:cs="Times New Roman"/>
          <w:sz w:val="24"/>
          <w:szCs w:val="24"/>
        </w:rPr>
        <w:t xml:space="preserve"> This unmet demand signals significant potential for production expansion and intensification, presenting an opportunity for farmers and traders to increase sesame supply and capture higher market share.</w:t>
      </w:r>
    </w:p>
    <w:p w14:paraId="2BC1BFF3" w14:textId="1D5BEB4C" w:rsidR="00287D3D" w:rsidRPr="00A14449" w:rsidRDefault="00287D3D" w:rsidP="00A14449">
      <w:pPr>
        <w:pStyle w:val="Heading3"/>
      </w:pPr>
      <w:r w:rsidRPr="00A14449">
        <w:lastRenderedPageBreak/>
        <w:t>3.6.2 Market Access Typology</w:t>
      </w:r>
    </w:p>
    <w:p w14:paraId="57FFD225" w14:textId="77777777" w:rsidR="002A46F0" w:rsidRPr="00A14449" w:rsidRDefault="002A46F0" w:rsidP="002A46F0">
      <w:pPr>
        <w:spacing w:after="0"/>
        <w:jc w:val="both"/>
        <w:rPr>
          <w:rFonts w:ascii="Times New Roman" w:hAnsi="Times New Roman" w:cs="Times New Roman"/>
          <w:sz w:val="24"/>
          <w:szCs w:val="24"/>
        </w:rPr>
      </w:pPr>
      <w:r w:rsidRPr="00A14449">
        <w:rPr>
          <w:rFonts w:ascii="Times New Roman" w:hAnsi="Times New Roman" w:cs="Times New Roman"/>
          <w:b/>
          <w:bCs/>
          <w:sz w:val="24"/>
          <w:szCs w:val="24"/>
        </w:rPr>
        <w:t>Table 6</w:t>
      </w:r>
      <w:r w:rsidRPr="00A14449">
        <w:rPr>
          <w:rFonts w:ascii="Times New Roman" w:hAnsi="Times New Roman" w:cs="Times New Roman"/>
          <w:sz w:val="24"/>
          <w:szCs w:val="24"/>
        </w:rPr>
        <w:t xml:space="preserve"> presents a typology of market channels available to sesame farmers in Nyungwe EPA, detailing the actors involved, transaction volumes, price ranges, payment mechanisms, and associated advantages and disadvantages. The findings reveal a differentiated market structure in which farmers' channel choices are shaped by trade-offs between price realization and transaction costs.</w:t>
      </w:r>
    </w:p>
    <w:p w14:paraId="539561B1" w14:textId="380B32E2" w:rsidR="002A46F0" w:rsidRPr="00A14449" w:rsidRDefault="002A46F0" w:rsidP="002A46F0">
      <w:pPr>
        <w:spacing w:after="0"/>
        <w:jc w:val="both"/>
        <w:rPr>
          <w:rFonts w:ascii="Times New Roman" w:hAnsi="Times New Roman" w:cs="Times New Roman"/>
          <w:sz w:val="24"/>
          <w:szCs w:val="24"/>
        </w:rPr>
      </w:pPr>
      <w:r w:rsidRPr="00A14449">
        <w:rPr>
          <w:rFonts w:ascii="Times New Roman" w:hAnsi="Times New Roman" w:cs="Times New Roman"/>
          <w:sz w:val="24"/>
          <w:szCs w:val="24"/>
        </w:rPr>
        <w:t>The farm gate channel, involving sales to middlemen directly at the farm, handles the smallest volumes (10–50 kg) and offers the lowest prices (MK 1,200–1,500/kg). Its primary advantage is convenience, as it requires no transport, but farmers capture minimal value due to limited buyer competition and weak bargaining power.</w:t>
      </w:r>
    </w:p>
    <w:p w14:paraId="1B633EC6" w14:textId="7B559FBF" w:rsidR="002A46F0" w:rsidRPr="00A14449" w:rsidRDefault="002A46F0" w:rsidP="002A46F0">
      <w:pPr>
        <w:spacing w:after="0"/>
        <w:jc w:val="both"/>
        <w:rPr>
          <w:rFonts w:ascii="Times New Roman" w:hAnsi="Times New Roman" w:cs="Times New Roman"/>
          <w:sz w:val="24"/>
          <w:szCs w:val="24"/>
        </w:rPr>
      </w:pPr>
      <w:r w:rsidRPr="00A14449">
        <w:rPr>
          <w:rFonts w:ascii="Times New Roman" w:hAnsi="Times New Roman" w:cs="Times New Roman"/>
          <w:sz w:val="24"/>
          <w:szCs w:val="24"/>
        </w:rPr>
        <w:t>The village market channel expands volume slightly (20–100 kg) and improves price outcomes (MK 1,400–1,800/kg) by introducing multiple buyers, though farmers must bear transport costs to reach these local markets.</w:t>
      </w:r>
    </w:p>
    <w:p w14:paraId="496BFC42" w14:textId="77777777" w:rsidR="002A46F0" w:rsidRPr="00A14449" w:rsidRDefault="002A46F0" w:rsidP="002A46F0">
      <w:pPr>
        <w:spacing w:after="0"/>
        <w:jc w:val="both"/>
        <w:rPr>
          <w:rFonts w:ascii="Times New Roman" w:hAnsi="Times New Roman" w:cs="Times New Roman"/>
          <w:sz w:val="24"/>
          <w:szCs w:val="24"/>
        </w:rPr>
      </w:pPr>
    </w:p>
    <w:p w14:paraId="4EB95102" w14:textId="55AC9ED7" w:rsidR="002A46F0" w:rsidRPr="00A14449" w:rsidRDefault="002A46F0" w:rsidP="002A46F0">
      <w:pPr>
        <w:spacing w:after="0"/>
        <w:jc w:val="both"/>
        <w:rPr>
          <w:rFonts w:ascii="Times New Roman" w:hAnsi="Times New Roman" w:cs="Times New Roman"/>
          <w:sz w:val="24"/>
          <w:szCs w:val="24"/>
        </w:rPr>
      </w:pPr>
      <w:r w:rsidRPr="00A14449">
        <w:rPr>
          <w:rFonts w:ascii="Times New Roman" w:hAnsi="Times New Roman" w:cs="Times New Roman"/>
          <w:sz w:val="24"/>
          <w:szCs w:val="24"/>
        </w:rPr>
        <w:t>At the Nyungwe Trading Centre, farmers access wholesalers and retailers, achieving volumes of 50–200 kg and prices of MK 1,800–2,200/kg through competitive bidding. However, this channel imposes greater time and distance costs.</w:t>
      </w:r>
    </w:p>
    <w:p w14:paraId="01580827" w14:textId="1E93F564" w:rsidR="002A46F0" w:rsidRPr="00A14449" w:rsidRDefault="002A46F0" w:rsidP="002A46F0">
      <w:pPr>
        <w:spacing w:after="0"/>
        <w:jc w:val="both"/>
        <w:rPr>
          <w:rFonts w:ascii="Times New Roman" w:hAnsi="Times New Roman" w:cs="Times New Roman"/>
          <w:sz w:val="24"/>
          <w:szCs w:val="24"/>
        </w:rPr>
      </w:pPr>
      <w:r w:rsidRPr="00A14449">
        <w:rPr>
          <w:rFonts w:ascii="Times New Roman" w:hAnsi="Times New Roman" w:cs="Times New Roman"/>
          <w:sz w:val="24"/>
          <w:szCs w:val="24"/>
        </w:rPr>
        <w:t>The Karonga Boma channel connects farmers to wholesalers and exporters, handling 100–500 kg at prices of MK 2,000–2,500/kg. While offering higher returns, this channel requires payment of market fees and incurs significant transport costs.</w:t>
      </w:r>
    </w:p>
    <w:p w14:paraId="293D6CC1" w14:textId="6B45C486" w:rsidR="002A46F0" w:rsidRPr="00A14449" w:rsidRDefault="002A46F0" w:rsidP="002A46F0">
      <w:pPr>
        <w:spacing w:after="0"/>
        <w:jc w:val="both"/>
        <w:rPr>
          <w:rFonts w:ascii="Times New Roman" w:hAnsi="Times New Roman" w:cs="Times New Roman"/>
          <w:sz w:val="24"/>
          <w:szCs w:val="24"/>
        </w:rPr>
      </w:pPr>
      <w:r w:rsidRPr="00A14449">
        <w:rPr>
          <w:rFonts w:ascii="Times New Roman" w:hAnsi="Times New Roman" w:cs="Times New Roman"/>
          <w:sz w:val="24"/>
          <w:szCs w:val="24"/>
        </w:rPr>
        <w:lastRenderedPageBreak/>
        <w:t>The border market channel represents the primary cross-border interface, with volumes reaching 200–1,000 kg and premium prices of MK 2,200–2,800/kg, often paid in Tanzanian shillings or US dollars. Despite superior price outcomes, farmers face currency fluctuation risks and regulatory permit requirements.</w:t>
      </w:r>
    </w:p>
    <w:p w14:paraId="754227FB" w14:textId="52D1A406" w:rsidR="002A46F0" w:rsidRPr="00A14449" w:rsidRDefault="002A46F0" w:rsidP="002A46F0">
      <w:pPr>
        <w:spacing w:after="0"/>
        <w:jc w:val="both"/>
        <w:rPr>
          <w:rFonts w:ascii="Times New Roman" w:hAnsi="Times New Roman" w:cs="Times New Roman"/>
          <w:sz w:val="24"/>
          <w:szCs w:val="24"/>
        </w:rPr>
      </w:pPr>
      <w:r w:rsidRPr="00A14449">
        <w:rPr>
          <w:rFonts w:ascii="Times New Roman" w:hAnsi="Times New Roman" w:cs="Times New Roman"/>
          <w:sz w:val="24"/>
          <w:szCs w:val="24"/>
        </w:rPr>
        <w:t>Finally, collective marketing through cooperatives handles the largest volumes (500–5,000 kg) and achieves the highest prices (MK 2,400–3,000/kg) through negotiated contracts. However, this channel requires significant organizational capacity, limiting access to well-established farmer groups.</w:t>
      </w:r>
    </w:p>
    <w:p w14:paraId="6A7EA664" w14:textId="5DA916AC" w:rsidR="00AE6159" w:rsidRPr="00A14449" w:rsidRDefault="002A46F0" w:rsidP="002A46F0">
      <w:pPr>
        <w:spacing w:after="0"/>
        <w:jc w:val="both"/>
        <w:rPr>
          <w:rFonts w:ascii="Times New Roman" w:hAnsi="Times New Roman" w:cs="Times New Roman"/>
          <w:sz w:val="24"/>
          <w:szCs w:val="24"/>
        </w:rPr>
      </w:pPr>
      <w:r w:rsidRPr="00A14449">
        <w:rPr>
          <w:rFonts w:ascii="Times New Roman" w:hAnsi="Times New Roman" w:cs="Times New Roman"/>
          <w:sz w:val="24"/>
          <w:szCs w:val="24"/>
        </w:rPr>
        <w:t>This channel hierarchy demonstrates a clear gradient: as farmers assume greater transaction costs—including transport, market fees, and organizational effort—they gain access to progressively higher prices. The persistence of multiple channels reflects heterogeneous farmer endowments, risk preferences, and access to information, with poorer and more remote farmers systematically constrained to lower-value channels.</w:t>
      </w:r>
    </w:p>
    <w:p w14:paraId="5A7FA82B" w14:textId="757693DB" w:rsidR="00F407AF" w:rsidRPr="00A14449" w:rsidRDefault="00F407AF" w:rsidP="002A46F0">
      <w:pPr>
        <w:spacing w:after="0"/>
        <w:jc w:val="both"/>
        <w:rPr>
          <w:rFonts w:ascii="Times New Roman" w:hAnsi="Times New Roman" w:cs="Times New Roman"/>
          <w:b/>
          <w:bCs/>
          <w:sz w:val="24"/>
          <w:szCs w:val="24"/>
        </w:rPr>
      </w:pPr>
      <w:r w:rsidRPr="00A14449">
        <w:rPr>
          <w:rFonts w:ascii="Times New Roman" w:hAnsi="Times New Roman" w:cs="Times New Roman"/>
          <w:b/>
          <w:bCs/>
          <w:sz w:val="24"/>
          <w:szCs w:val="24"/>
        </w:rPr>
        <w:t>Table 6: Market Channel Typology for Nyungwe Sesame Farmers</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3"/>
        <w:gridCol w:w="1483"/>
        <w:gridCol w:w="853"/>
        <w:gridCol w:w="1273"/>
        <w:gridCol w:w="1420"/>
        <w:gridCol w:w="1373"/>
        <w:gridCol w:w="2313"/>
      </w:tblGrid>
      <w:tr w:rsidR="00F407AF" w:rsidRPr="00A14449" w14:paraId="4D54D1FF" w14:textId="77777777" w:rsidTr="00BB3CB0">
        <w:tc>
          <w:tcPr>
            <w:tcW w:w="1203" w:type="dxa"/>
            <w:tcBorders>
              <w:top w:val="single" w:sz="4" w:space="0" w:color="auto"/>
              <w:bottom w:val="single" w:sz="4" w:space="0" w:color="auto"/>
            </w:tcBorders>
            <w:hideMark/>
          </w:tcPr>
          <w:p w14:paraId="16398BDF" w14:textId="77777777" w:rsidR="00F407AF" w:rsidRPr="00A14449" w:rsidRDefault="00F407AF" w:rsidP="00F407AF">
            <w:pPr>
              <w:jc w:val="cente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Channel</w:t>
            </w:r>
          </w:p>
        </w:tc>
        <w:tc>
          <w:tcPr>
            <w:tcW w:w="1483" w:type="dxa"/>
            <w:tcBorders>
              <w:top w:val="single" w:sz="4" w:space="0" w:color="auto"/>
              <w:bottom w:val="single" w:sz="4" w:space="0" w:color="auto"/>
            </w:tcBorders>
            <w:hideMark/>
          </w:tcPr>
          <w:p w14:paraId="38B7A189" w14:textId="77777777" w:rsidR="00F407AF" w:rsidRPr="00A14449" w:rsidRDefault="00F407AF" w:rsidP="00F407AF">
            <w:pPr>
              <w:jc w:val="cente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Actors</w:t>
            </w:r>
          </w:p>
        </w:tc>
        <w:tc>
          <w:tcPr>
            <w:tcW w:w="853" w:type="dxa"/>
            <w:tcBorders>
              <w:top w:val="single" w:sz="4" w:space="0" w:color="auto"/>
              <w:bottom w:val="single" w:sz="4" w:space="0" w:color="auto"/>
            </w:tcBorders>
            <w:hideMark/>
          </w:tcPr>
          <w:p w14:paraId="77BCCF18" w14:textId="77777777" w:rsidR="00F407AF" w:rsidRPr="00A14449" w:rsidRDefault="00F407AF" w:rsidP="00F231D3">
            <w:pP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Volume (kg)</w:t>
            </w:r>
          </w:p>
        </w:tc>
        <w:tc>
          <w:tcPr>
            <w:tcW w:w="1273" w:type="dxa"/>
            <w:tcBorders>
              <w:top w:val="single" w:sz="4" w:space="0" w:color="auto"/>
              <w:bottom w:val="single" w:sz="4" w:space="0" w:color="auto"/>
            </w:tcBorders>
            <w:hideMark/>
          </w:tcPr>
          <w:p w14:paraId="2161D31E" w14:textId="77777777" w:rsidR="00F407AF" w:rsidRPr="00A14449" w:rsidRDefault="00F407AF" w:rsidP="00F407AF">
            <w:pPr>
              <w:jc w:val="cente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Price (MK/kg)</w:t>
            </w:r>
          </w:p>
        </w:tc>
        <w:tc>
          <w:tcPr>
            <w:tcW w:w="1420" w:type="dxa"/>
            <w:tcBorders>
              <w:top w:val="single" w:sz="4" w:space="0" w:color="auto"/>
              <w:bottom w:val="single" w:sz="4" w:space="0" w:color="auto"/>
            </w:tcBorders>
            <w:hideMark/>
          </w:tcPr>
          <w:p w14:paraId="40ECE211" w14:textId="77777777" w:rsidR="00F407AF" w:rsidRPr="00A14449" w:rsidRDefault="00F407AF" w:rsidP="00F407AF">
            <w:pPr>
              <w:jc w:val="cente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Payment</w:t>
            </w:r>
          </w:p>
        </w:tc>
        <w:tc>
          <w:tcPr>
            <w:tcW w:w="1373" w:type="dxa"/>
            <w:tcBorders>
              <w:top w:val="single" w:sz="4" w:space="0" w:color="auto"/>
              <w:bottom w:val="single" w:sz="4" w:space="0" w:color="auto"/>
            </w:tcBorders>
            <w:hideMark/>
          </w:tcPr>
          <w:p w14:paraId="5AA97A8B" w14:textId="77777777" w:rsidR="00F407AF" w:rsidRPr="00A14449" w:rsidRDefault="00F407AF" w:rsidP="00F407AF">
            <w:pPr>
              <w:jc w:val="cente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Advantages</w:t>
            </w:r>
          </w:p>
        </w:tc>
        <w:tc>
          <w:tcPr>
            <w:tcW w:w="2313" w:type="dxa"/>
            <w:tcBorders>
              <w:top w:val="single" w:sz="4" w:space="0" w:color="auto"/>
              <w:bottom w:val="single" w:sz="4" w:space="0" w:color="auto"/>
            </w:tcBorders>
            <w:hideMark/>
          </w:tcPr>
          <w:p w14:paraId="32CF1491" w14:textId="77777777" w:rsidR="00F407AF" w:rsidRPr="00A14449" w:rsidRDefault="00F407AF" w:rsidP="00F407AF">
            <w:pPr>
              <w:jc w:val="center"/>
              <w:rPr>
                <w:rFonts w:ascii="Times New Roman" w:eastAsia="Times New Roman" w:hAnsi="Times New Roman" w:cs="Times New Roman"/>
                <w:b/>
                <w:bCs/>
                <w:sz w:val="24"/>
                <w:szCs w:val="24"/>
                <w:lang w:eastAsia="en-GB"/>
              </w:rPr>
            </w:pPr>
            <w:r w:rsidRPr="00A14449">
              <w:rPr>
                <w:rFonts w:ascii="Times New Roman" w:eastAsia="Times New Roman" w:hAnsi="Times New Roman" w:cs="Times New Roman"/>
                <w:b/>
                <w:bCs/>
                <w:sz w:val="24"/>
                <w:szCs w:val="24"/>
                <w:lang w:eastAsia="en-GB"/>
              </w:rPr>
              <w:t>Disadvantages</w:t>
            </w:r>
          </w:p>
        </w:tc>
      </w:tr>
      <w:tr w:rsidR="00F407AF" w:rsidRPr="00A14449" w14:paraId="21683708" w14:textId="77777777" w:rsidTr="00BB3CB0">
        <w:tc>
          <w:tcPr>
            <w:tcW w:w="1203" w:type="dxa"/>
            <w:tcBorders>
              <w:top w:val="single" w:sz="4" w:space="0" w:color="auto"/>
            </w:tcBorders>
            <w:hideMark/>
          </w:tcPr>
          <w:p w14:paraId="4A08FCE0"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Farm gate</w:t>
            </w:r>
          </w:p>
        </w:tc>
        <w:tc>
          <w:tcPr>
            <w:tcW w:w="1483" w:type="dxa"/>
            <w:tcBorders>
              <w:top w:val="single" w:sz="4" w:space="0" w:color="auto"/>
            </w:tcBorders>
            <w:hideMark/>
          </w:tcPr>
          <w:p w14:paraId="55DA0407"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Middlemen</w:t>
            </w:r>
          </w:p>
        </w:tc>
        <w:tc>
          <w:tcPr>
            <w:tcW w:w="853" w:type="dxa"/>
            <w:tcBorders>
              <w:top w:val="single" w:sz="4" w:space="0" w:color="auto"/>
            </w:tcBorders>
            <w:hideMark/>
          </w:tcPr>
          <w:p w14:paraId="27D9548A"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10–50</w:t>
            </w:r>
          </w:p>
        </w:tc>
        <w:tc>
          <w:tcPr>
            <w:tcW w:w="1273" w:type="dxa"/>
            <w:tcBorders>
              <w:top w:val="single" w:sz="4" w:space="0" w:color="auto"/>
            </w:tcBorders>
            <w:hideMark/>
          </w:tcPr>
          <w:p w14:paraId="578CFD5C"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1,200–1,500</w:t>
            </w:r>
          </w:p>
        </w:tc>
        <w:tc>
          <w:tcPr>
            <w:tcW w:w="1420" w:type="dxa"/>
            <w:tcBorders>
              <w:top w:val="single" w:sz="4" w:space="0" w:color="auto"/>
            </w:tcBorders>
            <w:hideMark/>
          </w:tcPr>
          <w:p w14:paraId="56E09A59"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Immediate cash</w:t>
            </w:r>
          </w:p>
        </w:tc>
        <w:tc>
          <w:tcPr>
            <w:tcW w:w="1373" w:type="dxa"/>
            <w:tcBorders>
              <w:top w:val="single" w:sz="4" w:space="0" w:color="auto"/>
            </w:tcBorders>
            <w:hideMark/>
          </w:tcPr>
          <w:p w14:paraId="018E1FB4"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Convenient, no transport</w:t>
            </w:r>
          </w:p>
        </w:tc>
        <w:tc>
          <w:tcPr>
            <w:tcW w:w="2313" w:type="dxa"/>
            <w:tcBorders>
              <w:top w:val="single" w:sz="4" w:space="0" w:color="auto"/>
            </w:tcBorders>
            <w:hideMark/>
          </w:tcPr>
          <w:p w14:paraId="4462E7ED"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Lowest price</w:t>
            </w:r>
          </w:p>
        </w:tc>
      </w:tr>
      <w:tr w:rsidR="00F407AF" w:rsidRPr="00A14449" w14:paraId="773EF2EA" w14:textId="77777777" w:rsidTr="00BB3CB0">
        <w:tc>
          <w:tcPr>
            <w:tcW w:w="1203" w:type="dxa"/>
            <w:hideMark/>
          </w:tcPr>
          <w:p w14:paraId="3613FB3C"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Village market</w:t>
            </w:r>
          </w:p>
        </w:tc>
        <w:tc>
          <w:tcPr>
            <w:tcW w:w="1483" w:type="dxa"/>
            <w:hideMark/>
          </w:tcPr>
          <w:p w14:paraId="3799F1A8"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Middlemen, retailers</w:t>
            </w:r>
          </w:p>
        </w:tc>
        <w:tc>
          <w:tcPr>
            <w:tcW w:w="853" w:type="dxa"/>
            <w:hideMark/>
          </w:tcPr>
          <w:p w14:paraId="27D8911A"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20–100</w:t>
            </w:r>
          </w:p>
        </w:tc>
        <w:tc>
          <w:tcPr>
            <w:tcW w:w="1273" w:type="dxa"/>
            <w:hideMark/>
          </w:tcPr>
          <w:p w14:paraId="3A434878"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1,400–1,800</w:t>
            </w:r>
          </w:p>
        </w:tc>
        <w:tc>
          <w:tcPr>
            <w:tcW w:w="1420" w:type="dxa"/>
            <w:hideMark/>
          </w:tcPr>
          <w:p w14:paraId="423FFC02"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Immediate cash</w:t>
            </w:r>
          </w:p>
        </w:tc>
        <w:tc>
          <w:tcPr>
            <w:tcW w:w="1373" w:type="dxa"/>
            <w:hideMark/>
          </w:tcPr>
          <w:p w14:paraId="2BB3BF74"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Multiple buyers</w:t>
            </w:r>
          </w:p>
        </w:tc>
        <w:tc>
          <w:tcPr>
            <w:tcW w:w="2313" w:type="dxa"/>
            <w:hideMark/>
          </w:tcPr>
          <w:p w14:paraId="29C4A01B"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Transport cost</w:t>
            </w:r>
          </w:p>
        </w:tc>
      </w:tr>
      <w:tr w:rsidR="00F407AF" w:rsidRPr="00A14449" w14:paraId="5F6EF85D" w14:textId="77777777" w:rsidTr="00BB3CB0">
        <w:tc>
          <w:tcPr>
            <w:tcW w:w="1203" w:type="dxa"/>
            <w:hideMark/>
          </w:tcPr>
          <w:p w14:paraId="44F9E34F"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Nyungwe Trading Centre</w:t>
            </w:r>
          </w:p>
        </w:tc>
        <w:tc>
          <w:tcPr>
            <w:tcW w:w="1483" w:type="dxa"/>
            <w:hideMark/>
          </w:tcPr>
          <w:p w14:paraId="4192218B"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Wholesalers, retailers</w:t>
            </w:r>
          </w:p>
        </w:tc>
        <w:tc>
          <w:tcPr>
            <w:tcW w:w="853" w:type="dxa"/>
            <w:hideMark/>
          </w:tcPr>
          <w:p w14:paraId="1E1DB527"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50–200</w:t>
            </w:r>
          </w:p>
        </w:tc>
        <w:tc>
          <w:tcPr>
            <w:tcW w:w="1273" w:type="dxa"/>
            <w:hideMark/>
          </w:tcPr>
          <w:p w14:paraId="74BB62F8"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1,800–2,200</w:t>
            </w:r>
          </w:p>
        </w:tc>
        <w:tc>
          <w:tcPr>
            <w:tcW w:w="1420" w:type="dxa"/>
            <w:hideMark/>
          </w:tcPr>
          <w:p w14:paraId="53D0C113"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Cash/partial credit</w:t>
            </w:r>
          </w:p>
        </w:tc>
        <w:tc>
          <w:tcPr>
            <w:tcW w:w="1373" w:type="dxa"/>
            <w:hideMark/>
          </w:tcPr>
          <w:p w14:paraId="0A8BCED9"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Competitive pricing</w:t>
            </w:r>
          </w:p>
        </w:tc>
        <w:tc>
          <w:tcPr>
            <w:tcW w:w="2313" w:type="dxa"/>
            <w:hideMark/>
          </w:tcPr>
          <w:p w14:paraId="308AFF40"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Distance, time</w:t>
            </w:r>
          </w:p>
        </w:tc>
      </w:tr>
      <w:tr w:rsidR="00F407AF" w:rsidRPr="00A14449" w14:paraId="3A94ADB1" w14:textId="77777777" w:rsidTr="00BB3CB0">
        <w:tc>
          <w:tcPr>
            <w:tcW w:w="1203" w:type="dxa"/>
            <w:hideMark/>
          </w:tcPr>
          <w:p w14:paraId="3F3AF7E1"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Karonga Boma</w:t>
            </w:r>
          </w:p>
        </w:tc>
        <w:tc>
          <w:tcPr>
            <w:tcW w:w="1483" w:type="dxa"/>
            <w:hideMark/>
          </w:tcPr>
          <w:p w14:paraId="54444263"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Wholesalers, exporters</w:t>
            </w:r>
          </w:p>
        </w:tc>
        <w:tc>
          <w:tcPr>
            <w:tcW w:w="853" w:type="dxa"/>
            <w:hideMark/>
          </w:tcPr>
          <w:p w14:paraId="59B3AD06"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100–500</w:t>
            </w:r>
          </w:p>
        </w:tc>
        <w:tc>
          <w:tcPr>
            <w:tcW w:w="1273" w:type="dxa"/>
            <w:hideMark/>
          </w:tcPr>
          <w:p w14:paraId="5D01AFF2"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2,000–2,500</w:t>
            </w:r>
          </w:p>
        </w:tc>
        <w:tc>
          <w:tcPr>
            <w:tcW w:w="1420" w:type="dxa"/>
            <w:hideMark/>
          </w:tcPr>
          <w:p w14:paraId="24C7BEEB"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Cash/credit</w:t>
            </w:r>
          </w:p>
        </w:tc>
        <w:tc>
          <w:tcPr>
            <w:tcW w:w="1373" w:type="dxa"/>
            <w:hideMark/>
          </w:tcPr>
          <w:p w14:paraId="1DF3F558"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Higher prices</w:t>
            </w:r>
          </w:p>
        </w:tc>
        <w:tc>
          <w:tcPr>
            <w:tcW w:w="2313" w:type="dxa"/>
            <w:hideMark/>
          </w:tcPr>
          <w:p w14:paraId="3317FEBF"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Transport, market fees</w:t>
            </w:r>
          </w:p>
        </w:tc>
      </w:tr>
      <w:tr w:rsidR="00F407AF" w:rsidRPr="00A14449" w14:paraId="6ACD3C65" w14:textId="77777777" w:rsidTr="00BB3CB0">
        <w:tc>
          <w:tcPr>
            <w:tcW w:w="1203" w:type="dxa"/>
            <w:hideMark/>
          </w:tcPr>
          <w:p w14:paraId="74D84400"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Border market</w:t>
            </w:r>
          </w:p>
        </w:tc>
        <w:tc>
          <w:tcPr>
            <w:tcW w:w="1483" w:type="dxa"/>
            <w:hideMark/>
          </w:tcPr>
          <w:p w14:paraId="27B5B900"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Tanzanian buyers</w:t>
            </w:r>
          </w:p>
        </w:tc>
        <w:tc>
          <w:tcPr>
            <w:tcW w:w="853" w:type="dxa"/>
            <w:hideMark/>
          </w:tcPr>
          <w:p w14:paraId="0186F85D"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200–1,000</w:t>
            </w:r>
          </w:p>
        </w:tc>
        <w:tc>
          <w:tcPr>
            <w:tcW w:w="1273" w:type="dxa"/>
            <w:hideMark/>
          </w:tcPr>
          <w:p w14:paraId="31F2C694"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2,200–2,800</w:t>
            </w:r>
          </w:p>
        </w:tc>
        <w:tc>
          <w:tcPr>
            <w:tcW w:w="1420" w:type="dxa"/>
            <w:hideMark/>
          </w:tcPr>
          <w:p w14:paraId="49B8D77C"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Cash (TZS/USD)</w:t>
            </w:r>
          </w:p>
        </w:tc>
        <w:tc>
          <w:tcPr>
            <w:tcW w:w="1373" w:type="dxa"/>
            <w:hideMark/>
          </w:tcPr>
          <w:p w14:paraId="532F8C78"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Premium prices</w:t>
            </w:r>
          </w:p>
        </w:tc>
        <w:tc>
          <w:tcPr>
            <w:tcW w:w="2313" w:type="dxa"/>
            <w:hideMark/>
          </w:tcPr>
          <w:p w14:paraId="622CC6A3"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Currency risk, permits</w:t>
            </w:r>
          </w:p>
        </w:tc>
      </w:tr>
      <w:tr w:rsidR="00F407AF" w:rsidRPr="00A14449" w14:paraId="354AEA6B" w14:textId="77777777" w:rsidTr="00BB3CB0">
        <w:tc>
          <w:tcPr>
            <w:tcW w:w="1203" w:type="dxa"/>
            <w:tcBorders>
              <w:bottom w:val="single" w:sz="4" w:space="0" w:color="auto"/>
            </w:tcBorders>
            <w:hideMark/>
          </w:tcPr>
          <w:p w14:paraId="5E92DF15"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Collective marketing</w:t>
            </w:r>
          </w:p>
        </w:tc>
        <w:tc>
          <w:tcPr>
            <w:tcW w:w="1483" w:type="dxa"/>
            <w:tcBorders>
              <w:bottom w:val="single" w:sz="4" w:space="0" w:color="auto"/>
            </w:tcBorders>
            <w:hideMark/>
          </w:tcPr>
          <w:p w14:paraId="43851427"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Cooperatives</w:t>
            </w:r>
          </w:p>
        </w:tc>
        <w:tc>
          <w:tcPr>
            <w:tcW w:w="853" w:type="dxa"/>
            <w:tcBorders>
              <w:bottom w:val="single" w:sz="4" w:space="0" w:color="auto"/>
            </w:tcBorders>
            <w:hideMark/>
          </w:tcPr>
          <w:p w14:paraId="6362E8BE"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500–5,000</w:t>
            </w:r>
          </w:p>
        </w:tc>
        <w:tc>
          <w:tcPr>
            <w:tcW w:w="1273" w:type="dxa"/>
            <w:tcBorders>
              <w:bottom w:val="single" w:sz="4" w:space="0" w:color="auto"/>
            </w:tcBorders>
            <w:hideMark/>
          </w:tcPr>
          <w:p w14:paraId="6487B34A"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2,400–3,000</w:t>
            </w:r>
          </w:p>
        </w:tc>
        <w:tc>
          <w:tcPr>
            <w:tcW w:w="1420" w:type="dxa"/>
            <w:tcBorders>
              <w:bottom w:val="single" w:sz="4" w:space="0" w:color="auto"/>
            </w:tcBorders>
            <w:hideMark/>
          </w:tcPr>
          <w:p w14:paraId="44F5F7CC"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Negotiated contract</w:t>
            </w:r>
          </w:p>
        </w:tc>
        <w:tc>
          <w:tcPr>
            <w:tcW w:w="1373" w:type="dxa"/>
            <w:tcBorders>
              <w:bottom w:val="single" w:sz="4" w:space="0" w:color="auto"/>
            </w:tcBorders>
            <w:hideMark/>
          </w:tcPr>
          <w:p w14:paraId="2B3025C0"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Best prices, bulk</w:t>
            </w:r>
          </w:p>
        </w:tc>
        <w:tc>
          <w:tcPr>
            <w:tcW w:w="2313" w:type="dxa"/>
            <w:tcBorders>
              <w:bottom w:val="single" w:sz="4" w:space="0" w:color="auto"/>
            </w:tcBorders>
            <w:hideMark/>
          </w:tcPr>
          <w:p w14:paraId="71250C04" w14:textId="77777777" w:rsidR="00F407AF" w:rsidRPr="00A14449" w:rsidRDefault="00F407AF" w:rsidP="00F407AF">
            <w:pPr>
              <w:rPr>
                <w:rFonts w:ascii="Times New Roman" w:eastAsia="Times New Roman" w:hAnsi="Times New Roman" w:cs="Times New Roman"/>
                <w:sz w:val="24"/>
                <w:szCs w:val="24"/>
                <w:lang w:eastAsia="en-GB"/>
              </w:rPr>
            </w:pPr>
            <w:r w:rsidRPr="00A14449">
              <w:rPr>
                <w:rFonts w:ascii="Times New Roman" w:eastAsia="Times New Roman" w:hAnsi="Times New Roman" w:cs="Times New Roman"/>
                <w:sz w:val="24"/>
                <w:szCs w:val="24"/>
                <w:lang w:eastAsia="en-GB"/>
              </w:rPr>
              <w:t>Requires organization</w:t>
            </w:r>
          </w:p>
        </w:tc>
      </w:tr>
    </w:tbl>
    <w:p w14:paraId="126F03A4" w14:textId="214AE752" w:rsidR="00287D3D" w:rsidRPr="00A14449" w:rsidRDefault="00287D3D" w:rsidP="00A14449">
      <w:pPr>
        <w:pStyle w:val="Heading3"/>
      </w:pPr>
      <w:r w:rsidRPr="00A14449">
        <w:t>3.6.3 Extension Service Potential</w:t>
      </w:r>
    </w:p>
    <w:p w14:paraId="4E62E7BE" w14:textId="355CF4D8" w:rsidR="00F231D3" w:rsidRDefault="00F407AF" w:rsidP="00AE6159">
      <w:pPr>
        <w:spacing w:after="0" w:line="276"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Despite current limitations, extension services represent a significant opportunity to enhance sesame production. Farmers expressed strong demand for crop-specific support, with one group noting, </w:t>
      </w:r>
      <w:r w:rsidRPr="00A14449">
        <w:rPr>
          <w:rStyle w:val="Emphasis"/>
          <w:rFonts w:ascii="Times New Roman" w:hAnsi="Times New Roman" w:cs="Times New Roman"/>
          <w:sz w:val="24"/>
          <w:szCs w:val="24"/>
        </w:rPr>
        <w:t>“We have very supportive extension workers; they just need to focus on sesame like they do with rice. If they gave us training on improved varieties and pest control, we could double our yields.”</w:t>
      </w:r>
      <w:r w:rsidRPr="00A14449">
        <w:rPr>
          <w:rFonts w:ascii="Times New Roman" w:hAnsi="Times New Roman" w:cs="Times New Roman"/>
          <w:sz w:val="24"/>
          <w:szCs w:val="24"/>
        </w:rPr>
        <w:t xml:space="preserve"> Currently, extension officers dedicate only 5–8% of their time to sesame, compared to 35–40% on rice and maize. This allocation does not reflect sesame’s higher profitability, with gross margins of 68.2% versus 45–50% for rice, highlighting the potential gains from redirecting extension efforts toward sesame.</w:t>
      </w:r>
    </w:p>
    <w:p w14:paraId="3554A59A" w14:textId="77777777" w:rsidR="00A14449" w:rsidRDefault="00A14449" w:rsidP="00AE6159">
      <w:pPr>
        <w:spacing w:after="0" w:line="276" w:lineRule="auto"/>
        <w:jc w:val="both"/>
        <w:rPr>
          <w:rFonts w:ascii="Times New Roman" w:hAnsi="Times New Roman" w:cs="Times New Roman"/>
          <w:sz w:val="24"/>
          <w:szCs w:val="24"/>
        </w:rPr>
      </w:pPr>
    </w:p>
    <w:p w14:paraId="44229CE6" w14:textId="77777777" w:rsidR="00A14449" w:rsidRDefault="00A14449" w:rsidP="00AE6159">
      <w:pPr>
        <w:spacing w:after="0" w:line="276" w:lineRule="auto"/>
        <w:jc w:val="both"/>
        <w:rPr>
          <w:rFonts w:ascii="Times New Roman" w:hAnsi="Times New Roman" w:cs="Times New Roman"/>
          <w:sz w:val="24"/>
          <w:szCs w:val="24"/>
        </w:rPr>
      </w:pPr>
    </w:p>
    <w:p w14:paraId="727F93CA" w14:textId="77777777" w:rsidR="00A14449" w:rsidRDefault="00A14449" w:rsidP="00AE6159">
      <w:pPr>
        <w:spacing w:after="0" w:line="276" w:lineRule="auto"/>
        <w:jc w:val="both"/>
        <w:rPr>
          <w:rFonts w:ascii="Times New Roman" w:hAnsi="Times New Roman" w:cs="Times New Roman"/>
          <w:sz w:val="24"/>
          <w:szCs w:val="24"/>
        </w:rPr>
      </w:pPr>
    </w:p>
    <w:p w14:paraId="290445A7" w14:textId="77777777" w:rsidR="00A14449" w:rsidRPr="00A14449" w:rsidRDefault="00A14449" w:rsidP="00AE6159">
      <w:pPr>
        <w:spacing w:after="0" w:line="276" w:lineRule="auto"/>
        <w:jc w:val="both"/>
        <w:rPr>
          <w:rFonts w:ascii="Times New Roman" w:hAnsi="Times New Roman" w:cs="Times New Roman"/>
          <w:sz w:val="24"/>
          <w:szCs w:val="24"/>
        </w:rPr>
      </w:pPr>
    </w:p>
    <w:p w14:paraId="64B55487" w14:textId="6BA9AC83" w:rsidR="00287D3D" w:rsidRPr="00A14449" w:rsidRDefault="00287D3D" w:rsidP="00F407AF">
      <w:pPr>
        <w:pStyle w:val="Heading1"/>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lastRenderedPageBreak/>
        <w:t>4.0 DISCUSSION</w:t>
      </w:r>
    </w:p>
    <w:p w14:paraId="1A813C56" w14:textId="4A29D963" w:rsidR="00AD00B8" w:rsidRPr="00A14449" w:rsidRDefault="00AD00B8" w:rsidP="00AD00B8">
      <w:pPr>
        <w:spacing w:line="276" w:lineRule="auto"/>
        <w:jc w:val="both"/>
        <w:rPr>
          <w:rFonts w:ascii="Times New Roman" w:hAnsi="Times New Roman" w:cs="Times New Roman"/>
          <w:sz w:val="24"/>
          <w:szCs w:val="24"/>
        </w:rPr>
      </w:pPr>
      <w:r w:rsidRPr="00A14449">
        <w:rPr>
          <w:rFonts w:ascii="Times New Roman" w:hAnsi="Times New Roman" w:cs="Times New Roman"/>
          <w:sz w:val="24"/>
          <w:szCs w:val="24"/>
        </w:rPr>
        <w:t>The findings contribute novel empirical evidence to the growing literature on informal cross-border agricultural trade in sub-Saharan Africa while challenging conventional assumptions about margin distributions and market power in smallholder value chains.</w:t>
      </w:r>
    </w:p>
    <w:p w14:paraId="19607BAB" w14:textId="64912E67" w:rsidR="00AD00B8" w:rsidRPr="00A14449" w:rsidRDefault="00AD00B8" w:rsidP="00A14449">
      <w:pPr>
        <w:pStyle w:val="Heading3"/>
      </w:pPr>
      <w:r w:rsidRPr="00A14449">
        <w:t>4.1 Value Chain Structure and Governance</w:t>
      </w:r>
    </w:p>
    <w:p w14:paraId="14BDBB96" w14:textId="64A3F63A" w:rsidR="00AD00B8" w:rsidRPr="00A14449" w:rsidRDefault="00AD00B8" w:rsidP="00AD00B8">
      <w:pPr>
        <w:pStyle w:val="Heading4"/>
        <w:rPr>
          <w:rFonts w:ascii="Times New Roman" w:hAnsi="Times New Roman" w:cs="Times New Roman"/>
          <w:color w:val="auto"/>
          <w:sz w:val="24"/>
          <w:szCs w:val="24"/>
        </w:rPr>
      </w:pPr>
      <w:r w:rsidRPr="00A14449">
        <w:rPr>
          <w:rFonts w:ascii="Times New Roman" w:hAnsi="Times New Roman" w:cs="Times New Roman"/>
          <w:color w:val="auto"/>
          <w:sz w:val="24"/>
          <w:szCs w:val="24"/>
        </w:rPr>
        <w:t>4.1.1 Actor Configuration and Product Flow: Informal Institutional Adaptation</w:t>
      </w:r>
    </w:p>
    <w:p w14:paraId="103B2CF1" w14:textId="3E00BD96" w:rsidR="00AD00B8" w:rsidRPr="00A14449" w:rsidRDefault="00AD00B8" w:rsidP="006A233D">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value chain map (Figure 1) reveals a sophisticated actor configuration that has evolved in response to Malawi's weak formal institutional environment. The dual input supply regime—with 66% of farmers accessing seed through informal farmer-to-farmer networks—reflects what value chain theorists describe as institutional substitution, where social mechanisms replace absent formal structures (Dorward et al., 2003). This finding aligns with </w:t>
      </w:r>
      <w:proofErr w:type="spellStart"/>
      <w:r w:rsidRPr="00A14449">
        <w:rPr>
          <w:rFonts w:ascii="Times New Roman" w:hAnsi="Times New Roman" w:cs="Times New Roman"/>
          <w:sz w:val="24"/>
          <w:szCs w:val="24"/>
        </w:rPr>
        <w:t>Meijerink</w:t>
      </w:r>
      <w:proofErr w:type="spellEnd"/>
      <w:r w:rsidRPr="00A14449">
        <w:rPr>
          <w:rFonts w:ascii="Times New Roman" w:hAnsi="Times New Roman" w:cs="Times New Roman"/>
          <w:sz w:val="24"/>
          <w:szCs w:val="24"/>
        </w:rPr>
        <w:t xml:space="preserve"> et al.'s (2014) observation that in the absence of certified seed systems, Ethiopian sesame farmers similarly rely on recycled seed, creating binding productivity constraints . However, our study extends this literature by quantifying the productivity penalty: informal seed users achieve only 400-600 kg/ha compared to 800-1,200 kg/ha for formal input users—a 50% yield gap that systematically constrains the volume available for cross-border trade.</w:t>
      </w:r>
    </w:p>
    <w:p w14:paraId="3D75EAC0" w14:textId="77777777" w:rsidR="00035A63" w:rsidRPr="00A14449" w:rsidRDefault="00035A63" w:rsidP="006A233D">
      <w:pPr>
        <w:spacing w:after="0" w:line="360" w:lineRule="auto"/>
        <w:jc w:val="both"/>
        <w:rPr>
          <w:rFonts w:ascii="Times New Roman" w:hAnsi="Times New Roman" w:cs="Times New Roman"/>
          <w:sz w:val="24"/>
          <w:szCs w:val="24"/>
        </w:rPr>
      </w:pPr>
    </w:p>
    <w:p w14:paraId="7E650454" w14:textId="6FBB979F" w:rsidR="00AD00B8" w:rsidRPr="00A14449" w:rsidRDefault="00AD00B8" w:rsidP="006A233D">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gendered segmentation documented—57.5% female producers versus 88.9% male middlemen and 91.5% male cross-border traders—represents one of the most pronounced gender gradients reported in African agricultural value chains. This finding both confirms and complicates the emerging literature on gender and value chains. Olabisi and </w:t>
      </w:r>
      <w:proofErr w:type="spellStart"/>
      <w:r w:rsidRPr="00A14449">
        <w:rPr>
          <w:rFonts w:ascii="Times New Roman" w:hAnsi="Times New Roman" w:cs="Times New Roman"/>
          <w:sz w:val="24"/>
          <w:szCs w:val="24"/>
        </w:rPr>
        <w:t>Ogundipe</w:t>
      </w:r>
      <w:proofErr w:type="spellEnd"/>
      <w:r w:rsidRPr="00A14449">
        <w:rPr>
          <w:rFonts w:ascii="Times New Roman" w:hAnsi="Times New Roman" w:cs="Times New Roman"/>
          <w:sz w:val="24"/>
          <w:szCs w:val="24"/>
        </w:rPr>
        <w:t xml:space="preserve"> (2026), </w:t>
      </w:r>
      <w:proofErr w:type="spellStart"/>
      <w:r w:rsidRPr="00A14449">
        <w:rPr>
          <w:rFonts w:ascii="Times New Roman" w:hAnsi="Times New Roman" w:cs="Times New Roman"/>
          <w:sz w:val="24"/>
          <w:szCs w:val="24"/>
        </w:rPr>
        <w:t>analyzing</w:t>
      </w:r>
      <w:proofErr w:type="spellEnd"/>
      <w:r w:rsidRPr="00A14449">
        <w:rPr>
          <w:rFonts w:ascii="Times New Roman" w:hAnsi="Times New Roman" w:cs="Times New Roman"/>
          <w:sz w:val="24"/>
          <w:szCs w:val="24"/>
        </w:rPr>
        <w:t xml:space="preserve"> Nigerian data, found that women dominate retail trade while men dominate farming—the inverse of our finding . This contrast suggests that gender roles in value chains are not universal but shaped by specific crop histories, local gender ideologies, and the positioning of crops as "women's work" versus "men's crops." In the Malawian context, sesame's historical construction as a supplementary women's crop creates entry opportunities at production, but men systematically appropriate control as commercialization intensifies—a pattern consistent with the "intra-household bargaining" literature (Doss, 2013).</w:t>
      </w:r>
    </w:p>
    <w:p w14:paraId="0AB4A0BB" w14:textId="77777777" w:rsidR="00035A63" w:rsidRPr="00A14449" w:rsidRDefault="00035A63" w:rsidP="006A233D">
      <w:pPr>
        <w:spacing w:after="0" w:line="360" w:lineRule="auto"/>
        <w:jc w:val="both"/>
        <w:rPr>
          <w:rFonts w:ascii="Times New Roman" w:hAnsi="Times New Roman" w:cs="Times New Roman"/>
          <w:sz w:val="24"/>
          <w:szCs w:val="24"/>
        </w:rPr>
      </w:pPr>
    </w:p>
    <w:p w14:paraId="27E79074" w14:textId="1F2F23DD" w:rsidR="00035A63" w:rsidRPr="00A14449" w:rsidRDefault="00AD00B8" w:rsidP="006A233D">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masculinization gradient we observe—increasing male participation at higher-value nodes—resonates with Roberts et al.'s (2025) findings in the Malawi-South Africa soybean value chain, where women's participation remains fragmented and concentrated at lower-value nodes despite the potential of regional trade agreements . Their study similarly identified that women producers rarely operate at more than one level of the value chain, limiting their ability to capture value added through processing and marketing. This suggests </w:t>
      </w:r>
      <w:r w:rsidRPr="00A14449">
        <w:rPr>
          <w:rFonts w:ascii="Times New Roman" w:hAnsi="Times New Roman" w:cs="Times New Roman"/>
          <w:sz w:val="24"/>
          <w:szCs w:val="24"/>
        </w:rPr>
        <w:lastRenderedPageBreak/>
        <w:t>a structural pattern across southern African agricultural value chains: gender-based segmentation that systematically excludes women from higher-return activities requiring mobility, capital, and established trading relationships.</w:t>
      </w:r>
    </w:p>
    <w:p w14:paraId="12B391FD" w14:textId="6E7F9246" w:rsidR="006A233D" w:rsidRPr="00A14449" w:rsidRDefault="00AD00B8" w:rsidP="006A233D">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multi-layered aggregation architecture—with village middlemen, trading </w:t>
      </w:r>
      <w:proofErr w:type="spellStart"/>
      <w:r w:rsidRPr="00A14449">
        <w:rPr>
          <w:rFonts w:ascii="Times New Roman" w:hAnsi="Times New Roman" w:cs="Times New Roman"/>
          <w:sz w:val="24"/>
          <w:szCs w:val="24"/>
        </w:rPr>
        <w:t>center</w:t>
      </w:r>
      <w:proofErr w:type="spellEnd"/>
      <w:r w:rsidRPr="00A14449">
        <w:rPr>
          <w:rFonts w:ascii="Times New Roman" w:hAnsi="Times New Roman" w:cs="Times New Roman"/>
          <w:sz w:val="24"/>
          <w:szCs w:val="24"/>
        </w:rPr>
        <w:t xml:space="preserve"> wholesalers, and border exporters performing distinct functions—represents an efficient institutional adaptation to the high transaction costs of coordinating dispersed smallholder production. However, as Khurshid (2025) argues in his analysis of allied industries versus farmers, such multi-layered systems often concentrate market power at higher nodes while leaving producers as price-takers . Our findings partially support this critique: while middlemen and wholesalers capture significant absolute returns, the system exhibits surprising competitiveness at the wholesale level, with 14 wholesalers operating in the study area and margins compressed to 10.71%. This suggests that cross-border competition from Tanzanian buyers introduces market discipline absent in purely domestic value chains—a finding with important implications for regional integration policy.</w:t>
      </w:r>
    </w:p>
    <w:p w14:paraId="0BDD7E12" w14:textId="799D81C9" w:rsidR="00AD00B8" w:rsidRPr="00A14449" w:rsidRDefault="00AD00B8" w:rsidP="00035A63">
      <w:pPr>
        <w:pStyle w:val="Heading5"/>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4.1.2 Cross-Border Integration Mechanisms: The Relational-Formal Hybrid</w:t>
      </w:r>
    </w:p>
    <w:p w14:paraId="37D808FE" w14:textId="3B0AC594" w:rsidR="00AD00B8" w:rsidRPr="00A14449" w:rsidRDefault="00AD00B8" w:rsidP="006A233D">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three-channel integration with Tanzania—direct border purchases (35%), wholesaler contracting (45%), and agent-based procurement (20%)—reveals a governance hybrid that combines spot market price discovery with relational risk mitigation. The 18% annual growth of Channel 2 (wholesaler contracting) suggests a secular trend toward relational governance that </w:t>
      </w:r>
      <w:proofErr w:type="spellStart"/>
      <w:r w:rsidRPr="00A14449">
        <w:rPr>
          <w:rFonts w:ascii="Times New Roman" w:hAnsi="Times New Roman" w:cs="Times New Roman"/>
          <w:sz w:val="24"/>
          <w:szCs w:val="24"/>
        </w:rPr>
        <w:t>Meijerink</w:t>
      </w:r>
      <w:proofErr w:type="spellEnd"/>
      <w:r w:rsidRPr="00A14449">
        <w:rPr>
          <w:rFonts w:ascii="Times New Roman" w:hAnsi="Times New Roman" w:cs="Times New Roman"/>
          <w:sz w:val="24"/>
          <w:szCs w:val="24"/>
        </w:rPr>
        <w:t xml:space="preserve"> et al. (2014) also documented in Ethiopia, where traders increasingly rely on established relationships to manage quality and default risks . However, our finding that border market prices from Channel 1 serve as the reference point for all channels demonstrates that spot markets maintain price leadership even as relational contracting expands—a distinctive governance configuration not previously theorized in the value chain literature.</w:t>
      </w:r>
    </w:p>
    <w:p w14:paraId="75DDBAF5" w14:textId="77777777" w:rsidR="00AD00B8" w:rsidRPr="00A14449" w:rsidRDefault="00AD00B8" w:rsidP="006A233D">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This relational governance architecture—based on reputation-based trust, repeated transactions, social embeddedness, reciprocity obligations, and information networks—represents a sophisticated institutional adaptation to what value chain scholars term "institutional voids" (Mair &amp; Marti, 2009). However, our findings reveal the exclusionary effects of this architecture: new actors, particularly women and youth, face significant barriers to entry, lacking the established trading relationships that function as intangible capital. This reproduces the gender gradient documented throughout the chain and limits the </w:t>
      </w:r>
      <w:r w:rsidRPr="00A14449">
        <w:rPr>
          <w:rFonts w:ascii="Times New Roman" w:hAnsi="Times New Roman" w:cs="Times New Roman"/>
          <w:sz w:val="24"/>
          <w:szCs w:val="24"/>
        </w:rPr>
        <w:lastRenderedPageBreak/>
        <w:t>system's developmental inclusivity—a pattern consistent with the "network exclusion" literature (</w:t>
      </w:r>
      <w:proofErr w:type="spellStart"/>
      <w:r w:rsidRPr="00A14449">
        <w:rPr>
          <w:rFonts w:ascii="Times New Roman" w:hAnsi="Times New Roman" w:cs="Times New Roman"/>
          <w:sz w:val="24"/>
          <w:szCs w:val="24"/>
        </w:rPr>
        <w:t>Granovetter</w:t>
      </w:r>
      <w:proofErr w:type="spellEnd"/>
      <w:r w:rsidRPr="00A14449">
        <w:rPr>
          <w:rFonts w:ascii="Times New Roman" w:hAnsi="Times New Roman" w:cs="Times New Roman"/>
          <w:sz w:val="24"/>
          <w:szCs w:val="24"/>
        </w:rPr>
        <w:t>, 1985).</w:t>
      </w:r>
    </w:p>
    <w:p w14:paraId="10FCF55F" w14:textId="18F94941" w:rsidR="00A14449" w:rsidRPr="00A14449" w:rsidRDefault="00AD00B8" w:rsidP="006A233D">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comparison with Ethiopia's experience under the Ethiopian Commodity Exchange (ECX) is instructive. </w:t>
      </w:r>
      <w:proofErr w:type="spellStart"/>
      <w:r w:rsidRPr="00A14449">
        <w:rPr>
          <w:rFonts w:ascii="Times New Roman" w:hAnsi="Times New Roman" w:cs="Times New Roman"/>
          <w:sz w:val="24"/>
          <w:szCs w:val="24"/>
        </w:rPr>
        <w:t>Meijerink</w:t>
      </w:r>
      <w:proofErr w:type="spellEnd"/>
      <w:r w:rsidRPr="00A14449">
        <w:rPr>
          <w:rFonts w:ascii="Times New Roman" w:hAnsi="Times New Roman" w:cs="Times New Roman"/>
          <w:sz w:val="24"/>
          <w:szCs w:val="24"/>
        </w:rPr>
        <w:t xml:space="preserve"> et al. (2014) found that as formal institutions replaced informal governance, traders broadened their networks, reduced personalized credit provision, and attached less weight to trust . This suggests a potential developmental pathway for Malawi: formalization could reduce exclusionary barriers while introducing new coordination challenges. Our finding that Channel 2 (relational contracting) is growing faster than other channels suggests that Malawian actors are not simply waiting for formalization but are actively constructing governance mechanisms that balance flexibility with commitment—a finding with implications for intervention design that should complement rather than displace these indigenous institutional innovations.</w:t>
      </w:r>
    </w:p>
    <w:p w14:paraId="24DCE498" w14:textId="274A8FC4" w:rsidR="00AD00B8" w:rsidRPr="00A14449" w:rsidRDefault="00AD00B8" w:rsidP="00035A63">
      <w:pPr>
        <w:pStyle w:val="Heading4"/>
        <w:rPr>
          <w:rFonts w:ascii="Times New Roman" w:hAnsi="Times New Roman" w:cs="Times New Roman"/>
          <w:color w:val="auto"/>
          <w:sz w:val="24"/>
          <w:szCs w:val="24"/>
        </w:rPr>
      </w:pPr>
      <w:r w:rsidRPr="00A14449">
        <w:rPr>
          <w:rFonts w:ascii="Times New Roman" w:hAnsi="Times New Roman" w:cs="Times New Roman"/>
          <w:color w:val="auto"/>
          <w:sz w:val="24"/>
          <w:szCs w:val="24"/>
        </w:rPr>
        <w:t>4.2 The Margin Paradox: Reinterpreting Producer Value Capture</w:t>
      </w:r>
    </w:p>
    <w:p w14:paraId="0B90DA3B" w14:textId="6B83A9AF" w:rsidR="00AD00B8" w:rsidRPr="00A14449" w:rsidRDefault="00AD00B8" w:rsidP="00035A63">
      <w:pPr>
        <w:pStyle w:val="Heading5"/>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4.2.1 Explaining the Paradox</w:t>
      </w:r>
    </w:p>
    <w:p w14:paraId="4FAAAE23" w14:textId="0F517DBA" w:rsidR="00AD00B8" w:rsidRPr="00A14449" w:rsidRDefault="00AD00B8" w:rsidP="0099671C">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central finding of our margin analysis—producers capturing the highest gross margin percentage (68.2%) while occupying the most economically vulnerable position—requires careful theoretical unpacking. We term this the margin paradox: the apparent contradiction between </w:t>
      </w:r>
      <w:proofErr w:type="spellStart"/>
      <w:r w:rsidRPr="00A14449">
        <w:rPr>
          <w:rFonts w:ascii="Times New Roman" w:hAnsi="Times New Roman" w:cs="Times New Roman"/>
          <w:sz w:val="24"/>
          <w:szCs w:val="24"/>
        </w:rPr>
        <w:t>favorable</w:t>
      </w:r>
      <w:proofErr w:type="spellEnd"/>
      <w:r w:rsidRPr="00A14449">
        <w:rPr>
          <w:rFonts w:ascii="Times New Roman" w:hAnsi="Times New Roman" w:cs="Times New Roman"/>
          <w:sz w:val="24"/>
          <w:szCs w:val="24"/>
        </w:rPr>
        <w:t xml:space="preserve"> percentage margins and constrained absolute returns, limited bargaining power, and persistent poverty.</w:t>
      </w:r>
    </w:p>
    <w:p w14:paraId="00B7DB08" w14:textId="445112D3" w:rsidR="00AD00B8" w:rsidRPr="00A14449" w:rsidRDefault="00AD00B8" w:rsidP="0099671C">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This paradox is resolved by distinguishing between cost-based margins and market power-based margins. Producers' high percentage margins reflect their minimal purchased input costs (mean = MK 27,000), with family labor imputed but not expensed—a methodological distinction with profound implications for interpretation. When family labor is valued at opportunity cost (following standard agricultural economics practice), producer margins decline substantially. This finding aligns with Khurshid's (2025) observation that smallholder farmers' returns often appear </w:t>
      </w:r>
      <w:proofErr w:type="spellStart"/>
      <w:r w:rsidRPr="00A14449">
        <w:rPr>
          <w:rFonts w:ascii="Times New Roman" w:hAnsi="Times New Roman" w:cs="Times New Roman"/>
          <w:sz w:val="24"/>
          <w:szCs w:val="24"/>
        </w:rPr>
        <w:t>favorable</w:t>
      </w:r>
      <w:proofErr w:type="spellEnd"/>
      <w:r w:rsidRPr="00A14449">
        <w:rPr>
          <w:rFonts w:ascii="Times New Roman" w:hAnsi="Times New Roman" w:cs="Times New Roman"/>
          <w:sz w:val="24"/>
          <w:szCs w:val="24"/>
        </w:rPr>
        <w:t xml:space="preserve"> in percentage terms but translate to poverty-level absolute incomes due to volume constraints .</w:t>
      </w:r>
    </w:p>
    <w:p w14:paraId="2FFA31ED" w14:textId="754C02B7" w:rsidR="00AD00B8" w:rsidRPr="00A14449" w:rsidRDefault="00AD00B8" w:rsidP="0099671C">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margin paradox also reflects what we term temporal margin compression: 89% of producers sell at harvest (March-April) when prices are lowest (MK 1,200-1,500/kg), compared to lean season prices reaching MK 2,200-2,800/kg. This timing constraint—driven by immediate cash needs for school fees and household expenses—effectively transfers value from producers to actors with storage capacity. This finding resonates with the "distress </w:t>
      </w:r>
      <w:r w:rsidRPr="00A14449">
        <w:rPr>
          <w:rFonts w:ascii="Times New Roman" w:hAnsi="Times New Roman" w:cs="Times New Roman"/>
          <w:sz w:val="24"/>
          <w:szCs w:val="24"/>
        </w:rPr>
        <w:lastRenderedPageBreak/>
        <w:t>selling" literature (Stephens &amp; Barrett, 2011) but extends it by quantifying the magnitude: farmers capturing harvest-time prices forego potential gains of 60-87%, representing a substantial implicit transfer to actors with working capital.</w:t>
      </w:r>
    </w:p>
    <w:p w14:paraId="2C5A0F8D" w14:textId="29F034D3" w:rsidR="00AD00B8" w:rsidRPr="00A14449" w:rsidRDefault="00AD00B8" w:rsidP="0099671C">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The third dimension of the paradox involves hidden transaction costs from non-standardized measurement practices. Our quantification of 8.3% average measurement losses—equivalent to 27.7% of producers' gross margin—represents a novel contribution to the value chain literature. While transaction cost economics (Williamson, 1985) theorizes that measurement costs shape governance choices, few studies have empirically quantified these losses in informal markets. Our finding that 19.1% of farmers identified measurement cheating as a primary constraint, validated through systematic measurement experiments, provides rare empirical evidence of how informal measurement systems transfer value from producers to intermediaries.</w:t>
      </w:r>
    </w:p>
    <w:p w14:paraId="01DB4447" w14:textId="00110D10" w:rsidR="00AD00B8" w:rsidRPr="00A14449" w:rsidRDefault="00AD00B8" w:rsidP="00035A63">
      <w:pPr>
        <w:pStyle w:val="Heading5"/>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4.2.2 Comparative and Theoretical Implications</w:t>
      </w:r>
    </w:p>
    <w:p w14:paraId="7C946F44" w14:textId="7E9417F0" w:rsidR="00AD00B8" w:rsidRPr="00A14449" w:rsidRDefault="00AD00B8" w:rsidP="0099671C">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Placing these findings in regional context, Malawi's producer margin of 68.2% exceeds those reported in comparable studies: Ethiopia (52-58%, Gebretsadik, 2020), Tanzania (45-50%, Mhagama &amp; Mmasa, 2022), and Uganda (48-55%, Munyua et al., 2013). However, this apparent advantage disappears when absolute returns are compared—Malawian producers earn approximately MK 57,900 (USD 31.30) per season, substantially below Ethiopian producers' average of ETB 8,500 (USD 158) and Tanzanian producers' TZS 380,000 (USD 165). The difference reflects Malawi's lower production volumes (56.6 kg vs 120-180 kg in comparator countries) rather than superior terms of trade. </w:t>
      </w:r>
    </w:p>
    <w:p w14:paraId="1B84E9AB" w14:textId="4BFF2E03" w:rsidR="00AD00B8" w:rsidRPr="00A14449" w:rsidRDefault="00AD00B8" w:rsidP="0099671C">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The margin paradox contributes to emerging theoretical debates in value chain analysis. Conventional value chain theory (Kaplinsky &amp; Morris, 2001; Gereffi et al., 2005) predicts that margin compression occurs at nodes with high fixed costs and intense competition—consistent with our finding that wholesalers operate on 10.71% margins. However, the theory does not adequately explain how high percentage margins at production nodes can coexist with poverty-level absolute returns and constrained bargaining power. We propose extending value chain theory by distinguishing between percentage margins (indicating cost structure) and absolute value capture (indicating welfare outcomes), and by incorporating temporal margin compression and hidden transaction costs as mechanisms that transfer value from vulnerable nodes.</w:t>
      </w:r>
    </w:p>
    <w:p w14:paraId="702115B8" w14:textId="2DB630E2" w:rsidR="00AD00B8" w:rsidRPr="00A14449" w:rsidRDefault="00AD00B8" w:rsidP="00035A63">
      <w:pPr>
        <w:pStyle w:val="Heading4"/>
        <w:rPr>
          <w:rFonts w:ascii="Times New Roman" w:hAnsi="Times New Roman" w:cs="Times New Roman"/>
          <w:color w:val="auto"/>
          <w:sz w:val="24"/>
          <w:szCs w:val="24"/>
        </w:rPr>
      </w:pPr>
      <w:r w:rsidRPr="00A14449">
        <w:rPr>
          <w:rFonts w:ascii="Times New Roman" w:hAnsi="Times New Roman" w:cs="Times New Roman"/>
          <w:color w:val="auto"/>
          <w:sz w:val="24"/>
          <w:szCs w:val="24"/>
        </w:rPr>
        <w:lastRenderedPageBreak/>
        <w:t>4.3 Institutional Voids and Systemic Constraints</w:t>
      </w:r>
    </w:p>
    <w:p w14:paraId="4B9D2E5B" w14:textId="77777777" w:rsidR="00035A63" w:rsidRPr="00A14449" w:rsidRDefault="00AD00B8" w:rsidP="0044407D">
      <w:pPr>
        <w:pStyle w:val="Heading5"/>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 xml:space="preserve">4.3.1 Producer Constraints: </w:t>
      </w:r>
    </w:p>
    <w:p w14:paraId="616D7CFF" w14:textId="4748B6E4" w:rsidR="00AD00B8" w:rsidRPr="00A14449" w:rsidRDefault="00AD00B8" w:rsidP="0099671C">
      <w:pPr>
        <w:spacing w:after="0" w:line="360" w:lineRule="auto"/>
        <w:rPr>
          <w:rFonts w:ascii="Times New Roman" w:hAnsi="Times New Roman" w:cs="Times New Roman"/>
          <w:sz w:val="24"/>
          <w:szCs w:val="24"/>
        </w:rPr>
      </w:pPr>
      <w:r w:rsidRPr="00A14449">
        <w:rPr>
          <w:rFonts w:ascii="Times New Roman" w:hAnsi="Times New Roman" w:cs="Times New Roman"/>
          <w:sz w:val="24"/>
          <w:szCs w:val="24"/>
        </w:rPr>
        <w:t>The Extension Gap and Market Access Failure</w:t>
      </w:r>
    </w:p>
    <w:p w14:paraId="4061271E" w14:textId="77777777" w:rsidR="00AD00B8" w:rsidRPr="00A14449" w:rsidRDefault="00AD00B8" w:rsidP="0099671C">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The ranking of limited extension services (23.01% access) as producers' most pressing constraint reveals a systemic failure in public agricultural support. This finding is particularly striking given sesame's gross margin of 68.2% versus rice's 45-50%, yet extension officers dedicate only 5-8% of their time to sesame compared to 35-40% on rice and maize. This allocation reflects what agricultural policy scholars term "path-dependent prioritization" (Birner &amp; Resnick, 2010), where crops historically designated as "major" receive disproportionate support regardless of current profitability.</w:t>
      </w:r>
    </w:p>
    <w:p w14:paraId="7B3496C6" w14:textId="5EA16862" w:rsidR="00AD00B8" w:rsidRPr="00A14449" w:rsidRDefault="00AD00B8" w:rsidP="0099671C">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Our finding that farmers with marketing-focused extension contacts achieved average prices 18.7% higher than those without such exposure (MK 2,140 vs. MK 1,803) provides empirical justification for reorienting extension content. This aligns with the wheat value chain study by an author (2021), which found that smallholder farmers' limited bargaining power and market access were primary constraints to value capture, and recommended interventions to improve horizontal and vertical integration . Both studies suggest that production-focused extension alone is insufficient; market-oriented extension that builds farmers' negotiation capacity and market intelligence is essential for improving value capture.</w:t>
      </w:r>
    </w:p>
    <w:p w14:paraId="2B891AB3" w14:textId="77777777" w:rsidR="00AD00B8" w:rsidRDefault="00AD00B8" w:rsidP="0099671C">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The gender disparity in extension access—only 18.2% of women farmers receiving services versus 31.5% of men—compounds the gender gradient documented earlier. This finding aligns with Roberts et al.'s (2025) observation that women's participation in regional value chains remains constrained by limited access to information, finance, and support services . Their study recommended a "package of measures" including targeted support for women producers—a recommendation equally relevant to the Malawian sesame context.</w:t>
      </w:r>
    </w:p>
    <w:p w14:paraId="1A1F4068" w14:textId="77777777" w:rsidR="0099671C" w:rsidRPr="00A14449" w:rsidRDefault="0099671C" w:rsidP="0099671C">
      <w:pPr>
        <w:spacing w:after="0" w:line="360" w:lineRule="auto"/>
        <w:jc w:val="both"/>
        <w:rPr>
          <w:rFonts w:ascii="Times New Roman" w:hAnsi="Times New Roman" w:cs="Times New Roman"/>
          <w:sz w:val="24"/>
          <w:szCs w:val="24"/>
        </w:rPr>
      </w:pPr>
    </w:p>
    <w:p w14:paraId="255965F7" w14:textId="77777777" w:rsidR="00AD00B8" w:rsidRPr="00A14449" w:rsidRDefault="00AD00B8" w:rsidP="0099671C">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lack of formal markets (cited by 22.9% of farmers) and measurement losses (19.1%) are closely related constraints: informal markets enable non-standardized measurement practices that systematically disadvantage farmers. This finding resonates with transaction cost economics (Williamson, 1985), which predicts that asset specificity and measurement costs shape governance choices. In the absence of formal grades and standards, relational governance emerges but enables opportunistic </w:t>
      </w:r>
      <w:proofErr w:type="spellStart"/>
      <w:r w:rsidRPr="00A14449">
        <w:rPr>
          <w:rFonts w:ascii="Times New Roman" w:hAnsi="Times New Roman" w:cs="Times New Roman"/>
          <w:sz w:val="24"/>
          <w:szCs w:val="24"/>
        </w:rPr>
        <w:t>behavior</w:t>
      </w:r>
      <w:proofErr w:type="spellEnd"/>
      <w:r w:rsidRPr="00A14449">
        <w:rPr>
          <w:rFonts w:ascii="Times New Roman" w:hAnsi="Times New Roman" w:cs="Times New Roman"/>
          <w:sz w:val="24"/>
          <w:szCs w:val="24"/>
        </w:rPr>
        <w:t xml:space="preserve"> by actors with superior information.</w:t>
      </w:r>
    </w:p>
    <w:p w14:paraId="0E6264A6" w14:textId="4E56344A" w:rsidR="00AD00B8" w:rsidRPr="00A14449" w:rsidRDefault="00AD00B8" w:rsidP="00035A63">
      <w:pPr>
        <w:pStyle w:val="Heading5"/>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4.3.2 Trader Constraints: Infrastructure and Policy Uncertainty</w:t>
      </w:r>
    </w:p>
    <w:p w14:paraId="34358E1F" w14:textId="75AF8F18" w:rsidR="00AD00B8" w:rsidRPr="00A14449" w:rsidRDefault="00AD00B8" w:rsidP="0099671C">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Traders' identification of infrastructure deficits (51.3%) as their primary constraint reveals how public goods underinvestment ripples through the value chain. While main roads to </w:t>
      </w:r>
      <w:r w:rsidRPr="00A14449">
        <w:rPr>
          <w:rFonts w:ascii="Times New Roman" w:hAnsi="Times New Roman" w:cs="Times New Roman"/>
          <w:sz w:val="24"/>
          <w:szCs w:val="24"/>
        </w:rPr>
        <w:lastRenderedPageBreak/>
        <w:t>Karonga are generally passable, feeder roads from villages often become impassable during rains, increasing transport costs and delays. This finding aligns with Khurshid's (2025) argument that rural infrastructure deficits prevent farmers from preserving value and accessing better markets . Our contribution is quantifying how these infrastructure constraints affect not just farmers but the entire actor configuration, with wholesalers absorbing significant transport costs (MK 13,000 per transaction, 3.6% of total costs).</w:t>
      </w:r>
    </w:p>
    <w:p w14:paraId="72B49367" w14:textId="1487BAFA" w:rsidR="0099671C" w:rsidRPr="00A14449" w:rsidRDefault="00AD00B8" w:rsidP="0099671C">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Policy inadequacy (42.5%) reflects the unpredictability of cross-border trade regulations, with traders reporting frequent changes in requirements. This finding resonates with Steinbach and Zurita's (2025) analysis of the WTO Trade Facilitation Agreement, which found that implementation costs and institutional capacity, rather than the existence of agreements, determine effectiveness . Their observation that only 3 of 12 TFA articles showed positive trade effects—those with relatively low implementation costs—suggests that Malawi's unpredictable cross-border environment reflects deeper institutional capacity constraints that cannot be resolved through simple policy declarations.</w:t>
      </w:r>
    </w:p>
    <w:p w14:paraId="6D032C35" w14:textId="77777777" w:rsidR="00AD00B8" w:rsidRPr="00A14449" w:rsidRDefault="00AD00B8" w:rsidP="0099671C">
      <w:pPr>
        <w:spacing w:after="0" w:line="360" w:lineRule="auto"/>
        <w:jc w:val="both"/>
        <w:rPr>
          <w:rFonts w:ascii="Times New Roman" w:hAnsi="Times New Roman" w:cs="Times New Roman"/>
          <w:sz w:val="24"/>
          <w:szCs w:val="24"/>
        </w:rPr>
      </w:pPr>
      <w:r w:rsidRPr="00A14449">
        <w:rPr>
          <w:rFonts w:ascii="Times New Roman" w:hAnsi="Times New Roman" w:cs="Times New Roman"/>
          <w:sz w:val="24"/>
          <w:szCs w:val="24"/>
        </w:rPr>
        <w:t>The relatively low reporting of quality inconsistency (6.3%) as a trader constraint is notable given the emphasis on quality in value chain literature. This may reflect effective sorting mechanisms at wholesale nodes, where quality screening is embedded in relational contracting. However, it may also indicate that Tanzanian buyers have adapted to quality variability through price differentiation rather than rejecting inconsistent supplies—a hypothesis supported by the 5-12% price premiums for assured quality in Channel 2.</w:t>
      </w:r>
    </w:p>
    <w:p w14:paraId="2856E49D" w14:textId="0E845430" w:rsidR="00AD00B8" w:rsidRPr="0099671C" w:rsidRDefault="00AD00B8" w:rsidP="00035A63">
      <w:pPr>
        <w:pStyle w:val="Heading4"/>
        <w:rPr>
          <w:rFonts w:ascii="Times New Roman" w:hAnsi="Times New Roman" w:cs="Times New Roman"/>
          <w:color w:val="auto"/>
          <w:sz w:val="24"/>
          <w:szCs w:val="24"/>
        </w:rPr>
      </w:pPr>
      <w:r w:rsidRPr="0099671C">
        <w:rPr>
          <w:rFonts w:ascii="Times New Roman" w:hAnsi="Times New Roman" w:cs="Times New Roman"/>
          <w:color w:val="auto"/>
          <w:sz w:val="24"/>
          <w:szCs w:val="24"/>
        </w:rPr>
        <w:t>4.4 Strategic Opportunities and Upgrading Pathways</w:t>
      </w:r>
    </w:p>
    <w:p w14:paraId="474FDF4E" w14:textId="7FD53FE9" w:rsidR="00AD00B8" w:rsidRPr="0099671C" w:rsidRDefault="0044407D" w:rsidP="0044407D">
      <w:pPr>
        <w:pStyle w:val="Heading5"/>
        <w:rPr>
          <w:rFonts w:ascii="Times New Roman" w:hAnsi="Times New Roman" w:cs="Times New Roman"/>
          <w:b/>
          <w:color w:val="auto"/>
          <w:sz w:val="24"/>
          <w:szCs w:val="24"/>
        </w:rPr>
      </w:pPr>
      <w:r w:rsidRPr="0099671C">
        <w:rPr>
          <w:rFonts w:ascii="Times New Roman" w:hAnsi="Times New Roman" w:cs="Times New Roman"/>
          <w:b/>
          <w:color w:val="auto"/>
          <w:sz w:val="24"/>
          <w:szCs w:val="24"/>
        </w:rPr>
        <w:t xml:space="preserve"> </w:t>
      </w:r>
      <w:r w:rsidR="00AD00B8" w:rsidRPr="0099671C">
        <w:rPr>
          <w:rFonts w:ascii="Times New Roman" w:hAnsi="Times New Roman" w:cs="Times New Roman"/>
          <w:b/>
          <w:color w:val="auto"/>
          <w:sz w:val="24"/>
          <w:szCs w:val="24"/>
        </w:rPr>
        <w:t>4.4.1 Cross-Border Demand: The Unmet Opportunity</w:t>
      </w:r>
    </w:p>
    <w:p w14:paraId="5494A40F" w14:textId="3FFD9F4E" w:rsidR="00AD00B8" w:rsidRPr="00A14449" w:rsidRDefault="00AD00B8" w:rsidP="0099671C">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The persistent supply-demand gap of 44-48% in Tanzanian markets represents a strategic opportunity rarely documented with such precision in value chain research. Tanzanian annual demand of 3,500-4,000 MT at the Karonga border, against current supply of 1,800-2,200 MT, signals significant potential for production expansion. This finding aligns with </w:t>
      </w:r>
      <w:proofErr w:type="spellStart"/>
      <w:r w:rsidRPr="00A14449">
        <w:rPr>
          <w:rFonts w:ascii="Times New Roman" w:hAnsi="Times New Roman" w:cs="Times New Roman"/>
          <w:sz w:val="24"/>
          <w:szCs w:val="24"/>
        </w:rPr>
        <w:t>Warislohner's</w:t>
      </w:r>
      <w:proofErr w:type="spellEnd"/>
      <w:r w:rsidRPr="00A14449">
        <w:rPr>
          <w:rFonts w:ascii="Times New Roman" w:hAnsi="Times New Roman" w:cs="Times New Roman"/>
          <w:sz w:val="24"/>
          <w:szCs w:val="24"/>
        </w:rPr>
        <w:t xml:space="preserve"> (2025) observation that African sesame increasingly enters regional and international markets, with Tanzania producing 120,000-150,000 tons annually and serving as a key node in continental trade networks .</w:t>
      </w:r>
    </w:p>
    <w:p w14:paraId="40F0ED12" w14:textId="04ED0CA4" w:rsidR="0099671C" w:rsidRPr="00A14449" w:rsidRDefault="00AD00B8" w:rsidP="0099671C">
      <w:pPr>
        <w:spacing w:line="360" w:lineRule="auto"/>
        <w:jc w:val="both"/>
        <w:rPr>
          <w:rFonts w:ascii="Times New Roman" w:hAnsi="Times New Roman" w:cs="Times New Roman"/>
          <w:sz w:val="24"/>
          <w:szCs w:val="24"/>
        </w:rPr>
      </w:pPr>
      <w:r w:rsidRPr="00A14449">
        <w:rPr>
          <w:rFonts w:ascii="Times New Roman" w:hAnsi="Times New Roman" w:cs="Times New Roman"/>
          <w:sz w:val="24"/>
          <w:szCs w:val="24"/>
        </w:rPr>
        <w:t xml:space="preserve">However, realizing this opportunity requires addressing the structural constraints that limit supply: low productivity (600 kg/ha actual vs 1,500 kg/ha potential), limited input use (66% informal seed), and the volume constraints that keep producer incomes below poverty levels. The Ethiopian experience documented by the Wageningen team (2019) offers relevant lessons: access to finance innovations like warehouse receipt systems, simple mechanization </w:t>
      </w:r>
      <w:r w:rsidRPr="00A14449">
        <w:rPr>
          <w:rFonts w:ascii="Times New Roman" w:hAnsi="Times New Roman" w:cs="Times New Roman"/>
          <w:sz w:val="24"/>
          <w:szCs w:val="24"/>
        </w:rPr>
        <w:lastRenderedPageBreak/>
        <w:t>tools, and affordable IT for extension delivery have enabled productivity gains . Their observation that "the problems farmers face are often comparable, but the solutions differ from country to country" underscores the need for context-specific adaptation rather than wholesale transplantation.</w:t>
      </w:r>
    </w:p>
    <w:p w14:paraId="0533CE3C" w14:textId="53B549DC" w:rsidR="00AD00B8" w:rsidRPr="00A14449" w:rsidRDefault="00AD00B8" w:rsidP="00035A63">
      <w:pPr>
        <w:pStyle w:val="Heading5"/>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4.4.2 Market Channel Hierarchy and Upgrading Pathways</w:t>
      </w:r>
    </w:p>
    <w:p w14:paraId="3199B340" w14:textId="77777777" w:rsidR="00AD00B8" w:rsidRPr="00A14449" w:rsidRDefault="00AD00B8" w:rsidP="0044407D">
      <w:pPr>
        <w:spacing w:after="0" w:line="276" w:lineRule="auto"/>
        <w:jc w:val="both"/>
        <w:rPr>
          <w:rFonts w:ascii="Times New Roman" w:hAnsi="Times New Roman" w:cs="Times New Roman"/>
          <w:sz w:val="24"/>
          <w:szCs w:val="24"/>
        </w:rPr>
      </w:pPr>
      <w:r w:rsidRPr="00A14449">
        <w:rPr>
          <w:rFonts w:ascii="Times New Roman" w:hAnsi="Times New Roman" w:cs="Times New Roman"/>
          <w:sz w:val="24"/>
          <w:szCs w:val="24"/>
        </w:rPr>
        <w:t>The market channel typology (Table 6) reveals a clear gradient: as farmers assume greater transaction costs—transport, market fees, organizational effort—they gain access to progressively higher prices. The farm gate channel (MK 1,200-1,500/kg) requires no transaction costs but delivers the lowest returns; the border market channel (MK 2,200-2,800/kg) delivers premium prices but requires farmers to bear transport costs, currency risk, and regulatory navigation; collective marketing (MK 2,400-3,000/kg) delivers the highest prices but requires organizational capacity that most farmers lack.</w:t>
      </w:r>
    </w:p>
    <w:p w14:paraId="707E5D0A" w14:textId="77777777" w:rsidR="00AD00B8" w:rsidRPr="00A14449" w:rsidRDefault="00AD00B8" w:rsidP="0044407D">
      <w:pPr>
        <w:spacing w:after="0" w:line="276" w:lineRule="auto"/>
        <w:jc w:val="both"/>
        <w:rPr>
          <w:rFonts w:ascii="Times New Roman" w:hAnsi="Times New Roman" w:cs="Times New Roman"/>
          <w:sz w:val="24"/>
          <w:szCs w:val="24"/>
        </w:rPr>
      </w:pPr>
    </w:p>
    <w:p w14:paraId="12A77F7B" w14:textId="7E3C087B" w:rsidR="00AD00B8" w:rsidRPr="00A14449" w:rsidRDefault="00AD00B8" w:rsidP="0044407D">
      <w:pPr>
        <w:spacing w:after="0" w:line="276" w:lineRule="auto"/>
        <w:jc w:val="both"/>
        <w:rPr>
          <w:rFonts w:ascii="Times New Roman" w:hAnsi="Times New Roman" w:cs="Times New Roman"/>
          <w:sz w:val="24"/>
          <w:szCs w:val="24"/>
        </w:rPr>
      </w:pPr>
      <w:r w:rsidRPr="00A14449">
        <w:rPr>
          <w:rFonts w:ascii="Times New Roman" w:hAnsi="Times New Roman" w:cs="Times New Roman"/>
          <w:sz w:val="24"/>
          <w:szCs w:val="24"/>
        </w:rPr>
        <w:t>This hierarchy provides a framework for understanding upgrading pathways. Horizontal coordination (cooperative formation) enables farmers to achieve the volumes and organizational capacity required for collective marketing. Vertical coordination (contractual relationships with wholesalers) provides access to border market prices without requiring individual farmers to navigate cross-border complexity. Functional upgrading (on-farm storage) enables temporal arbitrage, allowing farmers to capture lean season premiums.</w:t>
      </w:r>
    </w:p>
    <w:p w14:paraId="25BC5029" w14:textId="3787CB72" w:rsidR="00AD00B8" w:rsidRPr="00A14449" w:rsidRDefault="00AD00B8" w:rsidP="0044407D">
      <w:pPr>
        <w:spacing w:after="0" w:line="276" w:lineRule="auto"/>
        <w:jc w:val="both"/>
        <w:rPr>
          <w:rFonts w:ascii="Times New Roman" w:hAnsi="Times New Roman" w:cs="Times New Roman"/>
          <w:sz w:val="24"/>
          <w:szCs w:val="24"/>
        </w:rPr>
      </w:pPr>
      <w:r w:rsidRPr="00A14449">
        <w:rPr>
          <w:rFonts w:ascii="Times New Roman" w:hAnsi="Times New Roman" w:cs="Times New Roman"/>
          <w:sz w:val="24"/>
          <w:szCs w:val="24"/>
        </w:rPr>
        <w:t>These pathways align with the intervention typology proposed in our introduction: institutional upgrading (cooperative formation, standardized measurements), technical upgrading (improved varieties, post-harvest handling), and infrastructural upgrading (storage, market facilities). The Ethiopian experience with warehouse receipt systems  demonstrates how combining these interventions—institutional innovation (collective storage), technical support (quality management), and infrastructure investment (warehouses)—can enable farmers to capture temporal premiums while accessing credit against stored produce.</w:t>
      </w:r>
    </w:p>
    <w:p w14:paraId="452A89F5" w14:textId="601E44D4" w:rsidR="00AD00B8" w:rsidRPr="00A14449" w:rsidRDefault="00AD00B8" w:rsidP="0044407D">
      <w:pPr>
        <w:pStyle w:val="Heading4"/>
        <w:rPr>
          <w:rFonts w:ascii="Times New Roman" w:hAnsi="Times New Roman" w:cs="Times New Roman"/>
          <w:color w:val="auto"/>
          <w:sz w:val="24"/>
          <w:szCs w:val="24"/>
        </w:rPr>
      </w:pPr>
      <w:r w:rsidRPr="00A14449">
        <w:rPr>
          <w:rFonts w:ascii="Times New Roman" w:hAnsi="Times New Roman" w:cs="Times New Roman"/>
          <w:color w:val="auto"/>
          <w:sz w:val="24"/>
          <w:szCs w:val="24"/>
        </w:rPr>
        <w:t>4.5 Synthesis: Theoretical Contributions and Policy Implications</w:t>
      </w:r>
    </w:p>
    <w:p w14:paraId="4685F535" w14:textId="77777777" w:rsidR="00AD00B8" w:rsidRPr="00A14449" w:rsidRDefault="00AD00B8" w:rsidP="0044407D">
      <w:pPr>
        <w:spacing w:after="0"/>
        <w:jc w:val="both"/>
        <w:rPr>
          <w:rFonts w:ascii="Times New Roman" w:hAnsi="Times New Roman" w:cs="Times New Roman"/>
          <w:sz w:val="24"/>
          <w:szCs w:val="24"/>
        </w:rPr>
      </w:pPr>
      <w:r w:rsidRPr="00A14449">
        <w:rPr>
          <w:rFonts w:ascii="Times New Roman" w:hAnsi="Times New Roman" w:cs="Times New Roman"/>
          <w:sz w:val="24"/>
          <w:szCs w:val="24"/>
        </w:rPr>
        <w:t>This study makes four interconnected theoretical contributions to the value chain literature:</w:t>
      </w:r>
    </w:p>
    <w:p w14:paraId="1692549F" w14:textId="49E07EAB" w:rsidR="00AD00B8" w:rsidRPr="00A14449" w:rsidRDefault="00AD00B8" w:rsidP="0044407D">
      <w:pPr>
        <w:spacing w:after="0"/>
        <w:jc w:val="both"/>
        <w:rPr>
          <w:rFonts w:ascii="Times New Roman" w:hAnsi="Times New Roman" w:cs="Times New Roman"/>
          <w:sz w:val="24"/>
          <w:szCs w:val="24"/>
        </w:rPr>
      </w:pPr>
      <w:r w:rsidRPr="00A14449">
        <w:rPr>
          <w:rFonts w:ascii="Times New Roman" w:hAnsi="Times New Roman" w:cs="Times New Roman"/>
          <w:sz w:val="24"/>
          <w:szCs w:val="24"/>
        </w:rPr>
        <w:t>First, we provide the first empirical documentation of Malawi-Tanzania cross-border sesame value chain dynamics, revealing a sophisticated institutional architecture that enables exchange despite weak formal institutions while reproducing exclusionary patterns. This contributes to the growing literature on informal cross-border trade in Africa (</w:t>
      </w:r>
      <w:proofErr w:type="spellStart"/>
      <w:r w:rsidRPr="00A14449">
        <w:rPr>
          <w:rFonts w:ascii="Times New Roman" w:hAnsi="Times New Roman" w:cs="Times New Roman"/>
          <w:sz w:val="24"/>
          <w:szCs w:val="24"/>
        </w:rPr>
        <w:t>Meijerink</w:t>
      </w:r>
      <w:proofErr w:type="spellEnd"/>
      <w:r w:rsidRPr="00A14449">
        <w:rPr>
          <w:rFonts w:ascii="Times New Roman" w:hAnsi="Times New Roman" w:cs="Times New Roman"/>
          <w:sz w:val="24"/>
          <w:szCs w:val="24"/>
        </w:rPr>
        <w:t xml:space="preserve"> et al., 2014; Roberts et al., 2025) by demonstrating how relational governance simultaneously enables coordination and creates barriers to entry.</w:t>
      </w:r>
    </w:p>
    <w:p w14:paraId="06C503C0" w14:textId="77777777" w:rsidR="00AD00B8" w:rsidRPr="00A14449" w:rsidRDefault="00AD00B8" w:rsidP="0044407D">
      <w:pPr>
        <w:spacing w:after="0"/>
        <w:jc w:val="both"/>
        <w:rPr>
          <w:rFonts w:ascii="Times New Roman" w:hAnsi="Times New Roman" w:cs="Times New Roman"/>
          <w:sz w:val="24"/>
          <w:szCs w:val="24"/>
        </w:rPr>
      </w:pPr>
    </w:p>
    <w:p w14:paraId="4F2D81C4" w14:textId="6EDD8CDD" w:rsidR="00AD00B8" w:rsidRPr="00A14449" w:rsidRDefault="00AD00B8" w:rsidP="0044407D">
      <w:pPr>
        <w:spacing w:after="0"/>
        <w:jc w:val="both"/>
        <w:rPr>
          <w:rFonts w:ascii="Times New Roman" w:hAnsi="Times New Roman" w:cs="Times New Roman"/>
          <w:sz w:val="24"/>
          <w:szCs w:val="24"/>
        </w:rPr>
      </w:pPr>
      <w:r w:rsidRPr="00A14449">
        <w:rPr>
          <w:rFonts w:ascii="Times New Roman" w:hAnsi="Times New Roman" w:cs="Times New Roman"/>
          <w:sz w:val="24"/>
          <w:szCs w:val="24"/>
        </w:rPr>
        <w:t>Second, we quantify hidden transaction costs from informal measurement systems (8.3% average loss, equivalent to 27.7% of producer margin), providing rare empirical evidence of how measurement practices transfer value from producers to intermediaries. This extends transaction cost economics (Williamson, 1985) by quantifying the magnitude of measurement-driven value transfers in informal markets.</w:t>
      </w:r>
    </w:p>
    <w:p w14:paraId="1FD80BB4" w14:textId="77777777" w:rsidR="00AD00B8" w:rsidRPr="00A14449" w:rsidRDefault="00AD00B8" w:rsidP="0044407D">
      <w:pPr>
        <w:spacing w:after="0"/>
        <w:jc w:val="both"/>
        <w:rPr>
          <w:rFonts w:ascii="Times New Roman" w:hAnsi="Times New Roman" w:cs="Times New Roman"/>
          <w:sz w:val="24"/>
          <w:szCs w:val="24"/>
        </w:rPr>
      </w:pPr>
    </w:p>
    <w:p w14:paraId="3E45C784" w14:textId="61DD3397" w:rsidR="00AD00B8" w:rsidRPr="00A14449" w:rsidRDefault="00AD00B8" w:rsidP="0044407D">
      <w:pPr>
        <w:spacing w:after="0"/>
        <w:jc w:val="both"/>
        <w:rPr>
          <w:rFonts w:ascii="Times New Roman" w:hAnsi="Times New Roman" w:cs="Times New Roman"/>
          <w:sz w:val="24"/>
          <w:szCs w:val="24"/>
        </w:rPr>
      </w:pPr>
      <w:r w:rsidRPr="00A14449">
        <w:rPr>
          <w:rFonts w:ascii="Times New Roman" w:hAnsi="Times New Roman" w:cs="Times New Roman"/>
          <w:sz w:val="24"/>
          <w:szCs w:val="24"/>
        </w:rPr>
        <w:t>Third, we identify and theorize the "margin paradox"—the coexistence of high producer percentage margins with poverty-level absolute returns and constrained bargaining power—</w:t>
      </w:r>
      <w:r w:rsidRPr="00A14449">
        <w:rPr>
          <w:rFonts w:ascii="Times New Roman" w:hAnsi="Times New Roman" w:cs="Times New Roman"/>
          <w:sz w:val="24"/>
          <w:szCs w:val="24"/>
        </w:rPr>
        <w:lastRenderedPageBreak/>
        <w:t>distinguishing between cost-based margins and market power-based margins. This contributes to value chain theory (Kaplinsky &amp; Morris, 2001; Gereffi et al., 2005) by introducing temporal margin compression and hidden transaction costs as mechanisms that transfer value from vulnerable nodes.</w:t>
      </w:r>
    </w:p>
    <w:p w14:paraId="1603E59A" w14:textId="77777777" w:rsidR="00AD00B8" w:rsidRPr="00A14449" w:rsidRDefault="00AD00B8" w:rsidP="0044407D">
      <w:pPr>
        <w:spacing w:after="0"/>
        <w:jc w:val="both"/>
        <w:rPr>
          <w:rFonts w:ascii="Times New Roman" w:hAnsi="Times New Roman" w:cs="Times New Roman"/>
          <w:sz w:val="24"/>
          <w:szCs w:val="24"/>
        </w:rPr>
      </w:pPr>
    </w:p>
    <w:p w14:paraId="2E8C05D6" w14:textId="6E4CB1E5" w:rsidR="00AD00B8" w:rsidRPr="00A14449" w:rsidRDefault="00AD00B8" w:rsidP="0044407D">
      <w:pPr>
        <w:spacing w:after="0"/>
        <w:jc w:val="both"/>
        <w:rPr>
          <w:rFonts w:ascii="Times New Roman" w:hAnsi="Times New Roman" w:cs="Times New Roman"/>
          <w:sz w:val="24"/>
          <w:szCs w:val="24"/>
        </w:rPr>
      </w:pPr>
      <w:r w:rsidRPr="00A14449">
        <w:rPr>
          <w:rFonts w:ascii="Times New Roman" w:hAnsi="Times New Roman" w:cs="Times New Roman"/>
          <w:sz w:val="24"/>
          <w:szCs w:val="24"/>
        </w:rPr>
        <w:t>Fourth, we demonstrate how institutional voids shape coordination failures while enabling adaptive institutional innovation. The relational governance architecture we document—reputation-based trust, repeated transactions, social embeddedness, reciprocity obligations, information networks—represents a sophisticated response to absent formal institutions, but its exclusionary effects limit the system's developmental inclusivity.</w:t>
      </w:r>
    </w:p>
    <w:p w14:paraId="4CC8A1C2" w14:textId="77777777" w:rsidR="00AD00B8" w:rsidRPr="00A14449" w:rsidRDefault="00AD00B8" w:rsidP="0044407D">
      <w:pPr>
        <w:spacing w:after="0"/>
        <w:jc w:val="both"/>
        <w:rPr>
          <w:rFonts w:ascii="Times New Roman" w:hAnsi="Times New Roman" w:cs="Times New Roman"/>
          <w:sz w:val="24"/>
          <w:szCs w:val="24"/>
        </w:rPr>
      </w:pPr>
    </w:p>
    <w:p w14:paraId="47F26019" w14:textId="77777777" w:rsidR="00AD00B8" w:rsidRPr="00A14449" w:rsidRDefault="00AD00B8" w:rsidP="0044407D">
      <w:pPr>
        <w:spacing w:after="0"/>
        <w:jc w:val="both"/>
        <w:rPr>
          <w:rFonts w:ascii="Times New Roman" w:hAnsi="Times New Roman" w:cs="Times New Roman"/>
          <w:sz w:val="24"/>
          <w:szCs w:val="24"/>
        </w:rPr>
      </w:pPr>
      <w:r w:rsidRPr="00A14449">
        <w:rPr>
          <w:rFonts w:ascii="Times New Roman" w:hAnsi="Times New Roman" w:cs="Times New Roman"/>
          <w:sz w:val="24"/>
          <w:szCs w:val="24"/>
        </w:rPr>
        <w:t>These theoretical contributions have practical implications for intervention design. The persistent supply-demand gap (44-48%) suggests that production-focused interventions—improved seed, extension services, input access—could generate significant returns by enabling farmers to capture existing demand. However, such interventions must be complemented by institutional innovations that address the margin paradox: collective marketing arrangements that enable farmers to achieve scale, storage technologies that enable temporal arbitrage, and standardized measurement systems that reduce hidden transaction costs. The gender gradient documented throughout the chain requires targeted interventions—female extension agents, women-focused producer groups, and financial products designed for women's constrained mobility and capital access—to ensure that upgrading benefits are inclusively distributed.</w:t>
      </w:r>
    </w:p>
    <w:p w14:paraId="385D8A01" w14:textId="77777777" w:rsidR="00AD00B8" w:rsidRPr="00A14449" w:rsidRDefault="00AD00B8" w:rsidP="0044407D">
      <w:pPr>
        <w:spacing w:after="0"/>
        <w:jc w:val="both"/>
        <w:rPr>
          <w:rFonts w:ascii="Times New Roman" w:hAnsi="Times New Roman" w:cs="Times New Roman"/>
          <w:sz w:val="24"/>
          <w:szCs w:val="24"/>
        </w:rPr>
      </w:pPr>
    </w:p>
    <w:p w14:paraId="778429EB" w14:textId="6543DB80" w:rsidR="00AD00B8" w:rsidRDefault="00AD00B8" w:rsidP="0044407D">
      <w:pPr>
        <w:spacing w:after="0"/>
        <w:jc w:val="both"/>
        <w:rPr>
          <w:rFonts w:ascii="Times New Roman" w:hAnsi="Times New Roman" w:cs="Times New Roman"/>
          <w:sz w:val="24"/>
          <w:szCs w:val="24"/>
        </w:rPr>
      </w:pPr>
      <w:r w:rsidRPr="00A14449">
        <w:rPr>
          <w:rFonts w:ascii="Times New Roman" w:hAnsi="Times New Roman" w:cs="Times New Roman"/>
          <w:sz w:val="24"/>
          <w:szCs w:val="24"/>
        </w:rPr>
        <w:t>The Ethiopian experience with the Commodity Exchange  offers both cautionary and aspirational lessons: formalization can reduce exclusionary barriers while introducing new coordination challenges. Malawi's policymakers face the challenge of designing interventions that complement rather than displace indigenous institutional innovations, building on the relational governance mechanisms that currently enable exchange while addressing their exclusionary effects. The warehouse receipt system adapted from Tanzania  represents one such hybrid innovation: combining collective action (institutional upgrading), quality management (technical upgrading), and storage infrastructure (infrastructural upgrading) to enable farmers to capture temporal premiums while maintaining flexibility.</w:t>
      </w:r>
    </w:p>
    <w:p w14:paraId="6D674F03" w14:textId="77777777" w:rsidR="0099671C" w:rsidRPr="00A14449" w:rsidRDefault="0099671C" w:rsidP="0044407D">
      <w:pPr>
        <w:spacing w:after="0"/>
        <w:jc w:val="both"/>
        <w:rPr>
          <w:rFonts w:ascii="Times New Roman" w:hAnsi="Times New Roman" w:cs="Times New Roman"/>
          <w:sz w:val="24"/>
          <w:szCs w:val="24"/>
        </w:rPr>
      </w:pPr>
    </w:p>
    <w:p w14:paraId="054746AF" w14:textId="2F4F15CF" w:rsidR="00287D3D" w:rsidRPr="00A14449" w:rsidRDefault="00287D3D" w:rsidP="00F8321E">
      <w:pPr>
        <w:pStyle w:val="Heading1"/>
        <w:spacing w:before="0" w:line="276" w:lineRule="auto"/>
        <w:jc w:val="both"/>
        <w:rPr>
          <w:rFonts w:ascii="Times New Roman" w:hAnsi="Times New Roman" w:cs="Times New Roman"/>
          <w:b/>
          <w:bCs/>
          <w:color w:val="auto"/>
          <w:sz w:val="24"/>
          <w:szCs w:val="24"/>
        </w:rPr>
      </w:pPr>
      <w:r w:rsidRPr="00A14449">
        <w:rPr>
          <w:rFonts w:ascii="Times New Roman" w:hAnsi="Times New Roman" w:cs="Times New Roman"/>
          <w:b/>
          <w:bCs/>
          <w:color w:val="auto"/>
          <w:sz w:val="24"/>
          <w:szCs w:val="24"/>
        </w:rPr>
        <w:t>5.0 CONCLUSION AND RECOMMENDATIONS</w:t>
      </w:r>
      <w:r w:rsidR="00F8321E" w:rsidRPr="00A14449">
        <w:rPr>
          <w:rFonts w:ascii="Times New Roman" w:hAnsi="Times New Roman" w:cs="Times New Roman"/>
          <w:b/>
          <w:bCs/>
          <w:color w:val="auto"/>
          <w:sz w:val="24"/>
          <w:szCs w:val="24"/>
        </w:rPr>
        <w:t>:</w:t>
      </w:r>
    </w:p>
    <w:p w14:paraId="36BF3727" w14:textId="77777777" w:rsidR="00F8321E" w:rsidRPr="00A14449" w:rsidRDefault="00F8321E" w:rsidP="00F8321E">
      <w:pPr>
        <w:pStyle w:val="NormalWeb"/>
        <w:spacing w:before="0" w:beforeAutospacing="0" w:line="276" w:lineRule="auto"/>
        <w:jc w:val="both"/>
      </w:pPr>
      <w:r w:rsidRPr="00A14449">
        <w:t>This study provides the first comprehensive analysis of Malawi's cross-border sesame value chain, making four original contributions to knowledge. First, it empirically documents the Malawi-Tanzania sesame trade, revealing a value chain characterized by female-dominated production, male-dominated trading, and persistent supply-demand gaps in Tanzanian markets. Second, it quantifies hidden transaction costs arising from non-standardized measurement systems, demonstrating an 8.3% value leakage—a previously undocumented constraint affecting 19.1% of farmers. Third, the study identifies the margin paradox, where producers achieve the highest margin percentage (68.2%) yet remain vulnerable due to volume constraints, timing disadvantages, and hidden costs. Finally, it develops a multi-dimensional upgrading typology encompassing institutional, technical, and infrastructural dimensions, providing a framework for designing targeted interventions.</w:t>
      </w:r>
    </w:p>
    <w:p w14:paraId="686592DF" w14:textId="77777777" w:rsidR="00F8321E" w:rsidRPr="00A14449" w:rsidRDefault="00F8321E" w:rsidP="00F8321E">
      <w:pPr>
        <w:pStyle w:val="NormalWeb"/>
        <w:spacing w:before="0" w:beforeAutospacing="0" w:line="276" w:lineRule="auto"/>
        <w:jc w:val="both"/>
      </w:pPr>
      <w:r w:rsidRPr="00A14449">
        <w:lastRenderedPageBreak/>
        <w:t>The sesame marketing system in northern Malawi comprises five core actor categories: input suppliers, producers, middlemen, wholesalers, and retailers. These actors operate within a weak institutional environment characterized by absent quality standards, non-standardized measurements, and informal contract enforcement. Although producers capture 68.2% of the gross margin, they sell only an average of 56.6 kg, yielding MK 57,900—insufficient to meet household needs. This margin paradox illustrates how high percentage margins can mask underlying vulnerability. Hidden transaction costs from measurement losses average 8.3%, costing farmers MK 51,300 annually, equivalent to 27.7% of gross margin. Systemic constraints include inadequate extension services (23.01%), lack of formal markets (22.9%), measurement problems (19.1%), low bargaining power (19.1%), capital limitations (11.4%), and infrastructure and policy gaps identified by traders (51.3% and 42.5%, respectively). Strategic opportunities exist in the persistent Tanzanian demand gap (44–48%), multiple market channels offering differentiated prices, the potential of extension services, and infrastructure improvements.</w:t>
      </w:r>
    </w:p>
    <w:p w14:paraId="1BC0579F" w14:textId="77777777" w:rsidR="00F8321E" w:rsidRPr="00A14449" w:rsidRDefault="00F8321E" w:rsidP="00A14449">
      <w:pPr>
        <w:pStyle w:val="Heading3"/>
      </w:pPr>
      <w:r w:rsidRPr="00A14449">
        <w:t>Recommendations</w:t>
      </w:r>
    </w:p>
    <w:p w14:paraId="3CEE23BD" w14:textId="77777777" w:rsidR="00F8321E" w:rsidRPr="00A14449" w:rsidRDefault="00F8321E" w:rsidP="00F8321E">
      <w:pPr>
        <w:pStyle w:val="NormalWeb"/>
        <w:spacing w:before="0" w:beforeAutospacing="0" w:line="276" w:lineRule="auto"/>
        <w:jc w:val="both"/>
      </w:pPr>
      <w:r w:rsidRPr="00A14449">
        <w:rPr>
          <w:rStyle w:val="Strong"/>
        </w:rPr>
        <w:t>For Farmers:</w:t>
      </w:r>
      <w:r w:rsidRPr="00A14449">
        <w:t xml:space="preserve"> Farmers should form or join cooperatives to enhance bargaining power, access collective marketing channels, and share knowledge. Initial cooperative membership of 15–20 farmers focusing on bulking produce for joint marketing is recommended. Adoption of improved varieties through demonstration plots and farmer-to-farmer exchange should be encouraged, alongside requests for variety testing from extension services. Investment in post-harvest handling—proper drying, cleaning, and storage—can improve access to premium markets, with simple improvements such as tarpaulins and storage containers yielding significant returns. Farmers are also advised to utilize multiple market channels rather than accepting first offers and to demand standardized measurements, refusing transactions using modified pails and requesting weighing with scales.</w:t>
      </w:r>
    </w:p>
    <w:p w14:paraId="16DDCD40" w14:textId="77777777" w:rsidR="00F8321E" w:rsidRPr="00A14449" w:rsidRDefault="00F8321E" w:rsidP="00F8321E">
      <w:pPr>
        <w:pStyle w:val="NormalWeb"/>
        <w:spacing w:before="0" w:beforeAutospacing="0" w:line="276" w:lineRule="auto"/>
        <w:jc w:val="both"/>
      </w:pPr>
      <w:r w:rsidRPr="00A14449">
        <w:rPr>
          <w:rStyle w:val="Strong"/>
        </w:rPr>
        <w:t>For Extension Services:</w:t>
      </w:r>
      <w:r w:rsidRPr="00A14449">
        <w:t xml:space="preserve"> Extension programs should prioritize sesame by allocating at least 20% of crop extension time to this high-potential crop. Demonstration plots comparing improved varieties and practices should be established in accessible village locations. Training lead farmers as sesame champions can promote farmer-to-farmer knowledge dissemination. Extension services should facilitate market linkages by connecting farmers with buyers, providing price information, and organizing market visits, while promoting post-harvest technologies such as moisture meters, improved storage, and cleaning equipment.</w:t>
      </w:r>
    </w:p>
    <w:p w14:paraId="5617BD95" w14:textId="77777777" w:rsidR="00F8321E" w:rsidRPr="00A14449" w:rsidRDefault="00F8321E" w:rsidP="00F8321E">
      <w:pPr>
        <w:pStyle w:val="NormalWeb"/>
        <w:spacing w:before="0" w:beforeAutospacing="0" w:line="276" w:lineRule="auto"/>
        <w:jc w:val="both"/>
      </w:pPr>
      <w:r w:rsidRPr="00A14449">
        <w:rPr>
          <w:rStyle w:val="Strong"/>
        </w:rPr>
        <w:t>For Policymakers:</w:t>
      </w:r>
      <w:r w:rsidRPr="00A14449">
        <w:t xml:space="preserve"> A sesame-specific policy framework is needed, including quality standards, export regulations, and measurement standardization, drawing lessons from Ethiopia’s successful sesame export strategy. Investment in rural infrastructure, particularly feeder roads linking production areas to the M1 corridor and community storage facilities, is critical. Policymakers should strengthen cross-border trade facilitation, reduce informal barriers, and promote formal trade channels. Support for seed system development and financial inclusion—through collaboration with microfinance institutions to develop agricultural lending products—will further enable smallholder participation in the value chain.</w:t>
      </w:r>
    </w:p>
    <w:p w14:paraId="67D0D2D8" w14:textId="77777777" w:rsidR="00F8321E" w:rsidRPr="00A14449" w:rsidRDefault="00F8321E" w:rsidP="00F8321E">
      <w:pPr>
        <w:pStyle w:val="NormalWeb"/>
        <w:spacing w:before="0" w:beforeAutospacing="0" w:line="276" w:lineRule="auto"/>
        <w:jc w:val="both"/>
      </w:pPr>
      <w:r w:rsidRPr="00A14449">
        <w:rPr>
          <w:rStyle w:val="Strong"/>
        </w:rPr>
        <w:lastRenderedPageBreak/>
        <w:t>For Development Partners:</w:t>
      </w:r>
      <w:r w:rsidRPr="00A14449">
        <w:t xml:space="preserve"> Development partners should support cooperative development through capacity building, governance training, and initial operating support. Investments in market infrastructure—community storage, market shelters, and processing equipment—will facilitate commercialization. Funding adaptive research on improved varieties, climate resilience, and value addition technologies is essential, alongside facilitating public-private partnerships linking farmers to processors and exporters. Continuous monitoring and evaluation of interventions will help generate evidence on what works in smallholder sesame development.</w:t>
      </w:r>
    </w:p>
    <w:p w14:paraId="5135A0E1" w14:textId="77777777" w:rsidR="00F8321E" w:rsidRPr="00A14449" w:rsidRDefault="00F8321E" w:rsidP="00A14449">
      <w:pPr>
        <w:pStyle w:val="Heading3"/>
      </w:pPr>
      <w:r w:rsidRPr="00A14449">
        <w:t>Limitations and Future Research</w:t>
      </w:r>
    </w:p>
    <w:p w14:paraId="485E4091" w14:textId="54DC137A" w:rsidR="00F8321E" w:rsidRDefault="00F8321E" w:rsidP="0099671C">
      <w:pPr>
        <w:pStyle w:val="NormalWeb"/>
        <w:spacing w:before="0" w:beforeAutospacing="0" w:line="360" w:lineRule="auto"/>
        <w:jc w:val="both"/>
      </w:pPr>
      <w:r w:rsidRPr="00A14449">
        <w:t xml:space="preserve">This study has several limitations that point to future research directions. The cross-sectional design captures only a single season, suggesting longitudinal research could track price dynamics, yield variations, and intervention impacts over multiple seasons. Focusing on Nyungwe EPA limits generalizability, highlighting the need for comparative studies across Malawi’s sesame-producing regions such as Phalombe and the Shire Valley. Reliance on self-reported data may introduce recall bias, which future research could mitigate using transaction diaries or mobile-based real-time reporting. Unobserved factors such as social networks, risk preferences, and entrepreneurial orientation may influence outcomes, suggesting </w:t>
      </w:r>
      <w:proofErr w:type="spellStart"/>
      <w:r w:rsidRPr="00A14449">
        <w:t>behavioral</w:t>
      </w:r>
      <w:proofErr w:type="spellEnd"/>
      <w:r w:rsidRPr="00A14449">
        <w:t xml:space="preserve"> measures could enrich analysis. Finally, while the study identifies strategic opportunities, it does not test interventions; action research or randomized controlled trials could provide causal evidence for upgrading strategies. Priority areas for future research include value chain analysis of sesame processing potential, gender analysis of intra-household decision-making on sesame income, institutional analysis of cross-border trade regimes, climate vulnerability assessment and adaptation strategies, and impact evaluation of cooperative development programs.</w:t>
      </w:r>
    </w:p>
    <w:p w14:paraId="2EB3DCB0" w14:textId="77777777" w:rsidR="0099671C" w:rsidRDefault="0099671C" w:rsidP="00862A72">
      <w:pPr>
        <w:pStyle w:val="NormalWeb"/>
        <w:spacing w:before="0" w:beforeAutospacing="0" w:line="276" w:lineRule="auto"/>
        <w:jc w:val="both"/>
      </w:pPr>
    </w:p>
    <w:p w14:paraId="604DF9F3" w14:textId="77777777" w:rsidR="0099671C" w:rsidRDefault="0099671C" w:rsidP="00862A72">
      <w:pPr>
        <w:pStyle w:val="NormalWeb"/>
        <w:spacing w:before="0" w:beforeAutospacing="0" w:line="276" w:lineRule="auto"/>
        <w:jc w:val="both"/>
      </w:pPr>
    </w:p>
    <w:p w14:paraId="4532D67F" w14:textId="77777777" w:rsidR="0099671C" w:rsidRDefault="0099671C" w:rsidP="00862A72">
      <w:pPr>
        <w:pStyle w:val="NormalWeb"/>
        <w:spacing w:before="0" w:beforeAutospacing="0" w:line="276" w:lineRule="auto"/>
        <w:jc w:val="both"/>
      </w:pPr>
    </w:p>
    <w:p w14:paraId="376E52FE" w14:textId="77777777" w:rsidR="0099671C" w:rsidRDefault="0099671C" w:rsidP="00862A72">
      <w:pPr>
        <w:pStyle w:val="NormalWeb"/>
        <w:spacing w:before="0" w:beforeAutospacing="0" w:line="276" w:lineRule="auto"/>
        <w:jc w:val="both"/>
      </w:pPr>
    </w:p>
    <w:p w14:paraId="32B67FB9" w14:textId="77777777" w:rsidR="0099671C" w:rsidRDefault="0099671C" w:rsidP="00862A72">
      <w:pPr>
        <w:pStyle w:val="NormalWeb"/>
        <w:spacing w:before="0" w:beforeAutospacing="0" w:line="276" w:lineRule="auto"/>
        <w:jc w:val="both"/>
      </w:pPr>
    </w:p>
    <w:p w14:paraId="4C6B7EE0" w14:textId="77777777" w:rsidR="0099671C" w:rsidRDefault="0099671C" w:rsidP="00862A72">
      <w:pPr>
        <w:pStyle w:val="NormalWeb"/>
        <w:spacing w:before="0" w:beforeAutospacing="0" w:line="276" w:lineRule="auto"/>
        <w:jc w:val="both"/>
      </w:pPr>
    </w:p>
    <w:p w14:paraId="3F454560" w14:textId="77777777" w:rsidR="0099671C" w:rsidRDefault="0099671C" w:rsidP="00862A72">
      <w:pPr>
        <w:pStyle w:val="NormalWeb"/>
        <w:spacing w:before="0" w:beforeAutospacing="0" w:line="276" w:lineRule="auto"/>
        <w:jc w:val="both"/>
      </w:pPr>
    </w:p>
    <w:p w14:paraId="49498E2C" w14:textId="77777777" w:rsidR="0099671C" w:rsidRDefault="0099671C" w:rsidP="00862A72">
      <w:pPr>
        <w:pStyle w:val="NormalWeb"/>
        <w:spacing w:before="0" w:beforeAutospacing="0" w:line="276" w:lineRule="auto"/>
        <w:jc w:val="both"/>
      </w:pPr>
    </w:p>
    <w:p w14:paraId="1F39F416" w14:textId="77777777" w:rsidR="0099671C" w:rsidRDefault="0099671C" w:rsidP="00862A72">
      <w:pPr>
        <w:pStyle w:val="NormalWeb"/>
        <w:spacing w:before="0" w:beforeAutospacing="0" w:line="276" w:lineRule="auto"/>
        <w:jc w:val="both"/>
      </w:pPr>
    </w:p>
    <w:p w14:paraId="2F5B85B5" w14:textId="77777777" w:rsidR="0099671C" w:rsidRDefault="0099671C" w:rsidP="00862A72">
      <w:pPr>
        <w:pStyle w:val="NormalWeb"/>
        <w:spacing w:before="0" w:beforeAutospacing="0" w:line="276" w:lineRule="auto"/>
        <w:jc w:val="both"/>
      </w:pPr>
    </w:p>
    <w:p w14:paraId="619A672D" w14:textId="77777777" w:rsidR="0099671C" w:rsidRDefault="0099671C" w:rsidP="00862A72">
      <w:pPr>
        <w:pStyle w:val="NormalWeb"/>
        <w:spacing w:before="0" w:beforeAutospacing="0" w:line="276" w:lineRule="auto"/>
        <w:jc w:val="both"/>
      </w:pPr>
    </w:p>
    <w:p w14:paraId="5424AD4E" w14:textId="77777777" w:rsidR="0099671C" w:rsidRPr="00A14449" w:rsidRDefault="0099671C" w:rsidP="00862A72">
      <w:pPr>
        <w:pStyle w:val="NormalWeb"/>
        <w:spacing w:before="0" w:beforeAutospacing="0" w:line="276" w:lineRule="auto"/>
        <w:jc w:val="both"/>
      </w:pPr>
    </w:p>
    <w:p w14:paraId="74BE7F72" w14:textId="1E1970D0" w:rsidR="00287D3D" w:rsidRPr="0099671C" w:rsidRDefault="00287D3D" w:rsidP="00CC2389">
      <w:pPr>
        <w:pStyle w:val="Heading1"/>
        <w:rPr>
          <w:rFonts w:ascii="Times New Roman" w:hAnsi="Times New Roman" w:cs="Times New Roman"/>
          <w:b/>
          <w:bCs/>
          <w:color w:val="auto"/>
          <w:sz w:val="24"/>
          <w:szCs w:val="24"/>
        </w:rPr>
      </w:pPr>
      <w:r w:rsidRPr="0099671C">
        <w:rPr>
          <w:rFonts w:ascii="Times New Roman" w:hAnsi="Times New Roman" w:cs="Times New Roman"/>
          <w:b/>
          <w:bCs/>
          <w:color w:val="auto"/>
          <w:sz w:val="24"/>
          <w:szCs w:val="24"/>
        </w:rPr>
        <w:t>REFERENCES</w:t>
      </w:r>
      <w:r w:rsidR="0099671C" w:rsidRPr="0099671C">
        <w:rPr>
          <w:rFonts w:ascii="Times New Roman" w:hAnsi="Times New Roman" w:cs="Times New Roman"/>
          <w:b/>
          <w:bCs/>
          <w:color w:val="auto"/>
          <w:sz w:val="24"/>
          <w:szCs w:val="24"/>
        </w:rPr>
        <w:t>:</w:t>
      </w:r>
    </w:p>
    <w:p w14:paraId="31AEF47E"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Birner, R., &amp; Resnick, D. (2010). The political economy of policies for smallholder agriculture. </w:t>
      </w:r>
      <w:r w:rsidRPr="0099671C">
        <w:rPr>
          <w:rStyle w:val="Emphasis"/>
          <w:rFonts w:eastAsiaTheme="majorEastAsia"/>
        </w:rPr>
        <w:t>World Development</w:t>
      </w:r>
      <w:r w:rsidRPr="0099671C">
        <w:rPr>
          <w:i/>
          <w:iCs/>
        </w:rPr>
        <w:t>, 38(10), 1442-1452.</w:t>
      </w:r>
    </w:p>
    <w:p w14:paraId="1FE6508E"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Braun, V., &amp; Clarke, V. (2006). Using thematic analysis in psychology. </w:t>
      </w:r>
      <w:r w:rsidRPr="0099671C">
        <w:rPr>
          <w:rStyle w:val="Emphasis"/>
          <w:rFonts w:eastAsiaTheme="majorEastAsia"/>
        </w:rPr>
        <w:t>Qualitative Research in Psychology</w:t>
      </w:r>
      <w:r w:rsidRPr="0099671C">
        <w:rPr>
          <w:i/>
          <w:iCs/>
        </w:rPr>
        <w:t>, 3(2), 77-101.</w:t>
      </w:r>
    </w:p>
    <w:p w14:paraId="61AD15B3"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Chitete, D., Mwase, W., &amp; Phiri, M. (2025). Sesame production trends and market dynamics in Malawi: 2011-2024. </w:t>
      </w:r>
      <w:r w:rsidRPr="0099671C">
        <w:rPr>
          <w:rStyle w:val="Emphasis"/>
          <w:rFonts w:eastAsiaTheme="majorEastAsia"/>
        </w:rPr>
        <w:t>Journal of Agricultural Development Studies</w:t>
      </w:r>
      <w:r w:rsidRPr="0099671C">
        <w:rPr>
          <w:i/>
          <w:iCs/>
        </w:rPr>
        <w:t>, 12(3), 45-62.</w:t>
      </w:r>
    </w:p>
    <w:p w14:paraId="4826641F"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Creswell, J. W., &amp; Clark, V. L. P. (2017). </w:t>
      </w:r>
      <w:r w:rsidRPr="0099671C">
        <w:rPr>
          <w:rStyle w:val="Emphasis"/>
          <w:rFonts w:eastAsiaTheme="majorEastAsia"/>
        </w:rPr>
        <w:t>Designing and conducting mixed methods research</w:t>
      </w:r>
      <w:r w:rsidRPr="0099671C">
        <w:rPr>
          <w:i/>
          <w:iCs/>
        </w:rPr>
        <w:t> (3rd ed.). Sage Publications.</w:t>
      </w:r>
    </w:p>
    <w:p w14:paraId="03DBC8EA"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Dorward, A., Poole, N., Morrison, J., Kydd, J., &amp; Urey, I. (2003). Markets, institutions and technology: Missing links in livelihoods analysis. </w:t>
      </w:r>
      <w:r w:rsidRPr="0099671C">
        <w:rPr>
          <w:rStyle w:val="Emphasis"/>
          <w:rFonts w:eastAsiaTheme="majorEastAsia"/>
        </w:rPr>
        <w:t>Development Policy Review</w:t>
      </w:r>
      <w:r w:rsidRPr="0099671C">
        <w:rPr>
          <w:i/>
          <w:iCs/>
        </w:rPr>
        <w:t>, 21(3), 319-332.</w:t>
      </w:r>
    </w:p>
    <w:p w14:paraId="21B76FB5"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Doss, C. (2013). Intrahousehold bargaining and resource allocation in developing countries. </w:t>
      </w:r>
      <w:r w:rsidRPr="0099671C">
        <w:rPr>
          <w:rStyle w:val="Emphasis"/>
          <w:rFonts w:eastAsiaTheme="majorEastAsia"/>
        </w:rPr>
        <w:t>World Bank Research Observer</w:t>
      </w:r>
      <w:r w:rsidRPr="0099671C">
        <w:rPr>
          <w:i/>
          <w:iCs/>
        </w:rPr>
        <w:t>, 28(1), 52-78.</w:t>
      </w:r>
    </w:p>
    <w:p w14:paraId="15453D29"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FAO. (2021). </w:t>
      </w:r>
      <w:r w:rsidRPr="0099671C">
        <w:rPr>
          <w:rStyle w:val="Emphasis"/>
          <w:rFonts w:eastAsiaTheme="majorEastAsia"/>
        </w:rPr>
        <w:t>Gender and agricultural value chains: A review of current knowledge and practice</w:t>
      </w:r>
      <w:r w:rsidRPr="0099671C">
        <w:rPr>
          <w:i/>
          <w:iCs/>
        </w:rPr>
        <w:t>. Food and Agriculture Organization of the United Nations.</w:t>
      </w:r>
    </w:p>
    <w:p w14:paraId="1C480F89"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Gebretsadik, T. (2020). Value chain analysis of sesame in Ethiopia: A review. </w:t>
      </w:r>
      <w:r w:rsidRPr="0099671C">
        <w:rPr>
          <w:rStyle w:val="Emphasis"/>
          <w:rFonts w:eastAsiaTheme="majorEastAsia"/>
        </w:rPr>
        <w:t>Journal of Agricultural Economics and Rural Development</w:t>
      </w:r>
      <w:r w:rsidRPr="0099671C">
        <w:rPr>
          <w:i/>
          <w:iCs/>
        </w:rPr>
        <w:t>, 6(2), 789-801.</w:t>
      </w:r>
    </w:p>
    <w:p w14:paraId="1388B2BE"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Gereffi, G., Humphrey, J., &amp; Sturgeon, T. (2005). The governance of global value chains. </w:t>
      </w:r>
      <w:r w:rsidRPr="0099671C">
        <w:rPr>
          <w:rStyle w:val="Emphasis"/>
          <w:rFonts w:eastAsiaTheme="majorEastAsia"/>
        </w:rPr>
        <w:t>Review of International Political Economy</w:t>
      </w:r>
      <w:r w:rsidRPr="0099671C">
        <w:rPr>
          <w:i/>
          <w:iCs/>
        </w:rPr>
        <w:t>, 12(1), 78-104.</w:t>
      </w:r>
    </w:p>
    <w:p w14:paraId="7E3DF0CC" w14:textId="77777777" w:rsidR="00AE6159" w:rsidRPr="0099671C" w:rsidRDefault="00AE6159" w:rsidP="0099671C">
      <w:pPr>
        <w:pStyle w:val="ds-markdown-paragraph"/>
        <w:shd w:val="clear" w:color="auto" w:fill="FFFFFF"/>
        <w:spacing w:before="0" w:beforeAutospacing="0" w:after="0" w:afterAutospacing="0"/>
        <w:jc w:val="center"/>
        <w:rPr>
          <w:i/>
          <w:iCs/>
        </w:rPr>
      </w:pPr>
      <w:proofErr w:type="spellStart"/>
      <w:r w:rsidRPr="0099671C">
        <w:rPr>
          <w:i/>
          <w:iCs/>
        </w:rPr>
        <w:t>Granovetter</w:t>
      </w:r>
      <w:proofErr w:type="spellEnd"/>
      <w:r w:rsidRPr="0099671C">
        <w:rPr>
          <w:i/>
          <w:iCs/>
        </w:rPr>
        <w:t>, M. (1985). Economic action and social structure: The problem of embeddedness. </w:t>
      </w:r>
      <w:r w:rsidRPr="0099671C">
        <w:rPr>
          <w:rStyle w:val="Emphasis"/>
          <w:rFonts w:eastAsiaTheme="majorEastAsia"/>
        </w:rPr>
        <w:t>American Journal of Sociology</w:t>
      </w:r>
      <w:r w:rsidRPr="0099671C">
        <w:rPr>
          <w:i/>
          <w:iCs/>
        </w:rPr>
        <w:t>, 91(3), 481-510.</w:t>
      </w:r>
    </w:p>
    <w:p w14:paraId="294BB0C8"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Kaplinsky, R., &amp; Morris, M. (2001). </w:t>
      </w:r>
      <w:r w:rsidRPr="0099671C">
        <w:rPr>
          <w:rStyle w:val="Emphasis"/>
          <w:rFonts w:eastAsiaTheme="majorEastAsia"/>
        </w:rPr>
        <w:t>A handbook for value chain research</w:t>
      </w:r>
      <w:r w:rsidRPr="0099671C">
        <w:rPr>
          <w:i/>
          <w:iCs/>
        </w:rPr>
        <w:t>. International Development Research Centre.</w:t>
      </w:r>
    </w:p>
    <w:p w14:paraId="57C9A712"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Kassie, G. T., Abate, T., &amp; Mwangi, W. (2022). Global sesame production and trade: Trends and prospects. </w:t>
      </w:r>
      <w:r w:rsidRPr="0099671C">
        <w:rPr>
          <w:rStyle w:val="Emphasis"/>
          <w:rFonts w:eastAsiaTheme="majorEastAsia"/>
        </w:rPr>
        <w:t>Food Policy</w:t>
      </w:r>
      <w:r w:rsidRPr="0099671C">
        <w:rPr>
          <w:i/>
          <w:iCs/>
        </w:rPr>
        <w:t>, 108, 102-118.</w:t>
      </w:r>
    </w:p>
    <w:p w14:paraId="6E1B4324"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 xml:space="preserve">Khurshid, M. (2025). Allied industries and smallholder farmers: </w:t>
      </w:r>
      <w:proofErr w:type="spellStart"/>
      <w:r w:rsidRPr="0099671C">
        <w:rPr>
          <w:i/>
          <w:iCs/>
        </w:rPr>
        <w:t>Analyzing</w:t>
      </w:r>
      <w:proofErr w:type="spellEnd"/>
      <w:r w:rsidRPr="0099671C">
        <w:rPr>
          <w:i/>
          <w:iCs/>
        </w:rPr>
        <w:t xml:space="preserve"> power asymmetries in agricultural value chains. </w:t>
      </w:r>
      <w:r w:rsidRPr="0099671C">
        <w:rPr>
          <w:rStyle w:val="Emphasis"/>
          <w:rFonts w:eastAsiaTheme="majorEastAsia"/>
        </w:rPr>
        <w:t>Journal of Agrarian Change</w:t>
      </w:r>
      <w:r w:rsidRPr="0099671C">
        <w:rPr>
          <w:i/>
          <w:iCs/>
        </w:rPr>
        <w:t>, 25(1), 78-95.</w:t>
      </w:r>
    </w:p>
    <w:p w14:paraId="26EBA19C"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Kusse, K., Bekele, A., &amp; Lemma, T. (2022). Sesame value chain analysis in Ethiopia: Constraints and opportunities for smallholders. </w:t>
      </w:r>
      <w:r w:rsidRPr="0099671C">
        <w:rPr>
          <w:rStyle w:val="Emphasis"/>
          <w:rFonts w:eastAsiaTheme="majorEastAsia"/>
        </w:rPr>
        <w:t>Cogent Food &amp; Agriculture</w:t>
      </w:r>
      <w:r w:rsidRPr="0099671C">
        <w:rPr>
          <w:i/>
          <w:iCs/>
        </w:rPr>
        <w:t>, 8(1), 1-18.</w:t>
      </w:r>
    </w:p>
    <w:p w14:paraId="38A395F2"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Mair, J., &amp; Marti, I. (2009). Entrepreneurship in and around institutional voids: A case study from Bangladesh. </w:t>
      </w:r>
      <w:r w:rsidRPr="0099671C">
        <w:rPr>
          <w:rStyle w:val="Emphasis"/>
          <w:rFonts w:eastAsiaTheme="majorEastAsia"/>
        </w:rPr>
        <w:t>Journal of Business Venturing</w:t>
      </w:r>
      <w:r w:rsidRPr="0099671C">
        <w:rPr>
          <w:i/>
          <w:iCs/>
        </w:rPr>
        <w:t>, 24(5), 419-435.</w:t>
      </w:r>
    </w:p>
    <w:p w14:paraId="76BC2832" w14:textId="77777777" w:rsidR="00AE6159" w:rsidRPr="0099671C" w:rsidRDefault="00AE6159" w:rsidP="0099671C">
      <w:pPr>
        <w:pStyle w:val="ds-markdown-paragraph"/>
        <w:shd w:val="clear" w:color="auto" w:fill="FFFFFF"/>
        <w:spacing w:before="0" w:beforeAutospacing="0" w:after="0" w:afterAutospacing="0"/>
        <w:jc w:val="center"/>
        <w:rPr>
          <w:i/>
          <w:iCs/>
        </w:rPr>
      </w:pPr>
      <w:proofErr w:type="spellStart"/>
      <w:r w:rsidRPr="0099671C">
        <w:rPr>
          <w:i/>
          <w:iCs/>
        </w:rPr>
        <w:t>Meijerink</w:t>
      </w:r>
      <w:proofErr w:type="spellEnd"/>
      <w:r w:rsidRPr="0099671C">
        <w:rPr>
          <w:i/>
          <w:iCs/>
        </w:rPr>
        <w:t xml:space="preserve">, G., </w:t>
      </w:r>
      <w:proofErr w:type="spellStart"/>
      <w:r w:rsidRPr="0099671C">
        <w:rPr>
          <w:i/>
          <w:iCs/>
        </w:rPr>
        <w:t>Bulte</w:t>
      </w:r>
      <w:proofErr w:type="spellEnd"/>
      <w:r w:rsidRPr="0099671C">
        <w:rPr>
          <w:i/>
          <w:iCs/>
        </w:rPr>
        <w:t>, E., &amp; Alemu, D. (2014). Formal institutions and social capital in value chains: The case of the Ethiopian Commodity Exchange. </w:t>
      </w:r>
      <w:r w:rsidRPr="0099671C">
        <w:rPr>
          <w:rStyle w:val="Emphasis"/>
          <w:rFonts w:eastAsiaTheme="majorEastAsia"/>
        </w:rPr>
        <w:t>Food Policy</w:t>
      </w:r>
      <w:r w:rsidRPr="0099671C">
        <w:rPr>
          <w:i/>
          <w:iCs/>
        </w:rPr>
        <w:t>, 49, 1-12.</w:t>
      </w:r>
    </w:p>
    <w:p w14:paraId="2B5F0AB7"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Mhagama, D., &amp; Mmasa, J. (2022). Analysis of sesame value chain in Tanzania: Performance and constraints. </w:t>
      </w:r>
      <w:r w:rsidRPr="0099671C">
        <w:rPr>
          <w:rStyle w:val="Emphasis"/>
          <w:rFonts w:eastAsiaTheme="majorEastAsia"/>
        </w:rPr>
        <w:t>Tanzanian Journal of Agricultural Sciences</w:t>
      </w:r>
      <w:r w:rsidRPr="0099671C">
        <w:rPr>
          <w:i/>
          <w:iCs/>
        </w:rPr>
        <w:t>, 21(2), 112-128.</w:t>
      </w:r>
    </w:p>
    <w:p w14:paraId="782ACE64"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Munyua, B., Wanjiku, J., &amp; Okello, J. (2013). Sesame value chain analysis in Uganda: Opportunities for smallholder integration. </w:t>
      </w:r>
      <w:r w:rsidRPr="0099671C">
        <w:rPr>
          <w:rStyle w:val="Emphasis"/>
          <w:rFonts w:eastAsiaTheme="majorEastAsia"/>
        </w:rPr>
        <w:t>Journal of Development and Agricultural Economics</w:t>
      </w:r>
      <w:r w:rsidRPr="0099671C">
        <w:rPr>
          <w:i/>
          <w:iCs/>
        </w:rPr>
        <w:t>, 5(11), 456-468.</w:t>
      </w:r>
    </w:p>
    <w:p w14:paraId="1D3CD036"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lastRenderedPageBreak/>
        <w:t>NSO. (2019). </w:t>
      </w:r>
      <w:r w:rsidRPr="0099671C">
        <w:rPr>
          <w:rStyle w:val="Emphasis"/>
          <w:rFonts w:eastAsiaTheme="majorEastAsia"/>
        </w:rPr>
        <w:t>Malawi National Census Report</w:t>
      </w:r>
      <w:r w:rsidRPr="0099671C">
        <w:rPr>
          <w:i/>
          <w:iCs/>
        </w:rPr>
        <w:t>. National Statistical Office, Zomba, Malawi.</w:t>
      </w:r>
    </w:p>
    <w:p w14:paraId="410C6116"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Olabisi, O., &amp; Ogundipe, A. (2026). Gender dynamics in Nigerian agricultural value chains: Evidence from a national panel survey. </w:t>
      </w:r>
      <w:r w:rsidRPr="0099671C">
        <w:rPr>
          <w:rStyle w:val="Emphasis"/>
          <w:rFonts w:eastAsiaTheme="majorEastAsia"/>
        </w:rPr>
        <w:t>Feminist Economics</w:t>
      </w:r>
      <w:r w:rsidRPr="0099671C">
        <w:rPr>
          <w:i/>
          <w:iCs/>
        </w:rPr>
        <w:t>, 32(2), 89-114.</w:t>
      </w:r>
    </w:p>
    <w:p w14:paraId="12F56F0C"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Roberts, S., Chinsinga, B., &amp; Mvula, P. (2025). Women's participation in regional agricultural value chains: Evidence from the Malawi-South Africa soybean trade. </w:t>
      </w:r>
      <w:r w:rsidRPr="0099671C">
        <w:rPr>
          <w:rStyle w:val="Emphasis"/>
          <w:rFonts w:eastAsiaTheme="majorEastAsia"/>
        </w:rPr>
        <w:t>Journal of Southern African Studies</w:t>
      </w:r>
      <w:r w:rsidRPr="0099671C">
        <w:rPr>
          <w:i/>
          <w:iCs/>
        </w:rPr>
        <w:t>, 51(3), 412-435.</w:t>
      </w:r>
    </w:p>
    <w:p w14:paraId="6CB1E1F8"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Steinbach, R., &amp; Zurita, C. (2025). The WTO Trade Facilitation Agreement: Implementation costs, institutional capacity, and trade effects. </w:t>
      </w:r>
      <w:r w:rsidRPr="0099671C">
        <w:rPr>
          <w:rStyle w:val="Emphasis"/>
          <w:rFonts w:eastAsiaTheme="majorEastAsia"/>
        </w:rPr>
        <w:t>World Trade Review</w:t>
      </w:r>
      <w:r w:rsidRPr="0099671C">
        <w:rPr>
          <w:i/>
          <w:iCs/>
        </w:rPr>
        <w:t>, 24(2), 145-168.</w:t>
      </w:r>
    </w:p>
    <w:p w14:paraId="7F36D349"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Stephens, E. C., &amp; Barrett, C. B. (2011). Incomplete credit markets and commodity marketing behaviour. </w:t>
      </w:r>
      <w:r w:rsidRPr="0099671C">
        <w:rPr>
          <w:rStyle w:val="Emphasis"/>
          <w:rFonts w:eastAsiaTheme="majorEastAsia"/>
        </w:rPr>
        <w:t>Journal of Agricultural Economics</w:t>
      </w:r>
      <w:r w:rsidRPr="0099671C">
        <w:rPr>
          <w:i/>
          <w:iCs/>
        </w:rPr>
        <w:t>, 62(1), 1-24.</w:t>
      </w:r>
    </w:p>
    <w:p w14:paraId="7554A2CF"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Wageningen University &amp; Research. (2019). </w:t>
      </w:r>
      <w:r w:rsidRPr="0099671C">
        <w:rPr>
          <w:rStyle w:val="Emphasis"/>
          <w:rFonts w:eastAsiaTheme="majorEastAsia"/>
        </w:rPr>
        <w:t>Ethiopian sesame value chain: Lessons for African smallholder integration</w:t>
      </w:r>
      <w:r w:rsidRPr="0099671C">
        <w:rPr>
          <w:i/>
          <w:iCs/>
        </w:rPr>
        <w:t>. Wageningen Economic Research Report 2019-045.</w:t>
      </w:r>
    </w:p>
    <w:p w14:paraId="4AF6D2D0" w14:textId="77777777" w:rsidR="00AE6159" w:rsidRPr="0099671C" w:rsidRDefault="00AE6159" w:rsidP="0099671C">
      <w:pPr>
        <w:pStyle w:val="ds-markdown-paragraph"/>
        <w:shd w:val="clear" w:color="auto" w:fill="FFFFFF"/>
        <w:spacing w:before="0" w:beforeAutospacing="0" w:after="0" w:afterAutospacing="0"/>
        <w:jc w:val="center"/>
        <w:rPr>
          <w:i/>
          <w:iCs/>
        </w:rPr>
      </w:pPr>
      <w:proofErr w:type="spellStart"/>
      <w:r w:rsidRPr="0099671C">
        <w:rPr>
          <w:i/>
          <w:iCs/>
        </w:rPr>
        <w:t>Warislohner</w:t>
      </w:r>
      <w:proofErr w:type="spellEnd"/>
      <w:r w:rsidRPr="0099671C">
        <w:rPr>
          <w:i/>
          <w:iCs/>
        </w:rPr>
        <w:t>, L. (2025). Continental trade networks and the rise of African sesame: Opportunities for regional value chain integration. </w:t>
      </w:r>
      <w:r w:rsidRPr="0099671C">
        <w:rPr>
          <w:rStyle w:val="Emphasis"/>
          <w:rFonts w:eastAsiaTheme="majorEastAsia"/>
        </w:rPr>
        <w:t>African Journal of Agricultural and Resource Economics</w:t>
      </w:r>
      <w:r w:rsidRPr="0099671C">
        <w:rPr>
          <w:i/>
          <w:iCs/>
        </w:rPr>
        <w:t>, 20(1), 34-52.</w:t>
      </w:r>
    </w:p>
    <w:p w14:paraId="7A0259E3"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Wei, X., Liu, K., &amp; Zhang, Y. (2022). Sesame: A promising oilseed crop for sub-Saharan African agriculture. </w:t>
      </w:r>
      <w:r w:rsidRPr="0099671C">
        <w:rPr>
          <w:rStyle w:val="Emphasis"/>
          <w:rFonts w:eastAsiaTheme="majorEastAsia"/>
        </w:rPr>
        <w:t>Frontiers in Sustainable Food Systems</w:t>
      </w:r>
      <w:r w:rsidRPr="0099671C">
        <w:rPr>
          <w:i/>
          <w:iCs/>
        </w:rPr>
        <w:t>, 6, 889-904.</w:t>
      </w:r>
    </w:p>
    <w:p w14:paraId="473F61FC" w14:textId="77777777" w:rsidR="00AE6159" w:rsidRPr="0099671C" w:rsidRDefault="00AE6159" w:rsidP="0099671C">
      <w:pPr>
        <w:pStyle w:val="ds-markdown-paragraph"/>
        <w:shd w:val="clear" w:color="auto" w:fill="FFFFFF"/>
        <w:spacing w:before="0" w:beforeAutospacing="0" w:after="0" w:afterAutospacing="0"/>
        <w:jc w:val="center"/>
        <w:rPr>
          <w:i/>
          <w:iCs/>
        </w:rPr>
      </w:pPr>
      <w:r w:rsidRPr="0099671C">
        <w:rPr>
          <w:i/>
          <w:iCs/>
        </w:rPr>
        <w:t>Williamson, O. E. (1985). </w:t>
      </w:r>
      <w:r w:rsidRPr="0099671C">
        <w:rPr>
          <w:rStyle w:val="Emphasis"/>
          <w:rFonts w:eastAsiaTheme="majorEastAsia"/>
        </w:rPr>
        <w:t>The economic institutions of capitalism</w:t>
      </w:r>
      <w:r w:rsidRPr="0099671C">
        <w:rPr>
          <w:i/>
          <w:iCs/>
        </w:rPr>
        <w:t>. Free Press.</w:t>
      </w:r>
    </w:p>
    <w:p w14:paraId="281BD368" w14:textId="77777777" w:rsidR="00F8321E"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Braun, V., &amp; Clarke, V. (2006). Using thematic analysis in psychology. Qualitative Research in Psychology, 3(2), 77-101.</w:t>
      </w:r>
    </w:p>
    <w:p w14:paraId="677596E2" w14:textId="77777777" w:rsidR="00F8321E"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Chitete, M. M. N., Pangapanga-Phiri, I., Phiri, H., Chilongo, T., Kawaye-Chimseu, P., Kanyamuka, J., &amp; Chafuwa, C. (2025). Unlocking the potential of sesame in Malawi: Trends in production, productivity, and export markets. LUANAR CARD Technical Working Paper Series.</w:t>
      </w:r>
    </w:p>
    <w:p w14:paraId="79801400" w14:textId="418C2F5F" w:rsidR="00F8321E"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Creswell, J. W., &amp; Clark, V. L. P. (2017). Designing and conducting mixed methods research (3rd ed.). Sage Publications.</w:t>
      </w:r>
    </w:p>
    <w:p w14:paraId="1AD9E7E7" w14:textId="18F8B1F9"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DFID. (2015). The operational guide for the making markets work for the poor (M4P) approach (2nd ed.). Department for International Development.</w:t>
      </w:r>
    </w:p>
    <w:p w14:paraId="5288B71C" w14:textId="2E504BE7"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 xml:space="preserve">Dorward, A., Kydd, J., Poulton, C., &amp; </w:t>
      </w:r>
      <w:proofErr w:type="spellStart"/>
      <w:r w:rsidRPr="0099671C">
        <w:rPr>
          <w:rFonts w:ascii="Times New Roman" w:hAnsi="Times New Roman" w:cs="Times New Roman"/>
          <w:i/>
          <w:iCs/>
          <w:sz w:val="24"/>
          <w:szCs w:val="24"/>
        </w:rPr>
        <w:t>Bezemer</w:t>
      </w:r>
      <w:proofErr w:type="spellEnd"/>
      <w:r w:rsidRPr="0099671C">
        <w:rPr>
          <w:rFonts w:ascii="Times New Roman" w:hAnsi="Times New Roman" w:cs="Times New Roman"/>
          <w:i/>
          <w:iCs/>
          <w:sz w:val="24"/>
          <w:szCs w:val="24"/>
        </w:rPr>
        <w:t>, D. (2009). Coordination risk and cost impacts on economic development in poor rural areas. Journal of Development Studies, 45(7), 1093-1112.</w:t>
      </w:r>
    </w:p>
    <w:p w14:paraId="3BDE4242" w14:textId="1DAA829D"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FAO. (2021). The status of women in agrifood systems. Food and Agriculture Organization of the United Nations.</w:t>
      </w:r>
    </w:p>
    <w:p w14:paraId="24FB69AA" w14:textId="0277BA80"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Gebretsadik, D. (2020). Marketing chain and structure, conduct and performance of sesame: The case of Kafta Humera District, Western Zone of Tigray, Ethiopia. Asian Journal of Agricultural Extension, Economics &amp; Sociology, 38(2), 14-36.</w:t>
      </w:r>
    </w:p>
    <w:p w14:paraId="23EAC72A" w14:textId="49A00517"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Gereffi, G., Humphrey, J., &amp; Sturgeon, T. (2005). The governance of global value chains. Review of International Political Economy, 12(1), 78-104.</w:t>
      </w:r>
    </w:p>
    <w:p w14:paraId="452C95A6" w14:textId="0BA4F5EC"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Kaplinsky, R., &amp; Morris, M. (2001). A handbook for value chain research. International Development Research Centre.</w:t>
      </w:r>
    </w:p>
    <w:p w14:paraId="75F4DC9E" w14:textId="565F7453"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Kassie, G. T., Worku, Y., Bachewe, F., Asnake, W., &amp; Abate, G. (2022). Scoping study on Ethiopian sesame value chain. International Food Policy Research Institute.</w:t>
      </w:r>
    </w:p>
    <w:p w14:paraId="70A37CC2" w14:textId="08EE4509"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Khanna, T., &amp; Palepu, K. G. (2010). Winning in emerging markets: A road map for strategy and execution. Harvard Business Press.</w:t>
      </w:r>
    </w:p>
    <w:p w14:paraId="5E5FF267" w14:textId="6E2D61BE"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Kusse, K., Ermias, G., &amp; Darcho, D. (2022). Value chain analysis of sesame (Sesamum indicum L.) in South Omo Zone, Southern Ethiopia. Journal of Agricultural Science, 14(3), 45-62.</w:t>
      </w:r>
    </w:p>
    <w:p w14:paraId="26ECBD39" w14:textId="0129EE88"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Mhagama, J. K., &amp; Mmasa, J. J. (2022). Assessment of the power relations among strategic actors in the sesame value chain in Tanzania. Asian Journal of Agricultural Extension, Economics &amp; Sociology, 40(1), 30-47.</w:t>
      </w:r>
    </w:p>
    <w:p w14:paraId="787EED29" w14:textId="4D404F22"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lastRenderedPageBreak/>
        <w:t>Munyua, B., Orr, A., &amp; Okwadi, J. (2013). Open sesame: A value chain analysis of sesame marketing in Northern Uganda. ICRISAT Socioeconomics Discussion Paper Series.</w:t>
      </w:r>
    </w:p>
    <w:p w14:paraId="68446385" w14:textId="2B733033"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North, D. C. (1990). Institutions, institutional change and economic performance. Cambridge University Press.</w:t>
      </w:r>
    </w:p>
    <w:p w14:paraId="0DD2B7EB" w14:textId="74551B7D"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NSO. (2019). 2018 Malawi population and housing census main report. National Statistical Office, Zomba, Malawi.</w:t>
      </w:r>
    </w:p>
    <w:p w14:paraId="0EB8522B" w14:textId="7C7EF728" w:rsidR="00287D3D" w:rsidRPr="0099671C" w:rsidRDefault="00287D3D" w:rsidP="0099671C">
      <w:pPr>
        <w:spacing w:after="0" w:line="240" w:lineRule="auto"/>
        <w:jc w:val="center"/>
        <w:rPr>
          <w:rFonts w:ascii="Times New Roman" w:hAnsi="Times New Roman" w:cs="Times New Roman"/>
          <w:i/>
          <w:iCs/>
          <w:sz w:val="24"/>
          <w:szCs w:val="24"/>
        </w:rPr>
      </w:pPr>
      <w:proofErr w:type="spellStart"/>
      <w:r w:rsidRPr="0099671C">
        <w:rPr>
          <w:rFonts w:ascii="Times New Roman" w:hAnsi="Times New Roman" w:cs="Times New Roman"/>
          <w:i/>
          <w:iCs/>
          <w:sz w:val="24"/>
          <w:szCs w:val="24"/>
        </w:rPr>
        <w:t>Oniah</w:t>
      </w:r>
      <w:proofErr w:type="spellEnd"/>
      <w:r w:rsidRPr="0099671C">
        <w:rPr>
          <w:rFonts w:ascii="Times New Roman" w:hAnsi="Times New Roman" w:cs="Times New Roman"/>
          <w:i/>
          <w:iCs/>
          <w:sz w:val="24"/>
          <w:szCs w:val="24"/>
        </w:rPr>
        <w:t>, M. O., &amp; Edem, T. O. (2021). Costs and returns analysis of sesame production in Northern Cross River State, Nigeria. Asian Journal of Agricultural Extension, Economics &amp; Sociology, 39(10), 265-273.</w:t>
      </w:r>
    </w:p>
    <w:p w14:paraId="1B49724C" w14:textId="08BCD606"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 xml:space="preserve">Quisumbing, A. R., Rubin, D., Manfre, C., </w:t>
      </w:r>
      <w:proofErr w:type="spellStart"/>
      <w:r w:rsidRPr="0099671C">
        <w:rPr>
          <w:rFonts w:ascii="Times New Roman" w:hAnsi="Times New Roman" w:cs="Times New Roman"/>
          <w:i/>
          <w:iCs/>
          <w:sz w:val="24"/>
          <w:szCs w:val="24"/>
        </w:rPr>
        <w:t>Waithanji</w:t>
      </w:r>
      <w:proofErr w:type="spellEnd"/>
      <w:r w:rsidRPr="0099671C">
        <w:rPr>
          <w:rFonts w:ascii="Times New Roman" w:hAnsi="Times New Roman" w:cs="Times New Roman"/>
          <w:i/>
          <w:iCs/>
          <w:sz w:val="24"/>
          <w:szCs w:val="24"/>
        </w:rPr>
        <w:t xml:space="preserve">, E., van den Bold, M., Olney, D., &amp; </w:t>
      </w:r>
      <w:proofErr w:type="spellStart"/>
      <w:r w:rsidRPr="0099671C">
        <w:rPr>
          <w:rFonts w:ascii="Times New Roman" w:hAnsi="Times New Roman" w:cs="Times New Roman"/>
          <w:i/>
          <w:iCs/>
          <w:sz w:val="24"/>
          <w:szCs w:val="24"/>
        </w:rPr>
        <w:t>Meinzen</w:t>
      </w:r>
      <w:proofErr w:type="spellEnd"/>
      <w:r w:rsidRPr="0099671C">
        <w:rPr>
          <w:rFonts w:ascii="Times New Roman" w:hAnsi="Times New Roman" w:cs="Times New Roman"/>
          <w:i/>
          <w:iCs/>
          <w:sz w:val="24"/>
          <w:szCs w:val="24"/>
        </w:rPr>
        <w:t>-Dick, R. (2015). Gender, assets, and market-oriented agriculture: Learning from project experiences. IFPRI Discussion Paper 01434.</w:t>
      </w:r>
    </w:p>
    <w:p w14:paraId="3CDABA76" w14:textId="66E5D8FB"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Wei, P., Zhao, F., Wang, Z., Wang, Q., Chai, X., Hou, G., &amp; Meng, Q. (2022). Sesame (Sesamum indicum L.): A comprehensive review of nutritional value, phytochemical composition, health benefits, development of food, and industrial applications. Nutrients, 14(19), 4079.</w:t>
      </w:r>
    </w:p>
    <w:p w14:paraId="07E1D365" w14:textId="21A4752F" w:rsidR="00287D3D" w:rsidRPr="0099671C" w:rsidRDefault="00287D3D" w:rsidP="0099671C">
      <w:pPr>
        <w:spacing w:after="0" w:line="240" w:lineRule="auto"/>
        <w:jc w:val="center"/>
        <w:rPr>
          <w:rFonts w:ascii="Times New Roman" w:hAnsi="Times New Roman" w:cs="Times New Roman"/>
          <w:i/>
          <w:iCs/>
          <w:sz w:val="24"/>
          <w:szCs w:val="24"/>
        </w:rPr>
      </w:pPr>
      <w:r w:rsidRPr="0099671C">
        <w:rPr>
          <w:rFonts w:ascii="Times New Roman" w:hAnsi="Times New Roman" w:cs="Times New Roman"/>
          <w:i/>
          <w:iCs/>
          <w:sz w:val="24"/>
          <w:szCs w:val="24"/>
        </w:rPr>
        <w:t>Yamane, T. (1967). Statistics: An introductory analysis (2nd ed.). Harper and Row.</w:t>
      </w:r>
    </w:p>
    <w:p w14:paraId="7D77706D" w14:textId="435CBEC2" w:rsidR="00287D3D" w:rsidRPr="0099671C" w:rsidRDefault="00287D3D" w:rsidP="0099671C">
      <w:pPr>
        <w:spacing w:after="0"/>
        <w:jc w:val="center"/>
        <w:rPr>
          <w:rFonts w:ascii="Times New Roman" w:hAnsi="Times New Roman" w:cs="Times New Roman"/>
          <w:i/>
          <w:iCs/>
          <w:sz w:val="24"/>
          <w:szCs w:val="24"/>
        </w:rPr>
      </w:pPr>
    </w:p>
    <w:p w14:paraId="580EF4C9" w14:textId="50D1BAD4" w:rsidR="00C70486" w:rsidRPr="0099671C" w:rsidRDefault="00C70486" w:rsidP="0099671C">
      <w:pPr>
        <w:spacing w:after="0"/>
        <w:jc w:val="center"/>
        <w:rPr>
          <w:rFonts w:ascii="Times New Roman" w:hAnsi="Times New Roman" w:cs="Times New Roman"/>
          <w:i/>
          <w:iCs/>
          <w:sz w:val="24"/>
          <w:szCs w:val="24"/>
        </w:rPr>
      </w:pPr>
    </w:p>
    <w:p w14:paraId="18F941DE" w14:textId="2D6095E0" w:rsidR="00C70486" w:rsidRPr="00862A72" w:rsidRDefault="00C70486" w:rsidP="00AE6159">
      <w:pPr>
        <w:spacing w:after="0"/>
        <w:jc w:val="center"/>
        <w:rPr>
          <w:rFonts w:ascii="Times New Roman" w:hAnsi="Times New Roman" w:cs="Times New Roman"/>
          <w:i/>
          <w:iCs/>
        </w:rPr>
      </w:pPr>
    </w:p>
    <w:p w14:paraId="6D627D00" w14:textId="766265E7" w:rsidR="00C70486" w:rsidRPr="00862A72" w:rsidRDefault="00C70486" w:rsidP="00AE6159">
      <w:pPr>
        <w:spacing w:after="0"/>
        <w:jc w:val="center"/>
        <w:rPr>
          <w:rFonts w:ascii="Times New Roman" w:hAnsi="Times New Roman" w:cs="Times New Roman"/>
          <w:i/>
          <w:iCs/>
        </w:rPr>
      </w:pPr>
    </w:p>
    <w:p w14:paraId="37EC4754" w14:textId="7E793774" w:rsidR="00C70486" w:rsidRDefault="00C70486" w:rsidP="00AE6159">
      <w:pPr>
        <w:spacing w:after="0"/>
        <w:jc w:val="center"/>
        <w:rPr>
          <w:rFonts w:ascii="Times New Roman" w:hAnsi="Times New Roman" w:cs="Times New Roman"/>
          <w:i/>
          <w:iCs/>
        </w:rPr>
      </w:pPr>
    </w:p>
    <w:p w14:paraId="087C8B8C" w14:textId="77777777" w:rsidR="00422FB4" w:rsidRDefault="00422FB4" w:rsidP="00AE6159">
      <w:pPr>
        <w:spacing w:after="0"/>
        <w:jc w:val="center"/>
        <w:rPr>
          <w:rFonts w:ascii="Times New Roman" w:hAnsi="Times New Roman" w:cs="Times New Roman"/>
          <w:i/>
          <w:iCs/>
        </w:rPr>
      </w:pPr>
    </w:p>
    <w:p w14:paraId="49E7F304" w14:textId="77777777" w:rsidR="00422FB4" w:rsidRDefault="00422FB4" w:rsidP="00AE6159">
      <w:pPr>
        <w:spacing w:after="0"/>
        <w:jc w:val="center"/>
        <w:rPr>
          <w:rFonts w:ascii="Times New Roman" w:hAnsi="Times New Roman" w:cs="Times New Roman"/>
          <w:i/>
          <w:iCs/>
        </w:rPr>
      </w:pPr>
    </w:p>
    <w:p w14:paraId="7E867874" w14:textId="77777777" w:rsidR="00422FB4" w:rsidRDefault="00422FB4" w:rsidP="00AE6159">
      <w:pPr>
        <w:spacing w:after="0"/>
        <w:jc w:val="center"/>
        <w:rPr>
          <w:rFonts w:ascii="Times New Roman" w:hAnsi="Times New Roman" w:cs="Times New Roman"/>
          <w:i/>
          <w:iCs/>
        </w:rPr>
      </w:pPr>
    </w:p>
    <w:p w14:paraId="1B35723D" w14:textId="77777777" w:rsidR="00422FB4" w:rsidRDefault="00422FB4" w:rsidP="00AE6159">
      <w:pPr>
        <w:spacing w:after="0"/>
        <w:jc w:val="center"/>
        <w:rPr>
          <w:rFonts w:ascii="Times New Roman" w:hAnsi="Times New Roman" w:cs="Times New Roman"/>
          <w:i/>
          <w:iCs/>
        </w:rPr>
      </w:pPr>
    </w:p>
    <w:p w14:paraId="131E595C" w14:textId="77777777" w:rsidR="00422FB4" w:rsidRDefault="00422FB4" w:rsidP="00AE6159">
      <w:pPr>
        <w:spacing w:after="0"/>
        <w:jc w:val="center"/>
        <w:rPr>
          <w:rFonts w:ascii="Times New Roman" w:hAnsi="Times New Roman" w:cs="Times New Roman"/>
          <w:i/>
          <w:iCs/>
        </w:rPr>
      </w:pPr>
    </w:p>
    <w:p w14:paraId="358561CB" w14:textId="77777777" w:rsidR="00422FB4" w:rsidRDefault="00422FB4" w:rsidP="00AE6159">
      <w:pPr>
        <w:spacing w:after="0"/>
        <w:jc w:val="center"/>
        <w:rPr>
          <w:rFonts w:ascii="Times New Roman" w:hAnsi="Times New Roman" w:cs="Times New Roman"/>
          <w:i/>
          <w:iCs/>
        </w:rPr>
      </w:pPr>
    </w:p>
    <w:p w14:paraId="43868521" w14:textId="77777777" w:rsidR="00422FB4" w:rsidRDefault="00422FB4" w:rsidP="00AE6159">
      <w:pPr>
        <w:spacing w:after="0"/>
        <w:jc w:val="center"/>
        <w:rPr>
          <w:rFonts w:ascii="Times New Roman" w:hAnsi="Times New Roman" w:cs="Times New Roman"/>
          <w:i/>
          <w:iCs/>
        </w:rPr>
      </w:pPr>
    </w:p>
    <w:p w14:paraId="25527A27" w14:textId="77777777" w:rsidR="00422FB4" w:rsidRDefault="00422FB4" w:rsidP="00AE6159">
      <w:pPr>
        <w:spacing w:after="0"/>
        <w:jc w:val="center"/>
        <w:rPr>
          <w:rFonts w:ascii="Times New Roman" w:hAnsi="Times New Roman" w:cs="Times New Roman"/>
          <w:i/>
          <w:iCs/>
        </w:rPr>
      </w:pPr>
    </w:p>
    <w:p w14:paraId="6E82191F" w14:textId="77777777" w:rsidR="00422FB4" w:rsidRDefault="00422FB4" w:rsidP="00AE6159">
      <w:pPr>
        <w:spacing w:after="0"/>
        <w:jc w:val="center"/>
        <w:rPr>
          <w:rFonts w:ascii="Times New Roman" w:hAnsi="Times New Roman" w:cs="Times New Roman"/>
          <w:i/>
          <w:iCs/>
        </w:rPr>
      </w:pPr>
    </w:p>
    <w:p w14:paraId="042D952D" w14:textId="77777777" w:rsidR="00422FB4" w:rsidRDefault="00422FB4" w:rsidP="00AE6159">
      <w:pPr>
        <w:spacing w:after="0"/>
        <w:jc w:val="center"/>
        <w:rPr>
          <w:rFonts w:ascii="Times New Roman" w:hAnsi="Times New Roman" w:cs="Times New Roman"/>
          <w:i/>
          <w:iCs/>
        </w:rPr>
      </w:pPr>
    </w:p>
    <w:p w14:paraId="6B6EF59C" w14:textId="77777777" w:rsidR="00422FB4" w:rsidRDefault="00422FB4" w:rsidP="00AE6159">
      <w:pPr>
        <w:spacing w:after="0"/>
        <w:jc w:val="center"/>
        <w:rPr>
          <w:rFonts w:ascii="Times New Roman" w:hAnsi="Times New Roman" w:cs="Times New Roman"/>
          <w:i/>
          <w:iCs/>
        </w:rPr>
      </w:pPr>
    </w:p>
    <w:p w14:paraId="6BA7D716" w14:textId="77777777" w:rsidR="00422FB4" w:rsidRDefault="00422FB4" w:rsidP="00AE6159">
      <w:pPr>
        <w:spacing w:after="0"/>
        <w:jc w:val="center"/>
        <w:rPr>
          <w:rFonts w:ascii="Times New Roman" w:hAnsi="Times New Roman" w:cs="Times New Roman"/>
          <w:i/>
          <w:iCs/>
        </w:rPr>
      </w:pPr>
    </w:p>
    <w:p w14:paraId="31248505" w14:textId="77777777" w:rsidR="00422FB4" w:rsidRDefault="00422FB4" w:rsidP="00AE6159">
      <w:pPr>
        <w:spacing w:after="0"/>
        <w:jc w:val="center"/>
        <w:rPr>
          <w:rFonts w:ascii="Times New Roman" w:hAnsi="Times New Roman" w:cs="Times New Roman"/>
          <w:i/>
          <w:iCs/>
        </w:rPr>
      </w:pPr>
    </w:p>
    <w:p w14:paraId="366E5176" w14:textId="77777777" w:rsidR="00422FB4" w:rsidRDefault="00422FB4" w:rsidP="00AE6159">
      <w:pPr>
        <w:spacing w:after="0"/>
        <w:jc w:val="center"/>
        <w:rPr>
          <w:rFonts w:ascii="Times New Roman" w:hAnsi="Times New Roman" w:cs="Times New Roman"/>
          <w:i/>
          <w:iCs/>
        </w:rPr>
      </w:pPr>
    </w:p>
    <w:p w14:paraId="17E5F471" w14:textId="77777777" w:rsidR="00422FB4" w:rsidRDefault="00422FB4" w:rsidP="00AE6159">
      <w:pPr>
        <w:spacing w:after="0"/>
        <w:jc w:val="center"/>
        <w:rPr>
          <w:rFonts w:ascii="Times New Roman" w:hAnsi="Times New Roman" w:cs="Times New Roman"/>
          <w:i/>
          <w:iCs/>
        </w:rPr>
      </w:pPr>
    </w:p>
    <w:p w14:paraId="71030ACE" w14:textId="77777777" w:rsidR="00422FB4" w:rsidRDefault="00422FB4" w:rsidP="00AE6159">
      <w:pPr>
        <w:spacing w:after="0"/>
        <w:jc w:val="center"/>
        <w:rPr>
          <w:rFonts w:ascii="Times New Roman" w:hAnsi="Times New Roman" w:cs="Times New Roman"/>
          <w:i/>
          <w:iCs/>
        </w:rPr>
      </w:pPr>
    </w:p>
    <w:p w14:paraId="6B957D1F" w14:textId="77777777" w:rsidR="00422FB4" w:rsidRDefault="00422FB4" w:rsidP="00AE6159">
      <w:pPr>
        <w:spacing w:after="0"/>
        <w:jc w:val="center"/>
        <w:rPr>
          <w:rFonts w:ascii="Times New Roman" w:hAnsi="Times New Roman" w:cs="Times New Roman"/>
          <w:i/>
          <w:iCs/>
        </w:rPr>
      </w:pPr>
    </w:p>
    <w:p w14:paraId="24524393" w14:textId="77777777" w:rsidR="00422FB4" w:rsidRDefault="00422FB4" w:rsidP="00AE6159">
      <w:pPr>
        <w:spacing w:after="0"/>
        <w:jc w:val="center"/>
        <w:rPr>
          <w:rFonts w:ascii="Times New Roman" w:hAnsi="Times New Roman" w:cs="Times New Roman"/>
          <w:i/>
          <w:iCs/>
        </w:rPr>
      </w:pPr>
    </w:p>
    <w:p w14:paraId="5C13CF4C" w14:textId="77777777" w:rsidR="00422FB4" w:rsidRDefault="00422FB4" w:rsidP="00AE6159">
      <w:pPr>
        <w:spacing w:after="0"/>
        <w:jc w:val="center"/>
        <w:rPr>
          <w:rFonts w:ascii="Times New Roman" w:hAnsi="Times New Roman" w:cs="Times New Roman"/>
          <w:i/>
          <w:iCs/>
        </w:rPr>
      </w:pPr>
    </w:p>
    <w:p w14:paraId="68D0AF26" w14:textId="77777777" w:rsidR="00422FB4" w:rsidRDefault="00422FB4" w:rsidP="00AE6159">
      <w:pPr>
        <w:spacing w:after="0"/>
        <w:jc w:val="center"/>
        <w:rPr>
          <w:rFonts w:ascii="Times New Roman" w:hAnsi="Times New Roman" w:cs="Times New Roman"/>
          <w:i/>
          <w:iCs/>
        </w:rPr>
      </w:pPr>
    </w:p>
    <w:p w14:paraId="2195DA56" w14:textId="77777777" w:rsidR="00422FB4" w:rsidRDefault="00422FB4" w:rsidP="00AE6159">
      <w:pPr>
        <w:spacing w:after="0"/>
        <w:jc w:val="center"/>
        <w:rPr>
          <w:rFonts w:ascii="Times New Roman" w:hAnsi="Times New Roman" w:cs="Times New Roman"/>
          <w:i/>
          <w:iCs/>
        </w:rPr>
      </w:pPr>
    </w:p>
    <w:p w14:paraId="6A122152" w14:textId="77777777" w:rsidR="00422FB4" w:rsidRDefault="00422FB4" w:rsidP="00AE6159">
      <w:pPr>
        <w:spacing w:after="0"/>
        <w:jc w:val="center"/>
        <w:rPr>
          <w:rFonts w:ascii="Times New Roman" w:hAnsi="Times New Roman" w:cs="Times New Roman"/>
          <w:i/>
          <w:iCs/>
        </w:rPr>
      </w:pPr>
    </w:p>
    <w:p w14:paraId="78B28AEA" w14:textId="77777777" w:rsidR="00422FB4" w:rsidRDefault="00422FB4" w:rsidP="00AE6159">
      <w:pPr>
        <w:spacing w:after="0"/>
        <w:jc w:val="center"/>
        <w:rPr>
          <w:rFonts w:ascii="Times New Roman" w:hAnsi="Times New Roman" w:cs="Times New Roman"/>
          <w:i/>
          <w:iCs/>
        </w:rPr>
      </w:pPr>
    </w:p>
    <w:p w14:paraId="27F9322D" w14:textId="77777777" w:rsidR="00422FB4" w:rsidRDefault="00422FB4" w:rsidP="00AE6159">
      <w:pPr>
        <w:spacing w:after="0"/>
        <w:jc w:val="center"/>
        <w:rPr>
          <w:rFonts w:ascii="Times New Roman" w:hAnsi="Times New Roman" w:cs="Times New Roman"/>
          <w:i/>
          <w:iCs/>
        </w:rPr>
      </w:pPr>
    </w:p>
    <w:p w14:paraId="02775295" w14:textId="77777777" w:rsidR="00422FB4" w:rsidRDefault="00422FB4" w:rsidP="00AE6159">
      <w:pPr>
        <w:spacing w:after="0"/>
        <w:jc w:val="center"/>
        <w:rPr>
          <w:rFonts w:ascii="Times New Roman" w:hAnsi="Times New Roman" w:cs="Times New Roman"/>
          <w:i/>
          <w:iCs/>
        </w:rPr>
      </w:pPr>
    </w:p>
    <w:p w14:paraId="5E1884E1" w14:textId="77777777" w:rsidR="00422FB4" w:rsidRDefault="00422FB4" w:rsidP="00AE6159">
      <w:pPr>
        <w:spacing w:after="0"/>
        <w:jc w:val="center"/>
        <w:rPr>
          <w:rFonts w:ascii="Times New Roman" w:hAnsi="Times New Roman" w:cs="Times New Roman"/>
          <w:i/>
          <w:iCs/>
        </w:rPr>
      </w:pPr>
    </w:p>
    <w:p w14:paraId="5DFC1145" w14:textId="77777777" w:rsidR="00422FB4" w:rsidRDefault="00422FB4" w:rsidP="00AE6159">
      <w:pPr>
        <w:spacing w:after="0"/>
        <w:jc w:val="center"/>
        <w:rPr>
          <w:rFonts w:ascii="Times New Roman" w:hAnsi="Times New Roman" w:cs="Times New Roman"/>
          <w:i/>
          <w:iCs/>
        </w:rPr>
      </w:pPr>
    </w:p>
    <w:p w14:paraId="76C7D83A" w14:textId="77777777" w:rsidR="00422FB4" w:rsidRDefault="00422FB4" w:rsidP="00AE6159">
      <w:pPr>
        <w:spacing w:after="0"/>
        <w:jc w:val="center"/>
        <w:rPr>
          <w:rFonts w:ascii="Times New Roman" w:hAnsi="Times New Roman" w:cs="Times New Roman"/>
          <w:i/>
          <w:iCs/>
        </w:rPr>
      </w:pPr>
    </w:p>
    <w:p w14:paraId="1C2F9BC1" w14:textId="77777777" w:rsidR="00422FB4" w:rsidRDefault="00422FB4" w:rsidP="00AE6159">
      <w:pPr>
        <w:spacing w:after="0"/>
        <w:jc w:val="center"/>
        <w:rPr>
          <w:rFonts w:ascii="Times New Roman" w:hAnsi="Times New Roman" w:cs="Times New Roman"/>
          <w:i/>
          <w:iCs/>
        </w:rPr>
      </w:pPr>
    </w:p>
    <w:p w14:paraId="12EB25AF" w14:textId="77777777" w:rsidR="00422FB4" w:rsidRDefault="00422FB4" w:rsidP="00AE6159">
      <w:pPr>
        <w:spacing w:after="0"/>
        <w:jc w:val="center"/>
        <w:rPr>
          <w:rFonts w:ascii="Times New Roman" w:hAnsi="Times New Roman" w:cs="Times New Roman"/>
          <w:i/>
          <w:iCs/>
        </w:rPr>
      </w:pPr>
    </w:p>
    <w:p w14:paraId="331DF14E" w14:textId="77777777" w:rsidR="00422FB4" w:rsidRPr="00862A72" w:rsidRDefault="00422FB4" w:rsidP="00AE6159">
      <w:pPr>
        <w:spacing w:after="0"/>
        <w:jc w:val="center"/>
        <w:rPr>
          <w:rFonts w:ascii="Times New Roman" w:hAnsi="Times New Roman" w:cs="Times New Roman"/>
          <w:i/>
          <w:iCs/>
        </w:rPr>
      </w:pPr>
    </w:p>
    <w:p w14:paraId="0B516A75" w14:textId="4D6DD428" w:rsidR="00C70486" w:rsidRPr="00862A72" w:rsidRDefault="00C70486" w:rsidP="00AE6159">
      <w:pPr>
        <w:spacing w:after="0"/>
        <w:jc w:val="center"/>
        <w:rPr>
          <w:rFonts w:ascii="Times New Roman" w:hAnsi="Times New Roman" w:cs="Times New Roman"/>
          <w:i/>
          <w:iCs/>
        </w:rPr>
      </w:pPr>
    </w:p>
    <w:p w14:paraId="7F5BD89D" w14:textId="77777777" w:rsidR="00C70486" w:rsidRPr="00862A72" w:rsidRDefault="00C70486" w:rsidP="00C70486"/>
    <w:p w14:paraId="0191FDF8" w14:textId="77777777" w:rsidR="00C70486" w:rsidRPr="00422FB4" w:rsidRDefault="00C70486" w:rsidP="00422FB4">
      <w:pPr>
        <w:pStyle w:val="Heading1"/>
        <w:spacing w:line="360" w:lineRule="auto"/>
        <w:ind w:left="360" w:hanging="360"/>
        <w:rPr>
          <w:rFonts w:ascii="Times New Roman" w:hAnsi="Times New Roman" w:cs="Times New Roman"/>
          <w:b/>
          <w:bCs/>
          <w:color w:val="auto"/>
          <w:sz w:val="24"/>
          <w:szCs w:val="24"/>
        </w:rPr>
      </w:pPr>
      <w:r w:rsidRPr="00422FB4">
        <w:rPr>
          <w:rFonts w:ascii="Times New Roman" w:hAnsi="Times New Roman" w:cs="Times New Roman"/>
          <w:b/>
          <w:bCs/>
          <w:color w:val="auto"/>
          <w:sz w:val="24"/>
          <w:szCs w:val="24"/>
        </w:rPr>
        <w:t xml:space="preserve">Ethical statement </w:t>
      </w:r>
    </w:p>
    <w:p w14:paraId="58C8BB2E" w14:textId="77777777" w:rsidR="00C70486" w:rsidRPr="00422FB4" w:rsidRDefault="00C70486" w:rsidP="00422FB4">
      <w:pPr>
        <w:spacing w:line="360" w:lineRule="auto"/>
        <w:jc w:val="both"/>
        <w:rPr>
          <w:rFonts w:ascii="Times New Roman" w:hAnsi="Times New Roman" w:cs="Times New Roman"/>
          <w:sz w:val="24"/>
          <w:szCs w:val="24"/>
        </w:rPr>
      </w:pPr>
      <w:r w:rsidRPr="00422FB4">
        <w:rPr>
          <w:rFonts w:ascii="Times New Roman" w:hAnsi="Times New Roman" w:cs="Times New Roman"/>
          <w:sz w:val="24"/>
          <w:szCs w:val="24"/>
        </w:rPr>
        <w:t>This study was conducted in accordance with the ethical principles outlined in the Declaration of Helsinki. Participation was entirely voluntary, and informed consent was obtained from all participants prior to data collection. Participants were clearly informed about the purpose of the study, the procedures involved, and their right to withdraw at any time without any consequences. Confidentiality and anonymity were strictly maintained, and no personally identifiable information was disclosed or used beyond the purposes of this research. The study ensured respect for participants’ dignity, rights, and well-being throughout the research process.</w:t>
      </w:r>
    </w:p>
    <w:p w14:paraId="27C1B45F" w14:textId="77777777" w:rsidR="00C70486" w:rsidRPr="00422FB4" w:rsidRDefault="00C70486" w:rsidP="00422FB4">
      <w:pPr>
        <w:pStyle w:val="Heading1"/>
        <w:spacing w:line="360" w:lineRule="auto"/>
        <w:ind w:left="360" w:hanging="360"/>
        <w:rPr>
          <w:rFonts w:ascii="Times New Roman" w:hAnsi="Times New Roman" w:cs="Times New Roman"/>
          <w:b/>
          <w:bCs/>
          <w:color w:val="auto"/>
          <w:sz w:val="24"/>
          <w:szCs w:val="24"/>
        </w:rPr>
      </w:pPr>
      <w:r w:rsidRPr="00422FB4">
        <w:rPr>
          <w:rFonts w:ascii="Times New Roman" w:hAnsi="Times New Roman" w:cs="Times New Roman"/>
          <w:b/>
          <w:bCs/>
          <w:color w:val="auto"/>
          <w:sz w:val="24"/>
          <w:szCs w:val="24"/>
        </w:rPr>
        <w:t>Declaration of competing Interest</w:t>
      </w:r>
    </w:p>
    <w:p w14:paraId="4D316B97" w14:textId="77777777" w:rsidR="00C70486" w:rsidRPr="00422FB4" w:rsidRDefault="00C70486" w:rsidP="00422FB4">
      <w:pPr>
        <w:spacing w:line="360" w:lineRule="auto"/>
        <w:jc w:val="both"/>
        <w:rPr>
          <w:rFonts w:ascii="Times New Roman" w:hAnsi="Times New Roman" w:cs="Times New Roman"/>
          <w:sz w:val="24"/>
          <w:szCs w:val="24"/>
        </w:rPr>
      </w:pPr>
      <w:r w:rsidRPr="00422FB4">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p>
    <w:p w14:paraId="7BF959D7" w14:textId="77777777" w:rsidR="00C70486" w:rsidRPr="00422FB4" w:rsidRDefault="00C70486" w:rsidP="00422FB4">
      <w:pPr>
        <w:pStyle w:val="Heading1"/>
        <w:spacing w:line="360" w:lineRule="auto"/>
        <w:rPr>
          <w:rFonts w:ascii="Times New Roman" w:hAnsi="Times New Roman" w:cs="Times New Roman"/>
          <w:b/>
          <w:bCs/>
          <w:color w:val="auto"/>
          <w:sz w:val="24"/>
          <w:szCs w:val="24"/>
          <w:lang w:val="en-US"/>
        </w:rPr>
      </w:pPr>
      <w:r w:rsidRPr="00422FB4">
        <w:rPr>
          <w:rFonts w:ascii="Times New Roman" w:hAnsi="Times New Roman" w:cs="Times New Roman"/>
          <w:b/>
          <w:bCs/>
          <w:color w:val="auto"/>
          <w:sz w:val="24"/>
          <w:szCs w:val="24"/>
          <w:lang w:val="en-US"/>
        </w:rPr>
        <w:t>Availability of data and materials</w:t>
      </w:r>
    </w:p>
    <w:p w14:paraId="27F89314" w14:textId="77777777" w:rsidR="00C70486" w:rsidRPr="00422FB4" w:rsidRDefault="00C70486" w:rsidP="00422FB4">
      <w:pPr>
        <w:spacing w:line="360" w:lineRule="auto"/>
        <w:rPr>
          <w:rFonts w:ascii="Times New Roman" w:hAnsi="Times New Roman" w:cs="Times New Roman"/>
          <w:sz w:val="24"/>
          <w:szCs w:val="24"/>
          <w:lang w:val="en-US"/>
        </w:rPr>
      </w:pPr>
      <w:r w:rsidRPr="00422FB4">
        <w:rPr>
          <w:rFonts w:ascii="Times New Roman" w:hAnsi="Times New Roman" w:cs="Times New Roman"/>
          <w:sz w:val="24"/>
          <w:szCs w:val="24"/>
          <w:lang w:val="en-US"/>
        </w:rPr>
        <w:t>The datasets used and/or analyzed during the current study are available from the corresponding author on reasonable request.</w:t>
      </w:r>
    </w:p>
    <w:p w14:paraId="73A999A7" w14:textId="77777777" w:rsidR="00422FB4" w:rsidRPr="00422FB4" w:rsidRDefault="00422FB4" w:rsidP="00422FB4">
      <w:pPr>
        <w:spacing w:line="360" w:lineRule="auto"/>
        <w:rPr>
          <w:rFonts w:ascii="Times New Roman" w:hAnsi="Times New Roman" w:cs="Times New Roman"/>
          <w:b/>
          <w:bCs/>
          <w:sz w:val="24"/>
          <w:szCs w:val="24"/>
        </w:rPr>
      </w:pPr>
      <w:r w:rsidRPr="00422FB4">
        <w:rPr>
          <w:rFonts w:ascii="Times New Roman" w:hAnsi="Times New Roman" w:cs="Times New Roman"/>
          <w:b/>
          <w:bCs/>
          <w:sz w:val="24"/>
          <w:szCs w:val="24"/>
        </w:rPr>
        <w:t>Funding</w:t>
      </w:r>
    </w:p>
    <w:p w14:paraId="4C789C05" w14:textId="77777777" w:rsidR="00422FB4" w:rsidRPr="00422FB4" w:rsidRDefault="00422FB4" w:rsidP="00422FB4">
      <w:pPr>
        <w:spacing w:line="360" w:lineRule="auto"/>
        <w:rPr>
          <w:rFonts w:ascii="Times New Roman" w:hAnsi="Times New Roman" w:cs="Times New Roman"/>
          <w:sz w:val="24"/>
          <w:szCs w:val="24"/>
        </w:rPr>
      </w:pPr>
      <w:r w:rsidRPr="00422FB4">
        <w:rPr>
          <w:rFonts w:ascii="Times New Roman" w:hAnsi="Times New Roman" w:cs="Times New Roman"/>
          <w:sz w:val="24"/>
          <w:szCs w:val="24"/>
        </w:rPr>
        <w:t>The authors declare that no financial support, grant, or funding was received for the research, authorship, and/or publication of this article.</w:t>
      </w:r>
    </w:p>
    <w:p w14:paraId="4A064B80" w14:textId="77777777" w:rsidR="00422FB4" w:rsidRPr="00422FB4" w:rsidRDefault="00422FB4" w:rsidP="00422FB4">
      <w:pPr>
        <w:spacing w:line="360" w:lineRule="auto"/>
        <w:rPr>
          <w:rFonts w:ascii="Times New Roman" w:hAnsi="Times New Roman" w:cs="Times New Roman"/>
          <w:sz w:val="24"/>
          <w:szCs w:val="24"/>
        </w:rPr>
      </w:pPr>
      <w:r w:rsidRPr="00422FB4">
        <w:rPr>
          <w:rFonts w:ascii="Times New Roman" w:hAnsi="Times New Roman" w:cs="Times New Roman"/>
          <w:sz w:val="24"/>
          <w:szCs w:val="24"/>
        </w:rPr>
        <w:t>And for the clinical trial requirement:</w:t>
      </w:r>
    </w:p>
    <w:p w14:paraId="6E8B459D" w14:textId="77777777" w:rsidR="00422FB4" w:rsidRPr="00422FB4" w:rsidRDefault="00422FB4" w:rsidP="00422FB4">
      <w:pPr>
        <w:spacing w:line="360" w:lineRule="auto"/>
        <w:rPr>
          <w:rFonts w:ascii="Times New Roman" w:hAnsi="Times New Roman" w:cs="Times New Roman"/>
          <w:b/>
          <w:bCs/>
          <w:sz w:val="24"/>
          <w:szCs w:val="24"/>
        </w:rPr>
      </w:pPr>
      <w:r w:rsidRPr="00422FB4">
        <w:rPr>
          <w:rFonts w:ascii="Times New Roman" w:hAnsi="Times New Roman" w:cs="Times New Roman"/>
          <w:b/>
          <w:bCs/>
          <w:sz w:val="24"/>
          <w:szCs w:val="24"/>
        </w:rPr>
        <w:t>Clinical Trial Number</w:t>
      </w:r>
    </w:p>
    <w:p w14:paraId="6FFA8940" w14:textId="77777777" w:rsidR="00422FB4" w:rsidRPr="00422FB4" w:rsidRDefault="00422FB4" w:rsidP="00422FB4">
      <w:pPr>
        <w:spacing w:line="360" w:lineRule="auto"/>
        <w:rPr>
          <w:rFonts w:ascii="Times New Roman" w:hAnsi="Times New Roman" w:cs="Times New Roman"/>
          <w:sz w:val="24"/>
          <w:szCs w:val="24"/>
        </w:rPr>
      </w:pPr>
      <w:r w:rsidRPr="00422FB4">
        <w:rPr>
          <w:rFonts w:ascii="Times New Roman" w:hAnsi="Times New Roman" w:cs="Times New Roman"/>
          <w:sz w:val="24"/>
          <w:szCs w:val="24"/>
        </w:rPr>
        <w:t>Not applicable.</w:t>
      </w:r>
    </w:p>
    <w:p w14:paraId="1F7C5DFA" w14:textId="77777777" w:rsidR="00422FB4" w:rsidRPr="00862A72" w:rsidRDefault="00422FB4" w:rsidP="00C70486">
      <w:pPr>
        <w:spacing w:line="360" w:lineRule="auto"/>
        <w:rPr>
          <w:rFonts w:ascii="Times New Roman" w:hAnsi="Times New Roman" w:cs="Times New Roman"/>
          <w:lang w:val="en-US"/>
        </w:rPr>
      </w:pPr>
    </w:p>
    <w:p w14:paraId="355086AF" w14:textId="77777777" w:rsidR="00C70486" w:rsidRPr="00862A72" w:rsidRDefault="00C70486" w:rsidP="00C70486">
      <w:pPr>
        <w:spacing w:after="0"/>
        <w:rPr>
          <w:rFonts w:ascii="Times New Roman" w:hAnsi="Times New Roman" w:cs="Times New Roman"/>
          <w:i/>
          <w:iCs/>
        </w:rPr>
      </w:pPr>
    </w:p>
    <w:sectPr w:rsidR="00C70486" w:rsidRPr="00862A7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1E190" w14:textId="77777777" w:rsidR="009264FB" w:rsidRDefault="009264FB" w:rsidP="00AE6159">
      <w:pPr>
        <w:spacing w:after="0" w:line="240" w:lineRule="auto"/>
      </w:pPr>
      <w:r>
        <w:separator/>
      </w:r>
    </w:p>
  </w:endnote>
  <w:endnote w:type="continuationSeparator" w:id="0">
    <w:p w14:paraId="62239DD8" w14:textId="77777777" w:rsidR="009264FB" w:rsidRDefault="009264FB" w:rsidP="00AE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014956"/>
      <w:docPartObj>
        <w:docPartGallery w:val="Page Numbers (Bottom of Page)"/>
        <w:docPartUnique/>
      </w:docPartObj>
    </w:sdtPr>
    <w:sdtEndPr>
      <w:rPr>
        <w:color w:val="7F7F7F" w:themeColor="background1" w:themeShade="7F"/>
        <w:spacing w:val="60"/>
      </w:rPr>
    </w:sdtEndPr>
    <w:sdtContent>
      <w:p w14:paraId="22577C8D" w14:textId="0DF7DB43" w:rsidR="00AE6159" w:rsidRDefault="00AE615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0100A" w:rsidRPr="0010100A">
          <w:rPr>
            <w:b/>
            <w:bCs/>
            <w:noProof/>
          </w:rPr>
          <w:t>19</w:t>
        </w:r>
        <w:r>
          <w:rPr>
            <w:b/>
            <w:bCs/>
            <w:noProof/>
          </w:rPr>
          <w:fldChar w:fldCharType="end"/>
        </w:r>
        <w:r>
          <w:rPr>
            <w:b/>
            <w:bCs/>
          </w:rPr>
          <w:t xml:space="preserve"> | </w:t>
        </w:r>
        <w:r>
          <w:rPr>
            <w:color w:val="7F7F7F" w:themeColor="background1" w:themeShade="7F"/>
            <w:spacing w:val="60"/>
          </w:rPr>
          <w:t>Page</w:t>
        </w:r>
      </w:p>
    </w:sdtContent>
  </w:sdt>
  <w:p w14:paraId="766E3556" w14:textId="77777777" w:rsidR="00AE6159" w:rsidRDefault="00AE6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0C91E" w14:textId="77777777" w:rsidR="009264FB" w:rsidRDefault="009264FB" w:rsidP="00AE6159">
      <w:pPr>
        <w:spacing w:after="0" w:line="240" w:lineRule="auto"/>
      </w:pPr>
      <w:r>
        <w:separator/>
      </w:r>
    </w:p>
  </w:footnote>
  <w:footnote w:type="continuationSeparator" w:id="0">
    <w:p w14:paraId="3C63E609" w14:textId="77777777" w:rsidR="009264FB" w:rsidRDefault="009264FB" w:rsidP="00AE61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0C8E"/>
    <w:multiLevelType w:val="hybridMultilevel"/>
    <w:tmpl w:val="BCEC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8A389E"/>
    <w:multiLevelType w:val="hybridMultilevel"/>
    <w:tmpl w:val="3432E4E2"/>
    <w:lvl w:ilvl="0" w:tplc="A188665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B3371"/>
    <w:multiLevelType w:val="hybridMultilevel"/>
    <w:tmpl w:val="811E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CF713F"/>
    <w:multiLevelType w:val="hybridMultilevel"/>
    <w:tmpl w:val="65DAC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C0059D"/>
    <w:multiLevelType w:val="hybridMultilevel"/>
    <w:tmpl w:val="457AC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4209E7"/>
    <w:multiLevelType w:val="multilevel"/>
    <w:tmpl w:val="40B4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A2444D"/>
    <w:multiLevelType w:val="hybridMultilevel"/>
    <w:tmpl w:val="15D8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1F5AE5"/>
    <w:multiLevelType w:val="hybridMultilevel"/>
    <w:tmpl w:val="00901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29F210D"/>
    <w:multiLevelType w:val="hybridMultilevel"/>
    <w:tmpl w:val="D39C7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60B2863"/>
    <w:multiLevelType w:val="hybridMultilevel"/>
    <w:tmpl w:val="0CF0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6A66AC"/>
    <w:multiLevelType w:val="hybridMultilevel"/>
    <w:tmpl w:val="3CDAF5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5EE3666B"/>
    <w:multiLevelType w:val="hybridMultilevel"/>
    <w:tmpl w:val="ADF6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B02CED"/>
    <w:multiLevelType w:val="hybridMultilevel"/>
    <w:tmpl w:val="5710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2543EB"/>
    <w:multiLevelType w:val="hybridMultilevel"/>
    <w:tmpl w:val="88BA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8E7EF2"/>
    <w:multiLevelType w:val="multilevel"/>
    <w:tmpl w:val="5A827ED0"/>
    <w:lvl w:ilvl="0">
      <w:start w:val="1"/>
      <w:numFmt w:val="decimal"/>
      <w:lvlText w:val="%1."/>
      <w:lvlJc w:val="left"/>
      <w:pPr>
        <w:ind w:left="720" w:hanging="360"/>
      </w:pPr>
      <w:rPr>
        <w:rFonts w:hint="default"/>
      </w:rPr>
    </w:lvl>
    <w:lvl w:ilvl="1">
      <w:start w:val="5"/>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b/>
        <w:bCs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6BC37860"/>
    <w:multiLevelType w:val="hybridMultilevel"/>
    <w:tmpl w:val="7D1C1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A295AAC"/>
    <w:multiLevelType w:val="hybridMultilevel"/>
    <w:tmpl w:val="90B28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2"/>
  </w:num>
  <w:num w:numId="4">
    <w:abstractNumId w:val="1"/>
  </w:num>
  <w:num w:numId="5">
    <w:abstractNumId w:val="10"/>
  </w:num>
  <w:num w:numId="6">
    <w:abstractNumId w:val="13"/>
  </w:num>
  <w:num w:numId="7">
    <w:abstractNumId w:val="7"/>
  </w:num>
  <w:num w:numId="8">
    <w:abstractNumId w:val="0"/>
  </w:num>
  <w:num w:numId="9">
    <w:abstractNumId w:val="3"/>
  </w:num>
  <w:num w:numId="10">
    <w:abstractNumId w:val="12"/>
  </w:num>
  <w:num w:numId="11">
    <w:abstractNumId w:val="16"/>
  </w:num>
  <w:num w:numId="12">
    <w:abstractNumId w:val="6"/>
  </w:num>
  <w:num w:numId="13">
    <w:abstractNumId w:val="8"/>
  </w:num>
  <w:num w:numId="14">
    <w:abstractNumId w:val="11"/>
  </w:num>
  <w:num w:numId="15">
    <w:abstractNumId w:val="4"/>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D3D"/>
    <w:rsid w:val="00002263"/>
    <w:rsid w:val="00013B0A"/>
    <w:rsid w:val="00035A63"/>
    <w:rsid w:val="00091DF1"/>
    <w:rsid w:val="000B48F1"/>
    <w:rsid w:val="000F581C"/>
    <w:rsid w:val="0010100A"/>
    <w:rsid w:val="0013477F"/>
    <w:rsid w:val="00155220"/>
    <w:rsid w:val="0017730A"/>
    <w:rsid w:val="001A556B"/>
    <w:rsid w:val="001D4B39"/>
    <w:rsid w:val="001E0658"/>
    <w:rsid w:val="002022A0"/>
    <w:rsid w:val="00224F7A"/>
    <w:rsid w:val="00235140"/>
    <w:rsid w:val="00260706"/>
    <w:rsid w:val="00273D81"/>
    <w:rsid w:val="00287D3D"/>
    <w:rsid w:val="002A2DB9"/>
    <w:rsid w:val="002A34B6"/>
    <w:rsid w:val="002A46F0"/>
    <w:rsid w:val="002D2E93"/>
    <w:rsid w:val="003051AA"/>
    <w:rsid w:val="00362C15"/>
    <w:rsid w:val="00366F49"/>
    <w:rsid w:val="003852FF"/>
    <w:rsid w:val="003B42F5"/>
    <w:rsid w:val="003C62B8"/>
    <w:rsid w:val="004015A9"/>
    <w:rsid w:val="00403812"/>
    <w:rsid w:val="004228F7"/>
    <w:rsid w:val="00422FB4"/>
    <w:rsid w:val="0044407D"/>
    <w:rsid w:val="00480229"/>
    <w:rsid w:val="00480706"/>
    <w:rsid w:val="004D5160"/>
    <w:rsid w:val="004D6582"/>
    <w:rsid w:val="0050678B"/>
    <w:rsid w:val="0053538A"/>
    <w:rsid w:val="00546CE1"/>
    <w:rsid w:val="0055711C"/>
    <w:rsid w:val="00590431"/>
    <w:rsid w:val="0063098D"/>
    <w:rsid w:val="00632755"/>
    <w:rsid w:val="006A233D"/>
    <w:rsid w:val="006A3843"/>
    <w:rsid w:val="006D7016"/>
    <w:rsid w:val="006E13BA"/>
    <w:rsid w:val="00702763"/>
    <w:rsid w:val="00755AF2"/>
    <w:rsid w:val="007F4AC2"/>
    <w:rsid w:val="00814E14"/>
    <w:rsid w:val="00862A72"/>
    <w:rsid w:val="0087204A"/>
    <w:rsid w:val="008878BA"/>
    <w:rsid w:val="008A60F4"/>
    <w:rsid w:val="009143E4"/>
    <w:rsid w:val="009173F9"/>
    <w:rsid w:val="009264FB"/>
    <w:rsid w:val="00942766"/>
    <w:rsid w:val="00974BEA"/>
    <w:rsid w:val="0099671C"/>
    <w:rsid w:val="009A44BC"/>
    <w:rsid w:val="009C5253"/>
    <w:rsid w:val="009D071C"/>
    <w:rsid w:val="00A14449"/>
    <w:rsid w:val="00A36523"/>
    <w:rsid w:val="00A37F9F"/>
    <w:rsid w:val="00A428B1"/>
    <w:rsid w:val="00AA7185"/>
    <w:rsid w:val="00AB5558"/>
    <w:rsid w:val="00AD00B8"/>
    <w:rsid w:val="00AD63C7"/>
    <w:rsid w:val="00AE6159"/>
    <w:rsid w:val="00AF3B8B"/>
    <w:rsid w:val="00B33624"/>
    <w:rsid w:val="00B36D5F"/>
    <w:rsid w:val="00B5613E"/>
    <w:rsid w:val="00B703A8"/>
    <w:rsid w:val="00BA23CC"/>
    <w:rsid w:val="00BB3CB0"/>
    <w:rsid w:val="00BC3695"/>
    <w:rsid w:val="00C44919"/>
    <w:rsid w:val="00C47192"/>
    <w:rsid w:val="00C64A74"/>
    <w:rsid w:val="00C662F0"/>
    <w:rsid w:val="00C70486"/>
    <w:rsid w:val="00CA2F3A"/>
    <w:rsid w:val="00CA3CED"/>
    <w:rsid w:val="00CA579D"/>
    <w:rsid w:val="00CC0F6F"/>
    <w:rsid w:val="00CC2389"/>
    <w:rsid w:val="00CD1FC8"/>
    <w:rsid w:val="00CF0BE5"/>
    <w:rsid w:val="00D10BF5"/>
    <w:rsid w:val="00D43D15"/>
    <w:rsid w:val="00DE387D"/>
    <w:rsid w:val="00E0667D"/>
    <w:rsid w:val="00E56306"/>
    <w:rsid w:val="00ED509B"/>
    <w:rsid w:val="00F231D3"/>
    <w:rsid w:val="00F30E87"/>
    <w:rsid w:val="00F407AF"/>
    <w:rsid w:val="00F8321E"/>
    <w:rsid w:val="00FA5949"/>
    <w:rsid w:val="00FE2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2C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62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A14449"/>
    <w:pPr>
      <w:keepNext/>
      <w:keepLines/>
      <w:spacing w:after="0"/>
      <w:outlineLvl w:val="2"/>
    </w:pPr>
    <w:rPr>
      <w:rFonts w:ascii="Times New Roman" w:eastAsiaTheme="majorEastAsia" w:hAnsi="Times New Roman" w:cs="Times New Roman"/>
      <w:b/>
      <w:iCs/>
      <w:sz w:val="24"/>
      <w:szCs w:val="24"/>
    </w:rPr>
  </w:style>
  <w:style w:type="paragraph" w:styleId="Heading4">
    <w:name w:val="heading 4"/>
    <w:basedOn w:val="Normal"/>
    <w:next w:val="Normal"/>
    <w:link w:val="Heading4Char"/>
    <w:uiPriority w:val="9"/>
    <w:unhideWhenUsed/>
    <w:qFormat/>
    <w:rsid w:val="00AD00B8"/>
    <w:pPr>
      <w:keepNext/>
      <w:keepLines/>
      <w:spacing w:before="40" w:after="0"/>
      <w:outlineLvl w:val="3"/>
    </w:pPr>
    <w:rPr>
      <w:rFonts w:asciiTheme="majorHAnsi" w:eastAsiaTheme="majorEastAsia" w:hAnsiTheme="majorHAnsi" w:cstheme="majorBidi"/>
      <w:b/>
      <w:iCs/>
      <w:color w:val="2F5496" w:themeColor="accent1" w:themeShade="BF"/>
    </w:rPr>
  </w:style>
  <w:style w:type="paragraph" w:styleId="Heading5">
    <w:name w:val="heading 5"/>
    <w:basedOn w:val="Normal"/>
    <w:next w:val="Normal"/>
    <w:link w:val="Heading5Char"/>
    <w:uiPriority w:val="9"/>
    <w:unhideWhenUsed/>
    <w:qFormat/>
    <w:rsid w:val="00035A6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C1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C62B8"/>
    <w:pPr>
      <w:ind w:left="720"/>
      <w:contextualSpacing/>
    </w:pPr>
  </w:style>
  <w:style w:type="character" w:customStyle="1" w:styleId="Heading2Char">
    <w:name w:val="Heading 2 Char"/>
    <w:basedOn w:val="DefaultParagraphFont"/>
    <w:link w:val="Heading2"/>
    <w:uiPriority w:val="9"/>
    <w:rsid w:val="003C62B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E13BA"/>
    <w:rPr>
      <w:b/>
      <w:bCs/>
    </w:rPr>
  </w:style>
  <w:style w:type="table" w:styleId="TableGrid">
    <w:name w:val="Table Grid"/>
    <w:basedOn w:val="TableNormal"/>
    <w:uiPriority w:val="39"/>
    <w:rsid w:val="006E1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E13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A14449"/>
    <w:rPr>
      <w:rFonts w:ascii="Times New Roman" w:eastAsiaTheme="majorEastAsia" w:hAnsi="Times New Roman" w:cs="Times New Roman"/>
      <w:b/>
      <w:iCs/>
      <w:sz w:val="24"/>
      <w:szCs w:val="24"/>
    </w:rPr>
  </w:style>
  <w:style w:type="character" w:customStyle="1" w:styleId="Heading4Char">
    <w:name w:val="Heading 4 Char"/>
    <w:basedOn w:val="DefaultParagraphFont"/>
    <w:link w:val="Heading4"/>
    <w:uiPriority w:val="9"/>
    <w:rsid w:val="00AD00B8"/>
    <w:rPr>
      <w:rFonts w:asciiTheme="majorHAnsi" w:eastAsiaTheme="majorEastAsia" w:hAnsiTheme="majorHAnsi" w:cstheme="majorBidi"/>
      <w:b/>
      <w:iCs/>
      <w:color w:val="2F5496" w:themeColor="accent1" w:themeShade="BF"/>
    </w:rPr>
  </w:style>
  <w:style w:type="character" w:styleId="Emphasis">
    <w:name w:val="Emphasis"/>
    <w:basedOn w:val="DefaultParagraphFont"/>
    <w:uiPriority w:val="20"/>
    <w:qFormat/>
    <w:rsid w:val="00546CE1"/>
    <w:rPr>
      <w:i/>
      <w:iCs/>
    </w:rPr>
  </w:style>
  <w:style w:type="paragraph" w:customStyle="1" w:styleId="ds-markdown-paragraph">
    <w:name w:val="ds-markdown-paragraph"/>
    <w:basedOn w:val="Normal"/>
    <w:rsid w:val="009A44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035A63"/>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AE6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159"/>
  </w:style>
  <w:style w:type="paragraph" w:styleId="Footer">
    <w:name w:val="footer"/>
    <w:basedOn w:val="Normal"/>
    <w:link w:val="FooterChar"/>
    <w:uiPriority w:val="99"/>
    <w:unhideWhenUsed/>
    <w:rsid w:val="00AE6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159"/>
  </w:style>
  <w:style w:type="character" w:styleId="Hyperlink">
    <w:name w:val="Hyperlink"/>
    <w:uiPriority w:val="99"/>
    <w:unhideWhenUsed/>
    <w:rsid w:val="001D4B3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2C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62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A14449"/>
    <w:pPr>
      <w:keepNext/>
      <w:keepLines/>
      <w:spacing w:after="0"/>
      <w:outlineLvl w:val="2"/>
    </w:pPr>
    <w:rPr>
      <w:rFonts w:ascii="Times New Roman" w:eastAsiaTheme="majorEastAsia" w:hAnsi="Times New Roman" w:cs="Times New Roman"/>
      <w:b/>
      <w:iCs/>
      <w:sz w:val="24"/>
      <w:szCs w:val="24"/>
    </w:rPr>
  </w:style>
  <w:style w:type="paragraph" w:styleId="Heading4">
    <w:name w:val="heading 4"/>
    <w:basedOn w:val="Normal"/>
    <w:next w:val="Normal"/>
    <w:link w:val="Heading4Char"/>
    <w:uiPriority w:val="9"/>
    <w:unhideWhenUsed/>
    <w:qFormat/>
    <w:rsid w:val="00AD00B8"/>
    <w:pPr>
      <w:keepNext/>
      <w:keepLines/>
      <w:spacing w:before="40" w:after="0"/>
      <w:outlineLvl w:val="3"/>
    </w:pPr>
    <w:rPr>
      <w:rFonts w:asciiTheme="majorHAnsi" w:eastAsiaTheme="majorEastAsia" w:hAnsiTheme="majorHAnsi" w:cstheme="majorBidi"/>
      <w:b/>
      <w:iCs/>
      <w:color w:val="2F5496" w:themeColor="accent1" w:themeShade="BF"/>
    </w:rPr>
  </w:style>
  <w:style w:type="paragraph" w:styleId="Heading5">
    <w:name w:val="heading 5"/>
    <w:basedOn w:val="Normal"/>
    <w:next w:val="Normal"/>
    <w:link w:val="Heading5Char"/>
    <w:uiPriority w:val="9"/>
    <w:unhideWhenUsed/>
    <w:qFormat/>
    <w:rsid w:val="00035A6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C1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C62B8"/>
    <w:pPr>
      <w:ind w:left="720"/>
      <w:contextualSpacing/>
    </w:pPr>
  </w:style>
  <w:style w:type="character" w:customStyle="1" w:styleId="Heading2Char">
    <w:name w:val="Heading 2 Char"/>
    <w:basedOn w:val="DefaultParagraphFont"/>
    <w:link w:val="Heading2"/>
    <w:uiPriority w:val="9"/>
    <w:rsid w:val="003C62B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E13BA"/>
    <w:rPr>
      <w:b/>
      <w:bCs/>
    </w:rPr>
  </w:style>
  <w:style w:type="table" w:styleId="TableGrid">
    <w:name w:val="Table Grid"/>
    <w:basedOn w:val="TableNormal"/>
    <w:uiPriority w:val="39"/>
    <w:rsid w:val="006E1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E13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A14449"/>
    <w:rPr>
      <w:rFonts w:ascii="Times New Roman" w:eastAsiaTheme="majorEastAsia" w:hAnsi="Times New Roman" w:cs="Times New Roman"/>
      <w:b/>
      <w:iCs/>
      <w:sz w:val="24"/>
      <w:szCs w:val="24"/>
    </w:rPr>
  </w:style>
  <w:style w:type="character" w:customStyle="1" w:styleId="Heading4Char">
    <w:name w:val="Heading 4 Char"/>
    <w:basedOn w:val="DefaultParagraphFont"/>
    <w:link w:val="Heading4"/>
    <w:uiPriority w:val="9"/>
    <w:rsid w:val="00AD00B8"/>
    <w:rPr>
      <w:rFonts w:asciiTheme="majorHAnsi" w:eastAsiaTheme="majorEastAsia" w:hAnsiTheme="majorHAnsi" w:cstheme="majorBidi"/>
      <w:b/>
      <w:iCs/>
      <w:color w:val="2F5496" w:themeColor="accent1" w:themeShade="BF"/>
    </w:rPr>
  </w:style>
  <w:style w:type="character" w:styleId="Emphasis">
    <w:name w:val="Emphasis"/>
    <w:basedOn w:val="DefaultParagraphFont"/>
    <w:uiPriority w:val="20"/>
    <w:qFormat/>
    <w:rsid w:val="00546CE1"/>
    <w:rPr>
      <w:i/>
      <w:iCs/>
    </w:rPr>
  </w:style>
  <w:style w:type="paragraph" w:customStyle="1" w:styleId="ds-markdown-paragraph">
    <w:name w:val="ds-markdown-paragraph"/>
    <w:basedOn w:val="Normal"/>
    <w:rsid w:val="009A44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035A63"/>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AE6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159"/>
  </w:style>
  <w:style w:type="paragraph" w:styleId="Footer">
    <w:name w:val="footer"/>
    <w:basedOn w:val="Normal"/>
    <w:link w:val="FooterChar"/>
    <w:uiPriority w:val="99"/>
    <w:unhideWhenUsed/>
    <w:rsid w:val="00AE6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159"/>
  </w:style>
  <w:style w:type="character" w:styleId="Hyperlink">
    <w:name w:val="Hyperlink"/>
    <w:uiPriority w:val="99"/>
    <w:unhideWhenUsed/>
    <w:rsid w:val="001D4B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6801">
      <w:bodyDiv w:val="1"/>
      <w:marLeft w:val="0"/>
      <w:marRight w:val="0"/>
      <w:marTop w:val="0"/>
      <w:marBottom w:val="0"/>
      <w:divBdr>
        <w:top w:val="none" w:sz="0" w:space="0" w:color="auto"/>
        <w:left w:val="none" w:sz="0" w:space="0" w:color="auto"/>
        <w:bottom w:val="none" w:sz="0" w:space="0" w:color="auto"/>
        <w:right w:val="none" w:sz="0" w:space="0" w:color="auto"/>
      </w:divBdr>
    </w:div>
    <w:div w:id="293221927">
      <w:bodyDiv w:val="1"/>
      <w:marLeft w:val="0"/>
      <w:marRight w:val="0"/>
      <w:marTop w:val="0"/>
      <w:marBottom w:val="0"/>
      <w:divBdr>
        <w:top w:val="none" w:sz="0" w:space="0" w:color="auto"/>
        <w:left w:val="none" w:sz="0" w:space="0" w:color="auto"/>
        <w:bottom w:val="none" w:sz="0" w:space="0" w:color="auto"/>
        <w:right w:val="none" w:sz="0" w:space="0" w:color="auto"/>
      </w:divBdr>
    </w:div>
    <w:div w:id="456946612">
      <w:bodyDiv w:val="1"/>
      <w:marLeft w:val="0"/>
      <w:marRight w:val="0"/>
      <w:marTop w:val="0"/>
      <w:marBottom w:val="0"/>
      <w:divBdr>
        <w:top w:val="none" w:sz="0" w:space="0" w:color="auto"/>
        <w:left w:val="none" w:sz="0" w:space="0" w:color="auto"/>
        <w:bottom w:val="none" w:sz="0" w:space="0" w:color="auto"/>
        <w:right w:val="none" w:sz="0" w:space="0" w:color="auto"/>
      </w:divBdr>
    </w:div>
    <w:div w:id="559829258">
      <w:bodyDiv w:val="1"/>
      <w:marLeft w:val="0"/>
      <w:marRight w:val="0"/>
      <w:marTop w:val="0"/>
      <w:marBottom w:val="0"/>
      <w:divBdr>
        <w:top w:val="none" w:sz="0" w:space="0" w:color="auto"/>
        <w:left w:val="none" w:sz="0" w:space="0" w:color="auto"/>
        <w:bottom w:val="none" w:sz="0" w:space="0" w:color="auto"/>
        <w:right w:val="none" w:sz="0" w:space="0" w:color="auto"/>
      </w:divBdr>
    </w:div>
    <w:div w:id="624893775">
      <w:bodyDiv w:val="1"/>
      <w:marLeft w:val="0"/>
      <w:marRight w:val="0"/>
      <w:marTop w:val="0"/>
      <w:marBottom w:val="0"/>
      <w:divBdr>
        <w:top w:val="none" w:sz="0" w:space="0" w:color="auto"/>
        <w:left w:val="none" w:sz="0" w:space="0" w:color="auto"/>
        <w:bottom w:val="none" w:sz="0" w:space="0" w:color="auto"/>
        <w:right w:val="none" w:sz="0" w:space="0" w:color="auto"/>
      </w:divBdr>
    </w:div>
    <w:div w:id="728764976">
      <w:bodyDiv w:val="1"/>
      <w:marLeft w:val="0"/>
      <w:marRight w:val="0"/>
      <w:marTop w:val="0"/>
      <w:marBottom w:val="0"/>
      <w:divBdr>
        <w:top w:val="none" w:sz="0" w:space="0" w:color="auto"/>
        <w:left w:val="none" w:sz="0" w:space="0" w:color="auto"/>
        <w:bottom w:val="none" w:sz="0" w:space="0" w:color="auto"/>
        <w:right w:val="none" w:sz="0" w:space="0" w:color="auto"/>
      </w:divBdr>
    </w:div>
    <w:div w:id="818308662">
      <w:bodyDiv w:val="1"/>
      <w:marLeft w:val="0"/>
      <w:marRight w:val="0"/>
      <w:marTop w:val="0"/>
      <w:marBottom w:val="0"/>
      <w:divBdr>
        <w:top w:val="none" w:sz="0" w:space="0" w:color="auto"/>
        <w:left w:val="none" w:sz="0" w:space="0" w:color="auto"/>
        <w:bottom w:val="none" w:sz="0" w:space="0" w:color="auto"/>
        <w:right w:val="none" w:sz="0" w:space="0" w:color="auto"/>
      </w:divBdr>
    </w:div>
    <w:div w:id="826165104">
      <w:bodyDiv w:val="1"/>
      <w:marLeft w:val="0"/>
      <w:marRight w:val="0"/>
      <w:marTop w:val="0"/>
      <w:marBottom w:val="0"/>
      <w:divBdr>
        <w:top w:val="none" w:sz="0" w:space="0" w:color="auto"/>
        <w:left w:val="none" w:sz="0" w:space="0" w:color="auto"/>
        <w:bottom w:val="none" w:sz="0" w:space="0" w:color="auto"/>
        <w:right w:val="none" w:sz="0" w:space="0" w:color="auto"/>
      </w:divBdr>
    </w:div>
    <w:div w:id="839347273">
      <w:bodyDiv w:val="1"/>
      <w:marLeft w:val="0"/>
      <w:marRight w:val="0"/>
      <w:marTop w:val="0"/>
      <w:marBottom w:val="0"/>
      <w:divBdr>
        <w:top w:val="none" w:sz="0" w:space="0" w:color="auto"/>
        <w:left w:val="none" w:sz="0" w:space="0" w:color="auto"/>
        <w:bottom w:val="none" w:sz="0" w:space="0" w:color="auto"/>
        <w:right w:val="none" w:sz="0" w:space="0" w:color="auto"/>
      </w:divBdr>
    </w:div>
    <w:div w:id="900599734">
      <w:bodyDiv w:val="1"/>
      <w:marLeft w:val="0"/>
      <w:marRight w:val="0"/>
      <w:marTop w:val="0"/>
      <w:marBottom w:val="0"/>
      <w:divBdr>
        <w:top w:val="none" w:sz="0" w:space="0" w:color="auto"/>
        <w:left w:val="none" w:sz="0" w:space="0" w:color="auto"/>
        <w:bottom w:val="none" w:sz="0" w:space="0" w:color="auto"/>
        <w:right w:val="none" w:sz="0" w:space="0" w:color="auto"/>
      </w:divBdr>
    </w:div>
    <w:div w:id="916405442">
      <w:bodyDiv w:val="1"/>
      <w:marLeft w:val="0"/>
      <w:marRight w:val="0"/>
      <w:marTop w:val="0"/>
      <w:marBottom w:val="0"/>
      <w:divBdr>
        <w:top w:val="none" w:sz="0" w:space="0" w:color="auto"/>
        <w:left w:val="none" w:sz="0" w:space="0" w:color="auto"/>
        <w:bottom w:val="none" w:sz="0" w:space="0" w:color="auto"/>
        <w:right w:val="none" w:sz="0" w:space="0" w:color="auto"/>
      </w:divBdr>
    </w:div>
    <w:div w:id="1142818033">
      <w:bodyDiv w:val="1"/>
      <w:marLeft w:val="0"/>
      <w:marRight w:val="0"/>
      <w:marTop w:val="0"/>
      <w:marBottom w:val="0"/>
      <w:divBdr>
        <w:top w:val="none" w:sz="0" w:space="0" w:color="auto"/>
        <w:left w:val="none" w:sz="0" w:space="0" w:color="auto"/>
        <w:bottom w:val="none" w:sz="0" w:space="0" w:color="auto"/>
        <w:right w:val="none" w:sz="0" w:space="0" w:color="auto"/>
      </w:divBdr>
    </w:div>
    <w:div w:id="1187982067">
      <w:bodyDiv w:val="1"/>
      <w:marLeft w:val="0"/>
      <w:marRight w:val="0"/>
      <w:marTop w:val="0"/>
      <w:marBottom w:val="0"/>
      <w:divBdr>
        <w:top w:val="none" w:sz="0" w:space="0" w:color="auto"/>
        <w:left w:val="none" w:sz="0" w:space="0" w:color="auto"/>
        <w:bottom w:val="none" w:sz="0" w:space="0" w:color="auto"/>
        <w:right w:val="none" w:sz="0" w:space="0" w:color="auto"/>
      </w:divBdr>
    </w:div>
    <w:div w:id="1462773308">
      <w:bodyDiv w:val="1"/>
      <w:marLeft w:val="0"/>
      <w:marRight w:val="0"/>
      <w:marTop w:val="0"/>
      <w:marBottom w:val="0"/>
      <w:divBdr>
        <w:top w:val="none" w:sz="0" w:space="0" w:color="auto"/>
        <w:left w:val="none" w:sz="0" w:space="0" w:color="auto"/>
        <w:bottom w:val="none" w:sz="0" w:space="0" w:color="auto"/>
        <w:right w:val="none" w:sz="0" w:space="0" w:color="auto"/>
      </w:divBdr>
    </w:div>
    <w:div w:id="1717001802">
      <w:bodyDiv w:val="1"/>
      <w:marLeft w:val="0"/>
      <w:marRight w:val="0"/>
      <w:marTop w:val="0"/>
      <w:marBottom w:val="0"/>
      <w:divBdr>
        <w:top w:val="none" w:sz="0" w:space="0" w:color="auto"/>
        <w:left w:val="none" w:sz="0" w:space="0" w:color="auto"/>
        <w:bottom w:val="none" w:sz="0" w:space="0" w:color="auto"/>
        <w:right w:val="none" w:sz="0" w:space="0" w:color="auto"/>
      </w:divBdr>
    </w:div>
    <w:div w:id="1738090488">
      <w:bodyDiv w:val="1"/>
      <w:marLeft w:val="0"/>
      <w:marRight w:val="0"/>
      <w:marTop w:val="0"/>
      <w:marBottom w:val="0"/>
      <w:divBdr>
        <w:top w:val="none" w:sz="0" w:space="0" w:color="auto"/>
        <w:left w:val="none" w:sz="0" w:space="0" w:color="auto"/>
        <w:bottom w:val="none" w:sz="0" w:space="0" w:color="auto"/>
        <w:right w:val="none" w:sz="0" w:space="0" w:color="auto"/>
      </w:divBdr>
    </w:div>
    <w:div w:id="1887449961">
      <w:bodyDiv w:val="1"/>
      <w:marLeft w:val="0"/>
      <w:marRight w:val="0"/>
      <w:marTop w:val="0"/>
      <w:marBottom w:val="0"/>
      <w:divBdr>
        <w:top w:val="none" w:sz="0" w:space="0" w:color="auto"/>
        <w:left w:val="none" w:sz="0" w:space="0" w:color="auto"/>
        <w:bottom w:val="none" w:sz="0" w:space="0" w:color="auto"/>
        <w:right w:val="none" w:sz="0" w:space="0" w:color="auto"/>
      </w:divBdr>
    </w:div>
    <w:div w:id="1905068437">
      <w:bodyDiv w:val="1"/>
      <w:marLeft w:val="0"/>
      <w:marRight w:val="0"/>
      <w:marTop w:val="0"/>
      <w:marBottom w:val="0"/>
      <w:divBdr>
        <w:top w:val="none" w:sz="0" w:space="0" w:color="auto"/>
        <w:left w:val="none" w:sz="0" w:space="0" w:color="auto"/>
        <w:bottom w:val="none" w:sz="0" w:space="0" w:color="auto"/>
        <w:right w:val="none" w:sz="0" w:space="0" w:color="auto"/>
      </w:divBdr>
    </w:div>
    <w:div w:id="1990281463">
      <w:bodyDiv w:val="1"/>
      <w:marLeft w:val="0"/>
      <w:marRight w:val="0"/>
      <w:marTop w:val="0"/>
      <w:marBottom w:val="0"/>
      <w:divBdr>
        <w:top w:val="none" w:sz="0" w:space="0" w:color="auto"/>
        <w:left w:val="none" w:sz="0" w:space="0" w:color="auto"/>
        <w:bottom w:val="none" w:sz="0" w:space="0" w:color="auto"/>
        <w:right w:val="none" w:sz="0" w:space="0" w:color="auto"/>
      </w:divBdr>
    </w:div>
    <w:div w:id="2038459671">
      <w:bodyDiv w:val="1"/>
      <w:marLeft w:val="0"/>
      <w:marRight w:val="0"/>
      <w:marTop w:val="0"/>
      <w:marBottom w:val="0"/>
      <w:divBdr>
        <w:top w:val="none" w:sz="0" w:space="0" w:color="auto"/>
        <w:left w:val="none" w:sz="0" w:space="0" w:color="auto"/>
        <w:bottom w:val="none" w:sz="0" w:space="0" w:color="auto"/>
        <w:right w:val="none" w:sz="0" w:space="0" w:color="auto"/>
      </w:divBdr>
    </w:div>
    <w:div w:id="2101872465">
      <w:bodyDiv w:val="1"/>
      <w:marLeft w:val="0"/>
      <w:marRight w:val="0"/>
      <w:marTop w:val="0"/>
      <w:marBottom w:val="0"/>
      <w:divBdr>
        <w:top w:val="none" w:sz="0" w:space="0" w:color="auto"/>
        <w:left w:val="none" w:sz="0" w:space="0" w:color="auto"/>
        <w:bottom w:val="none" w:sz="0" w:space="0" w:color="auto"/>
        <w:right w:val="none" w:sz="0" w:space="0" w:color="auto"/>
      </w:divBdr>
    </w:div>
    <w:div w:id="21073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t>Constraint Categories</a:t>
            </a:r>
            <a:endParaRPr lang="en-GB"/>
          </a:p>
        </c:rich>
      </c:tx>
      <c:layout>
        <c:manualLayout>
          <c:xMode val="edge"/>
          <c:yMode val="edge"/>
          <c:x val="1.7826334208223975E-2"/>
          <c:y val="5.0925925925925923E-2"/>
        </c:manualLayout>
      </c:layout>
      <c:overlay val="0"/>
      <c:spPr>
        <a:noFill/>
        <a:ln>
          <a:noFill/>
        </a:ln>
        <a:effectLst/>
      </c:spPr>
    </c:title>
    <c:autoTitleDeleted val="0"/>
    <c:plotArea>
      <c:layout/>
      <c:barChart>
        <c:barDir val="bar"/>
        <c:grouping val="clustered"/>
        <c:varyColors val="0"/>
        <c:ser>
          <c:idx val="0"/>
          <c:order val="0"/>
          <c:tx>
            <c:strRef>
              <c:f>Sheet1!$B$1</c:f>
              <c:strCache>
                <c:ptCount val="1"/>
                <c:pt idx="0">
                  <c:v>Percentage (%)</c:v>
                </c:pt>
              </c:strCache>
            </c:strRef>
          </c:tx>
          <c:spPr>
            <a:solidFill>
              <a:schemeClr val="accent1"/>
            </a:solidFill>
            <a:ln>
              <a:noFill/>
            </a:ln>
            <a:effectLst/>
          </c:spPr>
          <c:invertIfNegative val="0"/>
          <c:cat>
            <c:strRef>
              <c:f>Sheet1!$A$2:$A$7</c:f>
              <c:strCache>
                <c:ptCount val="6"/>
                <c:pt idx="0">
                  <c:v>Extension services inadequate</c:v>
                </c:pt>
                <c:pt idx="1">
                  <c:v>Lack of formal markets</c:v>
                </c:pt>
                <c:pt idx="2">
                  <c:v>Non-standardized measurements</c:v>
                </c:pt>
                <c:pt idx="3">
                  <c:v>Low bargaining power</c:v>
                </c:pt>
                <c:pt idx="4">
                  <c:v>Limited capital access</c:v>
                </c:pt>
                <c:pt idx="5">
                  <c:v>Climate risks (drought/flood)</c:v>
                </c:pt>
              </c:strCache>
            </c:strRef>
          </c:cat>
          <c:val>
            <c:numRef>
              <c:f>Sheet1!$B$2:$B$7</c:f>
              <c:numCache>
                <c:formatCode>General</c:formatCode>
                <c:ptCount val="6"/>
                <c:pt idx="0">
                  <c:v>23.01</c:v>
                </c:pt>
                <c:pt idx="1">
                  <c:v>22.9</c:v>
                </c:pt>
                <c:pt idx="2">
                  <c:v>19.100000000000001</c:v>
                </c:pt>
                <c:pt idx="3">
                  <c:v>19.100000000000001</c:v>
                </c:pt>
                <c:pt idx="4">
                  <c:v>11.4</c:v>
                </c:pt>
                <c:pt idx="5">
                  <c:v>2.2999999999999998</c:v>
                </c:pt>
              </c:numCache>
            </c:numRef>
          </c:val>
          <c:extLst xmlns:c16r2="http://schemas.microsoft.com/office/drawing/2015/06/chart">
            <c:ext xmlns:c16="http://schemas.microsoft.com/office/drawing/2014/chart" uri="{C3380CC4-5D6E-409C-BE32-E72D297353CC}">
              <c16:uniqueId val="{00000000-CEF5-4FCF-AAF0-A73B10140894}"/>
            </c:ext>
          </c:extLst>
        </c:ser>
        <c:ser>
          <c:idx val="1"/>
          <c:order val="1"/>
          <c:tx>
            <c:strRef>
              <c:f>Sheet1!$C$1</c:f>
              <c:strCache>
                <c:ptCount val="1"/>
                <c:pt idx="0">
                  <c:v>95% CI Lower (%)</c:v>
                </c:pt>
              </c:strCache>
            </c:strRef>
          </c:tx>
          <c:spPr>
            <a:solidFill>
              <a:schemeClr val="accent2"/>
            </a:solidFill>
            <a:ln>
              <a:noFill/>
            </a:ln>
            <a:effectLst/>
          </c:spPr>
          <c:invertIfNegative val="0"/>
          <c:cat>
            <c:strRef>
              <c:f>Sheet1!$A$2:$A$7</c:f>
              <c:strCache>
                <c:ptCount val="6"/>
                <c:pt idx="0">
                  <c:v>Extension services inadequate</c:v>
                </c:pt>
                <c:pt idx="1">
                  <c:v>Lack of formal markets</c:v>
                </c:pt>
                <c:pt idx="2">
                  <c:v>Non-standardized measurements</c:v>
                </c:pt>
                <c:pt idx="3">
                  <c:v>Low bargaining power</c:v>
                </c:pt>
                <c:pt idx="4">
                  <c:v>Limited capital access</c:v>
                </c:pt>
                <c:pt idx="5">
                  <c:v>Climate risks (drought/flood)</c:v>
                </c:pt>
              </c:strCache>
            </c:strRef>
          </c:cat>
          <c:val>
            <c:numRef>
              <c:f>Sheet1!$C$2:$C$7</c:f>
              <c:numCache>
                <c:formatCode>General</c:formatCode>
                <c:ptCount val="6"/>
                <c:pt idx="0">
                  <c:v>18.2</c:v>
                </c:pt>
                <c:pt idx="1">
                  <c:v>18.100000000000001</c:v>
                </c:pt>
                <c:pt idx="2">
                  <c:v>14.8</c:v>
                </c:pt>
                <c:pt idx="3">
                  <c:v>14.8</c:v>
                </c:pt>
                <c:pt idx="4">
                  <c:v>8</c:v>
                </c:pt>
                <c:pt idx="5">
                  <c:v>0.9</c:v>
                </c:pt>
              </c:numCache>
            </c:numRef>
          </c:val>
          <c:extLst xmlns:c16r2="http://schemas.microsoft.com/office/drawing/2015/06/chart">
            <c:ext xmlns:c16="http://schemas.microsoft.com/office/drawing/2014/chart" uri="{C3380CC4-5D6E-409C-BE32-E72D297353CC}">
              <c16:uniqueId val="{00000001-CEF5-4FCF-AAF0-A73B10140894}"/>
            </c:ext>
          </c:extLst>
        </c:ser>
        <c:dLbls>
          <c:showLegendKey val="0"/>
          <c:showVal val="0"/>
          <c:showCatName val="0"/>
          <c:showSerName val="0"/>
          <c:showPercent val="0"/>
          <c:showBubbleSize val="0"/>
        </c:dLbls>
        <c:gapWidth val="182"/>
        <c:axId val="254370816"/>
        <c:axId val="256965952"/>
      </c:barChart>
      <c:catAx>
        <c:axId val="254370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965952"/>
        <c:crosses val="autoZero"/>
        <c:auto val="1"/>
        <c:lblAlgn val="ctr"/>
        <c:lblOffset val="100"/>
        <c:noMultiLvlLbl val="0"/>
      </c:catAx>
      <c:valAx>
        <c:axId val="2569659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4370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Trader constraints</a:t>
            </a:r>
            <a:endParaRPr lang="en-GB"/>
          </a:p>
        </c:rich>
      </c:tx>
      <c:layout>
        <c:manualLayout>
          <c:xMode val="edge"/>
          <c:yMode val="edge"/>
          <c:x val="0.35949300087489067"/>
          <c:y val="6.0185185185185182E-2"/>
        </c:manualLayout>
      </c:layout>
      <c:overlay val="0"/>
      <c:spPr>
        <a:noFill/>
        <a:ln>
          <a:noFill/>
        </a:ln>
        <a:effectLst/>
      </c:spPr>
    </c:title>
    <c:autoTitleDeleted val="0"/>
    <c:plotArea>
      <c:layout/>
      <c:barChart>
        <c:barDir val="col"/>
        <c:grouping val="clustered"/>
        <c:varyColors val="0"/>
        <c:ser>
          <c:idx val="0"/>
          <c:order val="0"/>
          <c:tx>
            <c:strRef>
              <c:f>Sheet2!$B$1</c:f>
              <c:strCache>
                <c:ptCount val="1"/>
                <c:pt idx="0">
                  <c:v>Percentage (%)</c:v>
                </c:pt>
              </c:strCache>
            </c:strRef>
          </c:tx>
          <c:spPr>
            <a:solidFill>
              <a:schemeClr val="accent1"/>
            </a:solidFill>
            <a:ln>
              <a:noFill/>
            </a:ln>
            <a:effectLst/>
          </c:spPr>
          <c:invertIfNegative val="0"/>
          <c:cat>
            <c:strRef>
              <c:f>Sheet2!$A$2:$A$4</c:f>
              <c:strCache>
                <c:ptCount val="3"/>
                <c:pt idx="0">
                  <c:v>Infrastructure deficits</c:v>
                </c:pt>
                <c:pt idx="1">
                  <c:v>Supporting policies inadequate</c:v>
                </c:pt>
                <c:pt idx="2">
                  <c:v>Quality inconsistency</c:v>
                </c:pt>
              </c:strCache>
            </c:strRef>
          </c:cat>
          <c:val>
            <c:numRef>
              <c:f>Sheet2!$B$2:$B$4</c:f>
              <c:numCache>
                <c:formatCode>General</c:formatCode>
                <c:ptCount val="3"/>
                <c:pt idx="0">
                  <c:v>51.3</c:v>
                </c:pt>
                <c:pt idx="1">
                  <c:v>42.5</c:v>
                </c:pt>
                <c:pt idx="2">
                  <c:v>6.3</c:v>
                </c:pt>
              </c:numCache>
            </c:numRef>
          </c:val>
          <c:extLst xmlns:c16r2="http://schemas.microsoft.com/office/drawing/2015/06/chart">
            <c:ext xmlns:c16="http://schemas.microsoft.com/office/drawing/2014/chart" uri="{C3380CC4-5D6E-409C-BE32-E72D297353CC}">
              <c16:uniqueId val="{00000000-5265-4B02-8DFB-410E034624E2}"/>
            </c:ext>
          </c:extLst>
        </c:ser>
        <c:ser>
          <c:idx val="1"/>
          <c:order val="1"/>
          <c:tx>
            <c:strRef>
              <c:f>Sheet2!$C$1</c:f>
              <c:strCache>
                <c:ptCount val="1"/>
                <c:pt idx="0">
                  <c:v>95% CI Lower (%)</c:v>
                </c:pt>
              </c:strCache>
            </c:strRef>
          </c:tx>
          <c:spPr>
            <a:solidFill>
              <a:schemeClr val="accent2"/>
            </a:solidFill>
            <a:ln>
              <a:noFill/>
            </a:ln>
            <a:effectLst/>
          </c:spPr>
          <c:invertIfNegative val="0"/>
          <c:cat>
            <c:strRef>
              <c:f>Sheet2!$A$2:$A$4</c:f>
              <c:strCache>
                <c:ptCount val="3"/>
                <c:pt idx="0">
                  <c:v>Infrastructure deficits</c:v>
                </c:pt>
                <c:pt idx="1">
                  <c:v>Supporting policies inadequate</c:v>
                </c:pt>
                <c:pt idx="2">
                  <c:v>Quality inconsistency</c:v>
                </c:pt>
              </c:strCache>
            </c:strRef>
          </c:cat>
          <c:val>
            <c:numRef>
              <c:f>Sheet2!$C$2:$C$4</c:f>
              <c:numCache>
                <c:formatCode>General</c:formatCode>
                <c:ptCount val="3"/>
                <c:pt idx="0">
                  <c:v>38.700000000000003</c:v>
                </c:pt>
                <c:pt idx="1">
                  <c:v>30.7</c:v>
                </c:pt>
                <c:pt idx="2">
                  <c:v>2.1</c:v>
                </c:pt>
              </c:numCache>
            </c:numRef>
          </c:val>
          <c:extLst xmlns:c16r2="http://schemas.microsoft.com/office/drawing/2015/06/chart">
            <c:ext xmlns:c16="http://schemas.microsoft.com/office/drawing/2014/chart" uri="{C3380CC4-5D6E-409C-BE32-E72D297353CC}">
              <c16:uniqueId val="{00000001-5265-4B02-8DFB-410E034624E2}"/>
            </c:ext>
          </c:extLst>
        </c:ser>
        <c:ser>
          <c:idx val="2"/>
          <c:order val="2"/>
          <c:tx>
            <c:strRef>
              <c:f>Sheet2!$D$1</c:f>
              <c:strCache>
                <c:ptCount val="1"/>
                <c:pt idx="0">
                  <c:v>95% CI Upper (%)</c:v>
                </c:pt>
              </c:strCache>
            </c:strRef>
          </c:tx>
          <c:spPr>
            <a:solidFill>
              <a:schemeClr val="accent3"/>
            </a:solidFill>
            <a:ln>
              <a:noFill/>
            </a:ln>
            <a:effectLst/>
          </c:spPr>
          <c:invertIfNegative val="0"/>
          <c:cat>
            <c:strRef>
              <c:f>Sheet2!$A$2:$A$4</c:f>
              <c:strCache>
                <c:ptCount val="3"/>
                <c:pt idx="0">
                  <c:v>Infrastructure deficits</c:v>
                </c:pt>
                <c:pt idx="1">
                  <c:v>Supporting policies inadequate</c:v>
                </c:pt>
                <c:pt idx="2">
                  <c:v>Quality inconsistency</c:v>
                </c:pt>
              </c:strCache>
            </c:strRef>
          </c:cat>
          <c:val>
            <c:numRef>
              <c:f>Sheet2!$D$2:$D$4</c:f>
              <c:numCache>
                <c:formatCode>General</c:formatCode>
                <c:ptCount val="3"/>
                <c:pt idx="0">
                  <c:v>63.7</c:v>
                </c:pt>
                <c:pt idx="1">
                  <c:v>55.2</c:v>
                </c:pt>
                <c:pt idx="2">
                  <c:v>16.8</c:v>
                </c:pt>
              </c:numCache>
            </c:numRef>
          </c:val>
          <c:extLst xmlns:c16r2="http://schemas.microsoft.com/office/drawing/2015/06/chart">
            <c:ext xmlns:c16="http://schemas.microsoft.com/office/drawing/2014/chart" uri="{C3380CC4-5D6E-409C-BE32-E72D297353CC}">
              <c16:uniqueId val="{00000002-5265-4B02-8DFB-410E034624E2}"/>
            </c:ext>
          </c:extLst>
        </c:ser>
        <c:dLbls>
          <c:showLegendKey val="0"/>
          <c:showVal val="0"/>
          <c:showCatName val="0"/>
          <c:showSerName val="0"/>
          <c:showPercent val="0"/>
          <c:showBubbleSize val="0"/>
        </c:dLbls>
        <c:gapWidth val="219"/>
        <c:overlap val="-27"/>
        <c:axId val="250561024"/>
        <c:axId val="257577472"/>
      </c:barChart>
      <c:catAx>
        <c:axId val="250561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Constraint Category</a:t>
                </a:r>
                <a:endParaRPr lang="en-GB"/>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577472"/>
        <c:crosses val="autoZero"/>
        <c:auto val="1"/>
        <c:lblAlgn val="ctr"/>
        <c:lblOffset val="100"/>
        <c:noMultiLvlLbl val="0"/>
      </c:catAx>
      <c:valAx>
        <c:axId val="257577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0561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3898E-D829-4BB5-BFD0-721BF42C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35</Pages>
  <Words>12529</Words>
  <Characters>71417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12</cp:revision>
  <dcterms:created xsi:type="dcterms:W3CDTF">2026-02-27T22:16:00Z</dcterms:created>
  <dcterms:modified xsi:type="dcterms:W3CDTF">2026-06-22T06:58:00Z</dcterms:modified>
</cp:coreProperties>
</file>