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998" w:rsidRDefault="00566EAF">
      <w:pPr>
        <w:spacing w:after="120" w:line="360" w:lineRule="auto"/>
        <w:jc w:val="both"/>
        <w:rPr>
          <w:rFonts w:ascii="Arial" w:hAnsi="Arial" w:cs="Arial"/>
          <w:sz w:val="24"/>
          <w:szCs w:val="24"/>
        </w:rPr>
      </w:pPr>
      <w:r>
        <w:rPr>
          <w:rFonts w:ascii="Arial" w:hAnsi="Arial" w:cs="Arial"/>
          <w:b/>
          <w:sz w:val="24"/>
          <w:szCs w:val="24"/>
        </w:rPr>
        <w:t>Tofu Goodies: A Strategic Business Plan for the Production and Marketing of Plant-Based Nuggets with Homemade Sauces</w:t>
      </w:r>
    </w:p>
    <w:p w:rsidR="00B73998" w:rsidRDefault="00566EAF">
      <w:pPr>
        <w:spacing w:before="240" w:after="120" w:line="360" w:lineRule="auto"/>
        <w:jc w:val="both"/>
        <w:rPr>
          <w:rFonts w:ascii="Arial" w:hAnsi="Arial" w:cs="Arial"/>
          <w:sz w:val="24"/>
          <w:szCs w:val="24"/>
        </w:rPr>
      </w:pPr>
      <w:bookmarkStart w:id="0" w:name="_GoBack"/>
      <w:bookmarkEnd w:id="0"/>
      <w:r>
        <w:rPr>
          <w:rFonts w:ascii="Arial" w:hAnsi="Arial" w:cs="Arial"/>
          <w:b/>
          <w:sz w:val="24"/>
          <w:szCs w:val="24"/>
        </w:rPr>
        <w:t>Abstract</w:t>
      </w:r>
    </w:p>
    <w:p w:rsidR="00B73998" w:rsidRDefault="00566EAF">
      <w:pPr>
        <w:spacing w:after="240" w:line="360" w:lineRule="auto"/>
        <w:jc w:val="both"/>
        <w:rPr>
          <w:rFonts w:ascii="Arial" w:hAnsi="Arial" w:cs="Arial"/>
          <w:sz w:val="24"/>
          <w:szCs w:val="24"/>
        </w:rPr>
      </w:pPr>
      <w:r>
        <w:rPr>
          <w:rFonts w:ascii="Arial" w:hAnsi="Arial" w:cs="Arial"/>
          <w:sz w:val="24"/>
          <w:szCs w:val="24"/>
        </w:rPr>
        <w:t xml:space="preserve">This study evaluated the market acceptability and consumer perception of Tofu </w:t>
      </w:r>
      <w:r>
        <w:rPr>
          <w:rFonts w:ascii="Arial" w:hAnsi="Arial" w:cs="Arial"/>
          <w:sz w:val="24"/>
          <w:szCs w:val="24"/>
        </w:rPr>
        <w:t>Goodies—an innovative, plant-based nugget paired with signature homemade sauces—in Barangay Paciano Rizal, Bay, Laguna. Using a descriptive-quantitative research design, data were gathered from 289 purposively selected respondents, primarily composed of st</w:t>
      </w:r>
      <w:r>
        <w:rPr>
          <w:rFonts w:ascii="Arial" w:hAnsi="Arial" w:cs="Arial"/>
          <w:sz w:val="24"/>
          <w:szCs w:val="24"/>
        </w:rPr>
        <w:t>udents and young professionals aged 18–24 (43.25%) operating on limited budgets. The empirical findings revealed a high level of overall market acceptability (Mean = 3.03), driven primarily by excellent product quality (Mean = 3.10) and an affordable prici</w:t>
      </w:r>
      <w:r>
        <w:rPr>
          <w:rFonts w:ascii="Arial" w:hAnsi="Arial" w:cs="Arial"/>
          <w:sz w:val="24"/>
          <w:szCs w:val="24"/>
        </w:rPr>
        <w:t xml:space="preserve">ng structure ranging from ₱11.00 to ₱55.00 (Mean = 3.06). While respondents highly praised the health benefits (Mean = 3.25) and eco-sustainability (Mean = 3.07) of the product, sensory imitation benchmarks scored lower (Mean = 2.77). Inferential analysis </w:t>
      </w:r>
      <w:r>
        <w:rPr>
          <w:rFonts w:ascii="Arial" w:hAnsi="Arial" w:cs="Arial"/>
          <w:sz w:val="24"/>
          <w:szCs w:val="24"/>
        </w:rPr>
        <w:t xml:space="preserve">via One-Way ANOVA confirmed no statistically significant difference in product acceptability across diverse demographic cohorts (p &gt; 0.05). Crucially, Pearson correlation analysis revealed no significant relationship between consumer perception and actual </w:t>
      </w:r>
      <w:r>
        <w:rPr>
          <w:rFonts w:ascii="Arial" w:hAnsi="Arial" w:cs="Arial"/>
          <w:sz w:val="24"/>
          <w:szCs w:val="24"/>
        </w:rPr>
        <w:t>market acceptability (r = -0.0186, p = 0.7534), mathematically proving that intellectual appreciation for healthy food does not automatically drive purchasing decisions. Market competition (Mean = 2.87) and localized geographical accessibility (Mean = 2.67</w:t>
      </w:r>
      <w:r>
        <w:rPr>
          <w:rFonts w:ascii="Arial" w:hAnsi="Arial" w:cs="Arial"/>
          <w:sz w:val="24"/>
          <w:szCs w:val="24"/>
        </w:rPr>
        <w:t>) were identified as the primary operational challenges. Based on these insights, a Strategic Marketing Action Plan utilizing a hub-and-spoke distribution model and sensory-focused digital marketing is proposed to optimize business sustainability and local</w:t>
      </w:r>
      <w:r>
        <w:rPr>
          <w:rFonts w:ascii="Arial" w:hAnsi="Arial" w:cs="Arial"/>
          <w:sz w:val="24"/>
          <w:szCs w:val="24"/>
        </w:rPr>
        <w:t xml:space="preserve"> market penetration.</w:t>
      </w:r>
    </w:p>
    <w:p w:rsidR="00B73998" w:rsidRDefault="00566EAF">
      <w:pPr>
        <w:spacing w:after="480" w:line="360" w:lineRule="auto"/>
        <w:jc w:val="both"/>
        <w:rPr>
          <w:rFonts w:ascii="Arial" w:hAnsi="Arial" w:cs="Arial"/>
          <w:sz w:val="24"/>
          <w:szCs w:val="24"/>
        </w:rPr>
      </w:pPr>
      <w:r>
        <w:rPr>
          <w:rFonts w:ascii="Arial" w:hAnsi="Arial" w:cs="Arial"/>
          <w:b/>
          <w:sz w:val="24"/>
          <w:szCs w:val="24"/>
        </w:rPr>
        <w:t xml:space="preserve">Keywords: </w:t>
      </w:r>
      <w:r>
        <w:rPr>
          <w:rFonts w:ascii="Arial" w:hAnsi="Arial" w:cs="Arial"/>
          <w:sz w:val="24"/>
          <w:szCs w:val="24"/>
        </w:rPr>
        <w:t>Tofu plant-based nuggets, Market acceptability, Consumer perception, Marketing mix, Strategic marketing, Bay Laguna.</w:t>
      </w:r>
    </w:p>
    <w:p w:rsidR="00B73998" w:rsidRDefault="00566EAF">
      <w:pPr>
        <w:keepNext/>
        <w:spacing w:before="360" w:after="120" w:line="360" w:lineRule="auto"/>
        <w:jc w:val="both"/>
        <w:rPr>
          <w:rFonts w:ascii="Arial" w:hAnsi="Arial" w:cs="Arial"/>
          <w:sz w:val="24"/>
          <w:szCs w:val="24"/>
        </w:rPr>
      </w:pPr>
      <w:r>
        <w:rPr>
          <w:rFonts w:ascii="Arial" w:hAnsi="Arial" w:cs="Arial"/>
          <w:b/>
          <w:sz w:val="24"/>
          <w:szCs w:val="24"/>
        </w:rPr>
        <w:t>I. Introduction</w:t>
      </w:r>
    </w:p>
    <w:p w:rsidR="00B73998" w:rsidRDefault="00566EAF">
      <w:pPr>
        <w:spacing w:after="120" w:line="360" w:lineRule="auto"/>
        <w:rPr>
          <w:rFonts w:ascii="Arial" w:hAnsi="Arial" w:cs="Arial"/>
          <w:b/>
          <w:sz w:val="24"/>
          <w:szCs w:val="24"/>
        </w:rPr>
      </w:pPr>
      <w:r>
        <w:rPr>
          <w:rFonts w:ascii="Arial" w:hAnsi="Arial" w:cs="Arial"/>
          <w:b/>
          <w:sz w:val="24"/>
          <w:szCs w:val="24"/>
        </w:rPr>
        <w:t>Background and Context</w:t>
      </w:r>
    </w:p>
    <w:p w:rsidR="00B73998" w:rsidRDefault="00566EAF">
      <w:pPr>
        <w:spacing w:after="120" w:line="360" w:lineRule="auto"/>
        <w:jc w:val="both"/>
        <w:rPr>
          <w:rFonts w:ascii="Arial" w:hAnsi="Arial" w:cs="Arial"/>
          <w:sz w:val="24"/>
          <w:szCs w:val="24"/>
        </w:rPr>
      </w:pPr>
      <w:r>
        <w:rPr>
          <w:rFonts w:ascii="Arial" w:hAnsi="Arial" w:cs="Arial"/>
          <w:b/>
          <w:sz w:val="24"/>
          <w:szCs w:val="24"/>
        </w:rPr>
        <w:lastRenderedPageBreak/>
        <w:br/>
      </w:r>
      <w:r>
        <w:rPr>
          <w:rFonts w:ascii="Arial" w:hAnsi="Arial" w:cs="Arial"/>
          <w:sz w:val="24"/>
          <w:szCs w:val="24"/>
        </w:rPr>
        <w:t>The intersection of nutritional awareness, ecological ethics, and so</w:t>
      </w:r>
      <w:r>
        <w:rPr>
          <w:rFonts w:ascii="Arial" w:hAnsi="Arial" w:cs="Arial"/>
          <w:sz w:val="24"/>
          <w:szCs w:val="24"/>
        </w:rPr>
        <w:t xml:space="preserve">cio-economic shifts has accelerated a global and local "protein transition" away from traditional meat-heavy diets toward sustainable, plant-based alternatives. Globally, the retail market for plant-based sectors has reached $7.9 billion, with plant-based </w:t>
      </w:r>
      <w:r>
        <w:rPr>
          <w:rFonts w:ascii="Arial" w:hAnsi="Arial" w:cs="Arial"/>
          <w:sz w:val="24"/>
          <w:szCs w:val="24"/>
        </w:rPr>
        <w:t>chicken nuggets alone capturing a $2.6 billion market share and experiencing a compound annual growth rate (CAGR) of 9.8%. In the Philippines, the plant-based food industry has reached approximately USD 58.0 million, fueled by urban and semi-urban populati</w:t>
      </w:r>
      <w:r>
        <w:rPr>
          <w:rFonts w:ascii="Arial" w:hAnsi="Arial" w:cs="Arial"/>
          <w:sz w:val="24"/>
          <w:szCs w:val="24"/>
        </w:rPr>
        <w:t>ons seeking preventive dietary measures against chronic lifestyle diseases such as obesity and cardiovascular disorders. However, a distinct market gap exists: while multinational plant-based meat alternatives (PBMAs) are increasingly available in high-end</w:t>
      </w:r>
      <w:r>
        <w:rPr>
          <w:rFonts w:ascii="Arial" w:hAnsi="Arial" w:cs="Arial"/>
          <w:sz w:val="24"/>
          <w:szCs w:val="24"/>
        </w:rPr>
        <w:t xml:space="preserve"> supermarkets, their premium pricing renders them virtually inaccessible to low-to-middle-income Filipino consumers, particularly students and daily wage earners.</w:t>
      </w:r>
    </w:p>
    <w:p w:rsidR="00B73998" w:rsidRDefault="00B73998">
      <w:pPr>
        <w:spacing w:after="120" w:line="360" w:lineRule="auto"/>
        <w:rPr>
          <w:rFonts w:ascii="Arial" w:hAnsi="Arial" w:cs="Arial"/>
          <w:b/>
          <w:sz w:val="24"/>
          <w:szCs w:val="24"/>
        </w:rPr>
      </w:pPr>
    </w:p>
    <w:p w:rsidR="00B73998" w:rsidRDefault="00566EAF">
      <w:pPr>
        <w:spacing w:after="120" w:line="360" w:lineRule="auto"/>
        <w:rPr>
          <w:rFonts w:ascii="Arial" w:hAnsi="Arial" w:cs="Arial"/>
          <w:sz w:val="24"/>
          <w:szCs w:val="24"/>
        </w:rPr>
      </w:pPr>
      <w:r>
        <w:rPr>
          <w:rFonts w:ascii="Arial" w:hAnsi="Arial" w:cs="Arial"/>
          <w:b/>
          <w:sz w:val="24"/>
          <w:szCs w:val="24"/>
        </w:rPr>
        <w:t>The Innovation of Tofu Goodies</w:t>
      </w:r>
      <w:r>
        <w:rPr>
          <w:rFonts w:ascii="Arial" w:hAnsi="Arial" w:cs="Arial"/>
          <w:b/>
          <w:sz w:val="24"/>
          <w:szCs w:val="24"/>
        </w:rPr>
        <w:br/>
      </w:r>
      <w:r>
        <w:rPr>
          <w:rFonts w:ascii="Arial" w:hAnsi="Arial" w:cs="Arial"/>
          <w:b/>
          <w:sz w:val="24"/>
          <w:szCs w:val="24"/>
        </w:rPr>
        <w:br/>
      </w:r>
      <w:r>
        <w:rPr>
          <w:rFonts w:ascii="Arial" w:hAnsi="Arial" w:cs="Arial"/>
          <w:sz w:val="24"/>
          <w:szCs w:val="24"/>
        </w:rPr>
        <w:t>To bridge this gap, Tofu Goodies was conceptualized as a spe</w:t>
      </w:r>
      <w:r>
        <w:rPr>
          <w:rFonts w:ascii="Arial" w:hAnsi="Arial" w:cs="Arial"/>
          <w:sz w:val="24"/>
          <w:szCs w:val="24"/>
        </w:rPr>
        <w:t xml:space="preserve">cialized micro-enterprise focused on producing and marketing affordable, air-fried plant-based nuggets served with custom homemade sauces (Cheese, Katsu, and Gravy). Tofu, a historical staple in East Asian and Filipino culinary traditions, was selected as </w:t>
      </w:r>
      <w:r>
        <w:rPr>
          <w:rFonts w:ascii="Arial" w:hAnsi="Arial" w:cs="Arial"/>
          <w:sz w:val="24"/>
          <w:szCs w:val="24"/>
        </w:rPr>
        <w:t>the raw structural material due to its rich nutritional architecture—being low-calorie, cholesterol-free, and dense in plant proteins, iron, and calcium. Furthermore, tofu possesses a unique physical versatility, allowing it to transform from a smooth, neu</w:t>
      </w:r>
      <w:r>
        <w:rPr>
          <w:rFonts w:ascii="Arial" w:hAnsi="Arial" w:cs="Arial"/>
          <w:sz w:val="24"/>
          <w:szCs w:val="24"/>
        </w:rPr>
        <w:t>tral block into a savory snack that mimics the mechanical mouthfeel of chicken nuggets when optimized with appropriate binding and cooking techniques. By offering a familiar product archetype at a localized price point of ₱11.00 to ₱55.00, the venture esta</w:t>
      </w:r>
      <w:r>
        <w:rPr>
          <w:rFonts w:ascii="Arial" w:hAnsi="Arial" w:cs="Arial"/>
          <w:sz w:val="24"/>
          <w:szCs w:val="24"/>
        </w:rPr>
        <w:t>blishes a niche that reframes tofu from a mundane household ingredient into a standardized, high-value "guilt-free indulgence".</w:t>
      </w:r>
      <w:r>
        <w:rPr>
          <w:rFonts w:ascii="Arial" w:hAnsi="Arial" w:cs="Arial"/>
          <w:sz w:val="24"/>
          <w:szCs w:val="24"/>
        </w:rPr>
        <w:br/>
      </w:r>
    </w:p>
    <w:p w:rsidR="00B73998" w:rsidRDefault="00B73998">
      <w:pPr>
        <w:spacing w:after="120" w:line="360" w:lineRule="auto"/>
        <w:rPr>
          <w:rFonts w:ascii="Arial" w:hAnsi="Arial" w:cs="Arial"/>
          <w:sz w:val="24"/>
          <w:szCs w:val="24"/>
        </w:rPr>
      </w:pPr>
    </w:p>
    <w:p w:rsidR="00B73998" w:rsidRDefault="00B73998">
      <w:pPr>
        <w:spacing w:after="120" w:line="360" w:lineRule="auto"/>
        <w:rPr>
          <w:rFonts w:ascii="Arial" w:hAnsi="Arial" w:cs="Arial"/>
          <w:sz w:val="24"/>
          <w:szCs w:val="24"/>
        </w:rPr>
      </w:pPr>
    </w:p>
    <w:p w:rsidR="00B73998" w:rsidRDefault="00566EAF">
      <w:pPr>
        <w:spacing w:after="120" w:line="360" w:lineRule="auto"/>
        <w:rPr>
          <w:rFonts w:ascii="Arial" w:hAnsi="Arial" w:cs="Arial"/>
          <w:sz w:val="24"/>
          <w:szCs w:val="24"/>
        </w:rPr>
      </w:pPr>
      <w:r>
        <w:rPr>
          <w:rFonts w:ascii="Arial" w:hAnsi="Arial" w:cs="Arial"/>
          <w:b/>
          <w:sz w:val="24"/>
          <w:szCs w:val="24"/>
        </w:rPr>
        <w:lastRenderedPageBreak/>
        <w:t>Conceptual Framework and Research Objectives</w:t>
      </w:r>
    </w:p>
    <w:p w:rsidR="00B73998" w:rsidRDefault="00566EAF">
      <w:pPr>
        <w:spacing w:after="240" w:line="360" w:lineRule="auto"/>
        <w:jc w:val="both"/>
        <w:rPr>
          <w:rFonts w:ascii="Arial" w:hAnsi="Arial" w:cs="Arial"/>
          <w:sz w:val="24"/>
          <w:szCs w:val="24"/>
        </w:rPr>
      </w:pPr>
      <w:r>
        <w:rPr>
          <w:rFonts w:ascii="Arial" w:hAnsi="Arial" w:cs="Arial"/>
          <w:b/>
          <w:sz w:val="24"/>
          <w:szCs w:val="24"/>
        </w:rPr>
        <w:br/>
      </w:r>
      <w:r>
        <w:rPr>
          <w:rFonts w:ascii="Arial" w:hAnsi="Arial" w:cs="Arial"/>
          <w:sz w:val="24"/>
          <w:szCs w:val="24"/>
        </w:rPr>
        <w:t>This study is grounded in the Resource-Based Concept of entrepreneurship and th</w:t>
      </w:r>
      <w:r>
        <w:rPr>
          <w:rFonts w:ascii="Arial" w:hAnsi="Arial" w:cs="Arial"/>
          <w:sz w:val="24"/>
          <w:szCs w:val="24"/>
        </w:rPr>
        <w:t xml:space="preserve">e extended Theory of Planned Behavior, which posits that while food value (pricing) and perceived quality drive consumer purchase intentions, localized accessibility and sensory satisfaction ultimately govern brand sustainability. The primary objective of </w:t>
      </w:r>
      <w:r>
        <w:rPr>
          <w:rFonts w:ascii="Arial" w:hAnsi="Arial" w:cs="Arial"/>
          <w:sz w:val="24"/>
          <w:szCs w:val="24"/>
        </w:rPr>
        <w:t>this research was to evaluate the market acceptability and consumer perception of Tofu Goodies in Bay, Laguna, to establish an empirical foundation for a Strategic Marketing Action Plan. Specifically, the study sought to: profile respondents across demogra</w:t>
      </w:r>
      <w:r>
        <w:rPr>
          <w:rFonts w:ascii="Arial" w:hAnsi="Arial" w:cs="Arial"/>
          <w:sz w:val="24"/>
          <w:szCs w:val="24"/>
        </w:rPr>
        <w:t>phic and psychographic variables; evaluate market acceptability based on the 4Ps marketing mix (Product, Price, Place, Promotion); gauge consumer perceptions regarding health, sensory quality, and sustainability; identify primary barriers to consumer adopt</w:t>
      </w:r>
      <w:r>
        <w:rPr>
          <w:rFonts w:ascii="Arial" w:hAnsi="Arial" w:cs="Arial"/>
          <w:sz w:val="24"/>
          <w:szCs w:val="24"/>
        </w:rPr>
        <w:t>ion; and uncover any significant differences or correlations between profile groups, perceptual metrics, and product acceptability.</w:t>
      </w:r>
    </w:p>
    <w:p w:rsidR="00B73998" w:rsidRDefault="00566EAF">
      <w:pPr>
        <w:keepNext/>
        <w:spacing w:before="240" w:after="120" w:line="360" w:lineRule="auto"/>
        <w:jc w:val="both"/>
        <w:rPr>
          <w:rFonts w:ascii="Arial" w:hAnsi="Arial" w:cs="Arial"/>
          <w:sz w:val="24"/>
          <w:szCs w:val="24"/>
        </w:rPr>
      </w:pPr>
      <w:r>
        <w:rPr>
          <w:rFonts w:ascii="Arial" w:hAnsi="Arial" w:cs="Arial"/>
          <w:b/>
          <w:sz w:val="24"/>
          <w:szCs w:val="24"/>
        </w:rPr>
        <w:t>II. Methodology</w:t>
      </w:r>
    </w:p>
    <w:p w:rsidR="00B73998" w:rsidRDefault="00566EAF">
      <w:pPr>
        <w:spacing w:after="240" w:line="360" w:lineRule="auto"/>
        <w:jc w:val="both"/>
        <w:rPr>
          <w:rFonts w:ascii="Arial" w:hAnsi="Arial" w:cs="Arial"/>
          <w:sz w:val="24"/>
          <w:szCs w:val="24"/>
        </w:rPr>
      </w:pPr>
      <w:r>
        <w:rPr>
          <w:rFonts w:ascii="Arial" w:hAnsi="Arial" w:cs="Arial"/>
          <w:sz w:val="24"/>
          <w:szCs w:val="24"/>
        </w:rPr>
        <w:t>This study employed a descriptive research design with a quantitative approach to map out market characteris</w:t>
      </w:r>
      <w:r>
        <w:rPr>
          <w:rFonts w:ascii="Arial" w:hAnsi="Arial" w:cs="Arial"/>
          <w:sz w:val="24"/>
          <w:szCs w:val="24"/>
        </w:rPr>
        <w:t xml:space="preserve">tics, consumer buying habits, and acceptability scores in a natural setting without environmental manipulation. The geographical focus was strictly delimited to Barangay Paciano Rizal in Bay, Laguna, targeting the immediate vicinity of Purok 1, Sampaguita </w:t>
      </w:r>
      <w:r>
        <w:rPr>
          <w:rFonts w:ascii="Arial" w:hAnsi="Arial" w:cs="Arial"/>
          <w:sz w:val="24"/>
          <w:szCs w:val="24"/>
        </w:rPr>
        <w:t>Street. This location serves as an ideal semi-urban micro-market characterized by high foot traffic from students (e.g., from the nearby Rural High School), tricycle drivers, factory workers, and local commuters.</w:t>
      </w:r>
      <w:r>
        <w:rPr>
          <w:rFonts w:ascii="Arial" w:hAnsi="Arial" w:cs="Arial"/>
          <w:sz w:val="24"/>
          <w:szCs w:val="24"/>
        </w:rPr>
        <w:br/>
      </w:r>
      <w:r>
        <w:rPr>
          <w:rFonts w:ascii="Arial" w:hAnsi="Arial" w:cs="Arial"/>
          <w:sz w:val="24"/>
          <w:szCs w:val="24"/>
        </w:rPr>
        <w:br/>
        <w:t>The target population encompassed local re</w:t>
      </w:r>
      <w:r>
        <w:rPr>
          <w:rFonts w:ascii="Arial" w:hAnsi="Arial" w:cs="Arial"/>
          <w:sz w:val="24"/>
          <w:szCs w:val="24"/>
        </w:rPr>
        <w:t>sidents and transient individuals aged 15 and above. Due to operational constraints in accessing the entire census population of the municipality, a purposive sampling technique was deployed to select high-potential snack consumers who purchase finger food</w:t>
      </w:r>
      <w:r>
        <w:rPr>
          <w:rFonts w:ascii="Arial" w:hAnsi="Arial" w:cs="Arial"/>
          <w:sz w:val="24"/>
          <w:szCs w:val="24"/>
        </w:rPr>
        <w:t>s on a daily or weekly basis. A total sample size of N = 289 respondents was successfully secured. High-income cohorts were intentionally excluded from the primary target segment, as preliminary market mapping indicated that luxury consumers exhibit distin</w:t>
      </w:r>
      <w:r>
        <w:rPr>
          <w:rFonts w:ascii="Arial" w:hAnsi="Arial" w:cs="Arial"/>
          <w:sz w:val="24"/>
          <w:szCs w:val="24"/>
        </w:rPr>
        <w:t xml:space="preserve">ct purchasing patterns that deviate from </w:t>
      </w:r>
      <w:r>
        <w:rPr>
          <w:rFonts w:ascii="Arial" w:hAnsi="Arial" w:cs="Arial"/>
          <w:sz w:val="24"/>
          <w:szCs w:val="24"/>
        </w:rPr>
        <w:lastRenderedPageBreak/>
        <w:t>the affordable, street-level positioning of this micro-venture.</w:t>
      </w:r>
      <w:r>
        <w:rPr>
          <w:rFonts w:ascii="Arial" w:hAnsi="Arial" w:cs="Arial"/>
          <w:sz w:val="24"/>
          <w:szCs w:val="24"/>
        </w:rPr>
        <w:br/>
      </w:r>
      <w:r>
        <w:rPr>
          <w:rFonts w:ascii="Arial" w:hAnsi="Arial" w:cs="Arial"/>
          <w:sz w:val="24"/>
          <w:szCs w:val="24"/>
        </w:rPr>
        <w:br/>
        <w:t>The primary data gathering tool was a highly structured, researcher-developed survey questionnaire validated by the entrepreneurship faculty of the CA</w:t>
      </w:r>
      <w:r>
        <w:rPr>
          <w:rFonts w:ascii="Arial" w:hAnsi="Arial" w:cs="Arial"/>
          <w:sz w:val="24"/>
          <w:szCs w:val="24"/>
        </w:rPr>
        <w:t>RD-MRI Development Institute (CMDI). The instrument comprised three thematic components: Part I focused on demographic and psychographic metrics; Part II assessed the Marketing Mix (the 4Ps) using a 4-point Likert scale; and Part III evaluated consumer per</w:t>
      </w:r>
      <w:r>
        <w:rPr>
          <w:rFonts w:ascii="Arial" w:hAnsi="Arial" w:cs="Arial"/>
          <w:sz w:val="24"/>
          <w:szCs w:val="24"/>
        </w:rPr>
        <w:t>ceptions and challenges. To ensure scientific rigor, the data collection procedure integrated a Sensory Evaluation and Pilot Production phase. Prior to completing the questionnaire, respondents participated in live "free tasting" sessions during a campus b</w:t>
      </w:r>
      <w:r>
        <w:rPr>
          <w:rFonts w:ascii="Arial" w:hAnsi="Arial" w:cs="Arial"/>
          <w:sz w:val="24"/>
          <w:szCs w:val="24"/>
        </w:rPr>
        <w:t>azaar and area assessment. This allowed participants to experience the actual organoleptic properties (aroma, appearance, and mouthfeel) of the air-fried tofu nuggets alongside the signature homemade sauces, transforming purely speculative responses into e</w:t>
      </w:r>
      <w:r>
        <w:rPr>
          <w:rFonts w:ascii="Arial" w:hAnsi="Arial" w:cs="Arial"/>
          <w:sz w:val="24"/>
          <w:szCs w:val="24"/>
        </w:rPr>
        <w:t>vidence-based sensory evaluations.</w:t>
      </w:r>
      <w:r>
        <w:rPr>
          <w:rFonts w:ascii="Arial" w:hAnsi="Arial" w:cs="Arial"/>
          <w:sz w:val="24"/>
          <w:szCs w:val="24"/>
        </w:rPr>
        <w:br/>
      </w:r>
      <w:r>
        <w:rPr>
          <w:rFonts w:ascii="Arial" w:hAnsi="Arial" w:cs="Arial"/>
          <w:sz w:val="24"/>
          <w:szCs w:val="24"/>
        </w:rPr>
        <w:br/>
        <w:t>Data were analyzed using both descriptive and inferential statistical methodologies: Frequency Distribution and Percentage were used to profile consumers; Weighted Mean tracked the 4-point Likert matrices (3.50–4.00: Str</w:t>
      </w:r>
      <w:r>
        <w:rPr>
          <w:rFonts w:ascii="Arial" w:hAnsi="Arial" w:cs="Arial"/>
          <w:sz w:val="24"/>
          <w:szCs w:val="24"/>
        </w:rPr>
        <w:t>ongly Agree/Highly Acceptable; 2.50–3.49: Agree/Acceptable; 1.75–2.49: Disagree/Unacceptable; 1.00–1.74: Strongly Disagree); One-Way ANOVA mapped variances across demographic groups; and the Pearson Product-Moment Correlation Coefficient (r) checked the li</w:t>
      </w:r>
      <w:r>
        <w:rPr>
          <w:rFonts w:ascii="Arial" w:hAnsi="Arial" w:cs="Arial"/>
          <w:sz w:val="24"/>
          <w:szCs w:val="24"/>
        </w:rPr>
        <w:t>nk between consumer perception and product acceptability.</w:t>
      </w:r>
    </w:p>
    <w:p w:rsidR="00B73998" w:rsidRDefault="00B73998">
      <w:pPr>
        <w:spacing w:after="240" w:line="360" w:lineRule="auto"/>
        <w:jc w:val="both"/>
        <w:rPr>
          <w:rFonts w:ascii="Arial" w:hAnsi="Arial" w:cs="Arial"/>
          <w:sz w:val="24"/>
          <w:szCs w:val="24"/>
        </w:rPr>
      </w:pPr>
    </w:p>
    <w:p w:rsidR="00B73998" w:rsidRDefault="00566EAF">
      <w:pPr>
        <w:keepNext/>
        <w:spacing w:before="240" w:after="120" w:line="360" w:lineRule="auto"/>
        <w:jc w:val="both"/>
        <w:rPr>
          <w:rFonts w:ascii="Arial" w:hAnsi="Arial" w:cs="Arial"/>
          <w:sz w:val="24"/>
          <w:szCs w:val="24"/>
        </w:rPr>
      </w:pPr>
      <w:r>
        <w:rPr>
          <w:rFonts w:ascii="Arial" w:hAnsi="Arial" w:cs="Arial"/>
          <w:b/>
          <w:sz w:val="24"/>
          <w:szCs w:val="24"/>
        </w:rPr>
        <w:t>III. Results and Discussion</w:t>
      </w:r>
    </w:p>
    <w:p w:rsidR="00B73998" w:rsidRDefault="00566EAF">
      <w:pPr>
        <w:keepNext/>
        <w:spacing w:before="240" w:after="120" w:line="360" w:lineRule="auto"/>
        <w:jc w:val="both"/>
        <w:rPr>
          <w:rFonts w:ascii="Arial" w:hAnsi="Arial" w:cs="Arial"/>
          <w:sz w:val="24"/>
          <w:szCs w:val="24"/>
        </w:rPr>
      </w:pPr>
      <w:r>
        <w:rPr>
          <w:rFonts w:ascii="Arial" w:hAnsi="Arial" w:cs="Arial"/>
          <w:b/>
          <w:sz w:val="24"/>
          <w:szCs w:val="24"/>
        </w:rPr>
        <w:t>1. Demographic and Psychographic Profile of Respondents</w:t>
      </w:r>
    </w:p>
    <w:tbl>
      <w:tblPr>
        <w:tblW w:w="0" w:type="auto"/>
        <w:tblLook w:val="04A0" w:firstRow="1" w:lastRow="0" w:firstColumn="1" w:lastColumn="0" w:noHBand="0" w:noVBand="1"/>
      </w:tblPr>
      <w:tblGrid>
        <w:gridCol w:w="2340"/>
        <w:gridCol w:w="2340"/>
        <w:gridCol w:w="2340"/>
        <w:gridCol w:w="2340"/>
      </w:tblGrid>
      <w:tr w:rsidR="00B73998">
        <w:tc>
          <w:tcPr>
            <w:tcW w:w="2340" w:type="dxa"/>
            <w:shd w:val="clear" w:color="auto" w:fill="2B6C74"/>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Profile Variable</w:t>
            </w:r>
          </w:p>
        </w:tc>
        <w:tc>
          <w:tcPr>
            <w:tcW w:w="2340" w:type="dxa"/>
            <w:shd w:val="clear" w:color="auto" w:fill="2B6C74"/>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Category</w:t>
            </w:r>
          </w:p>
        </w:tc>
        <w:tc>
          <w:tcPr>
            <w:tcW w:w="2340" w:type="dxa"/>
            <w:shd w:val="clear" w:color="auto" w:fill="2B6C74"/>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Frequency (f)</w:t>
            </w:r>
          </w:p>
        </w:tc>
        <w:tc>
          <w:tcPr>
            <w:tcW w:w="2340" w:type="dxa"/>
            <w:shd w:val="clear" w:color="auto" w:fill="2B6C74"/>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Percentage (%)</w:t>
            </w:r>
          </w:p>
        </w:tc>
      </w:tr>
      <w:tr w:rsidR="00B73998">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1.1 Age</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17 and below</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44</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15.22%</w:t>
            </w:r>
          </w:p>
        </w:tc>
      </w:tr>
      <w:tr w:rsidR="00B73998">
        <w:tc>
          <w:tcPr>
            <w:tcW w:w="234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18 – 24</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125</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43.25%</w:t>
            </w:r>
          </w:p>
        </w:tc>
      </w:tr>
      <w:tr w:rsidR="00B73998">
        <w:tc>
          <w:tcPr>
            <w:tcW w:w="234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 xml:space="preserve">25 </w:t>
            </w:r>
            <w:r>
              <w:rPr>
                <w:rFonts w:ascii="Arial" w:hAnsi="Arial" w:cs="Arial"/>
                <w:sz w:val="24"/>
                <w:szCs w:val="24"/>
              </w:rPr>
              <w:t>– 34</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72</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24.91%</w:t>
            </w:r>
          </w:p>
        </w:tc>
      </w:tr>
      <w:tr w:rsidR="00B73998">
        <w:tc>
          <w:tcPr>
            <w:tcW w:w="234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35 – 44</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35</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12.11%</w:t>
            </w:r>
          </w:p>
        </w:tc>
      </w:tr>
      <w:tr w:rsidR="00B73998">
        <w:tc>
          <w:tcPr>
            <w:tcW w:w="234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45 and above</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13</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4.50%</w:t>
            </w:r>
          </w:p>
        </w:tc>
      </w:tr>
      <w:tr w:rsidR="00B73998">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1.2 Sex/Gender</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Male</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121</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41.87%</w:t>
            </w:r>
          </w:p>
        </w:tc>
      </w:tr>
      <w:tr w:rsidR="00B73998">
        <w:tc>
          <w:tcPr>
            <w:tcW w:w="234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Female</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158</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54.67%</w:t>
            </w:r>
          </w:p>
        </w:tc>
      </w:tr>
      <w:tr w:rsidR="00B73998">
        <w:tc>
          <w:tcPr>
            <w:tcW w:w="234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Prefer not to say / Others</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10</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3.46%</w:t>
            </w:r>
          </w:p>
        </w:tc>
      </w:tr>
      <w:tr w:rsidR="00B73998">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1.3 Occupation</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Student</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128</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44.29%</w:t>
            </w:r>
          </w:p>
        </w:tc>
      </w:tr>
      <w:tr w:rsidR="00B73998">
        <w:tc>
          <w:tcPr>
            <w:tcW w:w="234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Employee (Public/Private)</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89</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30.80%</w:t>
            </w:r>
          </w:p>
        </w:tc>
      </w:tr>
      <w:tr w:rsidR="00B73998">
        <w:tc>
          <w:tcPr>
            <w:tcW w:w="234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Driver / Transport Worker</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24</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8.30%</w:t>
            </w:r>
          </w:p>
        </w:tc>
      </w:tr>
      <w:tr w:rsidR="00B73998">
        <w:tc>
          <w:tcPr>
            <w:tcW w:w="234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Self-employed / Business Owner</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28</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9.69%</w:t>
            </w:r>
          </w:p>
        </w:tc>
      </w:tr>
      <w:tr w:rsidR="00B73998">
        <w:tc>
          <w:tcPr>
            <w:tcW w:w="234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Unemployed / Homemaker</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20</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6.92%</w:t>
            </w:r>
          </w:p>
        </w:tc>
      </w:tr>
      <w:tr w:rsidR="00B73998">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 xml:space="preserve">1.4 Monthly </w:t>
            </w:r>
            <w:r>
              <w:rPr>
                <w:rFonts w:ascii="Arial" w:hAnsi="Arial" w:cs="Arial"/>
                <w:sz w:val="24"/>
                <w:szCs w:val="24"/>
              </w:rPr>
              <w:lastRenderedPageBreak/>
              <w:t>Income</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lastRenderedPageBreak/>
              <w:t>Below ₱5,000</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104</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35.99%</w:t>
            </w:r>
          </w:p>
        </w:tc>
      </w:tr>
      <w:tr w:rsidR="00B73998">
        <w:tc>
          <w:tcPr>
            <w:tcW w:w="234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w:t>
            </w:r>
            <w:r>
              <w:rPr>
                <w:rFonts w:ascii="Arial" w:hAnsi="Arial" w:cs="Arial"/>
                <w:sz w:val="24"/>
                <w:szCs w:val="24"/>
              </w:rPr>
              <w:t>5,000 – ₱10,000</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63</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21.80%</w:t>
            </w:r>
          </w:p>
        </w:tc>
      </w:tr>
      <w:tr w:rsidR="00B73998">
        <w:tc>
          <w:tcPr>
            <w:tcW w:w="234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w:t>
            </w:r>
            <w:r>
              <w:rPr>
                <w:rFonts w:ascii="Arial" w:hAnsi="Arial" w:cs="Arial"/>
                <w:sz w:val="24"/>
                <w:szCs w:val="24"/>
              </w:rPr>
              <w:t>10,001 – ₱20,000</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59</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20.42%</w:t>
            </w:r>
          </w:p>
        </w:tc>
      </w:tr>
      <w:tr w:rsidR="00B73998">
        <w:tc>
          <w:tcPr>
            <w:tcW w:w="234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w:t>
            </w:r>
            <w:r>
              <w:rPr>
                <w:rFonts w:ascii="Arial" w:hAnsi="Arial" w:cs="Arial"/>
                <w:sz w:val="24"/>
                <w:szCs w:val="24"/>
              </w:rPr>
              <w:t>20,001 – ₱40,000</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52</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17.99%</w:t>
            </w:r>
          </w:p>
        </w:tc>
      </w:tr>
      <w:tr w:rsidR="00B73998">
        <w:tc>
          <w:tcPr>
            <w:tcW w:w="234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Above ₱40,000</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11</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3.81%</w:t>
            </w:r>
          </w:p>
        </w:tc>
      </w:tr>
      <w:tr w:rsidR="00B73998">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 xml:space="preserve">1.5 Purchase </w:t>
            </w:r>
            <w:r>
              <w:rPr>
                <w:rFonts w:ascii="Arial" w:hAnsi="Arial" w:cs="Arial"/>
                <w:sz w:val="24"/>
                <w:szCs w:val="24"/>
              </w:rPr>
              <w:t>Freq.</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Daily</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34</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11.76%</w:t>
            </w:r>
          </w:p>
        </w:tc>
      </w:tr>
      <w:tr w:rsidR="00B73998">
        <w:tc>
          <w:tcPr>
            <w:tcW w:w="234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 to 3 times a week</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81</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28.03%</w:t>
            </w:r>
          </w:p>
        </w:tc>
      </w:tr>
      <w:tr w:rsidR="00B73998">
        <w:tc>
          <w:tcPr>
            <w:tcW w:w="234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Weekly</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102</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35.29%</w:t>
            </w:r>
          </w:p>
        </w:tc>
      </w:tr>
      <w:tr w:rsidR="00B73998">
        <w:tc>
          <w:tcPr>
            <w:tcW w:w="234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Monthly</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42</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14.53%</w:t>
            </w:r>
          </w:p>
        </w:tc>
      </w:tr>
      <w:tr w:rsidR="00B73998">
        <w:tc>
          <w:tcPr>
            <w:tcW w:w="234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Rarely / Never</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30</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10.38%</w:t>
            </w:r>
          </w:p>
        </w:tc>
      </w:tr>
      <w:tr w:rsidR="00B73998">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1.6 Lifestyle Orient.</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Health-conscious</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56</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19.38%</w:t>
            </w:r>
          </w:p>
        </w:tc>
      </w:tr>
      <w:tr w:rsidR="00B73998">
        <w:tc>
          <w:tcPr>
            <w:tcW w:w="234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Active / On-the-go</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83</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28.72%</w:t>
            </w:r>
          </w:p>
        </w:tc>
      </w:tr>
      <w:tr w:rsidR="00B73998">
        <w:tc>
          <w:tcPr>
            <w:tcW w:w="234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Budget-conscious</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109</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37.72%</w:t>
            </w:r>
          </w:p>
        </w:tc>
      </w:tr>
      <w:tr w:rsidR="00B73998">
        <w:tc>
          <w:tcPr>
            <w:tcW w:w="234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Food Explorer</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41</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14.19%</w:t>
            </w:r>
          </w:p>
        </w:tc>
      </w:tr>
    </w:tbl>
    <w:p w:rsidR="00B73998" w:rsidRDefault="00566EAF">
      <w:pPr>
        <w:spacing w:before="120" w:line="360" w:lineRule="auto"/>
        <w:jc w:val="both"/>
        <w:rPr>
          <w:rFonts w:ascii="Arial" w:hAnsi="Arial" w:cs="Arial"/>
          <w:sz w:val="24"/>
          <w:szCs w:val="24"/>
        </w:rPr>
      </w:pPr>
      <w:r>
        <w:rPr>
          <w:rFonts w:ascii="Arial" w:hAnsi="Arial" w:cs="Arial"/>
          <w:sz w:val="24"/>
          <w:szCs w:val="24"/>
        </w:rPr>
        <w:t>Table 1. Demographic and Psychographic Distribution of Respondents (N=289)</w:t>
      </w:r>
    </w:p>
    <w:p w:rsidR="00B73998" w:rsidRDefault="00566EAF">
      <w:pPr>
        <w:keepNext/>
        <w:spacing w:before="240" w:after="120" w:line="360" w:lineRule="auto"/>
        <w:jc w:val="both"/>
        <w:rPr>
          <w:rFonts w:ascii="Arial" w:hAnsi="Arial" w:cs="Arial"/>
          <w:sz w:val="24"/>
          <w:szCs w:val="24"/>
        </w:rPr>
      </w:pPr>
      <w:r>
        <w:rPr>
          <w:rFonts w:ascii="Arial" w:hAnsi="Arial" w:cs="Arial"/>
          <w:b/>
          <w:sz w:val="24"/>
          <w:szCs w:val="24"/>
        </w:rPr>
        <w:t>2. Level of Market Acceptability of Tofu Goodies</w:t>
      </w:r>
    </w:p>
    <w:tbl>
      <w:tblPr>
        <w:tblW w:w="0" w:type="auto"/>
        <w:tblLook w:val="04A0" w:firstRow="1" w:lastRow="0" w:firstColumn="1" w:lastColumn="0" w:noHBand="0" w:noVBand="1"/>
      </w:tblPr>
      <w:tblGrid>
        <w:gridCol w:w="3120"/>
        <w:gridCol w:w="3120"/>
        <w:gridCol w:w="3120"/>
      </w:tblGrid>
      <w:tr w:rsidR="00B73998">
        <w:tc>
          <w:tcPr>
            <w:tcW w:w="3120" w:type="dxa"/>
            <w:shd w:val="clear" w:color="auto" w:fill="2B6C74"/>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Marketing Mix Variable &amp; Items</w:t>
            </w:r>
          </w:p>
        </w:tc>
        <w:tc>
          <w:tcPr>
            <w:tcW w:w="3120" w:type="dxa"/>
            <w:shd w:val="clear" w:color="auto" w:fill="2B6C74"/>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Mean Score</w:t>
            </w:r>
          </w:p>
        </w:tc>
        <w:tc>
          <w:tcPr>
            <w:tcW w:w="3120" w:type="dxa"/>
            <w:shd w:val="clear" w:color="auto" w:fill="2B6C74"/>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Descriptive Interpretation</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2.1 Product Quality</w:t>
            </w:r>
          </w:p>
        </w:tc>
        <w:tc>
          <w:tcPr>
            <w:tcW w:w="312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312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 xml:space="preserve">1. Textures satisfy 'soft </w:t>
            </w:r>
            <w:r>
              <w:rPr>
                <w:rFonts w:ascii="Arial" w:hAnsi="Arial" w:cs="Arial"/>
                <w:sz w:val="24"/>
                <w:szCs w:val="24"/>
              </w:rPr>
              <w:t>inside and crispy outside.'</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3.11</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Acceptable</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2. Homemade sauces complement the nuggets.</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3.15</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Acceptable</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3. Overall taste and presentation are appealing.</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3.05</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Acceptable</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Sub-Composite Mean</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3.10</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Acceptable</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2.2 Price</w:t>
            </w:r>
          </w:p>
        </w:tc>
        <w:tc>
          <w:tcPr>
            <w:tcW w:w="312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312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 xml:space="preserve">1. </w:t>
            </w:r>
            <w:r>
              <w:rPr>
                <w:rFonts w:ascii="Arial" w:hAnsi="Arial" w:cs="Arial"/>
                <w:sz w:val="24"/>
                <w:szCs w:val="24"/>
              </w:rPr>
              <w:t>Price range of ₱11.00 to ₱55.00 is highly affordable.</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3.08</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Acceptable</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 xml:space="preserve">2. Offers great value for </w:t>
            </w:r>
            <w:r>
              <w:rPr>
                <w:rFonts w:ascii="Arial" w:hAnsi="Arial" w:cs="Arial"/>
                <w:b/>
                <w:sz w:val="24"/>
                <w:szCs w:val="24"/>
              </w:rPr>
              <w:lastRenderedPageBreak/>
              <w:t>money and serving portions.</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lastRenderedPageBreak/>
              <w:t>3.06</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Acceptable</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lastRenderedPageBreak/>
              <w:t>3. Pricing justifies switching from meat street foods.</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3.03</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Acceptable</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Sub-Composite Mean</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3.06</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Acceptable</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2.3 Place</w:t>
            </w:r>
          </w:p>
        </w:tc>
        <w:tc>
          <w:tcPr>
            <w:tcW w:w="312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312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 Physical stall in Brgy. Paciano Rizal is accessible.</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2.97</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Acceptable</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2. Travel-friendly packaging is convenient for on-the-go.</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2.93</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Acceptable</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3. Store layout allows a hassle-free experience.</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2.92</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Acceptable</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Sub-Composite Mean</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2.94</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Acceptable</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2.4 Promotion</w:t>
            </w:r>
          </w:p>
        </w:tc>
        <w:tc>
          <w:tcPr>
            <w:tcW w:w="312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312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 Social media posts (FB, TikTok, IG) are engaging.</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3.01</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Acceptable</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 xml:space="preserve">2. Online materials communicate </w:t>
            </w:r>
            <w:r>
              <w:rPr>
                <w:rFonts w:ascii="Arial" w:hAnsi="Arial" w:cs="Arial"/>
                <w:b/>
                <w:sz w:val="24"/>
                <w:szCs w:val="24"/>
              </w:rPr>
              <w:lastRenderedPageBreak/>
              <w:t>prices/location clearly.</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lastRenderedPageBreak/>
              <w:t>3.02</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Acceptable</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lastRenderedPageBreak/>
              <w:t xml:space="preserve">3. Digital </w:t>
            </w:r>
            <w:r>
              <w:rPr>
                <w:rFonts w:ascii="Arial" w:hAnsi="Arial" w:cs="Arial"/>
                <w:sz w:val="24"/>
                <w:szCs w:val="24"/>
              </w:rPr>
              <w:t>marketing convinces me to purchase.</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3.07</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Acceptable</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Sub-Composite Mean</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3.03</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Acceptable</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OVERALL ACCEPTABILITY MEAN</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3.03</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Acceptable</w:t>
            </w:r>
          </w:p>
        </w:tc>
      </w:tr>
    </w:tbl>
    <w:p w:rsidR="00B73998" w:rsidRDefault="00566EAF">
      <w:pPr>
        <w:spacing w:before="120" w:line="360" w:lineRule="auto"/>
        <w:jc w:val="both"/>
        <w:rPr>
          <w:rFonts w:ascii="Arial" w:hAnsi="Arial" w:cs="Arial"/>
          <w:sz w:val="24"/>
          <w:szCs w:val="24"/>
        </w:rPr>
      </w:pPr>
      <w:r>
        <w:rPr>
          <w:rFonts w:ascii="Arial" w:hAnsi="Arial" w:cs="Arial"/>
          <w:sz w:val="24"/>
          <w:szCs w:val="24"/>
        </w:rPr>
        <w:t>Table 2. Level of Market Acceptability by Marketing Mix Category</w:t>
      </w:r>
    </w:p>
    <w:p w:rsidR="00B73998" w:rsidRDefault="00566EAF">
      <w:pPr>
        <w:keepNext/>
        <w:spacing w:before="240" w:after="120" w:line="360" w:lineRule="auto"/>
        <w:jc w:val="both"/>
        <w:rPr>
          <w:rFonts w:ascii="Arial" w:hAnsi="Arial" w:cs="Arial"/>
          <w:sz w:val="24"/>
          <w:szCs w:val="24"/>
        </w:rPr>
      </w:pPr>
      <w:r>
        <w:rPr>
          <w:rFonts w:ascii="Arial" w:hAnsi="Arial" w:cs="Arial"/>
          <w:b/>
          <w:sz w:val="24"/>
          <w:szCs w:val="24"/>
        </w:rPr>
        <w:t xml:space="preserve">3. Consumer Perception Towards </w:t>
      </w:r>
      <w:r>
        <w:rPr>
          <w:rFonts w:ascii="Arial" w:hAnsi="Arial" w:cs="Arial"/>
          <w:b/>
          <w:sz w:val="24"/>
          <w:szCs w:val="24"/>
        </w:rPr>
        <w:t>Plant-Based Nuggets</w:t>
      </w:r>
    </w:p>
    <w:tbl>
      <w:tblPr>
        <w:tblW w:w="0" w:type="auto"/>
        <w:tblLook w:val="04A0" w:firstRow="1" w:lastRow="0" w:firstColumn="1" w:lastColumn="0" w:noHBand="0" w:noVBand="1"/>
      </w:tblPr>
      <w:tblGrid>
        <w:gridCol w:w="3120"/>
        <w:gridCol w:w="3120"/>
        <w:gridCol w:w="3120"/>
      </w:tblGrid>
      <w:tr w:rsidR="00B73998">
        <w:tc>
          <w:tcPr>
            <w:tcW w:w="3120" w:type="dxa"/>
            <w:shd w:val="clear" w:color="auto" w:fill="2B6C74"/>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Perception Dimension &amp; Specific Indicators</w:t>
            </w:r>
          </w:p>
        </w:tc>
        <w:tc>
          <w:tcPr>
            <w:tcW w:w="3120" w:type="dxa"/>
            <w:shd w:val="clear" w:color="auto" w:fill="2B6C74"/>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Mean Score</w:t>
            </w:r>
          </w:p>
        </w:tc>
        <w:tc>
          <w:tcPr>
            <w:tcW w:w="3120" w:type="dxa"/>
            <w:shd w:val="clear" w:color="auto" w:fill="2B6C74"/>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Descriptive Interpretation</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3.1 Health Benefits</w:t>
            </w:r>
          </w:p>
        </w:tc>
        <w:tc>
          <w:tcPr>
            <w:tcW w:w="312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312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 Favored due to high protein and zero cholesterol.</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3.24</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Favorable Perception</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 xml:space="preserve">2. Plant-based options are vital for my </w:t>
            </w:r>
            <w:r>
              <w:rPr>
                <w:rFonts w:ascii="Arial" w:hAnsi="Arial" w:cs="Arial"/>
                <w:sz w:val="24"/>
                <w:szCs w:val="24"/>
              </w:rPr>
              <w:t>long-term health.</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3.22</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Favorable Perception</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3. Perceived as a cleaner alternative to meat snacks.</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3.29</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Favorable Perception</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lastRenderedPageBreak/>
              <w:t>Sub-Composite Mean</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3.25</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Favorable Perception</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3.2 Sensory Attributes</w:t>
            </w:r>
          </w:p>
        </w:tc>
        <w:tc>
          <w:tcPr>
            <w:tcW w:w="312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312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 Replicates the chew and mouthfe</w:t>
            </w:r>
            <w:r>
              <w:rPr>
                <w:rFonts w:ascii="Arial" w:hAnsi="Arial" w:cs="Arial"/>
                <w:sz w:val="24"/>
                <w:szCs w:val="24"/>
              </w:rPr>
              <w:t>el of chicken nuggets.</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2.77</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Moderate Perception</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 Plant seasonings satisfy my palate as much as meat.</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2.80</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Moderate Perception</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3. Aroma and visual appearance are highly appetizing.</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2.74</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Moderate Perception</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Sub-Composite Mean</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2.77</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Moderate Perception</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3.3 Sustainability</w:t>
            </w:r>
          </w:p>
        </w:tc>
        <w:tc>
          <w:tcPr>
            <w:tcW w:w="312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312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 Willing to purchase to support eco-conscious options.</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3.09</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Favorable Perception</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 Cruelty-free values heavily influence my food choices.</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3.09</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Favorable Perception</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lastRenderedPageBreak/>
              <w:t xml:space="preserve">3. Shifting to </w:t>
            </w:r>
            <w:r>
              <w:rPr>
                <w:rFonts w:ascii="Arial" w:hAnsi="Arial" w:cs="Arial"/>
                <w:b/>
                <w:sz w:val="24"/>
                <w:szCs w:val="24"/>
              </w:rPr>
              <w:t>tofu snacks benefits local sustainability.</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3.04</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Favorable Perception</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Sub-Composite Mean</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3.07</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Favorable Perception</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OVERALL PERCEPTION MEAN</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3.03</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Favorable Perception</w:t>
            </w:r>
          </w:p>
        </w:tc>
      </w:tr>
    </w:tbl>
    <w:p w:rsidR="00B73998" w:rsidRDefault="00566EAF">
      <w:pPr>
        <w:spacing w:before="120" w:line="360" w:lineRule="auto"/>
        <w:jc w:val="both"/>
        <w:rPr>
          <w:rFonts w:ascii="Arial" w:hAnsi="Arial" w:cs="Arial"/>
          <w:sz w:val="24"/>
          <w:szCs w:val="24"/>
        </w:rPr>
      </w:pPr>
      <w:r>
        <w:rPr>
          <w:rFonts w:ascii="Arial" w:hAnsi="Arial" w:cs="Arial"/>
          <w:sz w:val="24"/>
          <w:szCs w:val="24"/>
        </w:rPr>
        <w:t>Table 3. Consumer Perception Summary</w:t>
      </w:r>
    </w:p>
    <w:p w:rsidR="00B73998" w:rsidRDefault="00566EAF">
      <w:pPr>
        <w:keepNext/>
        <w:spacing w:before="240" w:after="120" w:line="360" w:lineRule="auto"/>
        <w:jc w:val="both"/>
        <w:rPr>
          <w:rFonts w:ascii="Arial" w:hAnsi="Arial" w:cs="Arial"/>
          <w:sz w:val="24"/>
          <w:szCs w:val="24"/>
        </w:rPr>
      </w:pPr>
      <w:r>
        <w:rPr>
          <w:rFonts w:ascii="Arial" w:hAnsi="Arial" w:cs="Arial"/>
          <w:b/>
          <w:sz w:val="24"/>
          <w:szCs w:val="24"/>
        </w:rPr>
        <w:t xml:space="preserve">4. Inferential Analyses: </w:t>
      </w:r>
      <w:r>
        <w:rPr>
          <w:rFonts w:ascii="Arial" w:hAnsi="Arial" w:cs="Arial"/>
          <w:b/>
          <w:sz w:val="24"/>
          <w:szCs w:val="24"/>
        </w:rPr>
        <w:t>Variances and Correlations</w:t>
      </w:r>
    </w:p>
    <w:tbl>
      <w:tblPr>
        <w:tblW w:w="0" w:type="auto"/>
        <w:tblLook w:val="04A0" w:firstRow="1" w:lastRow="0" w:firstColumn="1" w:lastColumn="0" w:noHBand="0" w:noVBand="1"/>
      </w:tblPr>
      <w:tblGrid>
        <w:gridCol w:w="1872"/>
        <w:gridCol w:w="1872"/>
        <w:gridCol w:w="1872"/>
        <w:gridCol w:w="1872"/>
        <w:gridCol w:w="1872"/>
      </w:tblGrid>
      <w:tr w:rsidR="00B73998">
        <w:tc>
          <w:tcPr>
            <w:tcW w:w="1872" w:type="dxa"/>
            <w:shd w:val="clear" w:color="auto" w:fill="2B6C74"/>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Profile Group</w:t>
            </w:r>
          </w:p>
        </w:tc>
        <w:tc>
          <w:tcPr>
            <w:tcW w:w="1872" w:type="dxa"/>
            <w:shd w:val="clear" w:color="auto" w:fill="2B6C74"/>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Degrees of Freedom (df)</w:t>
            </w:r>
          </w:p>
        </w:tc>
        <w:tc>
          <w:tcPr>
            <w:tcW w:w="1872" w:type="dxa"/>
            <w:shd w:val="clear" w:color="auto" w:fill="2B6C74"/>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F-Statistic</w:t>
            </w:r>
          </w:p>
        </w:tc>
        <w:tc>
          <w:tcPr>
            <w:tcW w:w="1872" w:type="dxa"/>
            <w:shd w:val="clear" w:color="auto" w:fill="2B6C74"/>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p-Value</w:t>
            </w:r>
          </w:p>
        </w:tc>
        <w:tc>
          <w:tcPr>
            <w:tcW w:w="1872" w:type="dxa"/>
            <w:shd w:val="clear" w:color="auto" w:fill="2B6C74"/>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Decision on H0</w:t>
            </w:r>
          </w:p>
        </w:tc>
      </w:tr>
      <w:tr w:rsidR="00B73998">
        <w:tc>
          <w:tcPr>
            <w:tcW w:w="1872"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Age Group</w:t>
            </w:r>
          </w:p>
        </w:tc>
        <w:tc>
          <w:tcPr>
            <w:tcW w:w="1872"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(4, 284)</w:t>
            </w:r>
          </w:p>
        </w:tc>
        <w:tc>
          <w:tcPr>
            <w:tcW w:w="1872"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1.1179</w:t>
            </w:r>
          </w:p>
        </w:tc>
        <w:tc>
          <w:tcPr>
            <w:tcW w:w="1872"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0.3482</w:t>
            </w:r>
          </w:p>
        </w:tc>
        <w:tc>
          <w:tcPr>
            <w:tcW w:w="1872"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Accept Null (H0)</w:t>
            </w:r>
          </w:p>
        </w:tc>
      </w:tr>
      <w:tr w:rsidR="00B73998">
        <w:tc>
          <w:tcPr>
            <w:tcW w:w="1872"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Sex / Gender</w:t>
            </w:r>
          </w:p>
        </w:tc>
        <w:tc>
          <w:tcPr>
            <w:tcW w:w="1872"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(2, 286)</w:t>
            </w:r>
          </w:p>
        </w:tc>
        <w:tc>
          <w:tcPr>
            <w:tcW w:w="1872"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0.7071</w:t>
            </w:r>
          </w:p>
        </w:tc>
        <w:tc>
          <w:tcPr>
            <w:tcW w:w="1872"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0.4939</w:t>
            </w:r>
          </w:p>
        </w:tc>
        <w:tc>
          <w:tcPr>
            <w:tcW w:w="1872"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Accept Null (H0)</w:t>
            </w:r>
          </w:p>
        </w:tc>
      </w:tr>
      <w:tr w:rsidR="00B73998">
        <w:tc>
          <w:tcPr>
            <w:tcW w:w="1872"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Primary Occupation</w:t>
            </w:r>
          </w:p>
        </w:tc>
        <w:tc>
          <w:tcPr>
            <w:tcW w:w="1872"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(4, 284)</w:t>
            </w:r>
          </w:p>
        </w:tc>
        <w:tc>
          <w:tcPr>
            <w:tcW w:w="1872"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0.1358</w:t>
            </w:r>
          </w:p>
        </w:tc>
        <w:tc>
          <w:tcPr>
            <w:tcW w:w="1872"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0.9690</w:t>
            </w:r>
          </w:p>
        </w:tc>
        <w:tc>
          <w:tcPr>
            <w:tcW w:w="1872"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 xml:space="preserve">Accept </w:t>
            </w:r>
            <w:r>
              <w:rPr>
                <w:rFonts w:ascii="Arial" w:hAnsi="Arial" w:cs="Arial"/>
                <w:sz w:val="24"/>
                <w:szCs w:val="24"/>
              </w:rPr>
              <w:t>Null (H0)</w:t>
            </w:r>
          </w:p>
        </w:tc>
      </w:tr>
      <w:tr w:rsidR="00B73998">
        <w:tc>
          <w:tcPr>
            <w:tcW w:w="1872"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Monthly Allowance</w:t>
            </w:r>
          </w:p>
        </w:tc>
        <w:tc>
          <w:tcPr>
            <w:tcW w:w="1872"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(4, 284)</w:t>
            </w:r>
          </w:p>
        </w:tc>
        <w:tc>
          <w:tcPr>
            <w:tcW w:w="1872"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0.7373</w:t>
            </w:r>
          </w:p>
        </w:tc>
        <w:tc>
          <w:tcPr>
            <w:tcW w:w="1872"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0.5672</w:t>
            </w:r>
          </w:p>
        </w:tc>
        <w:tc>
          <w:tcPr>
            <w:tcW w:w="1872"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Accept Null (H0)</w:t>
            </w:r>
          </w:p>
        </w:tc>
      </w:tr>
      <w:tr w:rsidR="00B73998">
        <w:tc>
          <w:tcPr>
            <w:tcW w:w="1872"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Purchase Frequency</w:t>
            </w:r>
          </w:p>
        </w:tc>
        <w:tc>
          <w:tcPr>
            <w:tcW w:w="1872"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(4, 284)</w:t>
            </w:r>
          </w:p>
        </w:tc>
        <w:tc>
          <w:tcPr>
            <w:tcW w:w="1872"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1.2470</w:t>
            </w:r>
          </w:p>
        </w:tc>
        <w:tc>
          <w:tcPr>
            <w:tcW w:w="1872"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0.2912</w:t>
            </w:r>
          </w:p>
        </w:tc>
        <w:tc>
          <w:tcPr>
            <w:tcW w:w="1872"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Accept Null (H0)</w:t>
            </w:r>
          </w:p>
        </w:tc>
      </w:tr>
      <w:tr w:rsidR="00B73998">
        <w:tc>
          <w:tcPr>
            <w:tcW w:w="1872"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lastRenderedPageBreak/>
              <w:t>Lifestyle Orientation</w:t>
            </w:r>
          </w:p>
        </w:tc>
        <w:tc>
          <w:tcPr>
            <w:tcW w:w="1872"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(3, 285)</w:t>
            </w:r>
          </w:p>
        </w:tc>
        <w:tc>
          <w:tcPr>
            <w:tcW w:w="1872"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0.5224</w:t>
            </w:r>
          </w:p>
        </w:tc>
        <w:tc>
          <w:tcPr>
            <w:tcW w:w="1872"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0.6672</w:t>
            </w:r>
          </w:p>
        </w:tc>
        <w:tc>
          <w:tcPr>
            <w:tcW w:w="1872"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Accept Null (H0)</w:t>
            </w:r>
          </w:p>
        </w:tc>
      </w:tr>
    </w:tbl>
    <w:p w:rsidR="00B73998" w:rsidRDefault="00566EAF">
      <w:pPr>
        <w:spacing w:before="120" w:line="360" w:lineRule="auto"/>
        <w:jc w:val="both"/>
        <w:rPr>
          <w:rFonts w:ascii="Arial" w:hAnsi="Arial" w:cs="Arial"/>
          <w:sz w:val="24"/>
          <w:szCs w:val="24"/>
        </w:rPr>
      </w:pPr>
      <w:r>
        <w:rPr>
          <w:rFonts w:ascii="Arial" w:hAnsi="Arial" w:cs="Arial"/>
          <w:sz w:val="24"/>
          <w:szCs w:val="24"/>
        </w:rPr>
        <w:t xml:space="preserve">Table 4. One-Way ANOVA: Demographic Profiles vs. Product </w:t>
      </w:r>
      <w:r>
        <w:rPr>
          <w:rFonts w:ascii="Arial" w:hAnsi="Arial" w:cs="Arial"/>
          <w:sz w:val="24"/>
          <w:szCs w:val="24"/>
        </w:rPr>
        <w:t>Acceptability</w:t>
      </w:r>
    </w:p>
    <w:tbl>
      <w:tblPr>
        <w:tblW w:w="0" w:type="auto"/>
        <w:tblLook w:val="04A0" w:firstRow="1" w:lastRow="0" w:firstColumn="1" w:lastColumn="0" w:noHBand="0" w:noVBand="1"/>
      </w:tblPr>
      <w:tblGrid>
        <w:gridCol w:w="2340"/>
        <w:gridCol w:w="2340"/>
        <w:gridCol w:w="2340"/>
        <w:gridCol w:w="2340"/>
      </w:tblGrid>
      <w:tr w:rsidR="00B73998">
        <w:tc>
          <w:tcPr>
            <w:tcW w:w="2340" w:type="dxa"/>
            <w:shd w:val="clear" w:color="auto" w:fill="2B6C74"/>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Correlated Composite Variables</w:t>
            </w:r>
          </w:p>
        </w:tc>
        <w:tc>
          <w:tcPr>
            <w:tcW w:w="2340" w:type="dxa"/>
            <w:shd w:val="clear" w:color="auto" w:fill="2B6C74"/>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Pearson r</w:t>
            </w:r>
          </w:p>
        </w:tc>
        <w:tc>
          <w:tcPr>
            <w:tcW w:w="2340" w:type="dxa"/>
            <w:shd w:val="clear" w:color="auto" w:fill="2B6C74"/>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p-Value</w:t>
            </w:r>
          </w:p>
        </w:tc>
        <w:tc>
          <w:tcPr>
            <w:tcW w:w="2340" w:type="dxa"/>
            <w:shd w:val="clear" w:color="auto" w:fill="2B6C74"/>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Decision on H0</w:t>
            </w:r>
          </w:p>
        </w:tc>
      </w:tr>
      <w:tr w:rsidR="00B73998">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Composite Perception vs. Composite Acceptability</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-0.0186</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0.7534</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Accept Null (H0)</w:t>
            </w:r>
          </w:p>
        </w:tc>
      </w:tr>
    </w:tbl>
    <w:p w:rsidR="00B73998" w:rsidRDefault="00566EAF">
      <w:pPr>
        <w:spacing w:before="120" w:line="360" w:lineRule="auto"/>
        <w:jc w:val="both"/>
        <w:rPr>
          <w:rFonts w:ascii="Arial" w:hAnsi="Arial" w:cs="Arial"/>
          <w:sz w:val="24"/>
          <w:szCs w:val="24"/>
        </w:rPr>
      </w:pPr>
      <w:r>
        <w:rPr>
          <w:rFonts w:ascii="Arial" w:hAnsi="Arial" w:cs="Arial"/>
          <w:sz w:val="24"/>
          <w:szCs w:val="24"/>
        </w:rPr>
        <w:t>Table 5. Correlation Analysis: Consumer Perception vs. Market Acceptability</w:t>
      </w:r>
    </w:p>
    <w:p w:rsidR="00B73998" w:rsidRDefault="00566EAF">
      <w:pPr>
        <w:keepNext/>
        <w:spacing w:before="240" w:after="120" w:line="360" w:lineRule="auto"/>
        <w:jc w:val="both"/>
        <w:rPr>
          <w:rFonts w:ascii="Arial" w:hAnsi="Arial" w:cs="Arial"/>
          <w:sz w:val="24"/>
          <w:szCs w:val="24"/>
        </w:rPr>
      </w:pPr>
      <w:r>
        <w:rPr>
          <w:rFonts w:ascii="Arial" w:hAnsi="Arial" w:cs="Arial"/>
          <w:b/>
          <w:sz w:val="24"/>
          <w:szCs w:val="24"/>
        </w:rPr>
        <w:t>5. Challenges Encou</w:t>
      </w:r>
      <w:r>
        <w:rPr>
          <w:rFonts w:ascii="Arial" w:hAnsi="Arial" w:cs="Arial"/>
          <w:b/>
          <w:sz w:val="24"/>
          <w:szCs w:val="24"/>
        </w:rPr>
        <w:t>ntered by Consumers in Plant-Based Product Adoption</w:t>
      </w:r>
    </w:p>
    <w:tbl>
      <w:tblPr>
        <w:tblW w:w="0" w:type="auto"/>
        <w:tblLook w:val="04A0" w:firstRow="1" w:lastRow="0" w:firstColumn="1" w:lastColumn="0" w:noHBand="0" w:noVBand="1"/>
      </w:tblPr>
      <w:tblGrid>
        <w:gridCol w:w="3120"/>
        <w:gridCol w:w="3120"/>
        <w:gridCol w:w="3120"/>
      </w:tblGrid>
      <w:tr w:rsidR="00B73998">
        <w:tc>
          <w:tcPr>
            <w:tcW w:w="3120" w:type="dxa"/>
            <w:shd w:val="clear" w:color="auto" w:fill="2B6C74"/>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Challenge Sub-Category &amp; Item Indicators</w:t>
            </w:r>
          </w:p>
        </w:tc>
        <w:tc>
          <w:tcPr>
            <w:tcW w:w="3120" w:type="dxa"/>
            <w:shd w:val="clear" w:color="auto" w:fill="2B6C74"/>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Mean Score</w:t>
            </w:r>
          </w:p>
        </w:tc>
        <w:tc>
          <w:tcPr>
            <w:tcW w:w="3120" w:type="dxa"/>
            <w:shd w:val="clear" w:color="auto" w:fill="2B6C74"/>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Descriptive Interpretation</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5.1 Product Awareness</w:t>
            </w:r>
          </w:p>
        </w:tc>
        <w:tc>
          <w:tcPr>
            <w:tcW w:w="312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312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 Lack of clear info on the health benefits of tofu.</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2.55</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Moderate Challenge</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 xml:space="preserve">2. Limited </w:t>
            </w:r>
            <w:r>
              <w:rPr>
                <w:rFonts w:ascii="Arial" w:hAnsi="Arial" w:cs="Arial"/>
                <w:sz w:val="24"/>
                <w:szCs w:val="24"/>
              </w:rPr>
              <w:t>education on plant preparation prevents buying.</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2.66</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Moderate Challenge</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Sub-Composite Mean</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2.61</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 xml:space="preserve">Agree / Moderate </w:t>
            </w:r>
            <w:r>
              <w:rPr>
                <w:rFonts w:ascii="Arial" w:hAnsi="Arial" w:cs="Arial"/>
                <w:sz w:val="24"/>
                <w:szCs w:val="24"/>
              </w:rPr>
              <w:lastRenderedPageBreak/>
              <w:t>Challenge</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lastRenderedPageBreak/>
              <w:t>5.2 Market Competition</w:t>
            </w:r>
          </w:p>
        </w:tc>
        <w:tc>
          <w:tcPr>
            <w:tcW w:w="312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312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 Fall back on meat brands because they are highly familiar.</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2.85</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Moderate Challenge</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w:t>
            </w:r>
            <w:r>
              <w:rPr>
                <w:rFonts w:ascii="Arial" w:hAnsi="Arial" w:cs="Arial"/>
                <w:sz w:val="24"/>
                <w:szCs w:val="24"/>
              </w:rPr>
              <w:t xml:space="preserve"> Difficult to choose tofu when meat is aggressively advertised.</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2.89</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Moderate Challenge</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Sub-Composite Mean</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2.87</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Moderate Challenge</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5.3 Accessibility / Convenience</w:t>
            </w:r>
          </w:p>
        </w:tc>
        <w:tc>
          <w:tcPr>
            <w:tcW w:w="312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312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1. Inconvenient when delivery choices are unavailable.</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2.74</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 xml:space="preserve">Agree / </w:t>
            </w:r>
            <w:r>
              <w:rPr>
                <w:rFonts w:ascii="Arial" w:hAnsi="Arial" w:cs="Arial"/>
                <w:sz w:val="24"/>
                <w:szCs w:val="24"/>
              </w:rPr>
              <w:t>Moderate Challenge</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 Traveling to Paciano Rizal limits buying frequency.</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2.60</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Moderate Challenge</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Sub-Composite Mean</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2.67</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Moderate Challenge</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5.4 Taste Skepticism</w:t>
            </w:r>
          </w:p>
        </w:tc>
        <w:tc>
          <w:tcPr>
            <w:tcW w:w="312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c>
          <w:tcPr>
            <w:tcW w:w="3120" w:type="dxa"/>
            <w:tcMar>
              <w:top w:w="100" w:type="dxa"/>
              <w:left w:w="150" w:type="dxa"/>
              <w:bottom w:w="100" w:type="dxa"/>
              <w:right w:w="150" w:type="dxa"/>
            </w:tcMar>
          </w:tcPr>
          <w:p w:rsidR="00B73998" w:rsidRDefault="00B73998">
            <w:pPr>
              <w:spacing w:line="360" w:lineRule="auto"/>
              <w:jc w:val="both"/>
              <w:rPr>
                <w:rFonts w:ascii="Arial" w:hAnsi="Arial" w:cs="Arial"/>
                <w:sz w:val="24"/>
                <w:szCs w:val="24"/>
              </w:rPr>
            </w:pP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lastRenderedPageBreak/>
              <w:t>1. Hesitation on whether tofu can taste as good as meat.</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2.49</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Disagree /</w:t>
            </w:r>
            <w:r>
              <w:rPr>
                <w:rFonts w:ascii="Arial" w:hAnsi="Arial" w:cs="Arial"/>
                <w:sz w:val="24"/>
                <w:szCs w:val="24"/>
              </w:rPr>
              <w:t xml:space="preserve"> Low Challenge</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 General social stigma that tofu snacks are bland.</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2.52</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Moderate Challenge</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Sub-Composite Mean</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2.51</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Moderate Challenge</w:t>
            </w:r>
          </w:p>
        </w:tc>
      </w:tr>
      <w:tr w:rsidR="00B73998">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OVERALL CHALLENGES COMPOSITE MEAN</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2.66</w:t>
            </w:r>
          </w:p>
        </w:tc>
        <w:tc>
          <w:tcPr>
            <w:tcW w:w="312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Agree / Moderate Challenge</w:t>
            </w:r>
          </w:p>
        </w:tc>
      </w:tr>
    </w:tbl>
    <w:p w:rsidR="00B73998" w:rsidRDefault="00566EAF">
      <w:pPr>
        <w:spacing w:before="120" w:line="360" w:lineRule="auto"/>
        <w:jc w:val="both"/>
        <w:rPr>
          <w:rFonts w:ascii="Arial" w:hAnsi="Arial" w:cs="Arial"/>
          <w:sz w:val="24"/>
          <w:szCs w:val="24"/>
        </w:rPr>
      </w:pPr>
      <w:r>
        <w:rPr>
          <w:rFonts w:ascii="Arial" w:hAnsi="Arial" w:cs="Arial"/>
          <w:sz w:val="24"/>
          <w:szCs w:val="24"/>
        </w:rPr>
        <w:t xml:space="preserve">Table 6. Evaluated Challenges in </w:t>
      </w:r>
      <w:r>
        <w:rPr>
          <w:rFonts w:ascii="Arial" w:hAnsi="Arial" w:cs="Arial"/>
          <w:sz w:val="24"/>
          <w:szCs w:val="24"/>
        </w:rPr>
        <w:t>Plant-Based Product Adoption</w:t>
      </w:r>
    </w:p>
    <w:p w:rsidR="00B73998" w:rsidRDefault="00566EAF">
      <w:pPr>
        <w:keepNext/>
        <w:spacing w:before="240" w:after="120" w:line="360" w:lineRule="auto"/>
        <w:jc w:val="both"/>
        <w:rPr>
          <w:rFonts w:ascii="Arial" w:hAnsi="Arial" w:cs="Arial"/>
          <w:sz w:val="24"/>
          <w:szCs w:val="24"/>
        </w:rPr>
      </w:pPr>
      <w:r>
        <w:rPr>
          <w:rFonts w:ascii="Arial" w:hAnsi="Arial" w:cs="Arial"/>
          <w:b/>
          <w:sz w:val="24"/>
          <w:szCs w:val="24"/>
        </w:rPr>
        <w:t>IV. Conclusions</w:t>
      </w:r>
    </w:p>
    <w:p w:rsidR="00B73998" w:rsidRDefault="00566EAF">
      <w:pPr>
        <w:spacing w:line="360" w:lineRule="auto"/>
        <w:jc w:val="both"/>
        <w:rPr>
          <w:rFonts w:ascii="Arial" w:hAnsi="Arial" w:cs="Arial"/>
          <w:sz w:val="24"/>
          <w:szCs w:val="24"/>
        </w:rPr>
      </w:pPr>
      <w:r>
        <w:rPr>
          <w:rFonts w:ascii="Arial" w:hAnsi="Arial" w:cs="Arial"/>
          <w:sz w:val="24"/>
          <w:szCs w:val="24"/>
        </w:rPr>
        <w:t>1. Target Market Architecture: The primary consumer ecosystem for casual street snacks in Bay, Laguna is structurally anchored by low-budget students and highly active young professionals, ensuring a stable, hig</w:t>
      </w:r>
      <w:r>
        <w:rPr>
          <w:rFonts w:ascii="Arial" w:hAnsi="Arial" w:cs="Arial"/>
          <w:sz w:val="24"/>
          <w:szCs w:val="24"/>
        </w:rPr>
        <w:t>hly recurring volume of weekly purchases.</w:t>
      </w:r>
      <w:r>
        <w:rPr>
          <w:rFonts w:ascii="Arial" w:hAnsi="Arial" w:cs="Arial"/>
          <w:sz w:val="24"/>
          <w:szCs w:val="24"/>
        </w:rPr>
        <w:br/>
        <w:t>2. Homogeneity of Acceptability: Because comprehensive ANOVA testing proved that demographic, socio-economic, and lifestyle variations cause no statistically significant differences in product acceptability (p &gt; 0.</w:t>
      </w:r>
      <w:r>
        <w:rPr>
          <w:rFonts w:ascii="Arial" w:hAnsi="Arial" w:cs="Arial"/>
          <w:sz w:val="24"/>
          <w:szCs w:val="24"/>
        </w:rPr>
        <w:t>05), the business can confidently deploy a singular, standardized marketing mix.</w:t>
      </w:r>
      <w:r>
        <w:rPr>
          <w:rFonts w:ascii="Arial" w:hAnsi="Arial" w:cs="Arial"/>
          <w:sz w:val="24"/>
          <w:szCs w:val="24"/>
        </w:rPr>
        <w:br/>
        <w:t>3. Pragmatism Over Ideology: The near-zero correlation (r = -0.0186) between general perception and market acceptability reveals that while consumers value green and healthy c</w:t>
      </w:r>
      <w:r>
        <w:rPr>
          <w:rFonts w:ascii="Arial" w:hAnsi="Arial" w:cs="Arial"/>
          <w:sz w:val="24"/>
          <w:szCs w:val="24"/>
        </w:rPr>
        <w:t>hoices, they will not compromise on taste, physical convenience, or cost.</w:t>
      </w:r>
      <w:r>
        <w:rPr>
          <w:rFonts w:ascii="Arial" w:hAnsi="Arial" w:cs="Arial"/>
          <w:sz w:val="24"/>
          <w:szCs w:val="24"/>
        </w:rPr>
        <w:br/>
        <w:t>4. Primary Growth Bottlenecks: The true bottlenecks limiting market penetration for Tofu Goodies are not consumer resistance to tofu itself, but the aggressive advertising and famili</w:t>
      </w:r>
      <w:r>
        <w:rPr>
          <w:rFonts w:ascii="Arial" w:hAnsi="Arial" w:cs="Arial"/>
          <w:sz w:val="24"/>
          <w:szCs w:val="24"/>
        </w:rPr>
        <w:t>arity of established meat brands (Mean = 2.87) combined with physical friction.</w:t>
      </w:r>
    </w:p>
    <w:p w:rsidR="00B73998" w:rsidRDefault="00566EAF">
      <w:pPr>
        <w:keepNext/>
        <w:spacing w:before="240" w:after="120" w:line="360" w:lineRule="auto"/>
        <w:jc w:val="both"/>
        <w:rPr>
          <w:rFonts w:ascii="Arial" w:hAnsi="Arial" w:cs="Arial"/>
          <w:sz w:val="24"/>
          <w:szCs w:val="24"/>
        </w:rPr>
      </w:pPr>
      <w:r>
        <w:rPr>
          <w:rFonts w:ascii="Arial" w:hAnsi="Arial" w:cs="Arial"/>
          <w:b/>
          <w:sz w:val="24"/>
          <w:szCs w:val="24"/>
        </w:rPr>
        <w:lastRenderedPageBreak/>
        <w:t>V. Recommendations and Strategic Marketing Action Plan</w:t>
      </w:r>
    </w:p>
    <w:tbl>
      <w:tblPr>
        <w:tblW w:w="0" w:type="auto"/>
        <w:tblLook w:val="04A0" w:firstRow="1" w:lastRow="0" w:firstColumn="1" w:lastColumn="0" w:noHBand="0" w:noVBand="1"/>
      </w:tblPr>
      <w:tblGrid>
        <w:gridCol w:w="2340"/>
        <w:gridCol w:w="2340"/>
        <w:gridCol w:w="2340"/>
        <w:gridCol w:w="2340"/>
      </w:tblGrid>
      <w:tr w:rsidR="00B73998">
        <w:tc>
          <w:tcPr>
            <w:tcW w:w="2340" w:type="dxa"/>
            <w:shd w:val="clear" w:color="auto" w:fill="2B6C74"/>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Core Findings / Barriers</w:t>
            </w:r>
          </w:p>
        </w:tc>
        <w:tc>
          <w:tcPr>
            <w:tcW w:w="2340" w:type="dxa"/>
            <w:shd w:val="clear" w:color="auto" w:fill="2B6C74"/>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Proposed Strategic Program</w:t>
            </w:r>
          </w:p>
        </w:tc>
        <w:tc>
          <w:tcPr>
            <w:tcW w:w="2340" w:type="dxa"/>
            <w:shd w:val="clear" w:color="auto" w:fill="2B6C74"/>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Operational Mechanism</w:t>
            </w:r>
          </w:p>
        </w:tc>
        <w:tc>
          <w:tcPr>
            <w:tcW w:w="2340" w:type="dxa"/>
            <w:shd w:val="clear" w:color="auto" w:fill="2B6C74"/>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b/>
                <w:sz w:val="24"/>
                <w:szCs w:val="24"/>
              </w:rPr>
              <w:t>Target KPI</w:t>
            </w:r>
          </w:p>
        </w:tc>
      </w:tr>
      <w:tr w:rsidR="00B73998">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Sensory Gaps &amp; Taste Skepticism</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The</w:t>
            </w:r>
            <w:r>
              <w:rPr>
                <w:rFonts w:ascii="Arial" w:hAnsi="Arial" w:cs="Arial"/>
                <w:sz w:val="24"/>
                <w:szCs w:val="24"/>
              </w:rPr>
              <w:t xml:space="preserve"> 'Flavor-First' Initiative</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Incorporate natural plant binders to improve the internal chewiness of the tofu; optimize air-frying protocols to preserve the texture; launch rotating monthly sauce variations.</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Achieve a 15% increase in repeat trial scores durin</w:t>
            </w:r>
            <w:r>
              <w:rPr>
                <w:rFonts w:ascii="Arial" w:hAnsi="Arial" w:cs="Arial"/>
                <w:sz w:val="24"/>
                <w:szCs w:val="24"/>
              </w:rPr>
              <w:t>g consumer testing sessions.</w:t>
            </w:r>
          </w:p>
        </w:tc>
      </w:tr>
      <w:tr w:rsidR="00B73998">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Market Competition &amp; Familiarity</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'Shift the Snack' Campaign</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Shift the brand's digital narrative away from restrictive diet or health-food labels; position the product as a fun, affordable alternative using student discounts.</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S</w:t>
            </w:r>
            <w:r>
              <w:rPr>
                <w:rFonts w:ascii="Arial" w:hAnsi="Arial" w:cs="Arial"/>
                <w:sz w:val="24"/>
                <w:szCs w:val="24"/>
              </w:rPr>
              <w:t>ecure a 20% share of voice across localized student communication networks.</w:t>
            </w:r>
          </w:p>
        </w:tc>
      </w:tr>
      <w:tr w:rsidR="00B73998">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Location &amp; Delivery Limits</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Hub-and-Spoke Distribution Model</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 xml:space="preserve">Expand beyond the physical </w:t>
            </w:r>
            <w:r>
              <w:rPr>
                <w:rFonts w:ascii="Arial" w:hAnsi="Arial" w:cs="Arial"/>
                <w:sz w:val="24"/>
                <w:szCs w:val="24"/>
              </w:rPr>
              <w:lastRenderedPageBreak/>
              <w:t>storefront; partner with local tricycle networks to establish designated order drop-off poin</w:t>
            </w:r>
            <w:r>
              <w:rPr>
                <w:rFonts w:ascii="Arial" w:hAnsi="Arial" w:cs="Arial"/>
                <w:sz w:val="24"/>
                <w:szCs w:val="24"/>
              </w:rPr>
              <w:t>ts near major schools during peak hours.</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lastRenderedPageBreak/>
              <w:t xml:space="preserve">Reduce customer travel times; </w:t>
            </w:r>
            <w:r>
              <w:rPr>
                <w:rFonts w:ascii="Arial" w:hAnsi="Arial" w:cs="Arial"/>
                <w:sz w:val="24"/>
                <w:szCs w:val="24"/>
              </w:rPr>
              <w:lastRenderedPageBreak/>
              <w:t>secure 30% of total revenue from remote orders.</w:t>
            </w:r>
          </w:p>
        </w:tc>
      </w:tr>
      <w:tr w:rsidR="00B73998">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lastRenderedPageBreak/>
              <w:t>Promotion Realities</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Hyperlocal Content Engine</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Produce high-definition, short-form video content on TikTok, Instagram, and Facebook Reels</w:t>
            </w:r>
            <w:r>
              <w:rPr>
                <w:rFonts w:ascii="Arial" w:hAnsi="Arial" w:cs="Arial"/>
                <w:sz w:val="24"/>
                <w:szCs w:val="24"/>
              </w:rPr>
              <w:t xml:space="preserve"> that showcases the frying process, crunch factor, and genuine reactions.</w:t>
            </w:r>
          </w:p>
        </w:tc>
        <w:tc>
          <w:tcPr>
            <w:tcW w:w="2340" w:type="dxa"/>
            <w:tcMar>
              <w:top w:w="100" w:type="dxa"/>
              <w:left w:w="150" w:type="dxa"/>
              <w:bottom w:w="100" w:type="dxa"/>
              <w:right w:w="150" w:type="dxa"/>
            </w:tcMar>
          </w:tcPr>
          <w:p w:rsidR="00B73998" w:rsidRDefault="00566EAF">
            <w:pPr>
              <w:spacing w:line="360" w:lineRule="auto"/>
              <w:jc w:val="both"/>
              <w:rPr>
                <w:rFonts w:ascii="Arial" w:hAnsi="Arial" w:cs="Arial"/>
                <w:sz w:val="24"/>
                <w:szCs w:val="24"/>
              </w:rPr>
            </w:pPr>
            <w:r>
              <w:rPr>
                <w:rFonts w:ascii="Arial" w:hAnsi="Arial" w:cs="Arial"/>
                <w:sz w:val="24"/>
                <w:szCs w:val="24"/>
              </w:rPr>
              <w:t>Double social media engagement rates and inquiries within 90 days.</w:t>
            </w:r>
          </w:p>
        </w:tc>
      </w:tr>
    </w:tbl>
    <w:p w:rsidR="00B73998" w:rsidRDefault="00566EAF">
      <w:pPr>
        <w:spacing w:before="120" w:line="360" w:lineRule="auto"/>
        <w:jc w:val="both"/>
        <w:rPr>
          <w:rFonts w:ascii="Arial" w:hAnsi="Arial" w:cs="Arial"/>
          <w:sz w:val="24"/>
          <w:szCs w:val="24"/>
        </w:rPr>
      </w:pPr>
      <w:r>
        <w:rPr>
          <w:rFonts w:ascii="Arial" w:hAnsi="Arial" w:cs="Arial"/>
          <w:sz w:val="24"/>
          <w:szCs w:val="24"/>
        </w:rPr>
        <w:t>Table 7. Strategic Marketing Action Plan Matrix</w:t>
      </w:r>
    </w:p>
    <w:p w:rsidR="00B73998" w:rsidRDefault="00566EAF">
      <w:pPr>
        <w:keepNext/>
        <w:spacing w:before="240" w:after="120" w:line="360" w:lineRule="auto"/>
        <w:jc w:val="both"/>
        <w:rPr>
          <w:rFonts w:ascii="Arial" w:hAnsi="Arial" w:cs="Arial"/>
          <w:sz w:val="24"/>
          <w:szCs w:val="24"/>
        </w:rPr>
      </w:pPr>
      <w:r>
        <w:rPr>
          <w:rFonts w:ascii="Arial" w:hAnsi="Arial" w:cs="Arial"/>
          <w:b/>
          <w:sz w:val="24"/>
          <w:szCs w:val="24"/>
        </w:rPr>
        <w:t>References</w:t>
      </w:r>
    </w:p>
    <w:p w:rsidR="00B73998" w:rsidRDefault="00566EAF">
      <w:pPr>
        <w:spacing w:after="80" w:line="360" w:lineRule="auto"/>
        <w:ind w:left="720" w:hanging="720"/>
        <w:jc w:val="both"/>
        <w:rPr>
          <w:rFonts w:ascii="Arial" w:hAnsi="Arial" w:cs="Arial"/>
          <w:sz w:val="24"/>
          <w:szCs w:val="24"/>
        </w:rPr>
      </w:pPr>
      <w:r>
        <w:rPr>
          <w:rFonts w:ascii="Arial" w:hAnsi="Arial" w:cs="Arial"/>
          <w:sz w:val="24"/>
          <w:szCs w:val="24"/>
        </w:rPr>
        <w:t>Aschemann-Witzel, J., Gantriis, R. F., Fraga, P., &amp; Per</w:t>
      </w:r>
      <w:r>
        <w:rPr>
          <w:rFonts w:ascii="Arial" w:hAnsi="Arial" w:cs="Arial"/>
          <w:sz w:val="24"/>
          <w:szCs w:val="24"/>
        </w:rPr>
        <w:t>ez-Cueto, F. J. (2020). Plant-based food innovation: Consumer insights, sustainability and health. Trends in Food Science &amp; Technology, 101, 34-42.</w:t>
      </w:r>
    </w:p>
    <w:p w:rsidR="00B73998" w:rsidRDefault="00566EAF">
      <w:pPr>
        <w:spacing w:after="80" w:line="360" w:lineRule="auto"/>
        <w:ind w:left="720" w:hanging="720"/>
        <w:jc w:val="both"/>
        <w:rPr>
          <w:rFonts w:ascii="Arial" w:hAnsi="Arial" w:cs="Arial"/>
          <w:sz w:val="24"/>
          <w:szCs w:val="24"/>
        </w:rPr>
      </w:pPr>
      <w:r>
        <w:rPr>
          <w:rFonts w:ascii="Arial" w:hAnsi="Arial" w:cs="Arial"/>
          <w:sz w:val="24"/>
          <w:szCs w:val="24"/>
        </w:rPr>
        <w:t>Bosson Research. (2025). Global Plant-Based Chicken Nugget Market Status and Outlook. International Industry</w:t>
      </w:r>
      <w:r>
        <w:rPr>
          <w:rFonts w:ascii="Arial" w:hAnsi="Arial" w:cs="Arial"/>
          <w:sz w:val="24"/>
          <w:szCs w:val="24"/>
        </w:rPr>
        <w:t xml:space="preserve"> Reports.</w:t>
      </w:r>
    </w:p>
    <w:p w:rsidR="00B73998" w:rsidRDefault="00566EAF">
      <w:pPr>
        <w:spacing w:after="80" w:line="360" w:lineRule="auto"/>
        <w:ind w:left="720" w:hanging="720"/>
        <w:jc w:val="both"/>
        <w:rPr>
          <w:rFonts w:ascii="Arial" w:hAnsi="Arial" w:cs="Arial"/>
          <w:sz w:val="24"/>
          <w:szCs w:val="24"/>
        </w:rPr>
      </w:pPr>
      <w:r>
        <w:rPr>
          <w:rFonts w:ascii="Arial" w:hAnsi="Arial" w:cs="Arial"/>
          <w:sz w:val="24"/>
          <w:szCs w:val="24"/>
        </w:rPr>
        <w:t>Chandran, S., et al. (2023). Utilization of tofu in nutritional and sensory improvement of plant-based nuggets. Journal of Food Science and Technology, 60(4), 1120-1129.</w:t>
      </w:r>
    </w:p>
    <w:p w:rsidR="00B73998" w:rsidRDefault="00566EAF">
      <w:pPr>
        <w:spacing w:after="80" w:line="360" w:lineRule="auto"/>
        <w:ind w:left="720" w:hanging="720"/>
        <w:jc w:val="both"/>
        <w:rPr>
          <w:rFonts w:ascii="Arial" w:hAnsi="Arial" w:cs="Arial"/>
          <w:sz w:val="24"/>
          <w:szCs w:val="24"/>
        </w:rPr>
      </w:pPr>
      <w:r>
        <w:rPr>
          <w:rFonts w:ascii="Arial" w:hAnsi="Arial" w:cs="Arial"/>
          <w:sz w:val="24"/>
          <w:szCs w:val="24"/>
        </w:rPr>
        <w:lastRenderedPageBreak/>
        <w:t>GlobeScan. (2024). Grains of truth: Global barriers to plant-based diets. Re</w:t>
      </w:r>
      <w:r>
        <w:rPr>
          <w:rFonts w:ascii="Arial" w:hAnsi="Arial" w:cs="Arial"/>
          <w:sz w:val="24"/>
          <w:szCs w:val="24"/>
        </w:rPr>
        <w:t>tail Insights Forum.</w:t>
      </w:r>
    </w:p>
    <w:p w:rsidR="00B73998" w:rsidRDefault="00566EAF">
      <w:pPr>
        <w:spacing w:after="80" w:line="360" w:lineRule="auto"/>
        <w:ind w:left="720" w:hanging="720"/>
        <w:jc w:val="both"/>
        <w:rPr>
          <w:rFonts w:ascii="Arial" w:hAnsi="Arial" w:cs="Arial"/>
          <w:sz w:val="24"/>
          <w:szCs w:val="24"/>
        </w:rPr>
      </w:pPr>
      <w:r>
        <w:rPr>
          <w:rFonts w:ascii="Arial" w:hAnsi="Arial" w:cs="Arial"/>
          <w:sz w:val="24"/>
          <w:szCs w:val="24"/>
        </w:rPr>
        <w:t>Gyeongsang National University. (2023). Sensory evaluation of plant-based meat: Bridging the gap. Foods, 12(8), 1642.</w:t>
      </w:r>
    </w:p>
    <w:p w:rsidR="00B73998" w:rsidRDefault="00566EAF">
      <w:pPr>
        <w:spacing w:after="80" w:line="360" w:lineRule="auto"/>
        <w:ind w:left="720" w:hanging="720"/>
        <w:jc w:val="both"/>
        <w:rPr>
          <w:rFonts w:ascii="Arial" w:hAnsi="Arial" w:cs="Arial"/>
          <w:sz w:val="24"/>
          <w:szCs w:val="24"/>
        </w:rPr>
      </w:pPr>
      <w:r>
        <w:rPr>
          <w:rFonts w:ascii="Arial" w:hAnsi="Arial" w:cs="Arial"/>
          <w:sz w:val="24"/>
          <w:szCs w:val="24"/>
        </w:rPr>
        <w:t>IMARC Group. (2025). Philippines Plant-Based Food Market: Size, Trends, and Industry Forecast (2026-2034). Market Rep</w:t>
      </w:r>
      <w:r>
        <w:rPr>
          <w:rFonts w:ascii="Arial" w:hAnsi="Arial" w:cs="Arial"/>
          <w:sz w:val="24"/>
          <w:szCs w:val="24"/>
        </w:rPr>
        <w:t>ort Series.</w:t>
      </w:r>
    </w:p>
    <w:p w:rsidR="00B73998" w:rsidRDefault="00566EAF">
      <w:pPr>
        <w:spacing w:after="80" w:line="360" w:lineRule="auto"/>
        <w:ind w:left="720" w:hanging="720"/>
        <w:jc w:val="both"/>
        <w:rPr>
          <w:rFonts w:ascii="Arial" w:hAnsi="Arial" w:cs="Arial"/>
          <w:sz w:val="24"/>
          <w:szCs w:val="24"/>
        </w:rPr>
      </w:pPr>
      <w:r>
        <w:rPr>
          <w:rFonts w:ascii="Arial" w:hAnsi="Arial" w:cs="Arial"/>
          <w:sz w:val="24"/>
          <w:szCs w:val="24"/>
        </w:rPr>
        <w:t>MDPI: Sustainability. (2023). The perception of food quality and food value among the purchasing intentions of street foods in the Philippines. Sustainability, 15(12), 9410.</w:t>
      </w:r>
    </w:p>
    <w:p w:rsidR="00B73998" w:rsidRDefault="00566EAF">
      <w:pPr>
        <w:spacing w:after="80" w:line="360" w:lineRule="auto"/>
        <w:ind w:left="720" w:hanging="720"/>
        <w:jc w:val="both"/>
        <w:rPr>
          <w:rFonts w:ascii="Arial" w:hAnsi="Arial" w:cs="Arial"/>
          <w:sz w:val="24"/>
          <w:szCs w:val="24"/>
        </w:rPr>
      </w:pPr>
      <w:r>
        <w:rPr>
          <w:rFonts w:ascii="Arial" w:hAnsi="Arial" w:cs="Arial"/>
          <w:sz w:val="24"/>
          <w:szCs w:val="24"/>
        </w:rPr>
        <w:t>Philippine Journal of Science. (2025). Assessment of nutritional quali</w:t>
      </w:r>
      <w:r>
        <w:rPr>
          <w:rFonts w:ascii="Arial" w:hAnsi="Arial" w:cs="Arial"/>
          <w:sz w:val="24"/>
          <w:szCs w:val="24"/>
        </w:rPr>
        <w:t>ty of plant-based meat alternatives sold in the Philippines. Philippine Journal of Science, 154(1), 45-56.</w:t>
      </w:r>
    </w:p>
    <w:p w:rsidR="00B73998" w:rsidRDefault="00566EAF">
      <w:pPr>
        <w:spacing w:after="80" w:line="360" w:lineRule="auto"/>
        <w:ind w:left="720" w:hanging="720"/>
        <w:jc w:val="both"/>
        <w:rPr>
          <w:rFonts w:ascii="Arial" w:hAnsi="Arial" w:cs="Arial"/>
          <w:sz w:val="24"/>
          <w:szCs w:val="24"/>
        </w:rPr>
      </w:pPr>
      <w:r>
        <w:rPr>
          <w:rFonts w:ascii="Arial" w:hAnsi="Arial" w:cs="Arial"/>
          <w:sz w:val="24"/>
          <w:szCs w:val="24"/>
        </w:rPr>
        <w:t>PMC Bibliometric Review. (2025). Digital marketing strategies for sustainable food brands. Journal of Cleaner Production, 412, 137-149.</w:t>
      </w:r>
    </w:p>
    <w:p w:rsidR="00B73998" w:rsidRDefault="00566EAF">
      <w:pPr>
        <w:spacing w:after="80" w:line="360" w:lineRule="auto"/>
        <w:ind w:left="720" w:hanging="720"/>
        <w:jc w:val="both"/>
        <w:rPr>
          <w:rFonts w:ascii="Arial" w:hAnsi="Arial" w:cs="Arial"/>
          <w:sz w:val="24"/>
          <w:szCs w:val="24"/>
        </w:rPr>
      </w:pPr>
      <w:r>
        <w:rPr>
          <w:rFonts w:ascii="Arial" w:hAnsi="Arial" w:cs="Arial"/>
          <w:sz w:val="24"/>
          <w:szCs w:val="24"/>
        </w:rPr>
        <w:t>QAssurance. (</w:t>
      </w:r>
      <w:r>
        <w:rPr>
          <w:rFonts w:ascii="Arial" w:hAnsi="Arial" w:cs="Arial"/>
          <w:sz w:val="24"/>
          <w:szCs w:val="24"/>
        </w:rPr>
        <w:t>2026). The challenge of plant-based foods: Safety and consumer barriers. Food Quality and Safety Journal.</w:t>
      </w:r>
    </w:p>
    <w:p w:rsidR="00B73998" w:rsidRDefault="00566EAF">
      <w:pPr>
        <w:spacing w:after="80" w:line="360" w:lineRule="auto"/>
        <w:ind w:left="720" w:hanging="720"/>
        <w:jc w:val="both"/>
        <w:rPr>
          <w:rFonts w:ascii="Arial" w:hAnsi="Arial" w:cs="Arial"/>
          <w:sz w:val="24"/>
          <w:szCs w:val="24"/>
        </w:rPr>
      </w:pPr>
      <w:r>
        <w:rPr>
          <w:rFonts w:ascii="Arial" w:hAnsi="Arial" w:cs="Arial"/>
          <w:sz w:val="24"/>
          <w:szCs w:val="24"/>
        </w:rPr>
        <w:t>Sorout, R., &amp; Singh, A. (2026). Consumer behavior towards sustainable products: The SEE framework. Atlantis Press Open Proceedings, 78-89.</w:t>
      </w:r>
    </w:p>
    <w:p w:rsidR="00B73998" w:rsidRDefault="00566EAF">
      <w:pPr>
        <w:spacing w:after="80" w:line="360" w:lineRule="auto"/>
        <w:ind w:left="720" w:hanging="720"/>
        <w:jc w:val="both"/>
        <w:rPr>
          <w:rFonts w:ascii="Arial" w:hAnsi="Arial" w:cs="Arial"/>
          <w:sz w:val="24"/>
          <w:szCs w:val="24"/>
        </w:rPr>
      </w:pPr>
      <w:r>
        <w:rPr>
          <w:rFonts w:ascii="Arial" w:hAnsi="Arial" w:cs="Arial"/>
          <w:sz w:val="24"/>
          <w:szCs w:val="24"/>
        </w:rPr>
        <w:t xml:space="preserve">The Good </w:t>
      </w:r>
      <w:r>
        <w:rPr>
          <w:rFonts w:ascii="Arial" w:hAnsi="Arial" w:cs="Arial"/>
          <w:sz w:val="24"/>
          <w:szCs w:val="24"/>
        </w:rPr>
        <w:t>Food Institute (GFI). (2025). State of the Industry Report: Plant-based meat, seafood, eggs, and dairy. Washington, D.C.</w:t>
      </w:r>
    </w:p>
    <w:p w:rsidR="00B73998" w:rsidRDefault="00566EAF">
      <w:pPr>
        <w:spacing w:after="80" w:line="360" w:lineRule="auto"/>
        <w:ind w:left="720" w:hanging="720"/>
        <w:jc w:val="both"/>
        <w:rPr>
          <w:rFonts w:ascii="Arial" w:hAnsi="Arial" w:cs="Arial"/>
          <w:sz w:val="24"/>
          <w:szCs w:val="24"/>
        </w:rPr>
      </w:pPr>
      <w:r>
        <w:rPr>
          <w:rFonts w:ascii="Arial" w:hAnsi="Arial" w:cs="Arial"/>
          <w:sz w:val="24"/>
          <w:szCs w:val="24"/>
        </w:rPr>
        <w:t>University of the Philippines Los Baños (UPLB) Repository. (2021). Consumer perception and purchase intention on plant-based meat brand</w:t>
      </w:r>
      <w:r>
        <w:rPr>
          <w:rFonts w:ascii="Arial" w:hAnsi="Arial" w:cs="Arial"/>
          <w:sz w:val="24"/>
          <w:szCs w:val="24"/>
        </w:rPr>
        <w:t>s among selected residents from Quezon City. Undergraduate Thesis Collection.</w:t>
      </w:r>
    </w:p>
    <w:sectPr w:rsidR="00B739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EAF" w:rsidRDefault="00566EAF">
      <w:pPr>
        <w:spacing w:line="240" w:lineRule="auto"/>
      </w:pPr>
      <w:r>
        <w:separator/>
      </w:r>
    </w:p>
  </w:endnote>
  <w:endnote w:type="continuationSeparator" w:id="0">
    <w:p w:rsidR="00566EAF" w:rsidRDefault="00566E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EAF" w:rsidRDefault="00566EAF">
      <w:pPr>
        <w:spacing w:after="0"/>
      </w:pPr>
      <w:r>
        <w:separator/>
      </w:r>
    </w:p>
  </w:footnote>
  <w:footnote w:type="continuationSeparator" w:id="0">
    <w:p w:rsidR="00566EAF" w:rsidRDefault="00566EA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161D0"/>
    <w:rsid w:val="00566EAF"/>
    <w:rsid w:val="00AA1D8D"/>
    <w:rsid w:val="00B47730"/>
    <w:rsid w:val="00B73998"/>
    <w:rsid w:val="00CB0664"/>
    <w:rsid w:val="00FC693F"/>
    <w:rsid w:val="2C601C22"/>
    <w:rsid w:val="5E417DB0"/>
    <w:rsid w:val="6C421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toa heading" w:semiHidden="1"/>
    <w:lsdException w:name="List 4" w:semiHidden="1"/>
    <w:lsdException w:name="List 5" w:semiHidden="1"/>
    <w:lsdException w:name="List Bullet 4" w:semiHidden="1"/>
    <w:lsdException w:name="List Bullet 5"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Indent"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qFormat="1"/>
    <w:lsdException w:name="Table Theme" w:semiHidden="1"/>
    <w:lsdException w:name="Placeholder Text" w:semiHidden="1"/>
    <w:lsdException w:name="No Spacing" w:uiPriority="1" w:unhideWhenUsed="0" w:qFormat="1"/>
    <w:lsdException w:name="Light Shading" w:uiPriority="60" w:unhideWhenUsed="0" w:qFormat="1"/>
    <w:lsdException w:name="Light List" w:uiPriority="61" w:unhideWhenUsed="0" w:qFormat="1"/>
    <w:lsdException w:name="Light Grid" w:uiPriority="62" w:unhideWhenUsed="0" w:qFormat="1"/>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qFormat="1"/>
    <w:lsdException w:name="Colorful List" w:uiPriority="72" w:unhideWhenUsed="0" w:qFormat="1"/>
    <w:lsdException w:name="Colorful Grid" w:uiPriority="73" w:unhideWhenUsed="0" w:qFormat="1"/>
    <w:lsdException w:name="Light Shading Accent 1" w:uiPriority="60" w:unhideWhenUsed="0" w:qFormat="1"/>
    <w:lsdException w:name="Light List Accent 1" w:uiPriority="61" w:unhideWhenUsed="0" w:qFormat="1"/>
    <w:lsdException w:name="Light Grid Accent 1" w:uiPriority="62" w:unhideWhenUsed="0" w:qFormat="1"/>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qFormat="1"/>
    <w:lsdException w:name="Medium Grid 3 Accent 1" w:uiPriority="69" w:unhideWhenUsed="0" w:qFormat="1"/>
    <w:lsdException w:name="Dark List Accent 1" w:uiPriority="70" w:unhideWhenUsed="0" w:qFormat="1"/>
    <w:lsdException w:name="Colorful Shading Accent 1" w:uiPriority="71" w:unhideWhenUsed="0" w:qFormat="1"/>
    <w:lsdException w:name="Colorful List Accent 1" w:uiPriority="72" w:unhideWhenUsed="0" w:qFormat="1"/>
    <w:lsdException w:name="Colorful Grid Accent 1" w:uiPriority="73" w:unhideWhenUsed="0"/>
    <w:lsdException w:name="Light Shading Accent 2" w:uiPriority="60" w:unhideWhenUsed="0" w:qFormat="1"/>
    <w:lsdException w:name="Light List Accent 2" w:uiPriority="61" w:unhideWhenUsed="0" w:qFormat="1"/>
    <w:lsdException w:name="Light Grid Accent 2" w:uiPriority="62" w:unhideWhenUsed="0" w:qFormat="1"/>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qFormat="1"/>
    <w:lsdException w:name="Medium Grid 3 Accent 2" w:uiPriority="69" w:unhideWhenUsed="0"/>
    <w:lsdException w:name="Dark List Accent 2" w:uiPriority="70" w:unhideWhenUsed="0" w:qFormat="1"/>
    <w:lsdException w:name="Colorful Shading Accent 2" w:uiPriority="71" w:unhideWhenUsed="0" w:qFormat="1"/>
    <w:lsdException w:name="Colorful List Accent 2" w:uiPriority="72" w:unhideWhenUsed="0" w:qFormat="1"/>
    <w:lsdException w:name="Colorful Grid Accent 2" w:uiPriority="73" w:unhideWhenUsed="0" w:qFormat="1"/>
    <w:lsdException w:name="Light Shading Accent 3" w:uiPriority="60" w:unhideWhenUsed="0" w:qFormat="1"/>
    <w:lsdException w:name="Light List Accent 3" w:uiPriority="61" w:unhideWhenUsed="0" w:qFormat="1"/>
    <w:lsdException w:name="Light Grid Accent 3" w:uiPriority="62" w:unhideWhenUsed="0" w:qFormat="1"/>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qFormat="1"/>
    <w:lsdException w:name="Medium Grid 2 Accent 3" w:uiPriority="68" w:unhideWhenUsed="0"/>
    <w:lsdException w:name="Medium Grid 3 Accent 3" w:uiPriority="69" w:unhideWhenUsed="0" w:qFormat="1"/>
    <w:lsdException w:name="Dark List Accent 3" w:uiPriority="70" w:unhideWhenUsed="0"/>
    <w:lsdException w:name="Colorful Shading Accent 3" w:uiPriority="71" w:unhideWhenUsed="0" w:qFormat="1"/>
    <w:lsdException w:name="Colorful List Accent 3" w:uiPriority="72" w:unhideWhenUsed="0" w:qFormat="1"/>
    <w:lsdException w:name="Colorful Grid Accent 3" w:uiPriority="73" w:unhideWhenUsed="0" w:qFormat="1"/>
    <w:lsdException w:name="Light Shading Accent 4" w:uiPriority="60" w:unhideWhenUsed="0" w:qFormat="1"/>
    <w:lsdException w:name="Light List Accent 4" w:uiPriority="61" w:unhideWhenUsed="0" w:qFormat="1"/>
    <w:lsdException w:name="Light Grid Accent 4" w:uiPriority="62" w:unhideWhenUsed="0" w:qFormat="1"/>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qFormat="1"/>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qFormat="1"/>
    <w:lsdException w:name="Colorful Grid Accent 4" w:uiPriority="73" w:unhideWhenUsed="0"/>
    <w:lsdException w:name="Light Shading Accent 5" w:uiPriority="60" w:unhideWhenUsed="0" w:qFormat="1"/>
    <w:lsdException w:name="Light List Accent 5" w:uiPriority="61" w:unhideWhenUsed="0" w:qFormat="1"/>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qFormat="1"/>
    <w:lsdException w:name="Medium Grid 1 Accent 5" w:uiPriority="67" w:unhideWhenUsed="0"/>
    <w:lsdException w:name="Medium Grid 2 Accent 5" w:uiPriority="68" w:unhideWhenUsed="0"/>
    <w:lsdException w:name="Medium Grid 3 Accent 5" w:uiPriority="69" w:unhideWhenUsed="0" w:qFormat="1"/>
    <w:lsdException w:name="Dark List Accent 5" w:uiPriority="70" w:unhideWhenUsed="0"/>
    <w:lsdException w:name="Colorful Shading Accent 5" w:uiPriority="71" w:unhideWhenUsed="0" w:qFormat="1"/>
    <w:lsdException w:name="Colorful List Accent 5" w:uiPriority="72" w:unhideWhenUsed="0"/>
    <w:lsdException w:name="Colorful Grid Accent 5" w:uiPriority="73" w:unhideWhenUsed="0"/>
    <w:lsdException w:name="Light Shading Accent 6" w:uiPriority="60" w:unhideWhenUsed="0" w:qFormat="1"/>
    <w:lsdException w:name="Light List Accent 6" w:uiPriority="61" w:unhideWhenUsed="0" w:qFormat="1"/>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qFormat="1"/>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qFormat="1"/>
    <w:lsdException w:name="Colorful List Accent 6" w:uiPriority="72" w:unhideWhenUsed="0"/>
    <w:lsdException w:name="Colorful Grid Accent 6" w:uiPriority="73" w:unhideWhenUsed="0" w:qFormat="1"/>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BodyText2">
    <w:name w:val="Body Text 2"/>
    <w:basedOn w:val="Normal"/>
    <w:link w:val="BodyText2Char"/>
    <w:uiPriority w:val="99"/>
    <w:unhideWhenUsed/>
    <w:pPr>
      <w:spacing w:after="120" w:line="480" w:lineRule="auto"/>
    </w:pPr>
  </w:style>
  <w:style w:type="paragraph" w:styleId="BodyText3">
    <w:name w:val="Body Text 3"/>
    <w:basedOn w:val="Normal"/>
    <w:link w:val="BodyText3Char"/>
    <w:uiPriority w:val="99"/>
    <w:unhideWhenUsed/>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ListNumber">
    <w:name w:val="List Number"/>
    <w:basedOn w:val="Normal"/>
    <w:uiPriority w:val="99"/>
    <w:unhideWhenUsed/>
    <w:pPr>
      <w:numPr>
        <w:numId w:val="4"/>
      </w:numPr>
      <w:contextualSpacing/>
    </w:pPr>
  </w:style>
  <w:style w:type="paragraph" w:styleId="ListNumber2">
    <w:name w:val="List Number 2"/>
    <w:basedOn w:val="Normal"/>
    <w:uiPriority w:val="99"/>
    <w:unhideWhenUsed/>
    <w:pPr>
      <w:numPr>
        <w:numId w:val="5"/>
      </w:numPr>
      <w:contextualSpacing/>
    </w:pPr>
  </w:style>
  <w:style w:type="paragraph" w:styleId="ListNumber3">
    <w:name w:val="List Number 3"/>
    <w:basedOn w:val="Normal"/>
    <w:uiPriority w:val="99"/>
    <w:unhideWhenUsed/>
    <w:pPr>
      <w:numPr>
        <w:numId w:val="6"/>
      </w:numPr>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color w:val="31849B" w:themeColor="accent5" w:themeShade="BF"/>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color w:val="000000" w:themeColor="text1"/>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Pr>
      <w:color w:val="FFFFFF" w:themeColor="background1"/>
    </w:rPr>
    <w:tblPr>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Pr>
      <w:color w:val="FFFFFF" w:themeColor="background1"/>
    </w:rPr>
    <w:tblPr>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Pr>
      <w:color w:val="000000" w:themeColor="text1"/>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Pr>
      <w:color w:val="000000" w:themeColor="text1"/>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color w:val="000000" w:themeColor="text1"/>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color w:val="000000" w:themeColor="text1"/>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color w:val="000000" w:themeColor="text1"/>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Pr>
      <w:color w:val="000000" w:themeColor="text1"/>
    </w:rPr>
    <w:tblPr>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color w:val="000000" w:themeColor="text1"/>
    </w:rPr>
    <w:tblPr>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Pr>
      <w:color w:val="000000" w:themeColor="text1"/>
    </w:rPr>
    <w:tblPr>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Pr>
      <w:color w:val="000000" w:themeColor="text1"/>
    </w:rPr>
    <w:tblPr>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Pr>
      <w:color w:val="000000" w:themeColor="text1"/>
    </w:rPr>
    <w:tblPr>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style>
  <w:style w:type="character" w:customStyle="1" w:styleId="BodyText2Char">
    <w:name w:val="Body Text 2 Char"/>
    <w:basedOn w:val="DefaultParagraphFont"/>
    <w:link w:val="BodyText2"/>
    <w:uiPriority w:val="99"/>
  </w:style>
  <w:style w:type="character" w:customStyle="1" w:styleId="BodyText3Char">
    <w:name w:val="Body Text 3 Char"/>
    <w:basedOn w:val="DefaultParagraphFont"/>
    <w:link w:val="BodyText3"/>
    <w:uiPriority w:val="99"/>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toa heading" w:semiHidden="1"/>
    <w:lsdException w:name="List 4" w:semiHidden="1"/>
    <w:lsdException w:name="List 5" w:semiHidden="1"/>
    <w:lsdException w:name="List Bullet 4" w:semiHidden="1"/>
    <w:lsdException w:name="List Bullet 5"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Indent"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qFormat="1"/>
    <w:lsdException w:name="Table Theme" w:semiHidden="1"/>
    <w:lsdException w:name="Placeholder Text" w:semiHidden="1"/>
    <w:lsdException w:name="No Spacing" w:uiPriority="1" w:unhideWhenUsed="0" w:qFormat="1"/>
    <w:lsdException w:name="Light Shading" w:uiPriority="60" w:unhideWhenUsed="0" w:qFormat="1"/>
    <w:lsdException w:name="Light List" w:uiPriority="61" w:unhideWhenUsed="0" w:qFormat="1"/>
    <w:lsdException w:name="Light Grid" w:uiPriority="62" w:unhideWhenUsed="0" w:qFormat="1"/>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qFormat="1"/>
    <w:lsdException w:name="Colorful List" w:uiPriority="72" w:unhideWhenUsed="0" w:qFormat="1"/>
    <w:lsdException w:name="Colorful Grid" w:uiPriority="73" w:unhideWhenUsed="0" w:qFormat="1"/>
    <w:lsdException w:name="Light Shading Accent 1" w:uiPriority="60" w:unhideWhenUsed="0" w:qFormat="1"/>
    <w:lsdException w:name="Light List Accent 1" w:uiPriority="61" w:unhideWhenUsed="0" w:qFormat="1"/>
    <w:lsdException w:name="Light Grid Accent 1" w:uiPriority="62" w:unhideWhenUsed="0" w:qFormat="1"/>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qFormat="1"/>
    <w:lsdException w:name="Medium Grid 3 Accent 1" w:uiPriority="69" w:unhideWhenUsed="0" w:qFormat="1"/>
    <w:lsdException w:name="Dark List Accent 1" w:uiPriority="70" w:unhideWhenUsed="0" w:qFormat="1"/>
    <w:lsdException w:name="Colorful Shading Accent 1" w:uiPriority="71" w:unhideWhenUsed="0" w:qFormat="1"/>
    <w:lsdException w:name="Colorful List Accent 1" w:uiPriority="72" w:unhideWhenUsed="0" w:qFormat="1"/>
    <w:lsdException w:name="Colorful Grid Accent 1" w:uiPriority="73" w:unhideWhenUsed="0"/>
    <w:lsdException w:name="Light Shading Accent 2" w:uiPriority="60" w:unhideWhenUsed="0" w:qFormat="1"/>
    <w:lsdException w:name="Light List Accent 2" w:uiPriority="61" w:unhideWhenUsed="0" w:qFormat="1"/>
    <w:lsdException w:name="Light Grid Accent 2" w:uiPriority="62" w:unhideWhenUsed="0" w:qFormat="1"/>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qFormat="1"/>
    <w:lsdException w:name="Medium Grid 3 Accent 2" w:uiPriority="69" w:unhideWhenUsed="0"/>
    <w:lsdException w:name="Dark List Accent 2" w:uiPriority="70" w:unhideWhenUsed="0" w:qFormat="1"/>
    <w:lsdException w:name="Colorful Shading Accent 2" w:uiPriority="71" w:unhideWhenUsed="0" w:qFormat="1"/>
    <w:lsdException w:name="Colorful List Accent 2" w:uiPriority="72" w:unhideWhenUsed="0" w:qFormat="1"/>
    <w:lsdException w:name="Colorful Grid Accent 2" w:uiPriority="73" w:unhideWhenUsed="0" w:qFormat="1"/>
    <w:lsdException w:name="Light Shading Accent 3" w:uiPriority="60" w:unhideWhenUsed="0" w:qFormat="1"/>
    <w:lsdException w:name="Light List Accent 3" w:uiPriority="61" w:unhideWhenUsed="0" w:qFormat="1"/>
    <w:lsdException w:name="Light Grid Accent 3" w:uiPriority="62" w:unhideWhenUsed="0" w:qFormat="1"/>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qFormat="1"/>
    <w:lsdException w:name="Medium Grid 2 Accent 3" w:uiPriority="68" w:unhideWhenUsed="0"/>
    <w:lsdException w:name="Medium Grid 3 Accent 3" w:uiPriority="69" w:unhideWhenUsed="0" w:qFormat="1"/>
    <w:lsdException w:name="Dark List Accent 3" w:uiPriority="70" w:unhideWhenUsed="0"/>
    <w:lsdException w:name="Colorful Shading Accent 3" w:uiPriority="71" w:unhideWhenUsed="0" w:qFormat="1"/>
    <w:lsdException w:name="Colorful List Accent 3" w:uiPriority="72" w:unhideWhenUsed="0" w:qFormat="1"/>
    <w:lsdException w:name="Colorful Grid Accent 3" w:uiPriority="73" w:unhideWhenUsed="0" w:qFormat="1"/>
    <w:lsdException w:name="Light Shading Accent 4" w:uiPriority="60" w:unhideWhenUsed="0" w:qFormat="1"/>
    <w:lsdException w:name="Light List Accent 4" w:uiPriority="61" w:unhideWhenUsed="0" w:qFormat="1"/>
    <w:lsdException w:name="Light Grid Accent 4" w:uiPriority="62" w:unhideWhenUsed="0" w:qFormat="1"/>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qFormat="1"/>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qFormat="1"/>
    <w:lsdException w:name="Colorful Grid Accent 4" w:uiPriority="73" w:unhideWhenUsed="0"/>
    <w:lsdException w:name="Light Shading Accent 5" w:uiPriority="60" w:unhideWhenUsed="0" w:qFormat="1"/>
    <w:lsdException w:name="Light List Accent 5" w:uiPriority="61" w:unhideWhenUsed="0" w:qFormat="1"/>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qFormat="1"/>
    <w:lsdException w:name="Medium Grid 1 Accent 5" w:uiPriority="67" w:unhideWhenUsed="0"/>
    <w:lsdException w:name="Medium Grid 2 Accent 5" w:uiPriority="68" w:unhideWhenUsed="0"/>
    <w:lsdException w:name="Medium Grid 3 Accent 5" w:uiPriority="69" w:unhideWhenUsed="0" w:qFormat="1"/>
    <w:lsdException w:name="Dark List Accent 5" w:uiPriority="70" w:unhideWhenUsed="0"/>
    <w:lsdException w:name="Colorful Shading Accent 5" w:uiPriority="71" w:unhideWhenUsed="0" w:qFormat="1"/>
    <w:lsdException w:name="Colorful List Accent 5" w:uiPriority="72" w:unhideWhenUsed="0"/>
    <w:lsdException w:name="Colorful Grid Accent 5" w:uiPriority="73" w:unhideWhenUsed="0"/>
    <w:lsdException w:name="Light Shading Accent 6" w:uiPriority="60" w:unhideWhenUsed="0" w:qFormat="1"/>
    <w:lsdException w:name="Light List Accent 6" w:uiPriority="61" w:unhideWhenUsed="0" w:qFormat="1"/>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qFormat="1"/>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qFormat="1"/>
    <w:lsdException w:name="Colorful List Accent 6" w:uiPriority="72" w:unhideWhenUsed="0"/>
    <w:lsdException w:name="Colorful Grid Accent 6" w:uiPriority="73" w:unhideWhenUsed="0" w:qFormat="1"/>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BodyText2">
    <w:name w:val="Body Text 2"/>
    <w:basedOn w:val="Normal"/>
    <w:link w:val="BodyText2Char"/>
    <w:uiPriority w:val="99"/>
    <w:unhideWhenUsed/>
    <w:pPr>
      <w:spacing w:after="120" w:line="480" w:lineRule="auto"/>
    </w:pPr>
  </w:style>
  <w:style w:type="paragraph" w:styleId="BodyText3">
    <w:name w:val="Body Text 3"/>
    <w:basedOn w:val="Normal"/>
    <w:link w:val="BodyText3Char"/>
    <w:uiPriority w:val="99"/>
    <w:unhideWhenUsed/>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ListNumber">
    <w:name w:val="List Number"/>
    <w:basedOn w:val="Normal"/>
    <w:uiPriority w:val="99"/>
    <w:unhideWhenUsed/>
    <w:pPr>
      <w:numPr>
        <w:numId w:val="4"/>
      </w:numPr>
      <w:contextualSpacing/>
    </w:pPr>
  </w:style>
  <w:style w:type="paragraph" w:styleId="ListNumber2">
    <w:name w:val="List Number 2"/>
    <w:basedOn w:val="Normal"/>
    <w:uiPriority w:val="99"/>
    <w:unhideWhenUsed/>
    <w:pPr>
      <w:numPr>
        <w:numId w:val="5"/>
      </w:numPr>
      <w:contextualSpacing/>
    </w:pPr>
  </w:style>
  <w:style w:type="paragraph" w:styleId="ListNumber3">
    <w:name w:val="List Number 3"/>
    <w:basedOn w:val="Normal"/>
    <w:uiPriority w:val="99"/>
    <w:unhideWhenUsed/>
    <w:pPr>
      <w:numPr>
        <w:numId w:val="6"/>
      </w:numPr>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color w:val="31849B" w:themeColor="accent5" w:themeShade="BF"/>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color w:val="000000" w:themeColor="text1"/>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Pr>
      <w:color w:val="FFFFFF" w:themeColor="background1"/>
    </w:rPr>
    <w:tblPr>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Pr>
      <w:color w:val="FFFFFF" w:themeColor="background1"/>
    </w:rPr>
    <w:tblPr>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Pr>
      <w:color w:val="000000" w:themeColor="text1"/>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Pr>
      <w:color w:val="000000" w:themeColor="text1"/>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color w:val="000000" w:themeColor="text1"/>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color w:val="000000" w:themeColor="text1"/>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color w:val="000000" w:themeColor="text1"/>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Pr>
      <w:color w:val="000000" w:themeColor="text1"/>
    </w:rPr>
    <w:tblPr>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color w:val="000000" w:themeColor="text1"/>
    </w:rPr>
    <w:tblPr>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Pr>
      <w:color w:val="000000" w:themeColor="text1"/>
    </w:rPr>
    <w:tblPr>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Pr>
      <w:color w:val="000000" w:themeColor="text1"/>
    </w:rPr>
    <w:tblPr>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Pr>
      <w:color w:val="000000" w:themeColor="text1"/>
    </w:rPr>
    <w:tblPr>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style>
  <w:style w:type="character" w:customStyle="1" w:styleId="BodyText2Char">
    <w:name w:val="Body Text 2 Char"/>
    <w:basedOn w:val="DefaultParagraphFont"/>
    <w:link w:val="BodyText2"/>
    <w:uiPriority w:val="99"/>
  </w:style>
  <w:style w:type="character" w:customStyle="1" w:styleId="BodyText3Char">
    <w:name w:val="Body Text 3 Char"/>
    <w:basedOn w:val="DefaultParagraphFont"/>
    <w:link w:val="BodyText3"/>
    <w:uiPriority w:val="99"/>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E6A71-120F-4E6F-8FCA-787EC18BC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2671</Words>
  <Characters>15228</Characters>
  <Application>Microsoft Office Word</Application>
  <DocSecurity>0</DocSecurity>
  <Lines>126</Lines>
  <Paragraphs>35</Paragraphs>
  <ScaleCrop>false</ScaleCrop>
  <Company/>
  <LinksUpToDate>false</LinksUpToDate>
  <CharactersWithSpaces>17864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qwert</cp:lastModifiedBy>
  <cp:revision>2</cp:revision>
  <dcterms:created xsi:type="dcterms:W3CDTF">2013-12-23T23:15:00Z</dcterms:created>
  <dcterms:modified xsi:type="dcterms:W3CDTF">2026-06-24T15:00:00Z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eyJoZGlkIjoiOWVlNTIwODE3MDc5NTZiY2RmODJhMmI2Zjg1Mzk4N2MiLCJ1c2VySWQiOiI4ODEzOTU3ODA2MDA3In0=</vt:lpwstr>
  </property>
  <property fmtid="{D5CDD505-2E9C-101B-9397-08002B2CF9AE}" pid="3" name="KSOProductBuildVer">
    <vt:lpwstr>1033-12.1.0.26880</vt:lpwstr>
  </property>
  <property fmtid="{D5CDD505-2E9C-101B-9397-08002B2CF9AE}" pid="4" name="ICV">
    <vt:lpwstr>A11B2040C7F44471A7220C0F63FBF298_13</vt:lpwstr>
  </property>
</Properties>
</file>