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2B" w:rsidRDefault="005D4EDA">
      <w:pPr>
        <w:keepNext/>
        <w:spacing w:before="0"/>
        <w:jc w:val="center"/>
      </w:pPr>
      <w:r>
        <w:rPr>
          <w:b/>
          <w:i/>
          <w:sz w:val="36"/>
          <w:lang w:val="en-GB"/>
        </w:rPr>
        <w:t>Badhl al-Majhūd fī Ḥall Sunan Abī Dāwūd</w:t>
      </w:r>
      <w:r>
        <w:rPr>
          <w:b/>
          <w:sz w:val="36"/>
          <w:lang w:val="en-GB"/>
        </w:rPr>
        <w:t xml:space="preserve"> by Shaykh Khalīl Aḥmad al-Sahāranfūrī: A Ḥadīth Study</w:t>
      </w:r>
    </w:p>
    <w:p w:rsidR="000F4D2B" w:rsidRDefault="005D4EDA">
      <w:pPr>
        <w:pStyle w:val="MainHeading"/>
        <w:keepNext/>
        <w:spacing w:before="240" w:after="240" w:line="240" w:lineRule="auto"/>
      </w:pPr>
      <w:bookmarkStart w:id="0" w:name="_GoBack"/>
      <w:bookmarkEnd w:id="0"/>
      <w:r>
        <w:rPr>
          <w:b/>
          <w:sz w:val="28"/>
          <w:lang w:val="en-GB"/>
        </w:rPr>
        <w:t>ABSTRACT</w:t>
      </w:r>
    </w:p>
    <w:p w:rsidR="000F4D2B" w:rsidRDefault="005D4EDA">
      <w:pPr>
        <w:pStyle w:val="Body"/>
        <w:spacing w:after="240" w:line="240" w:lineRule="auto"/>
        <w:jc w:val="both"/>
      </w:pPr>
      <w:r>
        <w:rPr>
          <w:i/>
          <w:lang w:val="en-GB"/>
        </w:rPr>
        <w:t>Sunan Abī Dāwūd</w:t>
      </w:r>
      <w:r>
        <w:rPr>
          <w:lang w:val="en-GB"/>
        </w:rPr>
        <w:t xml:space="preserve"> by Imām Abū Dāwūd Sulaymān b. al-Ashʿath al-Sijistānī is one of the principal collections of aḥādīth al-aḥkām and ranks among the most authoritative works of ḥadīth after the two Ṣaḥīḥs of al-Bukhārī and Muslim. Scholars have served the </w:t>
      </w:r>
      <w:r>
        <w:rPr>
          <w:i/>
          <w:lang w:val="en-GB"/>
        </w:rPr>
        <w:t>Sunan</w:t>
      </w:r>
      <w:r>
        <w:rPr>
          <w:lang w:val="en-GB"/>
        </w:rPr>
        <w:t xml:space="preserve"> through numerous Arabic and Urdu commentaries and marginalia, among the most substantial of which is </w:t>
      </w:r>
      <w:r>
        <w:rPr>
          <w:i/>
          <w:lang w:val="en-GB"/>
        </w:rPr>
        <w:t>Badhl al-Majhūd fī Ḥall Sunan Abī Dāwūd</w:t>
      </w:r>
      <w:r>
        <w:rPr>
          <w:lang w:val="en-GB"/>
        </w:rPr>
        <w:t xml:space="preserve"> by Shaykh Khalīl Aḥmad al-Sahāranfūrī. This study examines the commentary from a ḥadīth perspective and systematically identifies its principal methodological features and scholarly value. It employs descriptive and analytical methods: the descriptive method presents the author’s personal and scholarly biography, while the analytical method examines representative passages from the commentary. The analysis shows that al-Sahāranfūrī combines riwāyah and dirāyah, evaluates transmitters through jarḥ wa-taʿdīl, vocalises and identifies names, discusses principles of ḥadīth terminology, explains difficult vocabulary, analyses the matn, compares variant wordings and chains of transmission, and examines Abū Dāwūd’s critical judgments. It further shows that he presents juristic opinions with their evidence, gives particular attention to Ḥanafī positions, corrects errors in earlier commentaries and circulating copies, and frequently benefits from the observations of his teachers. The commentary also draws together material scattered across ḥadīth, rijāl, linguistic, and legal sources and contains independent investigations that are not found in other commentaries. The study concludes that Badhl al-Majhūd is among the most important later commentaries on </w:t>
      </w:r>
      <w:r>
        <w:rPr>
          <w:i/>
          <w:lang w:val="en-GB"/>
        </w:rPr>
        <w:t>Sunan Abī Dāwūd</w:t>
      </w:r>
      <w:r>
        <w:rPr>
          <w:lang w:val="en-GB"/>
        </w:rPr>
        <w:t xml:space="preserve"> because of its integrated ḥadīth, juristic, and linguistic analysis, although it remains insufficiently known outside the Indian subcontinent.</w:t>
      </w:r>
    </w:p>
    <w:p w:rsidR="000F4D2B" w:rsidRDefault="005D4EDA">
      <w:pPr>
        <w:pStyle w:val="Body"/>
        <w:spacing w:after="240" w:line="240" w:lineRule="auto"/>
      </w:pPr>
      <w:r>
        <w:rPr>
          <w:b/>
          <w:lang w:val="en-GB"/>
        </w:rPr>
        <w:t xml:space="preserve">Keywords: </w:t>
      </w:r>
      <w:r>
        <w:rPr>
          <w:lang w:val="en-GB"/>
        </w:rPr>
        <w:t>Sunan Abī Dāwūd, Badhl al-Majhūd, Khalīl Aḥmad al-Sahāranfūrī, Ḥadīth methodology, Ḥadīth commentary</w:t>
      </w:r>
    </w:p>
    <w:p w:rsidR="000F4D2B" w:rsidRDefault="005D4EDA">
      <w:pPr>
        <w:pStyle w:val="MainHeading"/>
        <w:keepNext/>
        <w:spacing w:before="240" w:after="240" w:line="240" w:lineRule="auto"/>
      </w:pPr>
      <w:r>
        <w:rPr>
          <w:b/>
          <w:sz w:val="28"/>
          <w:lang w:val="en-GB"/>
        </w:rPr>
        <w:t>INTRODUCTION</w:t>
      </w:r>
    </w:p>
    <w:p w:rsidR="000F4D2B" w:rsidRDefault="005D4EDA">
      <w:pPr>
        <w:pStyle w:val="Body"/>
        <w:spacing w:before="240" w:after="240" w:line="240" w:lineRule="auto"/>
        <w:jc w:val="both"/>
      </w:pPr>
      <w:r>
        <w:rPr>
          <w:lang w:val="en-GB"/>
        </w:rPr>
        <w:t>Shaykh Khalīl Aḥmad al-Sahāranfūrī occupies a prominent place among the leading Muslim scholars of the Indian subcontinent and is widely recognised as a distinguished scholar of ḥadīth. He received his advanced training in ḥadīth from eminent Indian scholars, most notably Shaykh Rashīd Aḥmad al-Gangohī, and subsequently devoted his scholarly career to the study and transmission of the Prophetic Sunnah through teaching, authorship, and textual scholarship. His enduring influence is also evident in the considerable number of students who studied under his guidance and later contributed to the development of ḥadīth scholarship in India and beyond.</w:t>
      </w:r>
    </w:p>
    <w:p w:rsidR="000F4D2B" w:rsidRDefault="005D4EDA">
      <w:pPr>
        <w:pStyle w:val="Body"/>
        <w:spacing w:before="240" w:after="240" w:line="240" w:lineRule="auto"/>
        <w:jc w:val="both"/>
      </w:pPr>
      <w:r>
        <w:rPr>
          <w:lang w:val="en-GB"/>
        </w:rPr>
        <w:t xml:space="preserve">Among al-Sahāranfūrī’s most significant works is </w:t>
      </w:r>
      <w:r>
        <w:rPr>
          <w:i/>
          <w:lang w:val="en-GB"/>
        </w:rPr>
        <w:t>Badhl al-Majhūd fī Ḥall Sunan Abī Dāwūd</w:t>
      </w:r>
      <w:r>
        <w:rPr>
          <w:lang w:val="en-GB"/>
        </w:rPr>
        <w:t xml:space="preserve">, an extensive commentary on </w:t>
      </w:r>
      <w:r>
        <w:rPr>
          <w:i/>
          <w:lang w:val="en-GB"/>
        </w:rPr>
        <w:t>Sunan Abī Dāwūd</w:t>
      </w:r>
      <w:r>
        <w:rPr>
          <w:lang w:val="en-GB"/>
        </w:rPr>
        <w:t xml:space="preserve">. The scholarly significance of this work lies in its comprehensive engagement with the text, its extensive use of earlier ḥadīth and juristic sources, and its detailed examination of legal reasoning within the Ḥanafī tradition. The commentary extends beyond the lexical explanation of individual narrations by integrating ḥadīth analysis, juristic interpretation, comparative legal discussion, and critical scholarly evaluation. It thus constitutes a substantial contribution both to the study of </w:t>
      </w:r>
      <w:r>
        <w:rPr>
          <w:i/>
          <w:lang w:val="en-GB"/>
        </w:rPr>
        <w:t>Sunan Abī Dāwūd</w:t>
      </w:r>
      <w:r>
        <w:rPr>
          <w:lang w:val="en-GB"/>
        </w:rPr>
        <w:t xml:space="preserve"> and to the broader tradition of ḥadīth commentary.</w:t>
      </w:r>
    </w:p>
    <w:p w:rsidR="000F4D2B" w:rsidRDefault="005D4EDA">
      <w:pPr>
        <w:pStyle w:val="Subheading"/>
        <w:keepNext/>
        <w:spacing w:before="240" w:after="240" w:line="240" w:lineRule="auto"/>
      </w:pPr>
      <w:r>
        <w:rPr>
          <w:b/>
          <w:lang w:val="en-GB"/>
        </w:rPr>
        <w:t>Literature review and research gap</w:t>
      </w:r>
    </w:p>
    <w:p w:rsidR="000F4D2B" w:rsidRDefault="005D4EDA">
      <w:pPr>
        <w:pStyle w:val="Body"/>
        <w:spacing w:before="240" w:after="240" w:line="240" w:lineRule="auto"/>
        <w:jc w:val="both"/>
      </w:pPr>
      <w:r>
        <w:rPr>
          <w:lang w:val="en-GB"/>
        </w:rPr>
        <w:t xml:space="preserve">Despite the scholarly importance of Badhl al-Majhūd, the work has received limited independent academic attention, particularly with regard to its methodology as a ḥadīth commentary. To the best of the author’s knowledge and within the scope of the available literature, no comprehensive monograph or peer-reviewed </w:t>
      </w:r>
      <w:r>
        <w:rPr>
          <w:lang w:val="en-GB"/>
        </w:rPr>
        <w:lastRenderedPageBreak/>
        <w:t>study has examined its ḥadīth methodology in a systematic manner. This apparent gap provides the principal rationale for the present study.</w:t>
      </w:r>
    </w:p>
    <w:p w:rsidR="000F4D2B" w:rsidRDefault="005D4EDA">
      <w:pPr>
        <w:pStyle w:val="Subheading"/>
        <w:keepNext/>
        <w:spacing w:before="240" w:after="240" w:line="240" w:lineRule="auto"/>
      </w:pPr>
      <w:r>
        <w:rPr>
          <w:b/>
          <w:lang w:val="en-GB"/>
        </w:rPr>
        <w:t>Research objectives and article structure</w:t>
      </w:r>
    </w:p>
    <w:p w:rsidR="000F4D2B" w:rsidRDefault="005D4EDA">
      <w:pPr>
        <w:pStyle w:val="Body"/>
        <w:spacing w:before="240" w:after="240" w:line="240" w:lineRule="auto"/>
        <w:jc w:val="both"/>
      </w:pPr>
      <w:r>
        <w:rPr>
          <w:lang w:val="en-GB"/>
        </w:rPr>
        <w:t>Accordingly, this study aims to identify and analyse the principal methodological features of al-Sahāranfūrī’s commentary. It also seeks to assess the work’s contribution to ḥadīth scholarship, particularly its treatment of narrations, engagement with earlier authorities, discussion of juristic disagreement, and presentation of Ḥanafī legal perspectives.</w:t>
      </w:r>
    </w:p>
    <w:p w:rsidR="000F4D2B" w:rsidRDefault="005D4EDA">
      <w:pPr>
        <w:pStyle w:val="Body"/>
        <w:spacing w:before="240" w:after="240" w:line="240" w:lineRule="auto"/>
        <w:jc w:val="both"/>
      </w:pPr>
      <w:r>
        <w:rPr>
          <w:lang w:val="en-GB"/>
        </w:rPr>
        <w:t xml:space="preserve">Accordingly, the article first presents a concise biographical account of Shaykh Khalīl Aḥmad al-Sahāranfūrī and surveys his major scholarly works. It then introduces </w:t>
      </w:r>
      <w:r>
        <w:rPr>
          <w:i/>
          <w:lang w:val="en-GB"/>
        </w:rPr>
        <w:t>Sunan Abī Dāwūd</w:t>
      </w:r>
      <w:r>
        <w:rPr>
          <w:lang w:val="en-GB"/>
        </w:rPr>
        <w:t xml:space="preserve"> and analyses </w:t>
      </w:r>
      <w:r>
        <w:rPr>
          <w:i/>
          <w:lang w:val="en-GB"/>
        </w:rPr>
        <w:t>Badhl al-Majhūd fī Ḥall Sunan Abī Dāwūd</w:t>
      </w:r>
      <w:r>
        <w:rPr>
          <w:lang w:val="en-GB"/>
        </w:rPr>
        <w:t>, with particular emphasis on the author’s methods of explaining narrations, evaluating scholarly opinions, addressing legal discussions, and articulating Ḥanafī juristic positions. The conclusion summarises the principal findings derived from the analysis.</w:t>
      </w:r>
    </w:p>
    <w:p w:rsidR="000F4D2B" w:rsidRDefault="005D4EDA">
      <w:pPr>
        <w:pStyle w:val="MainHeading"/>
        <w:keepNext/>
        <w:spacing w:before="240" w:after="240" w:line="240" w:lineRule="auto"/>
      </w:pPr>
      <w:r>
        <w:rPr>
          <w:b/>
          <w:sz w:val="28"/>
          <w:lang w:val="en-GB"/>
        </w:rPr>
        <w:t>METHODOLOGY</w:t>
      </w:r>
    </w:p>
    <w:p w:rsidR="000F4D2B" w:rsidRDefault="005D4EDA">
      <w:pPr>
        <w:pStyle w:val="Body"/>
        <w:spacing w:before="240" w:after="240" w:line="240" w:lineRule="auto"/>
        <w:jc w:val="both"/>
      </w:pPr>
      <w:r>
        <w:rPr>
          <w:lang w:val="en-GB"/>
        </w:rPr>
        <w:t>This study employs descriptive and analytical methods. The descriptive method is used to present a concise account of Shaykh Khalīl Aḥmad al-Sahāranfūrī’s personal and scholarly biography. The analytical method is used to identify and examine the principal features of Badhl al-Majhūd through representative passages concerning transmitter evaluation, ḥadīth terminology, matn explanation, juristic disagreement, variant wordings and chains of transmission, textual criticism, and linguistic analysis. The commentary itself constitutes the primary source, while the supporting biographical, ḥadīth, rijāl, commentarial, and linguistic works are those cited in the article.</w:t>
      </w:r>
    </w:p>
    <w:p w:rsidR="000F4D2B" w:rsidRDefault="005D4EDA">
      <w:pPr>
        <w:pStyle w:val="MainHeading"/>
        <w:keepNext/>
        <w:spacing w:before="240" w:after="240" w:line="240" w:lineRule="auto"/>
      </w:pPr>
      <w:r>
        <w:rPr>
          <w:b/>
          <w:sz w:val="28"/>
          <w:lang w:val="en-GB"/>
        </w:rPr>
        <w:t>RESULTS AND DISCUSSION</w:t>
      </w:r>
    </w:p>
    <w:p w:rsidR="000F4D2B" w:rsidRDefault="005D4EDA">
      <w:pPr>
        <w:pStyle w:val="Subheading"/>
        <w:keepNext/>
        <w:spacing w:before="240" w:after="240" w:line="240" w:lineRule="auto"/>
      </w:pPr>
      <w:r>
        <w:rPr>
          <w:b/>
          <w:lang w:val="en-GB"/>
        </w:rPr>
        <w:t>Biographical and scholarly background</w:t>
      </w:r>
    </w:p>
    <w:p w:rsidR="000F4D2B" w:rsidRDefault="005D4EDA">
      <w:pPr>
        <w:pStyle w:val="Body"/>
        <w:spacing w:before="240" w:after="240" w:line="240" w:lineRule="auto"/>
        <w:jc w:val="both"/>
      </w:pPr>
      <w:r>
        <w:rPr>
          <w:lang w:val="en-GB"/>
        </w:rPr>
        <w:t>Shaykh Khalīl Aḥmad al-Anṣārī al-Anbīṭahwī was born in the village of Nānawtah, in the district of Saharanpur, and grew up in the town of Anbīṭah in a family known for its attachment to religion and the Islamic sciences.</w:t>
      </w:r>
    </w:p>
    <w:p w:rsidR="000F4D2B" w:rsidRDefault="005D4EDA">
      <w:pPr>
        <w:pStyle w:val="Body"/>
        <w:spacing w:before="240" w:after="240" w:line="240" w:lineRule="auto"/>
        <w:jc w:val="both"/>
      </w:pPr>
      <w:r>
        <w:rPr>
          <w:lang w:val="en-GB"/>
        </w:rPr>
        <w:t>He received his elementary education from the scholars of his hometown. He then joined Madrasah Maẓāhir al-ʿUlūm in Saharanpur in 1283 AH, where he completed his studies in the Islamic sciences under a distinguished group of its scholars and teachers, graduating in 1288 AH. Among his most prominent teachers was Shaykh Rashīd Aḥmad Gangohī, who died in 1323 AH/1905 CE. When he travelled to the Ḥijāz in 1293 AH, he studied ḥadīth with a number of scholars of the Two Holy Sanctuaries.</w:t>
      </w:r>
    </w:p>
    <w:p w:rsidR="000F4D2B" w:rsidRDefault="005D4EDA">
      <w:pPr>
        <w:pStyle w:val="Body"/>
        <w:spacing w:before="240" w:after="240" w:line="240" w:lineRule="auto"/>
        <w:jc w:val="both"/>
      </w:pPr>
      <w:r>
        <w:rPr>
          <w:lang w:val="en-GB"/>
        </w:rPr>
        <w:t>Shaykh Khalīl Aḥmad later served as a teacher at Dār al-ʿUlūm Deoband and subsequently at Madrasah Maẓāhir al-ʿUlūm in Saharanpur, where he spent approximately thirty years engaged in teaching and instruction. During this period, he contributed to the dissemination of the Islamic sciences and to the training of a number of students, particularly in the fields of ḥadīth, fiqh, and related disciplines. Among his most renowned students was Shaykh Muḥammad Zakariyyā al-Kāndahlawī, who died in 1402 AH. (Al-Ḥasanī, 1999).</w:t>
      </w:r>
    </w:p>
    <w:p w:rsidR="000F4D2B" w:rsidRDefault="005D4EDA">
      <w:pPr>
        <w:pStyle w:val="Body"/>
        <w:spacing w:before="240" w:after="240" w:line="240" w:lineRule="auto"/>
        <w:jc w:val="both"/>
      </w:pPr>
      <w:r>
        <w:rPr>
          <w:lang w:val="en-GB"/>
        </w:rPr>
        <w:t>Shaykh Khalīl Aḥmad left behind a number of works and treatises on diverse scholarly subjects, reflecting his engagement with ḥadīth, fiqh, theology, and scholarly refutation. Among his most important works are the following:</w:t>
      </w:r>
    </w:p>
    <w:p w:rsidR="000F4D2B" w:rsidRDefault="005D4EDA">
      <w:pPr>
        <w:pStyle w:val="NumberedItem"/>
        <w:spacing w:before="240" w:after="240" w:line="240" w:lineRule="auto"/>
        <w:ind w:left="504" w:hanging="360"/>
        <w:jc w:val="both"/>
      </w:pPr>
      <w:r>
        <w:rPr>
          <w:lang w:val="en-GB"/>
        </w:rPr>
        <w:t xml:space="preserve">1. </w:t>
      </w:r>
      <w:r>
        <w:rPr>
          <w:i/>
          <w:lang w:val="en-GB"/>
        </w:rPr>
        <w:t>Badhl al-Majhūd fī Ḥall Sunan Abī Dāwūd</w:t>
      </w:r>
      <w:r>
        <w:rPr>
          <w:lang w:val="en-GB"/>
        </w:rPr>
        <w:t>: This is one of his most significant contributions to ḥadīth scholarship, and it is discussed in detail below.</w:t>
      </w:r>
    </w:p>
    <w:p w:rsidR="000F4D2B" w:rsidRDefault="005D4EDA">
      <w:pPr>
        <w:pStyle w:val="NumberedItem"/>
        <w:spacing w:before="240" w:after="240" w:line="240" w:lineRule="auto"/>
        <w:ind w:left="504" w:hanging="360"/>
        <w:jc w:val="both"/>
      </w:pPr>
      <w:r>
        <w:rPr>
          <w:lang w:val="en-GB"/>
        </w:rPr>
        <w:lastRenderedPageBreak/>
        <w:t xml:space="preserve">2. </w:t>
      </w:r>
      <w:r>
        <w:rPr>
          <w:i/>
          <w:lang w:val="en-GB"/>
        </w:rPr>
        <w:t>al-Muhannad ʿalā al-Mufannad</w:t>
      </w:r>
      <w:r>
        <w:rPr>
          <w:lang w:val="en-GB"/>
        </w:rPr>
        <w:t>: In this work, he presented a number of his own theological positions, as well as those of his teachers, which he regarded as consistent with the doctrine of Ahl al-Sunnah wa al-Jamāʿah.</w:t>
      </w:r>
    </w:p>
    <w:p w:rsidR="000F4D2B" w:rsidRDefault="005D4EDA">
      <w:pPr>
        <w:pStyle w:val="NumberedItem"/>
        <w:spacing w:before="240" w:after="240" w:line="240" w:lineRule="auto"/>
        <w:ind w:left="504" w:hanging="360"/>
        <w:jc w:val="both"/>
      </w:pPr>
      <w:r>
        <w:rPr>
          <w:lang w:val="en-GB"/>
        </w:rPr>
        <w:t xml:space="preserve">3. </w:t>
      </w:r>
      <w:r>
        <w:rPr>
          <w:i/>
          <w:lang w:val="en-GB"/>
        </w:rPr>
        <w:t>Miṭraqat al-Karāmah ʿalā Mirʾāt al-Imāmah</w:t>
      </w:r>
      <w:r>
        <w:rPr>
          <w:lang w:val="en-GB"/>
        </w:rPr>
        <w:t>: A concise treatise in which he critically examined and responded to certain views and doctrines of the Imāmī Shīʿah.</w:t>
      </w:r>
    </w:p>
    <w:p w:rsidR="000F4D2B" w:rsidRDefault="005D4EDA">
      <w:pPr>
        <w:pStyle w:val="NumberedItem"/>
        <w:spacing w:before="240" w:after="240" w:line="240" w:lineRule="auto"/>
        <w:ind w:left="504" w:hanging="360"/>
        <w:jc w:val="both"/>
      </w:pPr>
      <w:r>
        <w:rPr>
          <w:lang w:val="en-GB"/>
        </w:rPr>
        <w:t xml:space="preserve">4. </w:t>
      </w:r>
      <w:r>
        <w:rPr>
          <w:i/>
          <w:lang w:val="en-GB"/>
        </w:rPr>
        <w:t>Hidāyāt al-Rashīd ilā Ifḥām al-ʿAnīd</w:t>
      </w:r>
      <w:r>
        <w:rPr>
          <w:lang w:val="en-GB"/>
        </w:rPr>
        <w:t>: This work was composed in a similar context, addressing a number of theological issues related to the doctrines of the Imāmī Shīʿah.</w:t>
      </w:r>
    </w:p>
    <w:p w:rsidR="000F4D2B" w:rsidRDefault="005D4EDA">
      <w:pPr>
        <w:pStyle w:val="NumberedItem"/>
        <w:spacing w:before="240" w:after="240" w:line="240" w:lineRule="auto"/>
        <w:ind w:left="504" w:hanging="360"/>
        <w:jc w:val="both"/>
      </w:pPr>
      <w:r>
        <w:rPr>
          <w:lang w:val="en-GB"/>
        </w:rPr>
        <w:t xml:space="preserve">5. </w:t>
      </w:r>
      <w:r>
        <w:rPr>
          <w:i/>
          <w:lang w:val="en-GB"/>
        </w:rPr>
        <w:t>Tawjīh al-Suʾāl ilā Jamīʿ ʿUlamāʾ al-Shīʿah</w:t>
      </w:r>
      <w:r>
        <w:rPr>
          <w:lang w:val="en-GB"/>
        </w:rPr>
        <w:t>: In this work, he posed several questions to certain Shīʿī scholars, seeking clarification regarding a number of issues related to their school and beliefs.</w:t>
      </w:r>
    </w:p>
    <w:p w:rsidR="000F4D2B" w:rsidRDefault="005D4EDA">
      <w:pPr>
        <w:pStyle w:val="NumberedItem"/>
        <w:spacing w:before="240" w:after="240" w:line="240" w:lineRule="auto"/>
        <w:ind w:left="504" w:hanging="360"/>
        <w:jc w:val="both"/>
      </w:pPr>
      <w:r>
        <w:rPr>
          <w:lang w:val="en-GB"/>
        </w:rPr>
        <w:t xml:space="preserve">6. </w:t>
      </w:r>
      <w:r>
        <w:rPr>
          <w:i/>
          <w:lang w:val="en-GB"/>
        </w:rPr>
        <w:t>al-Barāhīn al-Qāṭiʿah ʿalā Ẓalām al-Anwār al-Sāṭiʿah</w:t>
      </w:r>
      <w:r>
        <w:rPr>
          <w:lang w:val="en-GB"/>
        </w:rPr>
        <w:t xml:space="preserve">: A scholarly refutation of Shaykh ʿAbd al-Samīʿ al-Rāmpūrī, in which he discussed and challenged some of the views presented in the latter’s work </w:t>
      </w:r>
      <w:r>
        <w:rPr>
          <w:i/>
          <w:lang w:val="en-GB"/>
        </w:rPr>
        <w:t>al-Anwār al-Sāṭiʿah</w:t>
      </w:r>
      <w:r>
        <w:rPr>
          <w:lang w:val="en-GB"/>
        </w:rPr>
        <w:t>.</w:t>
      </w:r>
    </w:p>
    <w:p w:rsidR="000F4D2B" w:rsidRDefault="005D4EDA">
      <w:pPr>
        <w:pStyle w:val="NumberedItem"/>
        <w:spacing w:before="240" w:after="240" w:line="240" w:lineRule="auto"/>
        <w:ind w:left="504" w:hanging="360"/>
        <w:jc w:val="both"/>
      </w:pPr>
      <w:r>
        <w:rPr>
          <w:lang w:val="en-GB"/>
        </w:rPr>
        <w:t xml:space="preserve">7. </w:t>
      </w:r>
      <w:r>
        <w:rPr>
          <w:i/>
          <w:lang w:val="en-GB"/>
        </w:rPr>
        <w:t>Tanshīṭ al-Ādhān fī Taḥqīq Maḥall al-Adhān</w:t>
      </w:r>
      <w:r>
        <w:rPr>
          <w:lang w:val="en-GB"/>
        </w:rPr>
        <w:t>: In this work, he examined the issue of the place from which the adhān should be called on Friday at the time of the khuṭbah, responding to the view that it should be called outside the mosque.</w:t>
      </w:r>
    </w:p>
    <w:p w:rsidR="000F4D2B" w:rsidRDefault="005D4EDA">
      <w:pPr>
        <w:pStyle w:val="NumberedItem"/>
        <w:spacing w:before="240" w:after="240" w:line="240" w:lineRule="auto"/>
        <w:ind w:left="504" w:hanging="360"/>
        <w:jc w:val="both"/>
      </w:pPr>
      <w:r>
        <w:rPr>
          <w:lang w:val="en-GB"/>
        </w:rPr>
        <w:t xml:space="preserve">8. </w:t>
      </w:r>
      <w:r>
        <w:rPr>
          <w:i/>
          <w:lang w:val="en-GB"/>
        </w:rPr>
        <w:t>al-Mughtanam fī Zakāt al-Ghanam</w:t>
      </w:r>
      <w:r>
        <w:rPr>
          <w:lang w:val="en-GB"/>
        </w:rPr>
        <w:t>: A legal treatise written in response to a fatwā request concerning the zakāh due on sheep.</w:t>
      </w:r>
    </w:p>
    <w:p w:rsidR="000F4D2B" w:rsidRDefault="005D4EDA">
      <w:pPr>
        <w:pStyle w:val="NumberedItem"/>
        <w:spacing w:before="240" w:after="240" w:line="240" w:lineRule="auto"/>
        <w:ind w:left="504" w:hanging="360"/>
        <w:jc w:val="both"/>
      </w:pPr>
      <w:r>
        <w:rPr>
          <w:lang w:val="en-GB"/>
        </w:rPr>
        <w:t xml:space="preserve">9. </w:t>
      </w:r>
      <w:r>
        <w:rPr>
          <w:i/>
          <w:lang w:val="en-GB"/>
        </w:rPr>
        <w:t>Itmām al-Niʿam ʿalā Tabwīb al-Ḥikam</w:t>
      </w:r>
      <w:r>
        <w:rPr>
          <w:lang w:val="en-GB"/>
        </w:rPr>
        <w:t xml:space="preserve">: An Urdu commentary on </w:t>
      </w:r>
      <w:r>
        <w:rPr>
          <w:i/>
          <w:lang w:val="en-GB"/>
        </w:rPr>
        <w:t>al-Ḥikam al-ʿAṭāʾiyyah</w:t>
      </w:r>
      <w:r>
        <w:rPr>
          <w:lang w:val="en-GB"/>
        </w:rPr>
        <w:t xml:space="preserve"> by Imām Aḥmad ibn ʿAṭāʾ Allāh al-Sakandarī, who died in 709 AH. (Ghouri, 2000).</w:t>
      </w:r>
    </w:p>
    <w:p w:rsidR="000F4D2B" w:rsidRDefault="005D4EDA">
      <w:pPr>
        <w:pStyle w:val="Body"/>
        <w:spacing w:before="240" w:after="240" w:line="240" w:lineRule="auto"/>
        <w:jc w:val="both"/>
      </w:pPr>
      <w:r>
        <w:rPr>
          <w:lang w:val="en-GB"/>
        </w:rPr>
        <w:t>Toward the end of his life, while residing in Madinah, Shaykh Khalīl Aḥmad suffered a paralytic stroke. He passed away a few days later, on the fifteenth of Rabīʿ al-Ākhir 1346 AH and was buried in al-Baqīʿ. His scholarly biography reveals a figure who combined teaching and authorship with a sustained engagement in ḥadīth, fiqh, and the intellectual and scholarly debates that shaped his academic milieu (Al-Ḥasanī, 1999; Ghouri, 2000).</w:t>
      </w:r>
    </w:p>
    <w:p w:rsidR="000F4D2B" w:rsidRDefault="005D4EDA">
      <w:pPr>
        <w:pStyle w:val="Subheading"/>
        <w:keepNext/>
        <w:spacing w:before="240" w:after="240" w:line="240" w:lineRule="auto"/>
      </w:pPr>
      <w:r>
        <w:rPr>
          <w:b/>
          <w:i/>
          <w:lang w:val="en-GB"/>
        </w:rPr>
        <w:t>Sunan Abī Dāwūd</w:t>
      </w:r>
      <w:r>
        <w:rPr>
          <w:b/>
          <w:lang w:val="en-GB"/>
        </w:rPr>
        <w:t>: position and structure</w:t>
      </w:r>
    </w:p>
    <w:p w:rsidR="000F4D2B" w:rsidRDefault="005D4EDA">
      <w:pPr>
        <w:pStyle w:val="Body"/>
        <w:spacing w:before="240" w:after="240" w:line="240" w:lineRule="auto"/>
        <w:jc w:val="both"/>
      </w:pPr>
      <w:r>
        <w:rPr>
          <w:lang w:val="en-GB"/>
        </w:rPr>
        <w:t xml:space="preserve">Books of </w:t>
      </w:r>
      <w:r>
        <w:rPr>
          <w:i/>
          <w:lang w:val="en-GB"/>
        </w:rPr>
        <w:t>al-Sunan</w:t>
      </w:r>
      <w:r>
        <w:rPr>
          <w:lang w:val="en-GB"/>
        </w:rPr>
        <w:t xml:space="preserve"> are works arranged by juristic chapters, such as īmān, ṭahārah, ṣalāh, and zakāh. They do not contain mawqūf reports, since a mawqūf report is not called sunnah in the terminology of the muḥaddithūn, but ḥadīth. (Al-Kattānī, 2007).</w:t>
      </w:r>
    </w:p>
    <w:p w:rsidR="000F4D2B" w:rsidRDefault="005D4EDA">
      <w:pPr>
        <w:pStyle w:val="Body"/>
        <w:spacing w:before="240" w:after="240" w:line="240" w:lineRule="auto"/>
        <w:jc w:val="both"/>
      </w:pPr>
      <w:r>
        <w:rPr>
          <w:i/>
          <w:lang w:val="en-GB"/>
        </w:rPr>
        <w:t>Sunan Abī Dāwūd</w:t>
      </w:r>
      <w:r>
        <w:rPr>
          <w:lang w:val="en-GB"/>
        </w:rPr>
        <w:t xml:space="preserve"> is one of the most important books of ḥadīth and has long served as a principal reference for legal rulings because it gathers aḥādīth al-aḥkām across their chapters. Although al-Bukhārī and Muslim distinguished authentic ḥadīths in their two Ṣaḥīḥs and included legal material, they did not compose independent works devoted specifically to legal ḥadīths. Since such reports are central to deriving practical rulings, Imām Abū Dāwūd Sulaymān b. al-Ashʿath al-Sijistānī (d. 275 AH) composed this work and gave primary attention to legal ḥadīths rather than campaigns, biographies, narratives, and ethics. It thus became a foundational text for jurists seeking evidence of legal questions. (ʿAbd al-Muṭṭalib,1429 AH)</w:t>
      </w:r>
    </w:p>
    <w:p w:rsidR="000F4D2B" w:rsidRDefault="005D4EDA">
      <w:pPr>
        <w:pStyle w:val="Body"/>
        <w:spacing w:before="240" w:after="240" w:line="240" w:lineRule="auto"/>
        <w:jc w:val="both"/>
      </w:pPr>
      <w:r>
        <w:rPr>
          <w:lang w:val="en-GB"/>
        </w:rPr>
        <w:t>The book is arranged by fiqh topics. It contains thirty-five books and 1,871 chapters, beginning with the Book of Ṭahārah and ending with the Book of Adab. The total number of ḥadīths is 5,274. (Ghouri, 2021).</w:t>
      </w:r>
    </w:p>
    <w:p w:rsidR="000F4D2B" w:rsidRDefault="005D4EDA">
      <w:pPr>
        <w:pStyle w:val="Subheading"/>
        <w:keepNext/>
        <w:spacing w:before="240" w:after="240" w:line="240" w:lineRule="auto"/>
      </w:pPr>
      <w:r>
        <w:rPr>
          <w:b/>
          <w:i/>
          <w:lang w:val="en-GB"/>
        </w:rPr>
        <w:lastRenderedPageBreak/>
        <w:t>Badhl al-Majhūd fī Ḥall Sunan Abī Dāwūd</w:t>
      </w:r>
    </w:p>
    <w:p w:rsidR="000F4D2B" w:rsidRDefault="005D4EDA">
      <w:pPr>
        <w:pStyle w:val="Subheading"/>
        <w:keepNext/>
        <w:spacing w:before="240" w:after="240" w:line="240" w:lineRule="auto"/>
      </w:pPr>
      <w:r>
        <w:rPr>
          <w:b/>
          <w:lang w:val="en-GB"/>
        </w:rPr>
        <w:t>Description of the commentary</w:t>
      </w:r>
    </w:p>
    <w:p w:rsidR="000F4D2B" w:rsidRDefault="005D4EDA">
      <w:pPr>
        <w:pStyle w:val="Body"/>
        <w:spacing w:before="240" w:after="240" w:line="240" w:lineRule="auto"/>
        <w:jc w:val="both"/>
      </w:pPr>
      <w:r>
        <w:rPr>
          <w:lang w:val="en-GB"/>
        </w:rPr>
        <w:t xml:space="preserve">This work is a comprehensive commentary on </w:t>
      </w:r>
      <w:r>
        <w:rPr>
          <w:i/>
          <w:lang w:val="en-GB"/>
        </w:rPr>
        <w:t>Sunan Abī Dāwūd</w:t>
      </w:r>
      <w:r>
        <w:rPr>
          <w:lang w:val="en-GB"/>
        </w:rPr>
        <w:t>. It discusses riwāyah, dirāyah, and the explanation of Prophetic speech; summarises the transmitters through jarḥ wa-taʿdīl according to the statements of leading critics; explains difficult ḥadīth vocabulary; and clarifies juristic differences. It also includes useful notes by Shaykh Muḥammad Zakariyyā al-Kāndahlawī written during his review of the work. (Ghouri, 2000).</w:t>
      </w:r>
    </w:p>
    <w:p w:rsidR="000F4D2B" w:rsidRDefault="005D4EDA">
      <w:pPr>
        <w:pStyle w:val="Subheading"/>
        <w:keepNext/>
        <w:spacing w:before="240" w:after="240" w:line="240" w:lineRule="auto"/>
      </w:pPr>
      <w:r>
        <w:rPr>
          <w:b/>
          <w:lang w:val="en-GB"/>
        </w:rPr>
        <w:t>Motive for composition</w:t>
      </w:r>
    </w:p>
    <w:p w:rsidR="000F4D2B" w:rsidRDefault="005D4EDA">
      <w:pPr>
        <w:pStyle w:val="Body"/>
        <w:spacing w:before="240" w:after="240" w:line="240" w:lineRule="auto"/>
        <w:jc w:val="both"/>
      </w:pPr>
      <w:r>
        <w:rPr>
          <w:lang w:val="en-GB"/>
        </w:rPr>
        <w:t xml:space="preserve">In his introduction, Shaykh Khalīl Aḥmad explains that he composed the work because he found no comprehensive Ḥanafī commentary on </w:t>
      </w:r>
      <w:r>
        <w:rPr>
          <w:i/>
          <w:lang w:val="en-GB"/>
        </w:rPr>
        <w:t>Sunan Abī Dāwūd</w:t>
      </w:r>
      <w:r>
        <w:rPr>
          <w:lang w:val="en-GB"/>
        </w:rPr>
        <w:t xml:space="preserve"> that combined mastery of ḥadīth, command of its sciences, and expertise in fiqh. </w:t>
      </w:r>
      <w:r>
        <w:rPr>
          <w:i/>
          <w:lang w:val="en-GB"/>
        </w:rPr>
        <w:t>Sunan Abī Dāwūd</w:t>
      </w:r>
      <w:r>
        <w:rPr>
          <w:lang w:val="en-GB"/>
        </w:rPr>
        <w:t xml:space="preserve"> is central to establishing or refuting legal positions because its primary subject is aḥādīth al-aḥkām, where disagreement is frequent and legal inference is tested. Al-Sahāranfūrī therefore addressed the book’s major aspects: biographical notices of transmitters, the doctrines and evidences of the four imāms, discussions among ḥadīth commentators, difficult passages, the grading of ḥadīths as ṣaḥīḥ, ḥasan, or ḍaʿīf, and responses to those who criticised Imām Abū Ḥanīfah al-Nuʿmān, may Allah have mercy on him. (Al-Sahāranfūrī, 2006).</w:t>
      </w:r>
    </w:p>
    <w:p w:rsidR="000F4D2B" w:rsidRDefault="005D4EDA">
      <w:pPr>
        <w:pStyle w:val="Body"/>
        <w:spacing w:before="240" w:after="240" w:line="240" w:lineRule="auto"/>
        <w:jc w:val="both"/>
      </w:pPr>
      <w:r>
        <w:rPr>
          <w:lang w:val="en-GB"/>
        </w:rPr>
        <w:t>The Shaykh began the work in India in 1335 AH, but devoted himself to it more fully during his stay in al-Madīnah al-Munawwarah in 1344 AH. His student Shaykh Muḥammad Zakariyyā al-Kāndahlawī, who accompanied him on that journey, assisted greatly in completing the commentary, which was finished in Shaʿbān 1345 AH. (Al-Sahāranfūrī, 2006).</w:t>
      </w:r>
    </w:p>
    <w:p w:rsidR="000F4D2B" w:rsidRDefault="005D4EDA">
      <w:pPr>
        <w:pStyle w:val="Subheading"/>
        <w:keepNext/>
        <w:spacing w:before="240" w:after="240" w:line="240" w:lineRule="auto"/>
      </w:pPr>
      <w:r>
        <w:rPr>
          <w:b/>
          <w:lang w:val="en-GB"/>
        </w:rPr>
        <w:t>Methodological features</w:t>
      </w:r>
    </w:p>
    <w:p w:rsidR="000F4D2B" w:rsidRDefault="005D4EDA">
      <w:pPr>
        <w:pStyle w:val="Body"/>
        <w:spacing w:before="240" w:after="240" w:line="240" w:lineRule="auto"/>
        <w:jc w:val="both"/>
      </w:pPr>
      <w:r>
        <w:rPr>
          <w:lang w:val="en-GB"/>
        </w:rPr>
        <w:t>Shaykh Khalīl Aḥmad al-Sahāranfūrī’s methodology in this commentary may be summarised as follows:</w:t>
      </w:r>
    </w:p>
    <w:p w:rsidR="000F4D2B" w:rsidRDefault="005D4EDA">
      <w:pPr>
        <w:pStyle w:val="NumberedItem"/>
        <w:spacing w:before="240" w:after="240" w:line="240" w:lineRule="auto"/>
        <w:ind w:left="504" w:hanging="360"/>
        <w:jc w:val="both"/>
      </w:pPr>
      <w:r>
        <w:rPr>
          <w:lang w:val="en-GB"/>
        </w:rPr>
        <w:t xml:space="preserve">1. He opened the commentary with a scholarly introduction listing the shaykhs from whom he received ḥadīth by correspondence and orally, explaining the reason for composition, naming the sources used, and identifying seven manuscripts of Abū Dāwūd’s </w:t>
      </w:r>
      <w:r>
        <w:rPr>
          <w:i/>
          <w:lang w:val="en-GB"/>
        </w:rPr>
        <w:t>Sunan</w:t>
      </w:r>
      <w:r>
        <w:rPr>
          <w:lang w:val="en-GB"/>
        </w:rPr>
        <w:t xml:space="preserve"> against which he collated his principal copy. He stated that he did not rely on </w:t>
      </w:r>
      <w:r>
        <w:rPr>
          <w:i/>
          <w:lang w:val="en-GB"/>
        </w:rPr>
        <w:t>Ghāyat al-Maqṣūd</w:t>
      </w:r>
      <w:r>
        <w:rPr>
          <w:lang w:val="en-GB"/>
        </w:rPr>
        <w:t xml:space="preserve"> or </w:t>
      </w:r>
      <w:r>
        <w:rPr>
          <w:i/>
          <w:lang w:val="en-GB"/>
        </w:rPr>
        <w:t>ʿAwn al-Maʿbūd</w:t>
      </w:r>
      <w:r>
        <w:rPr>
          <w:lang w:val="en-GB"/>
        </w:rPr>
        <w:t xml:space="preserve">, nor on what they transmitted from earlier scholars, unless he found it in the earlier authorities themselves. He then outlined his method, described the transmissions of the </w:t>
      </w:r>
      <w:r>
        <w:rPr>
          <w:i/>
          <w:lang w:val="en-GB"/>
        </w:rPr>
        <w:t>Sunan</w:t>
      </w:r>
      <w:r>
        <w:rPr>
          <w:lang w:val="en-GB"/>
        </w:rPr>
        <w:t xml:space="preserve"> and their features, gave a brief biography of Imām Abū Dāwūd, and defined major types of ḥadīth works, such as jawāmiʿ, masānīd, maʿājim, ajzāʾ, arbaʿīniyyāt, ʿilal, and aṭrāf. (Al-Sahāranfūrī, 2006).</w:t>
      </w:r>
    </w:p>
    <w:p w:rsidR="000F4D2B" w:rsidRDefault="005D4EDA">
      <w:pPr>
        <w:pStyle w:val="NumberedItem"/>
        <w:spacing w:before="240" w:after="240" w:line="240" w:lineRule="auto"/>
        <w:ind w:left="504" w:hanging="360"/>
        <w:jc w:val="both"/>
      </w:pPr>
      <w:r>
        <w:rPr>
          <w:lang w:val="en-GB"/>
        </w:rPr>
        <w:t xml:space="preserve">2. He summarised the transmitters of the isnād using authoritative works such as Ibn Ḥibbān’s </w:t>
      </w:r>
      <w:r>
        <w:rPr>
          <w:i/>
          <w:lang w:val="en-GB"/>
        </w:rPr>
        <w:t>al-Thiqāt</w:t>
      </w:r>
      <w:r>
        <w:rPr>
          <w:lang w:val="en-GB"/>
        </w:rPr>
        <w:t xml:space="preserve">, al-Dhahabī’s </w:t>
      </w:r>
      <w:r>
        <w:rPr>
          <w:i/>
          <w:lang w:val="en-GB"/>
        </w:rPr>
        <w:t>Mīzān al-Iʿtidāl</w:t>
      </w:r>
      <w:r>
        <w:rPr>
          <w:lang w:val="en-GB"/>
        </w:rPr>
        <w:t xml:space="preserve">, and Ibn Ḥajar’s </w:t>
      </w:r>
      <w:r>
        <w:rPr>
          <w:i/>
          <w:lang w:val="en-GB"/>
        </w:rPr>
        <w:t>Tahdhīb al-Tahdhīb</w:t>
      </w:r>
      <w:r>
        <w:rPr>
          <w:lang w:val="en-GB"/>
        </w:rPr>
        <w:t>. He clarified each transmitter’s status in jarḥ wa-taʿdīl according to the imāms and critics and noted their dates of death.</w:t>
      </w:r>
    </w:p>
    <w:p w:rsidR="000F4D2B" w:rsidRDefault="005D4EDA">
      <w:pPr>
        <w:pStyle w:val="Body"/>
        <w:spacing w:before="240" w:after="240" w:line="240" w:lineRule="auto"/>
        <w:ind w:left="360" w:right="360"/>
        <w:jc w:val="both"/>
      </w:pPr>
      <w:r>
        <w:rPr>
          <w:lang w:val="en-GB"/>
        </w:rPr>
        <w:t>A clear example is his discussion of Abū Dāwūd’s isnād: “Muḥammad b. Yaḥyā b. Fāris narrated to us; he said: Ṣafwān b. ʿĪsā narrated to us, from al-Ḥasan b. Dhakwān, from Marwān al-Aṣfar, who said: I saw Ibn ʿUmar make his riding animal kneel while facing the qiblah…”</w:t>
      </w:r>
    </w:p>
    <w:p w:rsidR="000F4D2B" w:rsidRDefault="005D4EDA">
      <w:pPr>
        <w:pStyle w:val="Body"/>
        <w:spacing w:before="240" w:after="240" w:line="240" w:lineRule="auto"/>
        <w:ind w:left="360" w:right="360"/>
        <w:jc w:val="both"/>
      </w:pPr>
      <w:r>
        <w:rPr>
          <w:lang w:val="en-GB"/>
        </w:rPr>
        <w:t xml:space="preserve">Al-Sahāranfūrī analysed the transmitters of this chain: “(Muḥammad b. Yaḥyā b. Fāris) is Muḥammad b. Yaḥyā b. ʿAbd Allāh b. Khālid b. Fāris b. Dhuʾayb al-Dhuhlī, the ḥāfiẓ Abū ʿAbd Allāh al-Naysābūrī, the imām, trustworthy, a great ḥāfiẓ; he died in 258 AH according to the sound view. (He said: Ṣafwān b. ʿĪsā narrated to us) al-Zuhrī, Abū Muḥammad al-Baṣrī al-Qassām, trustworthy; he died in 198 AH. (From al-Ḥasan b. Dhakwān), with an open dotted letter and a silent kāf: Abū Salamah al-Baṣrī, truthful but prone to error; many muḥaddithūn deemed him weak; he was accused of Qadarī </w:t>
      </w:r>
      <w:r>
        <w:rPr>
          <w:lang w:val="en-GB"/>
        </w:rPr>
        <w:lastRenderedPageBreak/>
        <w:t xml:space="preserve">tendencies and practised tadlīs. (From Marwān al-Aṣfar), Abū Khalaf al-Baṣrī; it is said that he is Marwān b. Khāqān, and it is also said that he is Sālim; he is trustworthy, and Ibn Ḥibbān mentioned him in </w:t>
      </w:r>
      <w:r>
        <w:rPr>
          <w:i/>
          <w:lang w:val="en-GB"/>
        </w:rPr>
        <w:t>al-Thiqāt</w:t>
      </w:r>
      <w:r>
        <w:rPr>
          <w:lang w:val="en-GB"/>
        </w:rPr>
        <w:t>. (Ibn ʿUmar) is ʿAbd Allāh b. ʿUmar b. al-Khaṭṭāb al-ʿAdawī, Abū ʿAbd al-Raḥmān. He was born shortly after the beginning of the Prophetic mission, was deemed too young on the day of Uḥud when he was fourteen, was among the prolific transmitters of the Companions and one of the ʿAbādilah, rigorously followed reports, and died at the end of 73 AH.”</w:t>
      </w:r>
    </w:p>
    <w:p w:rsidR="000F4D2B" w:rsidRDefault="005D4EDA">
      <w:pPr>
        <w:pStyle w:val="Body"/>
        <w:spacing w:before="240" w:after="240" w:line="240" w:lineRule="auto"/>
        <w:ind w:left="360" w:right="360"/>
        <w:jc w:val="both"/>
      </w:pPr>
      <w:r>
        <w:rPr>
          <w:lang w:val="en-GB"/>
        </w:rPr>
        <w:t xml:space="preserve">He noted that Ibn Ḥajar cited this report in </w:t>
      </w:r>
      <w:r>
        <w:rPr>
          <w:i/>
          <w:lang w:val="en-GB"/>
        </w:rPr>
        <w:t>Fatḥ al-Bārī</w:t>
      </w:r>
      <w:r>
        <w:rPr>
          <w:lang w:val="en-GB"/>
        </w:rPr>
        <w:t xml:space="preserve"> and said: “It was transmitted by Abū Dāwūd and al-Ḥākim with a ḥasan isnād.”</w:t>
      </w:r>
    </w:p>
    <w:p w:rsidR="000F4D2B" w:rsidRDefault="005D4EDA">
      <w:pPr>
        <w:pStyle w:val="Body"/>
        <w:spacing w:before="240" w:after="240" w:line="240" w:lineRule="auto"/>
        <w:ind w:left="360" w:right="360"/>
        <w:jc w:val="both"/>
      </w:pPr>
      <w:r>
        <w:rPr>
          <w:lang w:val="en-GB"/>
        </w:rPr>
        <w:t>He criticised this statement, saying: “The silence of the muḥaddithūn regarding him—that is, al-Ḥasan b. Dhakwān—and Ibn Ḥajar’s statement, ‘Its isnād is ḥasan,’ is surprising, for al-Ḥasan b. Dhakwān was declared weak by many muḥaddithūn; how, then, can he serve as proof?” He then cited the authorities of jarḥ wa-taʿdīl: “Ibn Maʿīn and Abū Ḥātim said: weak. Abū Ḥātim and al-Nasāʾī also said: he is not strong. Yaḥyā b. Maʿīn said: he narrates oddities and munkar reports, and he declared him weak. Ibn Abī al-Dunyā said: he is not strong in my view. Imām Aḥmad said: his ḥadīths are falsehoods.” (Al-Sahāranfūrī, 2006).</w:t>
      </w:r>
    </w:p>
    <w:p w:rsidR="000F4D2B" w:rsidRDefault="005D4EDA">
      <w:pPr>
        <w:pStyle w:val="NumberedItem"/>
        <w:spacing w:before="240" w:after="240" w:line="240" w:lineRule="auto"/>
        <w:ind w:left="504" w:hanging="360"/>
        <w:jc w:val="both"/>
      </w:pPr>
      <w:r>
        <w:rPr>
          <w:lang w:val="en-GB"/>
        </w:rPr>
        <w:t>3. He carefully vocalised and identified transmitters’ names. For example, regarding the chain of the ḥadīth, “When one of you wishes to urinate, let him seek an appropriate place for his urination,” he said: “(I am Abū al-Tayyāḥ): with an open tāʾ and a doubled yāʾ; he is Yazīd b. Ḥumayd al-Ḍubaʿī, with a ḍammah on the dotted letter and an open bāʾ, al-Baṣrī. Aḥmad said: trustworthy and reliable; he died in 128 AH.” (Al-Sahāranfūrī, 2006).</w:t>
      </w:r>
    </w:p>
    <w:p w:rsidR="000F4D2B" w:rsidRDefault="005D4EDA">
      <w:pPr>
        <w:pStyle w:val="NumberedItem"/>
        <w:spacing w:before="240" w:after="240" w:line="240" w:lineRule="auto"/>
        <w:ind w:left="504" w:hanging="360"/>
        <w:jc w:val="both"/>
      </w:pPr>
      <w:r>
        <w:rPr>
          <w:lang w:val="en-GB"/>
        </w:rPr>
        <w:t xml:space="preserve">4. While explaining ḥadīths, he discussed issues in the sciences of ḥadīth, citing Ibn Ḥajar’s commentary on </w:t>
      </w:r>
      <w:r>
        <w:rPr>
          <w:i/>
          <w:lang w:val="en-GB"/>
        </w:rPr>
        <w:t>Nukhbat al-Fikar</w:t>
      </w:r>
      <w:r>
        <w:rPr>
          <w:lang w:val="en-GB"/>
        </w:rPr>
        <w:t xml:space="preserve"> where relevant. For example, in the chain “Musaddad b. Musarhad narrated to us; Sufyān narrated to us from al-Zuhrī, from ʿAṭāʾ b. Yazīd, from Abū Ayyūb, riwāyatan, who said…,” al-Sahāranfūrī explained: “(Riwāyatan) means ‘from the Prophet </w:t>
      </w:r>
      <w:r>
        <w:rPr>
          <w:rFonts w:ascii="Tahoma" w:hAnsi="Tahoma" w:cs="Tahoma"/>
          <w:lang w:val="en-GB"/>
        </w:rPr>
        <w:t>ﷺ</w:t>
      </w:r>
      <w:r>
        <w:rPr>
          <w:lang w:val="en-GB"/>
        </w:rPr>
        <w:t xml:space="preserve">.’ It is a form of implicit attribution, a verbal noun whose verb is omitted, meaning he narrated it. Ibn Ḥajar said in Sharḥ al-Nukhbah: ‘Included under my phrase “ḥukman” is what occurs by way of allusive wording in place of explicit formulas regarding him </w:t>
      </w:r>
      <w:r>
        <w:rPr>
          <w:rFonts w:ascii="Tahoma" w:hAnsi="Tahoma" w:cs="Tahoma"/>
          <w:lang w:val="en-GB"/>
        </w:rPr>
        <w:t>ﷺ</w:t>
      </w:r>
      <w:r>
        <w:rPr>
          <w:lang w:val="en-GB"/>
        </w:rPr>
        <w:t>, such as when a Successor says from a Companion: he raises the ḥadīth, narrates it, traces it up, transmits it as a narration, conveys it up, or narrated it.’” (Ibn Ḥajar al-ʿAsqalānī, 2000).</w:t>
      </w:r>
    </w:p>
    <w:p w:rsidR="000F4D2B" w:rsidRDefault="005D4EDA">
      <w:pPr>
        <w:pStyle w:val="Body"/>
        <w:spacing w:before="240" w:after="240" w:line="240" w:lineRule="auto"/>
        <w:ind w:left="360" w:right="360"/>
        <w:jc w:val="both"/>
      </w:pPr>
      <w:r>
        <w:rPr>
          <w:lang w:val="en-GB"/>
        </w:rPr>
        <w:t>Al-Sahāranfūrī clarified Ibn Ḥajar’s statement: “These are forms of attribution ḥukman; therefore, when a Successor transmits from a Companion using any of these expressions, the ḥadīth is considered marfūʿ ḥukman.” (Al-Sahāranfūrī, 2006).</w:t>
      </w:r>
    </w:p>
    <w:p w:rsidR="000F4D2B" w:rsidRDefault="005D4EDA">
      <w:pPr>
        <w:pStyle w:val="Body"/>
        <w:spacing w:before="240" w:after="240" w:line="240" w:lineRule="auto"/>
        <w:ind w:left="360" w:right="360"/>
        <w:jc w:val="both"/>
      </w:pPr>
      <w:r>
        <w:rPr>
          <w:lang w:val="en-GB"/>
        </w:rPr>
        <w:t>Another example is his comment on Abū Dāwūd’s statement, “This is a munkar ḥadīth.” He cited Ibn Ḥajar in Sharḥ al-Nukhbah: “If opposition occurs along with weakness—that is, if the opposing narrator is weak due to poor memory, ignorance, or the like—the preferred report is called maʿrūf, and its counterpart is called munkar.” He also quoted him elsewhere: “The third is munkar according to the view of those who do not require opposition as a condition of munkar.” Al-Sahāranfūrī explains that a report criticised for frequent error is munkar only according to those who do not require a weak transmitter’s opposition to a trustworthy one; for those who require that condition, it is not. (Ibn Ḥajar al-ʿAsqalānī, 2000).</w:t>
      </w:r>
    </w:p>
    <w:p w:rsidR="000F4D2B" w:rsidRDefault="005D4EDA">
      <w:pPr>
        <w:pStyle w:val="NumberedItem"/>
        <w:spacing w:before="240" w:after="240" w:line="240" w:lineRule="auto"/>
        <w:ind w:left="504" w:hanging="360"/>
        <w:jc w:val="both"/>
      </w:pPr>
      <w:r>
        <w:rPr>
          <w:lang w:val="en-GB"/>
        </w:rPr>
        <w:t>5. He explained the matn sufficiently, especially where the ḥadīth concerned a disputed legal issue.</w:t>
      </w:r>
    </w:p>
    <w:p w:rsidR="000F4D2B" w:rsidRDefault="005D4EDA">
      <w:pPr>
        <w:pStyle w:val="Body"/>
        <w:spacing w:before="240" w:after="240" w:line="240" w:lineRule="auto"/>
        <w:ind w:left="360" w:right="360"/>
        <w:jc w:val="both"/>
      </w:pPr>
      <w:r>
        <w:rPr>
          <w:lang w:val="en-GB"/>
        </w:rPr>
        <w:t xml:space="preserve">An example is the ḥadīth transmitted by Abū Dāwūd through his chain from ʿAbd Allāh b. ʿAbd Allāh b. ʿUmar, who said: “I said: ‘What do you think of Ibn ʿUmar’s performing wuḍūʾ for every prayer, whether he was already in a state of purity or not? What is the reason for that?’ He replied: ‘Asmāʾ bt. Zayd b. al-Khaṭṭāb narrated to me that ʿAbd Allāh b. Ḥanẓalah b. Abī ʿĀmir narrated to her that the </w:t>
      </w:r>
      <w:r>
        <w:rPr>
          <w:lang w:val="en-GB"/>
        </w:rPr>
        <w:lastRenderedPageBreak/>
        <w:t xml:space="preserve">Messenger of Allah </w:t>
      </w:r>
      <w:r>
        <w:rPr>
          <w:rFonts w:ascii="Tahoma" w:hAnsi="Tahoma" w:cs="Tahoma"/>
          <w:lang w:val="en-GB"/>
        </w:rPr>
        <w:t>ﷺ</w:t>
      </w:r>
      <w:r>
        <w:rPr>
          <w:lang w:val="en-GB"/>
        </w:rPr>
        <w:t xml:space="preserve"> was commanded to perform wuḍūʾ for every prayer, whether pure or not. When that became difficult for him, he was commanded to use the siwāk for every prayer. Ibn ʿUmar considered himself strong enough, and therefore he did not abandon wuḍūʾ for every prayer.’” (Abū Dāwūd, 1999).</w:t>
      </w:r>
    </w:p>
    <w:p w:rsidR="000F4D2B" w:rsidRDefault="005D4EDA">
      <w:pPr>
        <w:pStyle w:val="Body"/>
        <w:spacing w:before="240" w:after="240" w:line="240" w:lineRule="auto"/>
        <w:ind w:left="360" w:right="360"/>
        <w:jc w:val="both"/>
      </w:pPr>
      <w:r>
        <w:rPr>
          <w:lang w:val="en-GB"/>
        </w:rPr>
        <w:t xml:space="preserve">Al-Sahāranfūrī explained: “The substance is that the Messenger of Allah </w:t>
      </w:r>
      <w:r>
        <w:rPr>
          <w:rFonts w:ascii="Tahoma" w:hAnsi="Tahoma" w:cs="Tahoma"/>
          <w:lang w:val="en-GB"/>
        </w:rPr>
        <w:t>ﷺ</w:t>
      </w:r>
      <w:r>
        <w:rPr>
          <w:lang w:val="en-GB"/>
        </w:rPr>
        <w:t xml:space="preserve"> was obliged to perform wuḍūʾ for every prayer, whether he had invalidated his wuḍūʾ or not. When that became difficult—and hardship brings facilitation—he was commanded to use the siwāk for every prayer; the siwāk took the place of wuḍūʾ and the obligation of wuḍūʾ fell away. Ibn ʿUmar considered himself strong enough, so wuḍūʾ for every prayer was not burdensome for him, and he held that the best deeds are the most difficult. Thus, he did not abandon wuḍūʾ for every prayer.</w:t>
      </w:r>
    </w:p>
    <w:p w:rsidR="000F4D2B" w:rsidRDefault="005D4EDA">
      <w:pPr>
        <w:pStyle w:val="Body"/>
        <w:spacing w:before="240" w:after="240" w:line="240" w:lineRule="auto"/>
        <w:ind w:left="360" w:right="360"/>
        <w:jc w:val="both"/>
      </w:pPr>
      <w:r>
        <w:rPr>
          <w:lang w:val="en-GB"/>
        </w:rPr>
        <w:t xml:space="preserve">“I say”—that is, al-Sahāranfūrī— “this ḥadīth indicates that siwāk was obligatory upon him for every prayer. We must therefore examine whether the Messenger of Allah </w:t>
      </w:r>
      <w:r>
        <w:rPr>
          <w:rFonts w:ascii="Tahoma" w:hAnsi="Tahoma" w:cs="Tahoma"/>
          <w:lang w:val="en-GB"/>
        </w:rPr>
        <w:t>ﷺ</w:t>
      </w:r>
      <w:r>
        <w:rPr>
          <w:lang w:val="en-GB"/>
        </w:rPr>
        <w:t xml:space="preserve"> used it immediately before prayer in the mosque, at wuḍūʾ, or at both times. We found that he </w:t>
      </w:r>
      <w:r>
        <w:rPr>
          <w:rFonts w:ascii="Tahoma" w:hAnsi="Tahoma" w:cs="Tahoma"/>
          <w:lang w:val="en-GB"/>
        </w:rPr>
        <w:t>ﷺ</w:t>
      </w:r>
      <w:r>
        <w:rPr>
          <w:lang w:val="en-GB"/>
        </w:rPr>
        <w:t xml:space="preserve"> never used the siwāk immediately before prayer at the opening takbīr. This is not established from him </w:t>
      </w:r>
      <w:r>
        <w:rPr>
          <w:rFonts w:ascii="Tahoma" w:hAnsi="Tahoma" w:cs="Tahoma"/>
          <w:lang w:val="en-GB"/>
        </w:rPr>
        <w:t>ﷺ</w:t>
      </w:r>
      <w:r>
        <w:rPr>
          <w:lang w:val="en-GB"/>
        </w:rPr>
        <w:t xml:space="preserve"> or from the Rightly Guided Caliphs; had it occurred, it would have been transmitted by tawātur like other obligations. Rather, it is established that he </w:t>
      </w:r>
      <w:r>
        <w:rPr>
          <w:rFonts w:ascii="Tahoma" w:hAnsi="Tahoma" w:cs="Tahoma"/>
          <w:lang w:val="en-GB"/>
        </w:rPr>
        <w:t>ﷺ</w:t>
      </w:r>
      <w:r>
        <w:rPr>
          <w:lang w:val="en-GB"/>
        </w:rPr>
        <w:t xml:space="preserve"> used the siwāk for prayer at wuḍūʾ or before it, as indicated by the reports in the chapter ‘Siwāk for the one who rises at night.’ This use, then, must be the obligatory siwāk connected to prayer.</w:t>
      </w:r>
    </w:p>
    <w:p w:rsidR="000F4D2B" w:rsidRDefault="005D4EDA">
      <w:pPr>
        <w:pStyle w:val="Body"/>
        <w:spacing w:before="240" w:after="240" w:line="240" w:lineRule="auto"/>
        <w:ind w:left="360" w:right="360"/>
        <w:jc w:val="both"/>
      </w:pPr>
      <w:r>
        <w:rPr>
          <w:lang w:val="en-GB"/>
        </w:rPr>
        <w:t xml:space="preserve">“Thus, siwāk ‘at every prayer’ and ‘for every prayer’ means the siwāk performed at wuḍūʾ, not at the prayer itself. He </w:t>
      </w:r>
      <w:r>
        <w:rPr>
          <w:rFonts w:ascii="Tahoma" w:hAnsi="Tahoma" w:cs="Tahoma"/>
          <w:lang w:val="en-GB"/>
        </w:rPr>
        <w:t>ﷺ</w:t>
      </w:r>
      <w:r>
        <w:rPr>
          <w:lang w:val="en-GB"/>
        </w:rPr>
        <w:t xml:space="preserve"> regarded the siwāk of wuḍūʾ as sufficient for what was required at prayer. The word ʿinda does not necessarily indicate exact simultaneity. (Abū Dāwūd, 1999).</w:t>
      </w:r>
    </w:p>
    <w:p w:rsidR="000F4D2B" w:rsidRDefault="005D4EDA">
      <w:pPr>
        <w:pStyle w:val="Body"/>
        <w:spacing w:before="240" w:after="240" w:line="240" w:lineRule="auto"/>
        <w:ind w:left="360" w:right="360"/>
        <w:jc w:val="both"/>
      </w:pPr>
      <w:r>
        <w:rPr>
          <w:lang w:val="en-GB"/>
        </w:rPr>
        <w:t xml:space="preserve">“This is supported by the fact that prayer is intimate discourse with the Lord. In that state, he </w:t>
      </w:r>
      <w:r>
        <w:rPr>
          <w:rFonts w:ascii="Tahoma" w:hAnsi="Tahoma" w:cs="Tahoma"/>
          <w:lang w:val="en-GB"/>
        </w:rPr>
        <w:t>ﷺ</w:t>
      </w:r>
      <w:r>
        <w:rPr>
          <w:lang w:val="en-GB"/>
        </w:rPr>
        <w:t xml:space="preserve"> disliked phlegm in the qiblah direction of the mosque and was visibly distressed by it. He scraped it with his hand and said: ‘When one of you stands in prayer, he is conversing with his Lord—or his Lord is between him and the qiblah—so none of you should spit toward his qiblah.’ He </w:t>
      </w:r>
      <w:r>
        <w:rPr>
          <w:rFonts w:ascii="Tahoma" w:hAnsi="Tahoma" w:cs="Tahoma"/>
          <w:lang w:val="en-GB"/>
        </w:rPr>
        <w:t>ﷺ</w:t>
      </w:r>
      <w:r>
        <w:rPr>
          <w:lang w:val="en-GB"/>
        </w:rPr>
        <w:t xml:space="preserve"> also disliked spittle in the mosque and made burying it its expiation. Given such strictness, it is inconceivable that he </w:t>
      </w:r>
      <w:r>
        <w:rPr>
          <w:rFonts w:ascii="Tahoma" w:hAnsi="Tahoma" w:cs="Tahoma"/>
          <w:lang w:val="en-GB"/>
        </w:rPr>
        <w:t>ﷺ</w:t>
      </w:r>
      <w:r>
        <w:rPr>
          <w:lang w:val="en-GB"/>
        </w:rPr>
        <w:t xml:space="preserve"> would recommend using the siwāk at the establishment of prayer, with siwāk sticks soiled by saliva and odour placed before the worshippers and the qiblah. Therefore, by ‘siwāk at every prayer’ he intended the siwāk of its wuḍūʾ.” (Al-Bukhārī, 2007).</w:t>
      </w:r>
    </w:p>
    <w:p w:rsidR="000F4D2B" w:rsidRDefault="005D4EDA">
      <w:pPr>
        <w:pStyle w:val="NumberedItem"/>
        <w:spacing w:before="240" w:after="240" w:line="240" w:lineRule="auto"/>
        <w:ind w:left="504" w:hanging="360"/>
        <w:jc w:val="both"/>
      </w:pPr>
      <w:r>
        <w:rPr>
          <w:lang w:val="en-GB"/>
        </w:rPr>
        <w:t xml:space="preserve">6. He cited narrations from the Ṣiḥāḥ or </w:t>
      </w:r>
      <w:r>
        <w:rPr>
          <w:i/>
          <w:lang w:val="en-GB"/>
        </w:rPr>
        <w:t>Sunan</w:t>
      </w:r>
      <w:r>
        <w:rPr>
          <w:lang w:val="en-GB"/>
        </w:rPr>
        <w:t xml:space="preserve"> that clarify Abū Dāwūd’s wording. For example, Abū Dāwūd narrates from ʿAbd al-Raḥmān b. Ḥasanah: “ʿAmr b. al-ʿĀṣ and I went to the Prophet </w:t>
      </w:r>
      <w:r>
        <w:rPr>
          <w:rFonts w:ascii="Tahoma" w:hAnsi="Tahoma" w:cs="Tahoma"/>
          <w:lang w:val="en-GB"/>
        </w:rPr>
        <w:t>ﷺ</w:t>
      </w:r>
      <w:r>
        <w:rPr>
          <w:lang w:val="en-GB"/>
        </w:rPr>
        <w:t xml:space="preserve">. He came out carrying a daraqah, screened himself with it, and urinated. We said: ‘Look at him; he urinates as a woman urinates.’ He heard this and said: ‘Do you not know what befell the man among the Children of Israel? When urine touched them, they would cut off the part it touched. He forbade them, and so he was punished in his grave.’ Abū Dāwūd said: Manṣūr said, from Abū Wāʾil, from Abū Mūsā, in this ḥadīth: ‘the skin of one of them’; and ʿĀṣim said, from Abū Wāʾil, from Abū Mūsā, from the Prophet </w:t>
      </w:r>
      <w:r>
        <w:rPr>
          <w:rFonts w:ascii="Tahoma" w:hAnsi="Tahoma" w:cs="Tahoma"/>
          <w:lang w:val="en-GB"/>
        </w:rPr>
        <w:t>ﷺ</w:t>
      </w:r>
      <w:r>
        <w:rPr>
          <w:lang w:val="en-GB"/>
        </w:rPr>
        <w:t>: ‘the body of one of them.’” (Abū Dāwūd, 1999).</w:t>
      </w:r>
    </w:p>
    <w:p w:rsidR="000F4D2B" w:rsidRDefault="005D4EDA">
      <w:pPr>
        <w:pStyle w:val="Body"/>
        <w:spacing w:before="240" w:after="240" w:line="240" w:lineRule="auto"/>
        <w:ind w:left="360" w:right="360"/>
        <w:jc w:val="both"/>
      </w:pPr>
      <w:r>
        <w:rPr>
          <w:lang w:val="en-GB"/>
        </w:rPr>
        <w:t>Al-Sahāranfūrī cited a clearer version: “Al-Bukhārī transmitted with his connected chain from Manṣūr, from Abū Wāʾil: ‘Abū Mūsā al-Ashʿarī was strict regarding urine and said: Among the Children of Israel, when urine touched the garment of one of them, he would cut it.’ Ibn Ḥajar said in his commentary on al-Bukhārī: ‘In Muslim it occurs as “the skin of one of them.” Al-Qurṭubī said that “skin” means one of the leather garments they wore, though some took it literally.’ He claimed that it was part of the burden imposed upon them, and Abū Dāwūd’s narration supports this, for it states: ‘When it touched the body of one of them.’ However, al-Bukhārī’s wording is explicit regarding garments, so perhaps some transmitted it by meaning” (Ibn Ḥajar al-ʿAsqalānī, 2005).</w:t>
      </w:r>
    </w:p>
    <w:p w:rsidR="000F4D2B" w:rsidRDefault="005D4EDA">
      <w:pPr>
        <w:pStyle w:val="NumberedItem"/>
        <w:spacing w:before="240" w:after="240" w:line="240" w:lineRule="auto"/>
        <w:ind w:left="504" w:hanging="360"/>
        <w:jc w:val="both"/>
      </w:pPr>
      <w:r>
        <w:rPr>
          <w:lang w:val="en-GB"/>
        </w:rPr>
        <w:lastRenderedPageBreak/>
        <w:t xml:space="preserve">7. He presented the juristic schools with their evidences and gave attention to the statements of the Companions and Successors, relying heavily on al-Shawkānī’s </w:t>
      </w:r>
      <w:r>
        <w:rPr>
          <w:i/>
          <w:lang w:val="en-GB"/>
        </w:rPr>
        <w:t>Nayl al-Awṭār Sharḥ Muntaqā al-Akhbār</w:t>
      </w:r>
      <w:r>
        <w:rPr>
          <w:lang w:val="en-GB"/>
        </w:rPr>
        <w:t>.</w:t>
      </w:r>
    </w:p>
    <w:p w:rsidR="000F4D2B" w:rsidRDefault="005D4EDA">
      <w:pPr>
        <w:pStyle w:val="Body"/>
        <w:spacing w:before="240" w:after="240" w:line="240" w:lineRule="auto"/>
        <w:ind w:left="360" w:right="360"/>
        <w:jc w:val="both"/>
      </w:pPr>
      <w:r>
        <w:rPr>
          <w:lang w:val="en-GB"/>
        </w:rPr>
        <w:t>An example occurs at the beginning of the chapter “The Dislike of Facing the Qiblah When Relieving Oneself,” where al-Sahāranfūrī explains the mawqūf report from Salmān al-Fārisī, may Allah be pleased with him. It was said to him: “Your Prophet has taught you everything, even al-khirāʾah!” He replied: “Yes, indeed. He forbade us from facing the qiblah when defecating or urinating…” Al-Sahāranfūrī explained: “The qiblah is the direction toward which one faces; here it means the direction of the Kaʿbah. Just as one is commanded in ṣalāh to face it in veneration, one is forbidden to face it or turn one’s back to it when relieving oneself, out of respect for it. (Abū Dāwūd, 1999).</w:t>
      </w:r>
    </w:p>
    <w:p w:rsidR="000F4D2B" w:rsidRDefault="005D4EDA">
      <w:pPr>
        <w:pStyle w:val="Body"/>
        <w:spacing w:before="240" w:after="240" w:line="240" w:lineRule="auto"/>
        <w:ind w:left="360" w:right="360"/>
        <w:jc w:val="both"/>
      </w:pPr>
      <w:r>
        <w:rPr>
          <w:lang w:val="en-GB"/>
        </w:rPr>
        <w:t xml:space="preserve">“The scholars differed on this issue. Al-ʿAynī said in his commentary on </w:t>
      </w:r>
      <w:r>
        <w:rPr>
          <w:i/>
          <w:lang w:val="en-GB"/>
        </w:rPr>
        <w:t>Ṣaḥīḥ al-Bukhārī</w:t>
      </w:r>
      <w:r>
        <w:rPr>
          <w:lang w:val="en-GB"/>
        </w:rPr>
        <w:t>: ‘Their positions may be reduced to four: absolute prohibition; absolute permissibility; prohibition of facing the qiblah in buildings and open desert while permitting turning one’s back to it in both, which is one narration from Abū Ḥanīfah; and prohibition of both facing and turning one’s back to it in open desert but not in buildings, which is the view of Mālik, al-Shāfiʿī, Isḥāq, and Aḥmad according to one narration.’” (Al-ʿAynī, 2001).</w:t>
      </w:r>
    </w:p>
    <w:p w:rsidR="000F4D2B" w:rsidRDefault="005D4EDA">
      <w:pPr>
        <w:pStyle w:val="Body"/>
        <w:spacing w:before="240" w:after="240" w:line="240" w:lineRule="auto"/>
        <w:ind w:left="360" w:right="360"/>
        <w:jc w:val="both"/>
      </w:pPr>
      <w:r>
        <w:rPr>
          <w:lang w:val="en-GB"/>
        </w:rPr>
        <w:t xml:space="preserve">Al-Sahāranfūrī then said: “The ḥadīth proves that it is not permissible to face the qiblah or turn one’s back to it while urinating or defecating, whether in open desert or buildings. This is the school of Abū Ḥanīfah, may Allah have mercy on him, and the view of Abū Ayyūb al-Anṣārī, Mujāhid, Ibrāhīm al-Nakhaʿī, al-Thawrī, Abū Thawr, and Aḥmad according to one narration. In </w:t>
      </w:r>
      <w:r>
        <w:rPr>
          <w:i/>
          <w:lang w:val="en-GB"/>
        </w:rPr>
        <w:t>al-Baḥr</w:t>
      </w:r>
      <w:r>
        <w:rPr>
          <w:lang w:val="en-GB"/>
        </w:rPr>
        <w:t xml:space="preserve"> it is attributed to the majority, and al-Shawkānī mentioned it in al-Nayl.” (Al-Sahāranfūrī, 2006).</w:t>
      </w:r>
    </w:p>
    <w:p w:rsidR="000F4D2B" w:rsidRDefault="005D4EDA">
      <w:pPr>
        <w:pStyle w:val="NumberedItem"/>
        <w:spacing w:before="240" w:after="240" w:line="240" w:lineRule="auto"/>
        <w:ind w:left="504" w:hanging="360"/>
        <w:jc w:val="both"/>
      </w:pPr>
      <w:r>
        <w:rPr>
          <w:lang w:val="en-GB"/>
        </w:rPr>
        <w:t>8. He examined variations in wording and isnād, preferring some narrations over others through detailed investigation.</w:t>
      </w:r>
    </w:p>
    <w:p w:rsidR="000F4D2B" w:rsidRDefault="005D4EDA">
      <w:pPr>
        <w:pStyle w:val="Body"/>
        <w:spacing w:before="240" w:after="240" w:line="240" w:lineRule="auto"/>
        <w:ind w:left="360" w:right="360"/>
        <w:jc w:val="both"/>
      </w:pPr>
      <w:r>
        <w:rPr>
          <w:lang w:val="en-GB"/>
        </w:rPr>
        <w:t xml:space="preserve">An example occurs in the chapter “The Slaves of the Polytheists Who Join the Muslims and Embrace Islam” in the Book of Jihād. The matn narrated from ʿAlī b. Abī Ṭālib, may Allah be pleased with him, states: “Two slaves came out to the Messenger of Allah </w:t>
      </w:r>
      <w:r>
        <w:rPr>
          <w:rFonts w:ascii="Tahoma" w:hAnsi="Tahoma" w:cs="Tahoma"/>
          <w:lang w:val="en-GB"/>
        </w:rPr>
        <w:t>ﷺ</w:t>
      </w:r>
      <w:r>
        <w:rPr>
          <w:lang w:val="en-GB"/>
        </w:rPr>
        <w:t xml:space="preserve">, meaning on the day of al-Ḥudaybiyah before the truce.” Al-Sahāranfūrī discussed whether the incident occurred at al-Ḥudaybiyah and established that it occurred during the expedition of al-Ṭāʾif. He said: “I was perplexed by this incident, which appears in Abū Dāwūd, al-Tirmidhī, and </w:t>
      </w:r>
      <w:r>
        <w:rPr>
          <w:i/>
          <w:lang w:val="en-GB"/>
        </w:rPr>
        <w:t>al-Mustadrak</w:t>
      </w:r>
      <w:r>
        <w:rPr>
          <w:lang w:val="en-GB"/>
        </w:rPr>
        <w:t xml:space="preserve"> as having occurred at al-Ḥudaybiyah. The apparent conclusion is that this attribution is an error from some transmitters for three reasons.” (Al-Sahāranfūrī, 2006).</w:t>
      </w:r>
    </w:p>
    <w:p w:rsidR="000F4D2B" w:rsidRDefault="005D4EDA">
      <w:pPr>
        <w:pStyle w:val="Body"/>
        <w:spacing w:before="240" w:after="240" w:line="240" w:lineRule="auto"/>
        <w:ind w:left="360" w:right="360"/>
        <w:jc w:val="both"/>
      </w:pPr>
      <w:r>
        <w:rPr>
          <w:lang w:val="en-GB"/>
        </w:rPr>
        <w:t>Al-Sahāranfūrī explained the reasons in detail. He noted that “al-Ḥudaybiyah” is not from ʿAlī b. Abī Ṭālib, may Allah be pleased with him, but from some transmitters, because Abū Dāwūd’s wording says “meaning before the day of al-Ḥudaybiyah.” This indicates that the word was not original to the ḥadīth but was added from what a transmitter understood from his shaykh. Even if the incident also occurred at al-Ḥudaybiyah, the word “people” would refer to some disbelievers of Quraysh present there, not to the Companions. (Al-Sahāranfūrī, 2006).</w:t>
      </w:r>
    </w:p>
    <w:p w:rsidR="000F4D2B" w:rsidRDefault="005D4EDA">
      <w:pPr>
        <w:pStyle w:val="Body"/>
        <w:spacing w:before="240" w:after="240" w:line="240" w:lineRule="auto"/>
        <w:ind w:left="360" w:right="360"/>
        <w:jc w:val="both"/>
      </w:pPr>
      <w:r>
        <w:rPr>
          <w:lang w:val="en-GB"/>
        </w:rPr>
        <w:t xml:space="preserve">This is a precise investigation by al-Sahāranfūrī, absent from the other commentaries on </w:t>
      </w:r>
      <w:r>
        <w:rPr>
          <w:i/>
          <w:lang w:val="en-GB"/>
        </w:rPr>
        <w:t>Sunan Abī Dāwūd</w:t>
      </w:r>
      <w:r>
        <w:rPr>
          <w:lang w:val="en-GB"/>
        </w:rPr>
        <w:t>.</w:t>
      </w:r>
    </w:p>
    <w:p w:rsidR="000F4D2B" w:rsidRDefault="005D4EDA">
      <w:pPr>
        <w:pStyle w:val="NumberedItem"/>
        <w:spacing w:before="240" w:after="240" w:line="240" w:lineRule="auto"/>
        <w:ind w:left="504" w:hanging="360"/>
        <w:jc w:val="both"/>
      </w:pPr>
      <w:r>
        <w:rPr>
          <w:lang w:val="en-GB"/>
        </w:rPr>
        <w:t>9. He paid close attention to Abū Dāwūd’s statements on transmitters and critically examined them.</w:t>
      </w:r>
    </w:p>
    <w:p w:rsidR="000F4D2B" w:rsidRDefault="005D4EDA">
      <w:pPr>
        <w:pStyle w:val="Body"/>
        <w:spacing w:before="240" w:after="240" w:line="240" w:lineRule="auto"/>
        <w:ind w:left="360" w:right="360"/>
        <w:jc w:val="both"/>
      </w:pPr>
      <w:r>
        <w:rPr>
          <w:lang w:val="en-GB"/>
        </w:rPr>
        <w:t xml:space="preserve">An example is the ḥadīth: “When the Prophet </w:t>
      </w:r>
      <w:r>
        <w:rPr>
          <w:rFonts w:ascii="Tahoma" w:hAnsi="Tahoma" w:cs="Tahoma"/>
          <w:lang w:val="en-GB"/>
        </w:rPr>
        <w:t>ﷺ</w:t>
      </w:r>
      <w:r>
        <w:rPr>
          <w:lang w:val="en-GB"/>
        </w:rPr>
        <w:t xml:space="preserve"> entered the privy, he would remove his ring,” which Abū Dāwūd narrated through the following chain: “Naṣr b. ʿAlī narrated to us, from Abū ʿAlī al-Ḥanafī, from Hammām, from Ibn Jurayj, from al-Zuhrī, from Anas.” Abū Dāwūd then said after it: “This is a munkar ḥadīth. It is only known from Ibn Jurayj, from Ziyād b. Saʿd, from al-Zuhrī, from </w:t>
      </w:r>
      <w:r>
        <w:rPr>
          <w:lang w:val="en-GB"/>
        </w:rPr>
        <w:lastRenderedPageBreak/>
        <w:t xml:space="preserve">Anas: ‘The Prophet </w:t>
      </w:r>
      <w:r>
        <w:rPr>
          <w:rFonts w:ascii="Tahoma" w:hAnsi="Tahoma" w:cs="Tahoma"/>
          <w:lang w:val="en-GB"/>
        </w:rPr>
        <w:t>ﷺ</w:t>
      </w:r>
      <w:r>
        <w:rPr>
          <w:lang w:val="en-GB"/>
        </w:rPr>
        <w:t xml:space="preserve"> took a ring of silver and then discarded it.’ The error in it is from Hammām, and none narrated it except Hammām.” (Abū Dāwūd, 1999).</w:t>
      </w:r>
    </w:p>
    <w:p w:rsidR="000F4D2B" w:rsidRDefault="005D4EDA">
      <w:pPr>
        <w:pStyle w:val="Body"/>
        <w:spacing w:before="240" w:after="240" w:line="240" w:lineRule="auto"/>
        <w:ind w:left="360" w:right="360"/>
        <w:jc w:val="both"/>
      </w:pPr>
      <w:r>
        <w:rPr>
          <w:lang w:val="en-GB"/>
        </w:rPr>
        <w:t>Al-Sahāranfūrī commented: “Abū Dāwūd said: ‘This is a munkar ḥadīth.’ Perhaps this ruling is due to two matters: the omission of the intermediary between Ibn Jurayj and al-Zuhrī, and the substitution of one matn for another.” He added: “Al-Tirmidhī disagreed and, after transmitting the narration, said: ‘This ḥadīth is ḥasan, ṣaḥīḥ, gharīb.’ Perhaps the correct view is with al-Tirmidhī, because munkar is a report in which a weak narrator, due to poor memory, ignorance, or the like, contradicts a stronger narrator. The preferred narration is maʿrūf, and its counterpart is munkar… Abū Dāwūd’s statement is therefore difficult to sustain on either approach, for Hammām is trustworthy and a ḥāfiẓ; the two Shaykhs narrated from him and relied on him. He is not weak, nor criticised for gross error, heedlessness, ignorance, or manifest fisq. Had Abū Dāwūd said, ‘This is a mudallas ḥadīth,’ that would have had a basis, since the companions of Ibn Jurayj narrated from him with an intermediary between him and al-Zuhrī, whereas Hammām omitted him.” (Al-Sahāranfūrī, 2006).</w:t>
      </w:r>
    </w:p>
    <w:p w:rsidR="000F4D2B" w:rsidRDefault="005D4EDA">
      <w:pPr>
        <w:pStyle w:val="Body"/>
        <w:spacing w:before="240" w:after="240" w:line="240" w:lineRule="auto"/>
        <w:ind w:left="360" w:right="360"/>
        <w:jc w:val="both"/>
      </w:pPr>
      <w:r>
        <w:rPr>
          <w:lang w:val="en-GB"/>
        </w:rPr>
        <w:t xml:space="preserve">Regarding Abū Dāwūd’s statement, “the error in it is from Hammām,” he explains that Ibn Jurayj’s companions transmitted with this chain the report: “The Prophet </w:t>
      </w:r>
      <w:r>
        <w:rPr>
          <w:rFonts w:ascii="Tahoma" w:hAnsi="Tahoma" w:cs="Tahoma"/>
          <w:lang w:val="en-GB"/>
        </w:rPr>
        <w:t>ﷺ</w:t>
      </w:r>
      <w:r>
        <w:rPr>
          <w:lang w:val="en-GB"/>
        </w:rPr>
        <w:t xml:space="preserve"> took a ring of silver and then discarded it.” Abū Dāwūd therefore considered Hammām to have altered this into another matn: “When the Prophet </w:t>
      </w:r>
      <w:r>
        <w:rPr>
          <w:rFonts w:ascii="Tahoma" w:hAnsi="Tahoma" w:cs="Tahoma"/>
          <w:lang w:val="en-GB"/>
        </w:rPr>
        <w:t>ﷺ</w:t>
      </w:r>
      <w:r>
        <w:rPr>
          <w:lang w:val="en-GB"/>
        </w:rPr>
        <w:t xml:space="preserve"> entered the privy, he would remove his ring.”</w:t>
      </w:r>
    </w:p>
    <w:p w:rsidR="000F4D2B" w:rsidRDefault="005D4EDA">
      <w:pPr>
        <w:pStyle w:val="Body"/>
        <w:spacing w:before="240" w:after="240" w:line="240" w:lineRule="auto"/>
        <w:ind w:left="360" w:right="360"/>
        <w:jc w:val="both"/>
      </w:pPr>
      <w:r>
        <w:rPr>
          <w:lang w:val="en-GB"/>
        </w:rPr>
        <w:t xml:space="preserve">Al-Sahāranfūrī rejects this claim for lack of evidence. The two reports may be distinct ḥadīths transmitted through the same chain, as stated in </w:t>
      </w:r>
      <w:r>
        <w:rPr>
          <w:i/>
          <w:lang w:val="en-GB"/>
        </w:rPr>
        <w:t>Darajāt Mirqāt al-Ṣuʿūd</w:t>
      </w:r>
      <w:r>
        <w:rPr>
          <w:lang w:val="en-GB"/>
        </w:rPr>
        <w:t>; Ibn Ḥibbān inclined to this and authenticated both. In his view, the only possible defect is Ibn Jurayj’s tadlīs; if explicit hearing is established, the report may be judged authentic.</w:t>
      </w:r>
    </w:p>
    <w:p w:rsidR="000F4D2B" w:rsidRDefault="005D4EDA">
      <w:pPr>
        <w:pStyle w:val="Body"/>
        <w:spacing w:before="240" w:after="240" w:line="240" w:lineRule="auto"/>
        <w:ind w:left="360" w:right="360"/>
        <w:jc w:val="both"/>
      </w:pPr>
      <w:r>
        <w:rPr>
          <w:lang w:val="en-GB"/>
        </w:rPr>
        <w:t>As for al-Tirmidhī’s statement, “This ḥadīth is ḥasan, ṣaḥīḥ, gharīb,” al-Sahāranfūrī suggests that his grading may rest on two distinct chains for the two matns, or on the existence of a supporting witness. (Al-Sahāranfūrī, 2006).</w:t>
      </w:r>
    </w:p>
    <w:p w:rsidR="000F4D2B" w:rsidRDefault="005D4EDA">
      <w:pPr>
        <w:pStyle w:val="NumberedItem"/>
        <w:spacing w:before="240" w:after="240" w:line="240" w:lineRule="auto"/>
        <w:ind w:left="504" w:hanging="360"/>
        <w:jc w:val="both"/>
      </w:pPr>
      <w:r>
        <w:rPr>
          <w:lang w:val="en-GB"/>
        </w:rPr>
        <w:t xml:space="preserve">10. He explained difficult and rare ḥadīth vocabulary with precision, relying on Ibn Manẓūr’s </w:t>
      </w:r>
      <w:r>
        <w:rPr>
          <w:i/>
          <w:lang w:val="en-GB"/>
        </w:rPr>
        <w:t>Lisān al-ʿArab</w:t>
      </w:r>
      <w:r>
        <w:rPr>
          <w:lang w:val="en-GB"/>
        </w:rPr>
        <w:t xml:space="preserve">, al-Fīrūzābādī’s </w:t>
      </w:r>
      <w:r>
        <w:rPr>
          <w:i/>
          <w:lang w:val="en-GB"/>
        </w:rPr>
        <w:t>al-Qāmūs al-Muḥīṭ</w:t>
      </w:r>
      <w:r>
        <w:rPr>
          <w:lang w:val="en-GB"/>
        </w:rPr>
        <w:t xml:space="preserve">, and al-Fattanī’s </w:t>
      </w:r>
      <w:r>
        <w:rPr>
          <w:i/>
          <w:lang w:val="en-GB"/>
        </w:rPr>
        <w:t>Majmaʿ Biḥār al-Anwār</w:t>
      </w:r>
      <w:r>
        <w:rPr>
          <w:lang w:val="en-GB"/>
        </w:rPr>
        <w:t>.</w:t>
      </w:r>
    </w:p>
    <w:p w:rsidR="000F4D2B" w:rsidRDefault="005D4EDA">
      <w:pPr>
        <w:pStyle w:val="Body"/>
        <w:spacing w:before="240" w:after="240" w:line="240" w:lineRule="auto"/>
        <w:ind w:left="360" w:right="360"/>
        <w:jc w:val="both"/>
      </w:pPr>
      <w:r>
        <w:rPr>
          <w:lang w:val="en-GB"/>
        </w:rPr>
        <w:t xml:space="preserve">An example is the ḥadīth transmitted by Abū Dāwūd through his chain from Ḥukaymah bt. Umaymah bt. Ruqayyah, from her mother, who said: “The Prophet </w:t>
      </w:r>
      <w:r>
        <w:rPr>
          <w:rFonts w:ascii="Tahoma" w:hAnsi="Tahoma" w:cs="Tahoma"/>
          <w:lang w:val="en-GB"/>
        </w:rPr>
        <w:t>ﷺ</w:t>
      </w:r>
      <w:r>
        <w:rPr>
          <w:lang w:val="en-GB"/>
        </w:rPr>
        <w:t xml:space="preserve"> had a cup made from ʿīdān beneath his bed in which he would urinate at night.” (Abū Dāwūd, 1999).</w:t>
      </w:r>
    </w:p>
    <w:p w:rsidR="000F4D2B" w:rsidRDefault="005D4EDA">
      <w:pPr>
        <w:pStyle w:val="Body"/>
        <w:spacing w:before="240" w:after="240" w:line="240" w:lineRule="auto"/>
        <w:ind w:left="360" w:right="360"/>
        <w:jc w:val="both"/>
      </w:pPr>
      <w:r>
        <w:rPr>
          <w:lang w:val="en-GB"/>
        </w:rPr>
        <w:t xml:space="preserve">Al-Sahāranfūrī said: “ʿĪdān—with an open undotted letter and an open yāʾ—refers to tall palm trees stripped of fronds from top to bottom, and is the plural of ʿaydānah, as stated in </w:t>
      </w:r>
      <w:r>
        <w:rPr>
          <w:i/>
          <w:lang w:val="en-GB"/>
        </w:rPr>
        <w:t>al-Majmaʿ</w:t>
      </w:r>
      <w:r>
        <w:rPr>
          <w:lang w:val="en-GB"/>
        </w:rPr>
        <w:t>.’ (Al-Fattanī, 1970).</w:t>
      </w:r>
    </w:p>
    <w:p w:rsidR="000F4D2B" w:rsidRDefault="005D4EDA">
      <w:pPr>
        <w:pStyle w:val="Body"/>
        <w:spacing w:before="240" w:after="240" w:line="240" w:lineRule="auto"/>
        <w:ind w:left="360" w:right="360"/>
        <w:jc w:val="both"/>
      </w:pPr>
      <w:r>
        <w:rPr>
          <w:lang w:val="en-GB"/>
        </w:rPr>
        <w:t>Al-Sindī said in his commentary on al-Nasāʾī: “There is disagreement over its vocalisation: with kasrah and sukūn as the plural of ʿūd, or with fatḥah and sukūn as the plural of ʿaydānah, meaning a tall palm tree stripped of fronds. The kasrah is said to be more common in transmission, but it has been rejected as incorrect in meaning, because sticks gathered together do not form a cup for holding water. With fatḥah, the meaning is a cup made from wood, hollowed out to hold what is placed in it.” (Al-Sindī, 1999).</w:t>
      </w:r>
    </w:p>
    <w:p w:rsidR="000F4D2B" w:rsidRDefault="005D4EDA">
      <w:pPr>
        <w:pStyle w:val="Body"/>
        <w:spacing w:before="240" w:after="240" w:line="240" w:lineRule="auto"/>
        <w:ind w:left="360" w:right="360"/>
        <w:jc w:val="both"/>
      </w:pPr>
      <w:r>
        <w:rPr>
          <w:lang w:val="en-GB"/>
        </w:rPr>
        <w:t>Al-Sahāranfūrī commented: “The sense of plurality is not apparent on either reading. If it is understood generically, both are possible, though taking ʿīdān with fatḥah as a generic noun is closer, because its singular and collective forms are distinguished by tāʾ, and such words are used generically. Indeed, they said that its original sense is generic and that it is also used for the plural; this avoids difficulty, unlike al-ʿīdān with kasrah as the plural of ʿūd.” (Al-Sahāranfūrī, 2006).</w:t>
      </w:r>
    </w:p>
    <w:p w:rsidR="000F4D2B" w:rsidRDefault="005D4EDA">
      <w:pPr>
        <w:pStyle w:val="NumberedItem"/>
        <w:spacing w:before="240" w:after="240" w:line="240" w:lineRule="auto"/>
        <w:ind w:left="504" w:hanging="360"/>
        <w:jc w:val="both"/>
      </w:pPr>
      <w:r>
        <w:rPr>
          <w:lang w:val="en-GB"/>
        </w:rPr>
        <w:lastRenderedPageBreak/>
        <w:t xml:space="preserve">11. He examined errors of earlier commentators on </w:t>
      </w:r>
      <w:r>
        <w:rPr>
          <w:i/>
          <w:lang w:val="en-GB"/>
        </w:rPr>
        <w:t>Sunan Abī Dāwūd</w:t>
      </w:r>
      <w:r>
        <w:rPr>
          <w:lang w:val="en-GB"/>
        </w:rPr>
        <w:t xml:space="preserve">, whether minor or major. For example, he critiqued Shaykh Abū al-Ṭayyib Shams al-Ḥaqq al-ʿAẓīmābādī at the beginning of the Book of Ṭahārah. Explaining ṭahārah, he said: “In al-Qāmūs, al-ṭuhr, with ḍammah, is the opposite of impurity; ṭahara follows the patterns naṣara and karuma, and he is ṭāhir. This is also stated in </w:t>
      </w:r>
      <w:r>
        <w:rPr>
          <w:i/>
          <w:lang w:val="en-GB"/>
        </w:rPr>
        <w:t>Lisān al-ʿArab</w:t>
      </w:r>
      <w:r>
        <w:rPr>
          <w:lang w:val="en-GB"/>
        </w:rPr>
        <w:t xml:space="preserve"> and other lexicons. None says that ṭahara follows the pattern ḍaraba. Thus, the statement in </w:t>
      </w:r>
      <w:r>
        <w:rPr>
          <w:i/>
          <w:lang w:val="en-GB"/>
        </w:rPr>
        <w:t>Ghāyat al-Maqṣūd</w:t>
      </w:r>
      <w:r>
        <w:rPr>
          <w:lang w:val="en-GB"/>
        </w:rPr>
        <w:t xml:space="preserve"> that ṭahara follows the patterns qatala and ḍaraba should be corrected to qatala and karuma.” (Al-Sahāranfūrī, 2006).</w:t>
      </w:r>
    </w:p>
    <w:p w:rsidR="000F4D2B" w:rsidRDefault="005D4EDA">
      <w:pPr>
        <w:pStyle w:val="NumberedItem"/>
        <w:spacing w:before="240" w:after="240" w:line="240" w:lineRule="auto"/>
        <w:ind w:left="504" w:hanging="360"/>
        <w:jc w:val="both"/>
      </w:pPr>
      <w:r>
        <w:rPr>
          <w:lang w:val="en-GB"/>
        </w:rPr>
        <w:t>12. He also corrected the different circulating copies of Abū Dāwūd and noted additions found in some copies but not others.</w:t>
      </w:r>
    </w:p>
    <w:p w:rsidR="000F4D2B" w:rsidRDefault="005D4EDA">
      <w:pPr>
        <w:pStyle w:val="Body"/>
        <w:spacing w:before="240" w:after="240" w:line="240" w:lineRule="auto"/>
        <w:ind w:left="360" w:right="360"/>
        <w:jc w:val="both"/>
      </w:pPr>
      <w:r>
        <w:rPr>
          <w:lang w:val="en-GB"/>
        </w:rPr>
        <w:t xml:space="preserve">An example is the following ḥadīth: “Ibrāhīm b. Khālid narrated to us; Aswad b. ʿĀmir narrated to us; Sharīk narrated to us—and this is his wording. Ḥāʾ: Muḥammad b. ʿAbd Allāh, meaning al-Mukharrimī, narrated to us; Wakīʿ narrated to us from Sharīk, with the meaning, from Ibrāhīm b. Jarīr, from al-Mughīrah, from Abū Zurʿah, from Abū Hurayrah, may Allah be pleased with him, who said: ‘When the Prophet </w:t>
      </w:r>
      <w:r>
        <w:rPr>
          <w:rFonts w:ascii="Tahoma" w:hAnsi="Tahoma" w:cs="Tahoma"/>
          <w:lang w:val="en-GB"/>
        </w:rPr>
        <w:t>ﷺ</w:t>
      </w:r>
      <w:r>
        <w:rPr>
          <w:lang w:val="en-GB"/>
        </w:rPr>
        <w:t xml:space="preserve"> came to the privy, I brought him water in a basin or a small vessel, and he performed istinjāʾ.’ Abū Dāwūd said: ‘In the ḥadīth of Wakīʿ: then he wiped his hand on the ground, then I brought him another vessel and he performed wuḍūʾ.’ Abū Dāwūd said: ‘The ḥadīth of al-Aswad b. ʿĀmir is more complete.’” (Abū Dāwūd, 1999).</w:t>
      </w:r>
    </w:p>
    <w:p w:rsidR="000F4D2B" w:rsidRDefault="005D4EDA">
      <w:pPr>
        <w:pStyle w:val="Body"/>
        <w:spacing w:before="240" w:after="240" w:line="240" w:lineRule="auto"/>
        <w:ind w:left="360" w:right="360"/>
        <w:jc w:val="both"/>
      </w:pPr>
      <w:r>
        <w:rPr>
          <w:lang w:val="en-GB"/>
        </w:rPr>
        <w:t xml:space="preserve">Al-Sahāranfūrī noted the addition: “The phrase ‘Abū Dāwūd said: in the ḥadīth of Wakīʿ’ is not found in the manuscript of our master Shaykh Aḥmad ʿAlī al-Muḥaddith, nor in the Egyptian printed copy; I found it only in the Indian printed copy, marked as a variant. Al-Nasāʾī’s narration through Wakīʿ states: ‘He performed wuḍūʾ, and when he had performed istinjāʾ he rubbed his hand on the ground.’ (Al-Nasāʾī, 1999). Ibn Mājah’s narration through Wakīʿ from Sharīk states: ‘The Prophet </w:t>
      </w:r>
      <w:r>
        <w:rPr>
          <w:rFonts w:ascii="Tahoma" w:hAnsi="Tahoma" w:cs="Tahoma"/>
          <w:lang w:val="en-GB"/>
        </w:rPr>
        <w:t>ﷺ</w:t>
      </w:r>
      <w:r>
        <w:rPr>
          <w:lang w:val="en-GB"/>
        </w:rPr>
        <w:t xml:space="preserve"> relieved himself, then performed istinjāʾ from a basin, then rubbed his hand on the ground.’ Neither contains Abū Dāwūd’s phrase: ‘Then I brought him another vessel and he performed wuḍūʾ.’” (Ibn Mājah, 1999).</w:t>
      </w:r>
    </w:p>
    <w:p w:rsidR="000F4D2B" w:rsidRDefault="005D4EDA">
      <w:pPr>
        <w:pStyle w:val="Body"/>
        <w:spacing w:before="240" w:after="240" w:line="240" w:lineRule="auto"/>
        <w:ind w:left="360" w:right="360"/>
        <w:jc w:val="both"/>
      </w:pPr>
      <w:r>
        <w:rPr>
          <w:lang w:val="en-GB"/>
        </w:rPr>
        <w:t>“In my view, the phrase ‘Abū Dāwūd said: in the ḥadīth of Wakīʿ’ mistakenly entered the text through a copyist. This is indicated by Abū Dāwūd’s final statement in the chapter: ‘The ḥadīth of al-Aswad b. ʿĀmir is more complete,’ which shows that Wakīʿ’s narration is shorter. If the additional words belonged to Wakīʿ’s narration, the reverse would be true. Abū Dāwūd’s earlier statement, ‘and this is his wording,’ also supports this, since it indicates that the wording cited is Wakīʿ’s. Thus, the phrase entered the text through copyists.” (Al-Sahāranfūrī, 2006).</w:t>
      </w:r>
    </w:p>
    <w:p w:rsidR="000F4D2B" w:rsidRDefault="005D4EDA">
      <w:pPr>
        <w:pStyle w:val="NumberedItem"/>
        <w:spacing w:before="240" w:after="240" w:line="240" w:lineRule="auto"/>
        <w:ind w:left="504" w:hanging="360"/>
        <w:jc w:val="both"/>
      </w:pPr>
      <w:r>
        <w:rPr>
          <w:lang w:val="en-GB"/>
        </w:rPr>
        <w:t xml:space="preserve">13. He frequently cited the statements of his teachers and shaykhs to support his explanations. An example appears in his explanation of Abū Dāwūd’s ḥadīth from Abū Hurayrah, may Allah be pleased with him: “When the Prophet </w:t>
      </w:r>
      <w:r>
        <w:rPr>
          <w:rFonts w:ascii="Tahoma" w:hAnsi="Tahoma" w:cs="Tahoma"/>
          <w:lang w:val="en-GB"/>
        </w:rPr>
        <w:t>ﷺ</w:t>
      </w:r>
      <w:r>
        <w:rPr>
          <w:lang w:val="en-GB"/>
        </w:rPr>
        <w:t xml:space="preserve"> entered the privy, I brought him water in a basin or vessel and he performed istinjāʾ.” Abū Dāwūd said in Wakīʿ’s narration: “Then he wiped his hand on the ground, then I brought him another vessel and he performed wuḍūʾ.”</w:t>
      </w:r>
    </w:p>
    <w:p w:rsidR="000F4D2B" w:rsidRDefault="005D4EDA">
      <w:pPr>
        <w:pStyle w:val="Body"/>
        <w:spacing w:before="240" w:after="240" w:line="240" w:lineRule="auto"/>
        <w:ind w:left="360" w:right="360"/>
        <w:jc w:val="both"/>
      </w:pPr>
      <w:r>
        <w:rPr>
          <w:lang w:val="en-GB"/>
        </w:rPr>
        <w:t>Al-Sahāranfūrī said: “(Then he wiped his hand on the ground): this was for cleaning, to remove whatever faint odour might remain, although ṭahārah had already been achieved by washing, since the substance and trace of the impurity had disappeared.”</w:t>
      </w:r>
    </w:p>
    <w:p w:rsidR="000F4D2B" w:rsidRDefault="005D4EDA">
      <w:pPr>
        <w:pStyle w:val="Body"/>
        <w:spacing w:before="240" w:after="240" w:line="240" w:lineRule="auto"/>
        <w:ind w:left="360" w:right="360"/>
        <w:jc w:val="both"/>
      </w:pPr>
      <w:r>
        <w:rPr>
          <w:lang w:val="en-GB"/>
        </w:rPr>
        <w:t xml:space="preserve">He added: “In my view, this act was to teach the ummah. They might perform istinjāʾ and soil their hands, or traces of impurity might remain, so they should clean themselves in this manner. As for him </w:t>
      </w:r>
      <w:r>
        <w:rPr>
          <w:rFonts w:ascii="Tahoma" w:hAnsi="Tahoma" w:cs="Tahoma"/>
          <w:lang w:val="en-GB"/>
        </w:rPr>
        <w:t>ﷺ</w:t>
      </w:r>
      <w:r>
        <w:rPr>
          <w:lang w:val="en-GB"/>
        </w:rPr>
        <w:t xml:space="preserve">—scholars have affirmed the purity of his perspiration and saliva—it is impossible for them to contain foul odour, for he </w:t>
      </w:r>
      <w:r>
        <w:rPr>
          <w:rFonts w:ascii="Tahoma" w:hAnsi="Tahoma" w:cs="Tahoma"/>
          <w:lang w:val="en-GB"/>
        </w:rPr>
        <w:t>ﷺ</w:t>
      </w:r>
      <w:r>
        <w:rPr>
          <w:lang w:val="en-GB"/>
        </w:rPr>
        <w:t xml:space="preserve"> is pure and fragrant in life and death.”</w:t>
      </w:r>
    </w:p>
    <w:p w:rsidR="000F4D2B" w:rsidRDefault="005D4EDA">
      <w:pPr>
        <w:pStyle w:val="Body"/>
        <w:spacing w:before="240" w:after="240" w:line="240" w:lineRule="auto"/>
        <w:ind w:left="360" w:right="360"/>
        <w:jc w:val="both"/>
      </w:pPr>
      <w:r>
        <w:rPr>
          <w:lang w:val="en-GB"/>
        </w:rPr>
        <w:lastRenderedPageBreak/>
        <w:t>He then quoted his teacher Shaykh Rashīd Aḥmad al-Gangohī: “Our Ḥanafī jurists—may Allah increase their number and reward their efforts—differed regarding the purity of the exit point and the hand when the odour of impurity remains after its substance disappears. Some ruled that purity is attained once the substance disappears, even if odour remains. Others held that it is not pure unless the remaining trace is difficult to remove. The disagreement may rest on the nature of odour: is it caused by minute particles from the odorous object, too small to perceive, or by the air acquiring the quality of the odour?</w:t>
      </w:r>
    </w:p>
    <w:p w:rsidR="000F4D2B" w:rsidRDefault="005D4EDA">
      <w:pPr>
        <w:pStyle w:val="Body"/>
        <w:spacing w:before="240" w:after="240" w:line="240" w:lineRule="auto"/>
        <w:ind w:left="360" w:right="360"/>
        <w:jc w:val="both"/>
      </w:pPr>
      <w:r>
        <w:rPr>
          <w:lang w:val="en-GB"/>
        </w:rPr>
        <w:t>“The proof for the first group is that, even if we concede the separation of minute particles from the odorous object and their mixing with the air, the Sacred Law does not consider them; their existence is therefore legally non-existent. If wind from the anus passes over wet trousers, they do not become impure; likewise, an impure odour from refuse heaps does not render wet clothing impure by agreement. Were such particles legally considered, impurity would necessarily result.</w:t>
      </w:r>
    </w:p>
    <w:p w:rsidR="000F4D2B" w:rsidRDefault="005D4EDA">
      <w:pPr>
        <w:pStyle w:val="Body"/>
        <w:spacing w:before="240" w:after="240" w:line="240" w:lineRule="auto"/>
        <w:ind w:left="360" w:right="360"/>
        <w:jc w:val="both"/>
      </w:pPr>
      <w:r>
        <w:rPr>
          <w:lang w:val="en-GB"/>
        </w:rPr>
        <w:t>“The second group may argue that if wind contained no impurity, ṭahārah would not be nullified by passing wind.</w:t>
      </w:r>
    </w:p>
    <w:p w:rsidR="000F4D2B" w:rsidRDefault="005D4EDA">
      <w:pPr>
        <w:pStyle w:val="Body"/>
        <w:spacing w:before="240" w:after="240" w:line="240" w:lineRule="auto"/>
        <w:ind w:left="360" w:right="360"/>
        <w:jc w:val="both"/>
      </w:pPr>
      <w:r>
        <w:rPr>
          <w:lang w:val="en-GB"/>
        </w:rPr>
        <w:t>“The first group may respond that passing wind nullifies ṭahārah because of the explicit text, not because it contains particles of impurity.” (Al-Sahāranfūrī, 2006).</w:t>
      </w:r>
    </w:p>
    <w:p w:rsidR="000F4D2B" w:rsidRDefault="005D4EDA">
      <w:pPr>
        <w:pStyle w:val="Body"/>
        <w:spacing w:before="240" w:after="240" w:line="240" w:lineRule="auto"/>
        <w:ind w:left="360" w:right="360"/>
        <w:jc w:val="both"/>
      </w:pPr>
      <w:r>
        <w:rPr>
          <w:lang w:val="en-GB"/>
        </w:rPr>
        <w:t xml:space="preserve">Thus, al-Sahāranfūrī frequently uses the statements of his teachers, especially Shaykh Rashīd Aḥmad al-Gangohī, to resolve difficult points and clarify complex issues in his commentary on the </w:t>
      </w:r>
      <w:r>
        <w:rPr>
          <w:i/>
          <w:lang w:val="en-GB"/>
        </w:rPr>
        <w:t>Sunan</w:t>
      </w:r>
      <w:r>
        <w:rPr>
          <w:lang w:val="en-GB"/>
        </w:rPr>
        <w:t>.</w:t>
      </w:r>
    </w:p>
    <w:p w:rsidR="000F4D2B" w:rsidRDefault="005D4EDA">
      <w:pPr>
        <w:pStyle w:val="Subheading"/>
        <w:keepNext/>
        <w:spacing w:before="240" w:after="240" w:line="240" w:lineRule="auto"/>
      </w:pPr>
      <w:r>
        <w:rPr>
          <w:b/>
          <w:lang w:val="en-GB"/>
        </w:rPr>
        <w:t>Distinctive features of the commentary</w:t>
      </w:r>
    </w:p>
    <w:p w:rsidR="000F4D2B" w:rsidRDefault="005D4EDA">
      <w:pPr>
        <w:pStyle w:val="Body"/>
        <w:spacing w:before="240" w:after="240" w:line="240" w:lineRule="auto"/>
        <w:jc w:val="both"/>
      </w:pPr>
      <w:r>
        <w:rPr>
          <w:lang w:val="en-GB"/>
        </w:rPr>
        <w:t>A major feature of this commentary is that Shaykh Khalīl Aḥmad al-Sahāranfūrī composed it according to the method of the great ḥadīth commentators whose works were accepted by the ummah. It contains valuable discussions of transmitters’ names and ḥadīth principles, and its argumentation generally remains within the discipline of ḥadīth and its related sciences. By contrast, many earlier works on ḥadīth commentaries, Ḥanafī legal argumentation, or disputed legal issues were dominated by kalām-style discourse, rational argumentation, and subtle legal observations, with comparatively limited attention to transmitters, jarḥ wa-taʿdīl, defects, strata of ḥadīth, and other inquiries needed by students of ḥadīth.</w:t>
      </w:r>
    </w:p>
    <w:p w:rsidR="000F4D2B" w:rsidRDefault="005D4EDA">
      <w:pPr>
        <w:pStyle w:val="Body"/>
        <w:spacing w:before="240" w:after="240" w:line="240" w:lineRule="auto"/>
        <w:jc w:val="both"/>
      </w:pPr>
      <w:r>
        <w:rPr>
          <w:lang w:val="en-GB"/>
        </w:rPr>
        <w:t>Another feature is the author’s subtle derivations and refined discussions, which reveal the soundness of his reasoning and his wide acquaintance with the books of ḥadīth.</w:t>
      </w:r>
    </w:p>
    <w:p w:rsidR="000F4D2B" w:rsidRDefault="005D4EDA">
      <w:pPr>
        <w:pStyle w:val="Body"/>
        <w:spacing w:before="240" w:after="240" w:line="240" w:lineRule="auto"/>
        <w:jc w:val="both"/>
      </w:pPr>
      <w:r>
        <w:rPr>
          <w:lang w:val="en-GB"/>
        </w:rPr>
        <w:t>The book also contains important discussions, especially on ḥadīths concerning tribulations and battles, in which the author identifies the events alluded to, weighs competing views, and sometimes reaches conclusions through his own ijtihād and investigation.</w:t>
      </w:r>
    </w:p>
    <w:p w:rsidR="000F4D2B" w:rsidRDefault="005D4EDA">
      <w:pPr>
        <w:pStyle w:val="Body"/>
        <w:spacing w:before="240" w:after="240" w:line="240" w:lineRule="auto"/>
        <w:jc w:val="both"/>
      </w:pPr>
      <w:r>
        <w:rPr>
          <w:lang w:val="en-GB"/>
        </w:rPr>
        <w:t>These discussions show the commentator’s confidence, decisiveness, and certainty in the conclusions reached through study and reflection, which in turn strengthens the reader’s confidence.</w:t>
      </w:r>
    </w:p>
    <w:p w:rsidR="000F4D2B" w:rsidRDefault="005D4EDA">
      <w:pPr>
        <w:pStyle w:val="MainHeading"/>
        <w:keepNext/>
        <w:spacing w:before="240" w:after="240" w:line="240" w:lineRule="auto"/>
      </w:pPr>
      <w:r>
        <w:rPr>
          <w:b/>
          <w:sz w:val="28"/>
          <w:lang w:val="en-GB"/>
        </w:rPr>
        <w:t>CONCLUSION</w:t>
      </w:r>
    </w:p>
    <w:p w:rsidR="000F4D2B" w:rsidRDefault="005D4EDA">
      <w:pPr>
        <w:pStyle w:val="Body"/>
        <w:spacing w:before="240" w:after="240" w:line="240" w:lineRule="auto"/>
        <w:jc w:val="both"/>
      </w:pPr>
      <w:r>
        <w:rPr>
          <w:lang w:val="en-GB"/>
        </w:rPr>
        <w:t>The study reached the following conclusions:</w:t>
      </w:r>
    </w:p>
    <w:p w:rsidR="000F4D2B" w:rsidRDefault="005D4EDA">
      <w:pPr>
        <w:pStyle w:val="NumberedItem"/>
        <w:spacing w:before="240" w:after="240" w:line="240" w:lineRule="auto"/>
        <w:ind w:left="504" w:hanging="360"/>
        <w:jc w:val="both"/>
      </w:pPr>
      <w:r>
        <w:rPr>
          <w:lang w:val="en-GB"/>
        </w:rPr>
        <w:t xml:space="preserve">1. </w:t>
      </w:r>
      <w:r>
        <w:rPr>
          <w:i/>
          <w:lang w:val="en-GB"/>
        </w:rPr>
        <w:t>Sunan Abī Dāwūd</w:t>
      </w:r>
      <w:r>
        <w:rPr>
          <w:lang w:val="en-GB"/>
        </w:rPr>
        <w:t xml:space="preserve"> is one of the most important books of ḥadīth and a major pillar of the Prophetic Sunnah, because it is relied upon in deriving legal rulings and contains a large body of aḥādīth al-aḥkām.</w:t>
      </w:r>
    </w:p>
    <w:p w:rsidR="000F4D2B" w:rsidRDefault="005D4EDA">
      <w:pPr>
        <w:pStyle w:val="NumberedItem"/>
        <w:spacing w:before="240" w:after="240" w:line="240" w:lineRule="auto"/>
        <w:ind w:left="504" w:hanging="360"/>
        <w:jc w:val="both"/>
      </w:pPr>
      <w:r>
        <w:rPr>
          <w:lang w:val="en-GB"/>
        </w:rPr>
        <w:t xml:space="preserve">2. Many leading imāms, across different ages and regions, commented on </w:t>
      </w:r>
      <w:r>
        <w:rPr>
          <w:i/>
          <w:lang w:val="en-GB"/>
        </w:rPr>
        <w:t>Sunan Abī Dāwūd</w:t>
      </w:r>
      <w:r>
        <w:rPr>
          <w:lang w:val="en-GB"/>
        </w:rPr>
        <w:t>. Indian scholars made a significant contribution to serving it through commentaries and marginalia.</w:t>
      </w:r>
    </w:p>
    <w:p w:rsidR="000F4D2B" w:rsidRDefault="005D4EDA">
      <w:pPr>
        <w:pStyle w:val="NumberedItem"/>
        <w:spacing w:before="240" w:after="240" w:line="240" w:lineRule="auto"/>
        <w:ind w:left="504" w:hanging="360"/>
        <w:jc w:val="both"/>
      </w:pPr>
      <w:r>
        <w:rPr>
          <w:lang w:val="en-GB"/>
        </w:rPr>
        <w:lastRenderedPageBreak/>
        <w:t xml:space="preserve">3. Badhl al-Majhūd is among the most important later commentaries on </w:t>
      </w:r>
      <w:r>
        <w:rPr>
          <w:i/>
          <w:lang w:val="en-GB"/>
        </w:rPr>
        <w:t>Sunan Abī Dāwūd</w:t>
      </w:r>
      <w:r>
        <w:rPr>
          <w:lang w:val="en-GB"/>
        </w:rPr>
        <w:t>. It is distinguished by its ḥadīth, fiqh, and linguistic benefits, and by the author’s commitment to research and verification according to the method of the great commentators on books of riwāyah.</w:t>
      </w:r>
    </w:p>
    <w:p w:rsidR="000F4D2B" w:rsidRDefault="005D4EDA">
      <w:pPr>
        <w:pStyle w:val="NumberedItem"/>
        <w:spacing w:before="240" w:after="240" w:line="240" w:lineRule="auto"/>
        <w:ind w:left="504" w:hanging="360"/>
        <w:jc w:val="both"/>
      </w:pPr>
      <w:r>
        <w:rPr>
          <w:lang w:val="en-GB"/>
        </w:rPr>
        <w:t xml:space="preserve">4. Despite its many ḥadīth, fiqh, and linguistic benefits, Badhl al-Majhūd remains little known outside the Indian subcontinent. Teachers of ḥadīth should direct students to it, encourage them to benefit from it, and assign comparative research between it and other commentaries on the </w:t>
      </w:r>
      <w:r>
        <w:rPr>
          <w:i/>
          <w:lang w:val="en-GB"/>
        </w:rPr>
        <w:t>Sunan</w:t>
      </w:r>
      <w:r>
        <w:rPr>
          <w:lang w:val="en-GB"/>
        </w:rPr>
        <w:t xml:space="preserve"> from the perspective of ḥadīth scholarship.</w:t>
      </w:r>
    </w:p>
    <w:p w:rsidR="000F4D2B" w:rsidRDefault="005D4EDA">
      <w:pPr>
        <w:pStyle w:val="MainHeading"/>
        <w:keepNext/>
        <w:spacing w:before="240" w:after="240" w:line="240" w:lineRule="auto"/>
      </w:pPr>
      <w:r>
        <w:rPr>
          <w:b/>
          <w:sz w:val="28"/>
          <w:lang w:val="en-GB"/>
        </w:rPr>
        <w:t>REFERENCES</w:t>
      </w:r>
    </w:p>
    <w:p w:rsidR="000F4D2B" w:rsidRDefault="005D4EDA">
      <w:pPr>
        <w:pStyle w:val="Reference"/>
        <w:spacing w:before="240" w:after="240" w:line="240" w:lineRule="auto"/>
        <w:ind w:left="648" w:right="504" w:hanging="432"/>
      </w:pPr>
      <w:r>
        <w:rPr>
          <w:lang w:val="en-GB"/>
        </w:rPr>
        <w:t xml:space="preserve">1. ʿAbd al-Muṭṭalib, Rifʿat Fawzī. (1429 AH). </w:t>
      </w:r>
      <w:r>
        <w:rPr>
          <w:i/>
          <w:lang w:val="en-GB"/>
        </w:rPr>
        <w:t>Al-Madkhal ilā Manāhij al-Muḥaddithīn: al-Usus wa-al-Taṭbīq</w:t>
      </w:r>
      <w:r>
        <w:rPr>
          <w:lang w:val="en-GB"/>
        </w:rPr>
        <w:t>. 1st ed. Cairo: Dār al-Salām.</w:t>
      </w:r>
    </w:p>
    <w:p w:rsidR="000F4D2B" w:rsidRDefault="005D4EDA">
      <w:pPr>
        <w:pStyle w:val="Reference"/>
        <w:spacing w:before="240" w:after="240" w:line="240" w:lineRule="auto"/>
        <w:ind w:left="648" w:right="504" w:hanging="432"/>
      </w:pPr>
      <w:r>
        <w:rPr>
          <w:lang w:val="en-GB"/>
        </w:rPr>
        <w:t xml:space="preserve">2. Abū Dāwūd al-Sijistānī, Sulaymān b. al-Ashʿath b. Isḥāq al-Azdī. (1999). </w:t>
      </w:r>
      <w:r>
        <w:rPr>
          <w:i/>
          <w:lang w:val="en-GB"/>
        </w:rPr>
        <w:t>Al-Sunan</w:t>
      </w:r>
      <w:r>
        <w:rPr>
          <w:lang w:val="en-GB"/>
        </w:rPr>
        <w:t>. 1st ed. Riyadh: Dār al-Salām.</w:t>
      </w:r>
    </w:p>
    <w:p w:rsidR="000F4D2B" w:rsidRDefault="005D4EDA">
      <w:pPr>
        <w:pStyle w:val="Reference"/>
        <w:spacing w:before="240" w:after="240" w:line="240" w:lineRule="auto"/>
        <w:ind w:left="648" w:right="504" w:hanging="432"/>
      </w:pPr>
      <w:r>
        <w:rPr>
          <w:lang w:val="en-GB"/>
        </w:rPr>
        <w:t xml:space="preserve">3. Al-ʿAynī, Abū Muḥammad Badr al-Dīn Maḥmūd b. Aḥmad. (2001). </w:t>
      </w:r>
      <w:r>
        <w:rPr>
          <w:i/>
          <w:lang w:val="en-GB"/>
        </w:rPr>
        <w:t>ʿUmdat al-Qārī Sharḥ Ṣaḥīḥ al-Bukhārī</w:t>
      </w:r>
      <w:r>
        <w:rPr>
          <w:lang w:val="en-GB"/>
        </w:rPr>
        <w:t>. 1st ed. Beirut: Dār al-Kutub al-ʿIlmiyyah.</w:t>
      </w:r>
    </w:p>
    <w:p w:rsidR="000F4D2B" w:rsidRDefault="005D4EDA">
      <w:pPr>
        <w:pStyle w:val="Reference"/>
        <w:spacing w:before="240" w:after="240" w:line="240" w:lineRule="auto"/>
        <w:ind w:left="648" w:right="504" w:hanging="432"/>
      </w:pPr>
      <w:r>
        <w:rPr>
          <w:lang w:val="en-GB"/>
        </w:rPr>
        <w:t xml:space="preserve">4. Al-Bukhārī, Abū ʿAbd Allāh Muḥammad b. Ismāʿīl b. Ibrāhīm al-Juʿfī. (2007). </w:t>
      </w:r>
      <w:r>
        <w:rPr>
          <w:i/>
          <w:lang w:val="en-GB"/>
        </w:rPr>
        <w:t>Al-Jāmiʿ al-Musnad al-Ṣaḥīḥ</w:t>
      </w:r>
      <w:r>
        <w:rPr>
          <w:lang w:val="en-GB"/>
        </w:rPr>
        <w:t>. 5th ed. Beirut: Dār al-Kutub al-ʿIlmiyyah.</w:t>
      </w:r>
    </w:p>
    <w:p w:rsidR="000F4D2B" w:rsidRDefault="005D4EDA">
      <w:pPr>
        <w:pStyle w:val="Reference"/>
        <w:spacing w:before="240" w:after="240" w:line="240" w:lineRule="auto"/>
        <w:ind w:left="648" w:right="504" w:hanging="432"/>
      </w:pPr>
      <w:r>
        <w:rPr>
          <w:lang w:val="en-GB"/>
        </w:rPr>
        <w:t xml:space="preserve">5. Al-Fattanī, Muḥammad b. Ṭāhir Jamāl al-Dīn al-Ṣiddīqī. (1970). </w:t>
      </w:r>
      <w:r>
        <w:rPr>
          <w:i/>
          <w:lang w:val="en-GB"/>
        </w:rPr>
        <w:t>Majmaʿ Biḥār al-Anwār fī Gharāʾib al-Tanzīl wa-Laṭāʾif al-Akhbār</w:t>
      </w:r>
      <w:r>
        <w:rPr>
          <w:lang w:val="en-GB"/>
        </w:rPr>
        <w:t>. 1st ed. Hyderabad: Dāʾirat al-Maʿārif al-ʿUthmāniyyah.</w:t>
      </w:r>
    </w:p>
    <w:p w:rsidR="000F4D2B" w:rsidRDefault="005D4EDA">
      <w:pPr>
        <w:pStyle w:val="Reference"/>
        <w:spacing w:before="240" w:after="240" w:line="240" w:lineRule="auto"/>
        <w:ind w:left="648" w:right="504" w:hanging="432"/>
      </w:pPr>
      <w:r>
        <w:rPr>
          <w:lang w:val="en-GB"/>
        </w:rPr>
        <w:t xml:space="preserve">6. Al-Ḥasanī, ʿAbd al-Ḥayy. (1999). </w:t>
      </w:r>
      <w:r>
        <w:rPr>
          <w:i/>
          <w:lang w:val="en-GB"/>
        </w:rPr>
        <w:t>Nuzhat al-Khawāṭir wa-Bahjat al-Masāmiʿ wa-al-Nawāẓir</w:t>
      </w:r>
      <w:r>
        <w:rPr>
          <w:lang w:val="en-GB"/>
        </w:rPr>
        <w:t>. 1st ed. Beirut: Dār Ibn Ḥazm.</w:t>
      </w:r>
    </w:p>
    <w:p w:rsidR="000F4D2B" w:rsidRDefault="005D4EDA">
      <w:pPr>
        <w:pStyle w:val="Reference"/>
        <w:spacing w:before="240" w:after="240" w:line="240" w:lineRule="auto"/>
        <w:ind w:left="648" w:right="504" w:hanging="432"/>
      </w:pPr>
      <w:r>
        <w:rPr>
          <w:lang w:val="en-GB"/>
        </w:rPr>
        <w:t xml:space="preserve">7. Al-Kattānī, Muḥammad b. Jaʿfar. (2007). </w:t>
      </w:r>
      <w:r>
        <w:rPr>
          <w:i/>
          <w:lang w:val="en-GB"/>
        </w:rPr>
        <w:t>Al-Risālah al-Mustaṭrafah li-Bayān Mashhūr Kutub al-Sunnah al-Musharrafah</w:t>
      </w:r>
      <w:r>
        <w:rPr>
          <w:lang w:val="en-GB"/>
        </w:rPr>
        <w:t>. 7th ed. Beirut: Dār al-Bashāʾir al-Islāmiyyah.</w:t>
      </w:r>
    </w:p>
    <w:p w:rsidR="000F4D2B" w:rsidRDefault="005D4EDA">
      <w:pPr>
        <w:pStyle w:val="Reference"/>
        <w:spacing w:before="240" w:after="240" w:line="240" w:lineRule="auto"/>
        <w:ind w:left="648" w:right="504" w:hanging="432"/>
      </w:pPr>
      <w:r>
        <w:rPr>
          <w:lang w:val="en-GB"/>
        </w:rPr>
        <w:t xml:space="preserve">8. Al-Nasāʾī, Abū ʿAbd al-Raḥmān Aḥmad b. Shuʿayb. (1999). </w:t>
      </w:r>
      <w:r>
        <w:rPr>
          <w:i/>
          <w:lang w:val="en-GB"/>
        </w:rPr>
        <w:t>Al-Sunan al-Ṣughrā al-Musammā al-Mujtabā</w:t>
      </w:r>
      <w:r>
        <w:rPr>
          <w:lang w:val="en-GB"/>
        </w:rPr>
        <w:t>. 1st ed. Riyadh: Dār al-Salām.</w:t>
      </w:r>
    </w:p>
    <w:p w:rsidR="000F4D2B" w:rsidRDefault="005D4EDA">
      <w:pPr>
        <w:pStyle w:val="Reference"/>
        <w:spacing w:before="240" w:after="240" w:line="240" w:lineRule="auto"/>
        <w:ind w:left="648" w:right="504" w:hanging="432"/>
      </w:pPr>
      <w:r>
        <w:rPr>
          <w:lang w:val="en-GB"/>
        </w:rPr>
        <w:t xml:space="preserve">9. Al-Sahāranfūrī, Khalīl Aḥmad. (2006). </w:t>
      </w:r>
      <w:r>
        <w:rPr>
          <w:i/>
          <w:lang w:val="en-GB"/>
        </w:rPr>
        <w:t>Badhl al-Majhūd fī Ḥall Sunan Abī Dāwūd</w:t>
      </w:r>
      <w:r>
        <w:rPr>
          <w:lang w:val="en-GB"/>
        </w:rPr>
        <w:t>. Edited and annotated by Taqī al-Dīn al-Nadwī. 1st ed. India: Markaz al-Shaykh Abī al-Ḥasan al-Nadwī li-al-Buḥūth wa-al-Dirāsāt al-Islāmiyyah; Beirut: Dār al-Bashāʾir al-Islāmiyyah.</w:t>
      </w:r>
    </w:p>
    <w:p w:rsidR="000F4D2B" w:rsidRDefault="005D4EDA">
      <w:pPr>
        <w:pStyle w:val="Reference"/>
        <w:spacing w:before="240" w:after="240" w:line="240" w:lineRule="auto"/>
        <w:ind w:left="648" w:right="504" w:hanging="432"/>
      </w:pPr>
      <w:r>
        <w:rPr>
          <w:lang w:val="en-GB"/>
        </w:rPr>
        <w:t xml:space="preserve">10. Al-Sindī, Abū al-Ḥasan Nūr al-Dīn Muḥammad b. ʿAbd al-Hādī al-Tattawī. (1999). </w:t>
      </w:r>
      <w:r>
        <w:rPr>
          <w:i/>
          <w:lang w:val="en-GB"/>
        </w:rPr>
        <w:t>Ḥāshiyat al-Imām al-Sindī ʿalā Sunan al-Nasāʾī</w:t>
      </w:r>
      <w:r>
        <w:rPr>
          <w:lang w:val="en-GB"/>
        </w:rPr>
        <w:t>. 5th ed. Beirut: Dār al-Maʿrifah.</w:t>
      </w:r>
    </w:p>
    <w:p w:rsidR="000F4D2B" w:rsidRDefault="005D4EDA">
      <w:pPr>
        <w:pStyle w:val="Reference"/>
        <w:spacing w:before="240" w:after="240" w:line="240" w:lineRule="auto"/>
        <w:ind w:left="648" w:right="504" w:hanging="432"/>
      </w:pPr>
      <w:r>
        <w:rPr>
          <w:lang w:val="en-GB"/>
        </w:rPr>
        <w:t xml:space="preserve">11. Ghouri, Syed ʿAbdul Majid. (2000). </w:t>
      </w:r>
      <w:r>
        <w:rPr>
          <w:i/>
          <w:lang w:val="en-GB"/>
        </w:rPr>
        <w:t>Aʿlām al-Muḥaddithīn fī al-Hind fī al-Qarn al-Rābiʿ ʿAshar al-Hijrī wa-Āthāruhum fī al-Ḥadīth wa-ʿUlūmihi</w:t>
      </w:r>
      <w:r>
        <w:rPr>
          <w:lang w:val="en-GB"/>
        </w:rPr>
        <w:t>. 1st ed. Damascus; Beirut: Dār Ibn Kathīr.</w:t>
      </w:r>
    </w:p>
    <w:p w:rsidR="000F4D2B" w:rsidRDefault="005D4EDA">
      <w:pPr>
        <w:pStyle w:val="Reference"/>
        <w:spacing w:before="240" w:after="240" w:line="240" w:lineRule="auto"/>
        <w:ind w:left="648" w:right="504" w:hanging="432"/>
      </w:pPr>
      <w:r>
        <w:rPr>
          <w:lang w:val="en-GB"/>
        </w:rPr>
        <w:t xml:space="preserve">12. Ghouri, Syed ʿAbdul Majid. (2021). </w:t>
      </w:r>
      <w:r>
        <w:rPr>
          <w:i/>
          <w:lang w:val="en-GB"/>
        </w:rPr>
        <w:t>Al-Taʿrīf al-Wajīz bi-Manāhij Ashhar al-Muṣannifīn fī al-Ḥadīth</w:t>
      </w:r>
      <w:r>
        <w:rPr>
          <w:lang w:val="en-GB"/>
        </w:rPr>
        <w:t>. Beirut: Dār Ibn Kathīr.</w:t>
      </w:r>
    </w:p>
    <w:p w:rsidR="000F4D2B" w:rsidRDefault="005D4EDA">
      <w:pPr>
        <w:pStyle w:val="Reference"/>
        <w:spacing w:before="240" w:after="240" w:line="240" w:lineRule="auto"/>
        <w:ind w:left="648" w:right="504" w:hanging="432"/>
      </w:pPr>
      <w:r>
        <w:rPr>
          <w:lang w:val="en-GB"/>
        </w:rPr>
        <w:t xml:space="preserve">13. Ghouri, Syed ʿAbdul Majid. (2025). </w:t>
      </w:r>
      <w:r>
        <w:rPr>
          <w:i/>
          <w:lang w:val="en-GB"/>
        </w:rPr>
        <w:t>Muʿjam al-Muṣṭalaḥāt al-Ḥadīthiyyah</w:t>
      </w:r>
      <w:r>
        <w:rPr>
          <w:lang w:val="en-GB"/>
        </w:rPr>
        <w:t>. Beirut: Dār Ibn Kathīr.</w:t>
      </w:r>
    </w:p>
    <w:p w:rsidR="000F4D2B" w:rsidRDefault="005D4EDA">
      <w:pPr>
        <w:pStyle w:val="Reference"/>
        <w:spacing w:before="240" w:after="240" w:line="240" w:lineRule="auto"/>
        <w:ind w:left="648" w:right="504" w:hanging="432"/>
      </w:pPr>
      <w:r>
        <w:rPr>
          <w:lang w:val="en-GB"/>
        </w:rPr>
        <w:t xml:space="preserve">14. Ibn Ḥajar al-ʿAsqalānī, Abū al-Faḍl Shihāb al-Dīn Aḥmad b. ʿAlī. (2000). </w:t>
      </w:r>
      <w:r>
        <w:rPr>
          <w:i/>
          <w:lang w:val="en-GB"/>
        </w:rPr>
        <w:t>Sharḥ Nukhbat al-Fikar</w:t>
      </w:r>
      <w:r>
        <w:rPr>
          <w:lang w:val="en-GB"/>
        </w:rPr>
        <w:t>. Edited by Nūr al-Dīn ʿItr. 3rd ed. Cairo: Dār al-Baṣāʾir.</w:t>
      </w:r>
    </w:p>
    <w:p w:rsidR="000F4D2B" w:rsidRDefault="005D4EDA">
      <w:pPr>
        <w:pStyle w:val="Reference"/>
        <w:spacing w:before="240" w:after="240" w:line="240" w:lineRule="auto"/>
        <w:ind w:left="648" w:right="504" w:hanging="432"/>
      </w:pPr>
      <w:r>
        <w:rPr>
          <w:lang w:val="en-GB"/>
        </w:rPr>
        <w:lastRenderedPageBreak/>
        <w:t xml:space="preserve">15. Ibn Ḥajar al-ʿAsqalānī, Abū al-Faḍl Shihāb al-Dīn Aḥmad b. ʿAlī. (2005). </w:t>
      </w:r>
      <w:r>
        <w:rPr>
          <w:i/>
          <w:lang w:val="en-GB"/>
        </w:rPr>
        <w:t>Fatḥ al-Bārī bi-Sharḥ Ṣaḥīḥ al-Bukhārī</w:t>
      </w:r>
      <w:r>
        <w:rPr>
          <w:lang w:val="en-GB"/>
        </w:rPr>
        <w:t>. Edited by Abū Qutaybah Naẓar Muḥammad al-Fāryābī. 1st ed. Riyadh: Dār Ṭaybah.</w:t>
      </w:r>
    </w:p>
    <w:p w:rsidR="000F4D2B" w:rsidRDefault="005D4EDA">
      <w:pPr>
        <w:pStyle w:val="Reference"/>
        <w:spacing w:before="240" w:after="240" w:line="240" w:lineRule="auto"/>
        <w:ind w:left="648" w:right="504" w:hanging="432"/>
      </w:pPr>
      <w:r>
        <w:rPr>
          <w:lang w:val="en-GB"/>
        </w:rPr>
        <w:t xml:space="preserve">16. Ibn Mājah, Abū ʿAbd Allāh Muḥammad b. Yazīd al-Rabaʿī. (1999). </w:t>
      </w:r>
      <w:r>
        <w:rPr>
          <w:i/>
          <w:lang w:val="en-GB"/>
        </w:rPr>
        <w:t>Al-Sunan</w:t>
      </w:r>
      <w:r>
        <w:rPr>
          <w:lang w:val="en-GB"/>
        </w:rPr>
        <w:t>. 1st ed. Riyadh: Dār al-Salām.</w:t>
      </w:r>
    </w:p>
    <w:sectPr w:rsidR="000F4D2B" w:rsidSect="00034616">
      <w:footerReference w:type="default" r:id="rId9"/>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1B8" w:rsidRDefault="003031B8">
      <w:pPr>
        <w:spacing w:before="0" w:after="0"/>
      </w:pPr>
      <w:r>
        <w:separator/>
      </w:r>
    </w:p>
  </w:endnote>
  <w:endnote w:type="continuationSeparator" w:id="0">
    <w:p w:rsidR="003031B8" w:rsidRDefault="00303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F1" w:rsidRDefault="00C54EF1">
    <w:pPr>
      <w:pStyle w:val="Footer"/>
      <w:jc w:val="center"/>
    </w:pPr>
    <w:r>
      <w:fldChar w:fldCharType="begin"/>
    </w:r>
    <w:r>
      <w:instrText xml:space="preserve"> PAGE   \* MERGEFORMAT </w:instrText>
    </w:r>
    <w:r>
      <w:fldChar w:fldCharType="separate"/>
    </w:r>
    <w:r w:rsidR="00F826F1">
      <w:rPr>
        <w:noProof/>
      </w:rPr>
      <w:t>1</w:t>
    </w:r>
    <w:r>
      <w:fldChar w:fldCharType="end"/>
    </w:r>
  </w:p>
  <w:p w:rsidR="000F4D2B" w:rsidRDefault="000F4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1B8" w:rsidRDefault="003031B8">
      <w:pPr>
        <w:spacing w:before="0" w:after="0"/>
      </w:pPr>
      <w:r>
        <w:separator/>
      </w:r>
    </w:p>
  </w:footnote>
  <w:footnote w:type="continuationSeparator" w:id="0">
    <w:p w:rsidR="003031B8" w:rsidRDefault="003031B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rPr>
        <w:rFonts w:cs="Times New Roman"/>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rPr>
        <w:rFonts w:cs="Times New Roman"/>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8"/>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66BF9"/>
    <w:rsid w:val="000F4D2B"/>
    <w:rsid w:val="0015074B"/>
    <w:rsid w:val="0029639D"/>
    <w:rsid w:val="003031B8"/>
    <w:rsid w:val="00326F90"/>
    <w:rsid w:val="005D4EDA"/>
    <w:rsid w:val="00634A1F"/>
    <w:rsid w:val="008A4A2A"/>
    <w:rsid w:val="00986C87"/>
    <w:rsid w:val="00AA1D8D"/>
    <w:rsid w:val="00B47730"/>
    <w:rsid w:val="00C54EF1"/>
    <w:rsid w:val="00CB0664"/>
    <w:rsid w:val="00CF157D"/>
    <w:rsid w:val="00F826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693F"/>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FC693F"/>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FC693F"/>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FC693F"/>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FC693F"/>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semiHidden/>
    <w:locked/>
    <w:rsid w:val="00FC693F"/>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FC693F"/>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FC693F"/>
    <w:rPr>
      <w:rFonts w:asciiTheme="majorHAnsi" w:eastAsiaTheme="majorEastAsia" w:hAnsiTheme="majorHAnsi" w:cs="Times New Roman"/>
      <w:color w:val="4F81BD" w:themeColor="accent1"/>
      <w:sz w:val="20"/>
      <w:szCs w:val="20"/>
    </w:rPr>
  </w:style>
  <w:style w:type="character" w:customStyle="1" w:styleId="Heading9Char">
    <w:name w:val="Heading 9 Char"/>
    <w:basedOn w:val="DefaultParagraphFont"/>
    <w:link w:val="Heading9"/>
    <w:uiPriority w:val="9"/>
    <w:semiHidden/>
    <w:locked/>
    <w:rsid w:val="00FC693F"/>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rFonts w:cs="Times New Roman"/>
    </w:rPr>
  </w:style>
  <w:style w:type="paragraph" w:styleId="NoSpacing">
    <w:name w:val="No Spacing"/>
    <w:uiPriority w:val="1"/>
    <w:qFormat/>
    <w:rsid w:val="00FC693F"/>
    <w:pPr>
      <w:spacing w:after="0" w:line="240" w:lineRule="auto"/>
    </w:p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C693F"/>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i/>
      <w:iCs/>
      <w:color w:val="4F81BD" w:themeColor="accent1"/>
      <w:spacing w:val="15"/>
      <w:szCs w:val="24"/>
    </w:rPr>
  </w:style>
  <w:style w:type="character" w:customStyle="1" w:styleId="SubtitleChar">
    <w:name w:val="Subtitle Char"/>
    <w:basedOn w:val="DefaultParagraphFont"/>
    <w:link w:val="Subtitle"/>
    <w:uiPriority w:val="11"/>
    <w:locked/>
    <w:rsid w:val="00FC693F"/>
    <w:rPr>
      <w:rFonts w:asciiTheme="majorHAnsi" w:eastAsiaTheme="majorEastAsia" w:hAnsiTheme="majorHAnsi" w:cs="Times New Roman"/>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locked/>
    <w:rsid w:val="0029639D"/>
    <w:rPr>
      <w:rFonts w:ascii="Courier" w:hAnsi="Courier" w:cs="Times New Roman"/>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locked/>
    <w:rsid w:val="00FC693F"/>
    <w:rPr>
      <w:rFonts w:cs="Times New Roman"/>
      <w:i/>
      <w:iCs/>
      <w:color w:val="000000" w:themeColor="text1"/>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rFonts w:cs="Times New Roman"/>
      <w:b/>
      <w:bCs/>
    </w:rPr>
  </w:style>
  <w:style w:type="character" w:styleId="Emphasis">
    <w:name w:val="Emphasis"/>
    <w:basedOn w:val="DefaultParagraphFont"/>
    <w:uiPriority w:val="20"/>
    <w:qFormat/>
    <w:rsid w:val="00FC693F"/>
    <w:rPr>
      <w:rFonts w:cs="Times New Roman"/>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FC693F"/>
    <w:rPr>
      <w:rFonts w:cs="Times New Roman"/>
      <w:b/>
      <w:bCs/>
      <w:i/>
      <w:iCs/>
      <w:color w:val="4F81BD" w:themeColor="accent1"/>
    </w:rPr>
  </w:style>
  <w:style w:type="character" w:styleId="SubtleEmphasis">
    <w:name w:val="Subtle Emphasis"/>
    <w:basedOn w:val="DefaultParagraphFont"/>
    <w:uiPriority w:val="19"/>
    <w:qFormat/>
    <w:rsid w:val="00FC693F"/>
    <w:rPr>
      <w:rFonts w:cs="Times New Roman"/>
      <w:i/>
      <w:iCs/>
      <w:color w:val="808080" w:themeColor="text1" w:themeTint="7F"/>
    </w:rPr>
  </w:style>
  <w:style w:type="character" w:styleId="IntenseEmphasis">
    <w:name w:val="Intense Emphasis"/>
    <w:basedOn w:val="DefaultParagraphFont"/>
    <w:uiPriority w:val="21"/>
    <w:qFormat/>
    <w:rsid w:val="00FC693F"/>
    <w:rPr>
      <w:rFonts w:cs="Times New Roman"/>
      <w:b/>
      <w:bCs/>
      <w:i/>
      <w:iCs/>
      <w:color w:val="4F81BD" w:themeColor="accent1"/>
    </w:rPr>
  </w:style>
  <w:style w:type="character" w:styleId="SubtleReference">
    <w:name w:val="Subtle Reference"/>
    <w:basedOn w:val="DefaultParagraphFont"/>
    <w:uiPriority w:val="31"/>
    <w:qFormat/>
    <w:rsid w:val="00FC693F"/>
    <w:rPr>
      <w:rFonts w:cs="Times New Roman"/>
      <w:smallCaps/>
      <w:color w:val="C0504D" w:themeColor="accent2"/>
      <w:u w:val="single"/>
    </w:rPr>
  </w:style>
  <w:style w:type="character" w:styleId="IntenseReference">
    <w:name w:val="Intense Reference"/>
    <w:basedOn w:val="DefaultParagraphFont"/>
    <w:uiPriority w:val="32"/>
    <w:qFormat/>
    <w:rsid w:val="00FC693F"/>
    <w:rPr>
      <w:rFonts w:cs="Times New Roman"/>
      <w:b/>
      <w:bCs/>
      <w:smallCaps/>
      <w:color w:val="C0504D" w:themeColor="accent2"/>
      <w:spacing w:val="5"/>
      <w:u w:val="single"/>
    </w:rPr>
  </w:style>
  <w:style w:type="character" w:styleId="BookTitle">
    <w:name w:val="Book Title"/>
    <w:basedOn w:val="DefaultParagraphFont"/>
    <w:uiPriority w:val="33"/>
    <w:qFormat/>
    <w:rsid w:val="00FC693F"/>
    <w:rPr>
      <w:rFonts w:cs="Times New Roman"/>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8064A2" w:themeFill="accent4"/>
      </w:tcPr>
    </w:tblStylePr>
    <w:tblStylePr w:type="lastRow">
      <w:pPr>
        <w:spacing w:before="0" w:after="0"/>
      </w:pPr>
      <w:rPr>
        <w:rFonts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imes New Roman"/>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hemeFill="accent2" w:themeFillTint="3F"/>
      </w:tcPr>
    </w:tblStylePr>
    <w:tblStylePr w:type="band1Horz">
      <w:rPr>
        <w:rFonts w:cs="Times New Roman"/>
      </w:rPr>
      <w:tblPr/>
      <w:tcPr>
        <w:tcBorders>
          <w:insideH w:val="nil"/>
          <w:insideV w:val="nil"/>
        </w:tcBorders>
        <w:shd w:val="clear" w:color="auto" w:fill="EFD3D2"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rFonts w:cs="Times New Roman"/>
        <w:b/>
        <w:bCs/>
        <w:color w:val="FFFFFF" w:themeColor="background1"/>
      </w:rPr>
      <w:tblPr/>
      <w:tcPr>
        <w:tcBorders>
          <w:left w:val="nil"/>
          <w:right w:val="nil"/>
          <w:insideH w:val="nil"/>
          <w:insideV w:val="nil"/>
        </w:tcBorders>
        <w:shd w:val="clear" w:color="auto" w:fill="C0504D"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rFonts w:cs="Times New Roman"/>
        <w:b/>
        <w:bCs/>
        <w:color w:val="FFFFFF" w:themeColor="background1"/>
      </w:rPr>
      <w:tblPr/>
      <w:tcPr>
        <w:tcBorders>
          <w:left w:val="nil"/>
          <w:right w:val="nil"/>
          <w:insideH w:val="nil"/>
          <w:insideV w:val="nil"/>
        </w:tcBorders>
        <w:shd w:val="clear" w:color="auto" w:fill="9BBB59"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8064A2" w:themeColor="accent4"/>
        </w:tcBorders>
      </w:tcPr>
    </w:tblStylePr>
    <w:tblStylePr w:type="lastRow">
      <w:rPr>
        <w:rFonts w:cs="Times New Roman"/>
        <w:b/>
        <w:bCs/>
        <w:color w:val="1F497D" w:themeColor="text2"/>
      </w:rPr>
      <w:tblPr/>
      <w:tcPr>
        <w:tcBorders>
          <w:top w:val="single" w:sz="8" w:space="0" w:color="8064A2" w:themeColor="accent4"/>
          <w:bottom w:val="single" w:sz="8" w:space="0" w:color="8064A2" w:themeColor="accent4"/>
        </w:tcBorders>
      </w:tcPr>
    </w:tblStylePr>
    <w:tblStylePr w:type="firstCol">
      <w:rPr>
        <w:rFonts w:cs="Times New Roman"/>
        <w:b/>
        <w:bCs/>
      </w:rPr>
    </w:tblStylePr>
    <w:tblStylePr w:type="lastCol">
      <w:rPr>
        <w:rFonts w:cs="Times New Roman"/>
        <w:b/>
        <w:bCs/>
      </w:rPr>
      <w:tblPr/>
      <w:tcPr>
        <w:tcBorders>
          <w:top w:val="single" w:sz="8" w:space="0" w:color="8064A2" w:themeColor="accent4"/>
          <w:bottom w:val="single" w:sz="8" w:space="0" w:color="8064A2" w:themeColor="accent4"/>
        </w:tcBorders>
      </w:tcPr>
    </w:tblStylePr>
    <w:tblStylePr w:type="band1Vert">
      <w:rPr>
        <w:rFonts w:cs="Times New Roman"/>
      </w:rPr>
      <w:tblPr/>
      <w:tcPr>
        <w:shd w:val="clear" w:color="auto" w:fill="DFD8E8" w:themeFill="accent4" w:themeFillTint="3F"/>
      </w:tcPr>
    </w:tblStylePr>
    <w:tblStylePr w:type="band1Horz">
      <w:rPr>
        <w:rFonts w:cs="Times New Roman"/>
      </w:rPr>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79646" w:themeColor="accent6"/>
        </w:tcBorders>
      </w:tcPr>
    </w:tblStylePr>
    <w:tblStylePr w:type="lastRow">
      <w:rPr>
        <w:rFonts w:cs="Times New Roman"/>
        <w:b/>
        <w:bCs/>
        <w:color w:val="1F497D" w:themeColor="text2"/>
      </w:rPr>
      <w:tblPr/>
      <w:tcPr>
        <w:tcBorders>
          <w:top w:val="single" w:sz="8" w:space="0" w:color="F79646" w:themeColor="accent6"/>
          <w:bottom w:val="single" w:sz="8" w:space="0" w:color="F79646" w:themeColor="accent6"/>
        </w:tcBorders>
      </w:tcPr>
    </w:tblStylePr>
    <w:tblStylePr w:type="firstCol">
      <w:rPr>
        <w:rFonts w:cs="Times New Roman"/>
        <w:b/>
        <w:bCs/>
      </w:rPr>
    </w:tblStylePr>
    <w:tblStylePr w:type="lastCol">
      <w:rPr>
        <w:rFonts w:cs="Times New Roman"/>
        <w:b/>
        <w:bCs/>
      </w:rPr>
      <w:tblPr/>
      <w:tcPr>
        <w:tcBorders>
          <w:top w:val="single" w:sz="8" w:space="0" w:color="F79646" w:themeColor="accent6"/>
          <w:bottom w:val="single" w:sz="8" w:space="0" w:color="F79646" w:themeColor="accent6"/>
        </w:tcBorders>
      </w:tcPr>
    </w:tblStylePr>
    <w:tblStylePr w:type="band1Vert">
      <w:rPr>
        <w:rFonts w:cs="Times New Roman"/>
      </w:rPr>
      <w:tblPr/>
      <w:tcPr>
        <w:shd w:val="clear" w:color="auto" w:fill="FDE4D0" w:themeFill="accent6" w:themeFillTint="3F"/>
      </w:tcPr>
    </w:tblStylePr>
    <w:tblStylePr w:type="band1Horz">
      <w:rPr>
        <w:rFonts w:cs="Times New Roman"/>
      </w:rPr>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imes New Roman"/>
        <w:b/>
        <w:bCs/>
      </w:rPr>
    </w:tblStylePr>
    <w:tblStylePr w:type="lastRow">
      <w:rPr>
        <w:rFonts w:cs="Times New Roman"/>
        <w:b/>
        <w:bCs/>
      </w:rPr>
      <w:tblPr/>
      <w:tcPr>
        <w:tcBorders>
          <w:top w:val="single" w:sz="18" w:space="0" w:color="7BA0CD"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rFonts w:cs="Times New Roman"/>
        <w:b/>
        <w:bCs/>
      </w:rPr>
    </w:tblStylePr>
    <w:tblStylePr w:type="lastRow">
      <w:rPr>
        <w:rFonts w:cs="Times New Roman"/>
        <w:b/>
        <w:bCs/>
      </w:rPr>
      <w:tblPr/>
      <w:tcPr>
        <w:tcBorders>
          <w:top w:val="single" w:sz="18" w:space="0" w:color="B3CC82"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rFonts w:cs="Times New Roman"/>
        <w:b/>
        <w:bCs/>
      </w:rPr>
    </w:tblStylePr>
    <w:tblStylePr w:type="lastRow">
      <w:rPr>
        <w:rFonts w:cs="Times New Roman"/>
        <w:b/>
        <w:bCs/>
      </w:rPr>
      <w:tblPr/>
      <w:tcPr>
        <w:tcBorders>
          <w:top w:val="single" w:sz="18" w:space="0" w:color="F9B074"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rPr>
        <w:rFonts w:cs="Times New Roman"/>
      </w:rPr>
      <w:tblPr/>
      <w:tcPr>
        <w:tcBorders>
          <w:top w:val="nil"/>
          <w:left w:val="nil"/>
          <w:bottom w:val="nil"/>
          <w:right w:val="nil"/>
          <w:insideH w:val="nil"/>
          <w:insideV w:val="nil"/>
        </w:tcBorders>
        <w:shd w:val="clear" w:color="auto" w:fill="365F91" w:themeFill="accent1" w:themeFillShade="BF"/>
      </w:tcPr>
    </w:tblStylePr>
    <w:tblStylePr w:type="band1Horz">
      <w:rPr>
        <w:rFonts w:cs="Times New Roman"/>
      </w:rPr>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rPr>
        <w:rFonts w:cs="Times New Roman"/>
      </w:rPr>
      <w:tblPr/>
      <w:tcPr>
        <w:tcBorders>
          <w:top w:val="nil"/>
          <w:left w:val="nil"/>
          <w:bottom w:val="nil"/>
          <w:right w:val="nil"/>
          <w:insideH w:val="nil"/>
          <w:insideV w:val="nil"/>
        </w:tcBorders>
        <w:shd w:val="clear" w:color="auto" w:fill="943634" w:themeFill="accent2" w:themeFillShade="BF"/>
      </w:tcPr>
    </w:tblStylePr>
    <w:tblStylePr w:type="band1Horz">
      <w:rPr>
        <w:rFonts w:cs="Times New Roman"/>
      </w:rPr>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rPr>
        <w:rFonts w:cs="Times New Roman"/>
      </w:rPr>
      <w:tblPr/>
      <w:tcPr>
        <w:tcBorders>
          <w:top w:val="nil"/>
          <w:left w:val="nil"/>
          <w:bottom w:val="nil"/>
          <w:right w:val="nil"/>
          <w:insideH w:val="nil"/>
          <w:insideV w:val="nil"/>
        </w:tcBorders>
        <w:shd w:val="clear" w:color="auto" w:fill="76923C" w:themeFill="accent3" w:themeFillShade="BF"/>
      </w:tcPr>
    </w:tblStylePr>
    <w:tblStylePr w:type="band1Horz">
      <w:rPr>
        <w:rFonts w:cs="Times New Roman"/>
      </w:rPr>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rPr>
        <w:rFonts w:cs="Times New Roman"/>
      </w:rPr>
      <w:tblPr/>
      <w:tcPr>
        <w:tcBorders>
          <w:top w:val="nil"/>
          <w:left w:val="nil"/>
          <w:bottom w:val="nil"/>
          <w:right w:val="nil"/>
          <w:insideH w:val="nil"/>
          <w:insideV w:val="nil"/>
        </w:tcBorders>
        <w:shd w:val="clear" w:color="auto" w:fill="5F497A" w:themeFill="accent4" w:themeFillShade="BF"/>
      </w:tcPr>
    </w:tblStylePr>
    <w:tblStylePr w:type="band1Horz">
      <w:rPr>
        <w:rFonts w:cs="Times New Roman"/>
      </w:rPr>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rPr>
        <w:rFonts w:cs="Times New Roman"/>
      </w:rPr>
      <w:tblPr/>
      <w:tcPr>
        <w:tcBorders>
          <w:top w:val="nil"/>
          <w:left w:val="nil"/>
          <w:bottom w:val="nil"/>
          <w:right w:val="nil"/>
          <w:insideH w:val="nil"/>
          <w:insideV w:val="nil"/>
        </w:tcBorders>
        <w:shd w:val="clear" w:color="auto" w:fill="31849B" w:themeFill="accent5" w:themeFillShade="BF"/>
      </w:tcPr>
    </w:tblStylePr>
    <w:tblStylePr w:type="band1Horz">
      <w:rPr>
        <w:rFonts w:cs="Times New Roman"/>
      </w:rPr>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rPr>
        <w:rFonts w:cs="Times New Roman"/>
      </w:rPr>
      <w:tblPr/>
      <w:tcPr>
        <w:tcBorders>
          <w:top w:val="nil"/>
          <w:left w:val="nil"/>
          <w:bottom w:val="nil"/>
          <w:right w:val="nil"/>
          <w:insideH w:val="nil"/>
          <w:insideV w:val="nil"/>
        </w:tcBorders>
        <w:shd w:val="clear" w:color="auto" w:fill="E36C0A" w:themeFill="accent6" w:themeFillShade="BF"/>
      </w:tcPr>
    </w:tblStylePr>
    <w:tblStylePr w:type="band1Horz">
      <w:rPr>
        <w:rFonts w:cs="Times New Roman"/>
      </w:rPr>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772C2A"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DFA7A6"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rFonts w:cs="Times New Roman"/>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rFonts w:cs="Times New Roman"/>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C3B62"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BFB1D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rFonts w:cs="Times New Roman"/>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76A7C"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A5D5E2"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rFonts w:cs="Times New Roman"/>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B65608"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CAA2"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hemeFill="accent2" w:themeFillTint="3F"/>
      </w:tcPr>
    </w:tblStylePr>
    <w:tblStylePr w:type="band1Horz">
      <w:rPr>
        <w:rFonts w:cs="Times New Roman"/>
      </w:rPr>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rFonts w:cs="Times New Roman"/>
        <w:b/>
        <w:bCs/>
        <w:color w:val="7E9C40"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hemeFill="accent4" w:themeFillTint="3F"/>
      </w:tcPr>
    </w:tblStylePr>
    <w:tblStylePr w:type="band1Horz">
      <w:rPr>
        <w:rFonts w:cs="Times New Roman"/>
      </w:rPr>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rFonts w:cs="Times New Roman"/>
        <w:b/>
        <w:bCs/>
        <w:color w:val="F2730A"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hemeFill="accent5" w:themeFillTint="3F"/>
      </w:tcPr>
    </w:tblStylePr>
    <w:tblStylePr w:type="band1Horz">
      <w:rPr>
        <w:rFonts w:cs="Times New Roman"/>
      </w:rPr>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rFonts w:cs="Times New Roman"/>
        <w:b/>
        <w:bCs/>
        <w:color w:val="348DA5"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hemeFill="accent6" w:themeFillTint="3F"/>
      </w:tcPr>
    </w:tblStylePr>
    <w:tblStylePr w:type="band1Horz">
      <w:rPr>
        <w:rFonts w:cs="Times New Roman"/>
      </w:rPr>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rFonts w:cs="Times New Roman"/>
        <w:b/>
        <w:bCs/>
      </w:rPr>
      <w:tblPr/>
      <w:tcPr>
        <w:shd w:val="clear" w:color="auto" w:fill="B6DDE8" w:themeFill="accent5" w:themeFillTint="66"/>
      </w:tcPr>
    </w:tblStylePr>
    <w:tblStylePr w:type="lastRow">
      <w:rPr>
        <w:rFonts w:cs="Times New Roman"/>
        <w:b/>
        <w:bCs/>
        <w:color w:val="000000" w:themeColor="text1"/>
      </w:rPr>
      <w:tblPr/>
      <w:tcPr>
        <w:shd w:val="clear" w:color="auto" w:fill="B6DDE8" w:themeFill="accent5" w:themeFillTint="66"/>
      </w:tcPr>
    </w:tblStylePr>
    <w:tblStylePr w:type="firstCol">
      <w:rPr>
        <w:rFonts w:cs="Times New Roman"/>
        <w:color w:val="FFFFFF" w:themeColor="background1"/>
      </w:rPr>
      <w:tblPr/>
      <w:tcPr>
        <w:shd w:val="clear" w:color="auto" w:fill="31849B" w:themeFill="accent5" w:themeFillShade="BF"/>
      </w:tcPr>
    </w:tblStylePr>
    <w:tblStylePr w:type="lastCol">
      <w:rPr>
        <w:rFonts w:cs="Times New Roman"/>
        <w:color w:val="FFFFFF" w:themeColor="background1"/>
      </w:rPr>
      <w:tblPr/>
      <w:tcPr>
        <w:shd w:val="clear" w:color="auto" w:fill="31849B" w:themeFill="accent5" w:themeFillShade="BF"/>
      </w:tc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rFonts w:cs="Times New Roman"/>
        <w:b/>
        <w:bCs/>
      </w:rPr>
      <w:tblPr/>
      <w:tcPr>
        <w:shd w:val="clear" w:color="auto" w:fill="FBD4B4" w:themeFill="accent6" w:themeFillTint="66"/>
      </w:tcPr>
    </w:tblStylePr>
    <w:tblStylePr w:type="lastRow">
      <w:rPr>
        <w:rFonts w:cs="Times New Roman"/>
        <w:b/>
        <w:bCs/>
        <w:color w:val="000000" w:themeColor="text1"/>
      </w:rPr>
      <w:tblPr/>
      <w:tcPr>
        <w:shd w:val="clear" w:color="auto" w:fill="FBD4B4" w:themeFill="accent6" w:themeFillTint="66"/>
      </w:tcPr>
    </w:tblStylePr>
    <w:tblStylePr w:type="firstCol">
      <w:rPr>
        <w:rFonts w:cs="Times New Roman"/>
        <w:color w:val="FFFFFF" w:themeColor="background1"/>
      </w:rPr>
      <w:tblPr/>
      <w:tcPr>
        <w:shd w:val="clear" w:color="auto" w:fill="E36C0A" w:themeFill="accent6" w:themeFillShade="BF"/>
      </w:tcPr>
    </w:tblStylePr>
    <w:tblStylePr w:type="lastCol">
      <w:rPr>
        <w:rFonts w:cs="Times New Roman"/>
        <w:color w:val="FFFFFF" w:themeColor="background1"/>
      </w:rPr>
      <w:tblPr/>
      <w:tcPr>
        <w:shd w:val="clear" w:color="auto" w:fill="E36C0A" w:themeFill="accent6" w:themeFillShade="BF"/>
      </w:tc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paragraph" w:customStyle="1" w:styleId="Body">
    <w:name w:val="Body"/>
    <w:rPr>
      <w:rFonts w:ascii="Times New Roman" w:hAnsi="Times New Roman"/>
      <w:sz w:val="24"/>
    </w:rPr>
  </w:style>
  <w:style w:type="paragraph" w:customStyle="1" w:styleId="MainHeading">
    <w:name w:val="Main Heading"/>
    <w:rPr>
      <w:rFonts w:ascii="Times New Roman" w:hAnsi="Times New Roman"/>
      <w:sz w:val="24"/>
    </w:rPr>
  </w:style>
  <w:style w:type="paragraph" w:customStyle="1" w:styleId="Subheading">
    <w:name w:val="Subheading"/>
    <w:rPr>
      <w:rFonts w:ascii="Times New Roman" w:hAnsi="Times New Roman"/>
      <w:sz w:val="24"/>
    </w:rPr>
  </w:style>
  <w:style w:type="paragraph" w:customStyle="1" w:styleId="NumberedItem">
    <w:name w:val="Numbered Item"/>
    <w:rPr>
      <w:rFonts w:ascii="Times New Roman" w:hAnsi="Times New Roman"/>
      <w:sz w:val="24"/>
    </w:rPr>
  </w:style>
  <w:style w:type="paragraph" w:customStyle="1" w:styleId="Reference">
    <w:name w:val="Referenc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240" w:after="240" w:line="24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693F"/>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locked/>
    <w:rsid w:val="00FC693F"/>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locked/>
    <w:rsid w:val="00FC693F"/>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FC693F"/>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FC693F"/>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semiHidden/>
    <w:locked/>
    <w:rsid w:val="00FC693F"/>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FC693F"/>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FC693F"/>
    <w:rPr>
      <w:rFonts w:asciiTheme="majorHAnsi" w:eastAsiaTheme="majorEastAsia" w:hAnsiTheme="majorHAnsi" w:cs="Times New Roman"/>
      <w:color w:val="4F81BD" w:themeColor="accent1"/>
      <w:sz w:val="20"/>
      <w:szCs w:val="20"/>
    </w:rPr>
  </w:style>
  <w:style w:type="character" w:customStyle="1" w:styleId="Heading9Char">
    <w:name w:val="Heading 9 Char"/>
    <w:basedOn w:val="DefaultParagraphFont"/>
    <w:link w:val="Heading9"/>
    <w:uiPriority w:val="9"/>
    <w:semiHidden/>
    <w:locked/>
    <w:rsid w:val="00FC693F"/>
    <w:rPr>
      <w:rFonts w:asciiTheme="majorHAnsi" w:eastAsiaTheme="majorEastAsia" w:hAnsiTheme="majorHAnsi" w:cs="Times New Roman"/>
      <w:i/>
      <w:iCs/>
      <w:color w:val="404040" w:themeColor="text1" w:themeTint="BF"/>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locked/>
    <w:rPr>
      <w:rFonts w:cs="Times New Roman"/>
    </w:rPr>
  </w:style>
  <w:style w:type="paragraph" w:styleId="NoSpacing">
    <w:name w:val="No Spacing"/>
    <w:uiPriority w:val="1"/>
    <w:qFormat/>
    <w:rsid w:val="00FC693F"/>
    <w:pPr>
      <w:spacing w:after="0" w:line="240" w:lineRule="auto"/>
    </w:p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FC693F"/>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i/>
      <w:iCs/>
      <w:color w:val="4F81BD" w:themeColor="accent1"/>
      <w:spacing w:val="15"/>
      <w:szCs w:val="24"/>
    </w:rPr>
  </w:style>
  <w:style w:type="character" w:customStyle="1" w:styleId="SubtitleChar">
    <w:name w:val="Subtitle Char"/>
    <w:basedOn w:val="DefaultParagraphFont"/>
    <w:link w:val="Subtitle"/>
    <w:uiPriority w:val="11"/>
    <w:locked/>
    <w:rsid w:val="00FC693F"/>
    <w:rPr>
      <w:rFonts w:asciiTheme="majorHAnsi" w:eastAsiaTheme="majorEastAsia" w:hAnsiTheme="majorHAnsi" w:cs="Times New Roman"/>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11"/>
      </w:numPr>
      <w:contextualSpacing/>
    </w:pPr>
  </w:style>
  <w:style w:type="paragraph" w:styleId="ListNumber2">
    <w:name w:val="List Number 2"/>
    <w:basedOn w:val="Normal"/>
    <w:uiPriority w:val="99"/>
    <w:unhideWhenUsed/>
    <w:rsid w:val="0029639D"/>
    <w:pPr>
      <w:numPr>
        <w:numId w:val="12"/>
      </w:numPr>
      <w:contextualSpacing/>
    </w:pPr>
  </w:style>
  <w:style w:type="paragraph" w:styleId="ListNumber3">
    <w:name w:val="List Number 3"/>
    <w:basedOn w:val="Normal"/>
    <w:uiPriority w:val="99"/>
    <w:unhideWhenUsed/>
    <w:rsid w:val="0029639D"/>
    <w:pPr>
      <w:numPr>
        <w:numId w:val="1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locked/>
    <w:rsid w:val="0029639D"/>
    <w:rPr>
      <w:rFonts w:ascii="Courier" w:hAnsi="Courier" w:cs="Times New Roman"/>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locked/>
    <w:rsid w:val="00FC693F"/>
    <w:rPr>
      <w:rFonts w:cs="Times New Roman"/>
      <w:i/>
      <w:iCs/>
      <w:color w:val="000000" w:themeColor="text1"/>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rFonts w:cs="Times New Roman"/>
      <w:b/>
      <w:bCs/>
    </w:rPr>
  </w:style>
  <w:style w:type="character" w:styleId="Emphasis">
    <w:name w:val="Emphasis"/>
    <w:basedOn w:val="DefaultParagraphFont"/>
    <w:uiPriority w:val="20"/>
    <w:qFormat/>
    <w:rsid w:val="00FC693F"/>
    <w:rPr>
      <w:rFonts w:cs="Times New Roman"/>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locked/>
    <w:rsid w:val="00FC693F"/>
    <w:rPr>
      <w:rFonts w:cs="Times New Roman"/>
      <w:b/>
      <w:bCs/>
      <w:i/>
      <w:iCs/>
      <w:color w:val="4F81BD" w:themeColor="accent1"/>
    </w:rPr>
  </w:style>
  <w:style w:type="character" w:styleId="SubtleEmphasis">
    <w:name w:val="Subtle Emphasis"/>
    <w:basedOn w:val="DefaultParagraphFont"/>
    <w:uiPriority w:val="19"/>
    <w:qFormat/>
    <w:rsid w:val="00FC693F"/>
    <w:rPr>
      <w:rFonts w:cs="Times New Roman"/>
      <w:i/>
      <w:iCs/>
      <w:color w:val="808080" w:themeColor="text1" w:themeTint="7F"/>
    </w:rPr>
  </w:style>
  <w:style w:type="character" w:styleId="IntenseEmphasis">
    <w:name w:val="Intense Emphasis"/>
    <w:basedOn w:val="DefaultParagraphFont"/>
    <w:uiPriority w:val="21"/>
    <w:qFormat/>
    <w:rsid w:val="00FC693F"/>
    <w:rPr>
      <w:rFonts w:cs="Times New Roman"/>
      <w:b/>
      <w:bCs/>
      <w:i/>
      <w:iCs/>
      <w:color w:val="4F81BD" w:themeColor="accent1"/>
    </w:rPr>
  </w:style>
  <w:style w:type="character" w:styleId="SubtleReference">
    <w:name w:val="Subtle Reference"/>
    <w:basedOn w:val="DefaultParagraphFont"/>
    <w:uiPriority w:val="31"/>
    <w:qFormat/>
    <w:rsid w:val="00FC693F"/>
    <w:rPr>
      <w:rFonts w:cs="Times New Roman"/>
      <w:smallCaps/>
      <w:color w:val="C0504D" w:themeColor="accent2"/>
      <w:u w:val="single"/>
    </w:rPr>
  </w:style>
  <w:style w:type="character" w:styleId="IntenseReference">
    <w:name w:val="Intense Reference"/>
    <w:basedOn w:val="DefaultParagraphFont"/>
    <w:uiPriority w:val="32"/>
    <w:qFormat/>
    <w:rsid w:val="00FC693F"/>
    <w:rPr>
      <w:rFonts w:cs="Times New Roman"/>
      <w:b/>
      <w:bCs/>
      <w:smallCaps/>
      <w:color w:val="C0504D" w:themeColor="accent2"/>
      <w:spacing w:val="5"/>
      <w:u w:val="single"/>
    </w:rPr>
  </w:style>
  <w:style w:type="character" w:styleId="BookTitle">
    <w:name w:val="Book Title"/>
    <w:basedOn w:val="DefaultParagraphFont"/>
    <w:uiPriority w:val="33"/>
    <w:qFormat/>
    <w:rsid w:val="00FC693F"/>
    <w:rPr>
      <w:rFonts w:cs="Times New Roman"/>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pPr>
      <w:rPr>
        <w:rFonts w:cs="Times New Roman"/>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pPr>
      <w:rPr>
        <w:rFonts w:cs="Times New Roman"/>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pPr>
      <w:rPr>
        <w:rFonts w:cs="Times New Roman"/>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F81BD" w:themeFill="accent1"/>
      </w:tcPr>
    </w:tblStylePr>
    <w:tblStylePr w:type="lastRow">
      <w:pPr>
        <w:spacing w:before="0" w:after="0"/>
      </w:pPr>
      <w:rPr>
        <w:rFonts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8064A2" w:themeFill="accent4"/>
      </w:tcPr>
    </w:tblStylePr>
    <w:tblStylePr w:type="lastRow">
      <w:pPr>
        <w:spacing w:before="0" w:after="0"/>
      </w:pPr>
      <w:rPr>
        <w:rFonts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cs="Times New Roman"/>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imes New Roman"/>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imes New Roman"/>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hemeFill="accent1" w:themeFillTint="3F"/>
      </w:tcPr>
    </w:tblStylePr>
    <w:tblStylePr w:type="band1Horz">
      <w:rPr>
        <w:rFonts w:cs="Times New Roman"/>
      </w:rPr>
      <w:tblPr/>
      <w:tcPr>
        <w:tcBorders>
          <w:insideH w:val="nil"/>
          <w:insideV w:val="nil"/>
        </w:tcBorders>
        <w:shd w:val="clear" w:color="auto" w:fill="D3DFEE"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imes New Roman"/>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hemeFill="accent2" w:themeFillTint="3F"/>
      </w:tcPr>
    </w:tblStylePr>
    <w:tblStylePr w:type="band1Horz">
      <w:rPr>
        <w:rFonts w:cs="Times New Roman"/>
      </w:rPr>
      <w:tblPr/>
      <w:tcPr>
        <w:tcBorders>
          <w:insideH w:val="nil"/>
          <w:insideV w:val="nil"/>
        </w:tcBorders>
        <w:shd w:val="clear" w:color="auto" w:fill="EFD3D2"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pPr>
      <w:rPr>
        <w:rFonts w:cs="Times New Roman"/>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hemeFill="accent4" w:themeFillTint="3F"/>
      </w:tcPr>
    </w:tblStylePr>
    <w:tblStylePr w:type="band1Horz">
      <w:rPr>
        <w:rFonts w:cs="Times New Roman"/>
      </w:rPr>
      <w:tblPr/>
      <w:tcPr>
        <w:tcBorders>
          <w:insideH w:val="nil"/>
          <w:insideV w:val="nil"/>
        </w:tcBorders>
        <w:shd w:val="clear" w:color="auto" w:fill="DFD8E8"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imes New Roman"/>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hemeFill="accent6" w:themeFillTint="3F"/>
      </w:tcPr>
    </w:tblStylePr>
    <w:tblStylePr w:type="band1Horz">
      <w:rPr>
        <w:rFonts w:cs="Times New Roman"/>
      </w:rPr>
      <w:tblPr/>
      <w:tcPr>
        <w:tcBorders>
          <w:insideH w:val="nil"/>
          <w:insideV w:val="nil"/>
        </w:tcBorders>
        <w:shd w:val="clear" w:color="auto" w:fill="FDE4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rFonts w:cs="Times New Roman"/>
        <w:b/>
        <w:bCs/>
        <w:color w:val="FFFFFF" w:themeColor="background1"/>
      </w:rPr>
      <w:tblPr/>
      <w:tcPr>
        <w:tcBorders>
          <w:left w:val="nil"/>
          <w:right w:val="nil"/>
          <w:insideH w:val="nil"/>
          <w:insideV w:val="nil"/>
        </w:tcBorders>
        <w:shd w:val="clear" w:color="auto" w:fill="4F81BD"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rFonts w:cs="Times New Roman"/>
        <w:b/>
        <w:bCs/>
        <w:color w:val="FFFFFF" w:themeColor="background1"/>
      </w:rPr>
      <w:tblPr/>
      <w:tcPr>
        <w:tcBorders>
          <w:left w:val="nil"/>
          <w:right w:val="nil"/>
          <w:insideH w:val="nil"/>
          <w:insideV w:val="nil"/>
        </w:tcBorders>
        <w:shd w:val="clear" w:color="auto" w:fill="C0504D"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rFonts w:cs="Times New Roman"/>
        <w:b/>
        <w:bCs/>
        <w:color w:val="FFFFFF" w:themeColor="background1"/>
      </w:rPr>
      <w:tblPr/>
      <w:tcPr>
        <w:tcBorders>
          <w:left w:val="nil"/>
          <w:right w:val="nil"/>
          <w:insideH w:val="nil"/>
          <w:insideV w:val="nil"/>
        </w:tcBorders>
        <w:shd w:val="clear" w:color="auto" w:fill="9BBB59"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rFonts w:cs="Times New Roman"/>
        <w:b/>
        <w:bCs/>
        <w:color w:val="FFFFFF" w:themeColor="background1"/>
      </w:rPr>
      <w:tblPr/>
      <w:tcPr>
        <w:tcBorders>
          <w:left w:val="nil"/>
          <w:right w:val="nil"/>
          <w:insideH w:val="nil"/>
          <w:insideV w:val="nil"/>
        </w:tcBorders>
        <w:shd w:val="clear" w:color="auto" w:fill="8064A2"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rFonts w:cs="Times New Roman"/>
        <w:b/>
        <w:bCs/>
        <w:color w:val="FFFFFF" w:themeColor="background1"/>
      </w:rPr>
      <w:tblPr/>
      <w:tcPr>
        <w:tcBorders>
          <w:left w:val="nil"/>
          <w:right w:val="nil"/>
          <w:insideH w:val="nil"/>
          <w:insideV w:val="nil"/>
        </w:tcBorders>
        <w:shd w:val="clear" w:color="auto" w:fill="4BACC6"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rFonts w:cs="Times New Roman"/>
        <w:b/>
        <w:bCs/>
        <w:color w:val="FFFFFF" w:themeColor="background1"/>
      </w:rPr>
      <w:tblPr/>
      <w:tcPr>
        <w:tcBorders>
          <w:left w:val="nil"/>
          <w:right w:val="nil"/>
          <w:insideH w:val="nil"/>
          <w:insideV w:val="nil"/>
        </w:tcBorders>
        <w:shd w:val="clear" w:color="auto" w:fill="F79646"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F81BD" w:themeColor="accent1"/>
        </w:tcBorders>
      </w:tcPr>
    </w:tblStylePr>
    <w:tblStylePr w:type="lastRow">
      <w:rPr>
        <w:rFonts w:cs="Times New Roman"/>
        <w:b/>
        <w:bCs/>
        <w:color w:val="1F497D" w:themeColor="text2"/>
      </w:rPr>
      <w:tblPr/>
      <w:tcPr>
        <w:tcBorders>
          <w:top w:val="single" w:sz="8" w:space="0" w:color="4F81BD" w:themeColor="accent1"/>
          <w:bottom w:val="single" w:sz="8" w:space="0" w:color="4F81BD" w:themeColor="accent1"/>
        </w:tcBorders>
      </w:tcPr>
    </w:tblStylePr>
    <w:tblStylePr w:type="firstCol">
      <w:rPr>
        <w:rFonts w:cs="Times New Roman"/>
        <w:b/>
        <w:bCs/>
      </w:rPr>
    </w:tblStylePr>
    <w:tblStylePr w:type="lastCol">
      <w:rPr>
        <w:rFonts w:cs="Times New Roman"/>
        <w:b/>
        <w:bCs/>
      </w:rPr>
      <w:tblPr/>
      <w:tcPr>
        <w:tcBorders>
          <w:top w:val="single" w:sz="8" w:space="0" w:color="4F81BD" w:themeColor="accent1"/>
          <w:bottom w:val="single" w:sz="8" w:space="0" w:color="4F81BD" w:themeColor="accent1"/>
        </w:tcBorders>
      </w:tcPr>
    </w:tblStylePr>
    <w:tblStylePr w:type="band1Vert">
      <w:rPr>
        <w:rFonts w:cs="Times New Roman"/>
      </w:rPr>
      <w:tblPr/>
      <w:tcPr>
        <w:shd w:val="clear" w:color="auto" w:fill="D3DFEE" w:themeFill="accent1" w:themeFillTint="3F"/>
      </w:tcPr>
    </w:tblStylePr>
    <w:tblStylePr w:type="band1Horz">
      <w:rPr>
        <w:rFonts w:cs="Times New Roman"/>
      </w:rPr>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C0504D" w:themeColor="accent2"/>
        </w:tcBorders>
      </w:tcPr>
    </w:tblStylePr>
    <w:tblStylePr w:type="lastRow">
      <w:rPr>
        <w:rFonts w:cs="Times New Roman"/>
        <w:b/>
        <w:bCs/>
        <w:color w:val="1F497D" w:themeColor="text2"/>
      </w:rPr>
      <w:tblPr/>
      <w:tcPr>
        <w:tcBorders>
          <w:top w:val="single" w:sz="8" w:space="0" w:color="C0504D" w:themeColor="accent2"/>
          <w:bottom w:val="single" w:sz="8" w:space="0" w:color="C0504D" w:themeColor="accent2"/>
        </w:tcBorders>
      </w:tcPr>
    </w:tblStylePr>
    <w:tblStylePr w:type="firstCol">
      <w:rPr>
        <w:rFonts w:cs="Times New Roman"/>
        <w:b/>
        <w:bCs/>
      </w:rPr>
    </w:tblStylePr>
    <w:tblStylePr w:type="lastCol">
      <w:rPr>
        <w:rFonts w:cs="Times New Roman"/>
        <w:b/>
        <w:bCs/>
      </w:rPr>
      <w:tblPr/>
      <w:tcPr>
        <w:tcBorders>
          <w:top w:val="single" w:sz="8" w:space="0" w:color="C0504D" w:themeColor="accent2"/>
          <w:bottom w:val="single" w:sz="8" w:space="0" w:color="C0504D" w:themeColor="accent2"/>
        </w:tcBorders>
      </w:tcPr>
    </w:tblStylePr>
    <w:tblStylePr w:type="band1Vert">
      <w:rPr>
        <w:rFonts w:cs="Times New Roman"/>
      </w:rPr>
      <w:tblPr/>
      <w:tcPr>
        <w:shd w:val="clear" w:color="auto" w:fill="EFD3D2" w:themeFill="accent2" w:themeFillTint="3F"/>
      </w:tcPr>
    </w:tblStylePr>
    <w:tblStylePr w:type="band1Horz">
      <w:rPr>
        <w:rFonts w:cs="Times New Roman"/>
      </w:rPr>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9BBB59" w:themeColor="accent3"/>
        </w:tcBorders>
      </w:tcPr>
    </w:tblStylePr>
    <w:tblStylePr w:type="lastRow">
      <w:rPr>
        <w:rFonts w:cs="Times New Roman"/>
        <w:b/>
        <w:bCs/>
        <w:color w:val="1F497D" w:themeColor="text2"/>
      </w:rPr>
      <w:tblPr/>
      <w:tcPr>
        <w:tcBorders>
          <w:top w:val="single" w:sz="8" w:space="0" w:color="9BBB59" w:themeColor="accent3"/>
          <w:bottom w:val="single" w:sz="8" w:space="0" w:color="9BBB59" w:themeColor="accent3"/>
        </w:tcBorders>
      </w:tcPr>
    </w:tblStylePr>
    <w:tblStylePr w:type="firstCol">
      <w:rPr>
        <w:rFonts w:cs="Times New Roman"/>
        <w:b/>
        <w:bCs/>
      </w:rPr>
    </w:tblStylePr>
    <w:tblStylePr w:type="lastCol">
      <w:rPr>
        <w:rFonts w:cs="Times New Roman"/>
        <w:b/>
        <w:bCs/>
      </w:rPr>
      <w:tblPr/>
      <w:tcPr>
        <w:tcBorders>
          <w:top w:val="single" w:sz="8" w:space="0" w:color="9BBB59" w:themeColor="accent3"/>
          <w:bottom w:val="single" w:sz="8" w:space="0" w:color="9BBB59" w:themeColor="accent3"/>
        </w:tcBorders>
      </w:tcPr>
    </w:tblStylePr>
    <w:tblStylePr w:type="band1Vert">
      <w:rPr>
        <w:rFonts w:cs="Times New Roman"/>
      </w:rPr>
      <w:tblPr/>
      <w:tcPr>
        <w:shd w:val="clear" w:color="auto" w:fill="E6EED5" w:themeFill="accent3" w:themeFillTint="3F"/>
      </w:tcPr>
    </w:tblStylePr>
    <w:tblStylePr w:type="band1Horz">
      <w:rPr>
        <w:rFonts w:cs="Times New Roman"/>
      </w:rPr>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8064A2" w:themeColor="accent4"/>
        </w:tcBorders>
      </w:tcPr>
    </w:tblStylePr>
    <w:tblStylePr w:type="lastRow">
      <w:rPr>
        <w:rFonts w:cs="Times New Roman"/>
        <w:b/>
        <w:bCs/>
        <w:color w:val="1F497D" w:themeColor="text2"/>
      </w:rPr>
      <w:tblPr/>
      <w:tcPr>
        <w:tcBorders>
          <w:top w:val="single" w:sz="8" w:space="0" w:color="8064A2" w:themeColor="accent4"/>
          <w:bottom w:val="single" w:sz="8" w:space="0" w:color="8064A2" w:themeColor="accent4"/>
        </w:tcBorders>
      </w:tcPr>
    </w:tblStylePr>
    <w:tblStylePr w:type="firstCol">
      <w:rPr>
        <w:rFonts w:cs="Times New Roman"/>
        <w:b/>
        <w:bCs/>
      </w:rPr>
    </w:tblStylePr>
    <w:tblStylePr w:type="lastCol">
      <w:rPr>
        <w:rFonts w:cs="Times New Roman"/>
        <w:b/>
        <w:bCs/>
      </w:rPr>
      <w:tblPr/>
      <w:tcPr>
        <w:tcBorders>
          <w:top w:val="single" w:sz="8" w:space="0" w:color="8064A2" w:themeColor="accent4"/>
          <w:bottom w:val="single" w:sz="8" w:space="0" w:color="8064A2" w:themeColor="accent4"/>
        </w:tcBorders>
      </w:tcPr>
    </w:tblStylePr>
    <w:tblStylePr w:type="band1Vert">
      <w:rPr>
        <w:rFonts w:cs="Times New Roman"/>
      </w:rPr>
      <w:tblPr/>
      <w:tcPr>
        <w:shd w:val="clear" w:color="auto" w:fill="DFD8E8" w:themeFill="accent4" w:themeFillTint="3F"/>
      </w:tcPr>
    </w:tblStylePr>
    <w:tblStylePr w:type="band1Horz">
      <w:rPr>
        <w:rFonts w:cs="Times New Roman"/>
      </w:rPr>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4BACC6" w:themeColor="accent5"/>
        </w:tcBorders>
      </w:tcPr>
    </w:tblStylePr>
    <w:tblStylePr w:type="lastRow">
      <w:rPr>
        <w:rFonts w:cs="Times New Roman"/>
        <w:b/>
        <w:bCs/>
        <w:color w:val="1F497D" w:themeColor="text2"/>
      </w:rPr>
      <w:tblPr/>
      <w:tcPr>
        <w:tcBorders>
          <w:top w:val="single" w:sz="8" w:space="0" w:color="4BACC6" w:themeColor="accent5"/>
          <w:bottom w:val="single" w:sz="8" w:space="0" w:color="4BACC6" w:themeColor="accent5"/>
        </w:tcBorders>
      </w:tcPr>
    </w:tblStylePr>
    <w:tblStylePr w:type="firstCol">
      <w:rPr>
        <w:rFonts w:cs="Times New Roman"/>
        <w:b/>
        <w:bCs/>
      </w:rPr>
    </w:tblStylePr>
    <w:tblStylePr w:type="lastCol">
      <w:rPr>
        <w:rFonts w:cs="Times New Roman"/>
        <w:b/>
        <w:bCs/>
      </w:rPr>
      <w:tblPr/>
      <w:tcPr>
        <w:tcBorders>
          <w:top w:val="single" w:sz="8" w:space="0" w:color="4BACC6" w:themeColor="accent5"/>
          <w:bottom w:val="single" w:sz="8" w:space="0" w:color="4BACC6" w:themeColor="accent5"/>
        </w:tcBorders>
      </w:tcPr>
    </w:tblStylePr>
    <w:tblStylePr w:type="band1Vert">
      <w:rPr>
        <w:rFonts w:cs="Times New Roman"/>
      </w:rPr>
      <w:tblPr/>
      <w:tcPr>
        <w:shd w:val="clear" w:color="auto" w:fill="D2EAF1" w:themeFill="accent5" w:themeFillTint="3F"/>
      </w:tcPr>
    </w:tblStylePr>
    <w:tblStylePr w:type="band1Horz">
      <w:rPr>
        <w:rFonts w:cs="Times New Roman"/>
      </w:rPr>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imes New Roman"/>
      </w:rPr>
      <w:tblPr/>
      <w:tcPr>
        <w:tcBorders>
          <w:top w:val="nil"/>
          <w:bottom w:val="single" w:sz="8" w:space="0" w:color="F79646" w:themeColor="accent6"/>
        </w:tcBorders>
      </w:tcPr>
    </w:tblStylePr>
    <w:tblStylePr w:type="lastRow">
      <w:rPr>
        <w:rFonts w:cs="Times New Roman"/>
        <w:b/>
        <w:bCs/>
        <w:color w:val="1F497D" w:themeColor="text2"/>
      </w:rPr>
      <w:tblPr/>
      <w:tcPr>
        <w:tcBorders>
          <w:top w:val="single" w:sz="8" w:space="0" w:color="F79646" w:themeColor="accent6"/>
          <w:bottom w:val="single" w:sz="8" w:space="0" w:color="F79646" w:themeColor="accent6"/>
        </w:tcBorders>
      </w:tcPr>
    </w:tblStylePr>
    <w:tblStylePr w:type="firstCol">
      <w:rPr>
        <w:rFonts w:cs="Times New Roman"/>
        <w:b/>
        <w:bCs/>
      </w:rPr>
    </w:tblStylePr>
    <w:tblStylePr w:type="lastCol">
      <w:rPr>
        <w:rFonts w:cs="Times New Roman"/>
        <w:b/>
        <w:bCs/>
      </w:rPr>
      <w:tblPr/>
      <w:tcPr>
        <w:tcBorders>
          <w:top w:val="single" w:sz="8" w:space="0" w:color="F79646" w:themeColor="accent6"/>
          <w:bottom w:val="single" w:sz="8" w:space="0" w:color="F79646" w:themeColor="accent6"/>
        </w:tcBorders>
      </w:tcPr>
    </w:tblStylePr>
    <w:tblStylePr w:type="band1Vert">
      <w:rPr>
        <w:rFonts w:cs="Times New Roman"/>
      </w:rPr>
      <w:tblPr/>
      <w:tcPr>
        <w:shd w:val="clear" w:color="auto" w:fill="FDE4D0" w:themeFill="accent6" w:themeFillTint="3F"/>
      </w:tcPr>
    </w:tblStylePr>
    <w:tblStylePr w:type="band1Horz">
      <w:rPr>
        <w:rFonts w:cs="Times New Roman"/>
      </w:rPr>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single" w:sz="8" w:space="0" w:color="000000" w:themeColor="tex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rPr>
        <w:rFonts w:cs="Times New Roman"/>
      </w:rPr>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rPr>
        <w:rFonts w:cs="Times New Roman"/>
      </w:rPr>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top w:val="nil"/>
          <w:bottom w:val="nil"/>
          <w:insideH w:val="nil"/>
          <w:insideV w:val="nil"/>
        </w:tcBorders>
        <w:shd w:val="clear" w:color="auto" w:fill="D3DFEE"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rPr>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rPr>
        <w:rFonts w:cs="Times New Roman"/>
      </w:rPr>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FD3D2" w:themeFill="accent2" w:themeFillTint="3F"/>
      </w:tcPr>
    </w:tblStylePr>
    <w:tblStylePr w:type="band1Horz">
      <w:rPr>
        <w:rFonts w:cs="Times New Roman"/>
      </w:rPr>
      <w:tblPr/>
      <w:tcPr>
        <w:tcBorders>
          <w:top w:val="nil"/>
          <w:bottom w:val="nil"/>
          <w:insideH w:val="nil"/>
          <w:insideV w:val="nil"/>
        </w:tcBorders>
        <w:shd w:val="clear" w:color="auto" w:fill="EFD3D2"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imes New Roman"/>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FD8E8" w:themeFill="accent4" w:themeFillTint="3F"/>
      </w:tcPr>
    </w:tblStylePr>
    <w:tblStylePr w:type="band1Horz">
      <w:rPr>
        <w:rFonts w:cs="Times New Roman"/>
      </w:rPr>
      <w:tblPr/>
      <w:tcPr>
        <w:tcBorders>
          <w:top w:val="nil"/>
          <w:bottom w:val="nil"/>
          <w:insideH w:val="nil"/>
          <w:insideV w:val="nil"/>
        </w:tcBorders>
        <w:shd w:val="clear" w:color="auto" w:fill="DFD8E8"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rPr>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rPr>
        <w:rFonts w:cs="Times New Roman"/>
      </w:rPr>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top w:val="nil"/>
          <w:bottom w:val="nil"/>
          <w:insideH w:val="nil"/>
          <w:insideV w:val="nil"/>
        </w:tcBorders>
        <w:shd w:val="clear" w:color="auto" w:fill="D2EAF1"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rPr>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rPr>
        <w:rFonts w:cs="Times New Roman"/>
      </w:rPr>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DE4D0" w:themeFill="accent6" w:themeFillTint="3F"/>
      </w:tcPr>
    </w:tblStylePr>
    <w:tblStylePr w:type="band1Horz">
      <w:rPr>
        <w:rFonts w:cs="Times New Roman"/>
      </w:rPr>
      <w:tblPr/>
      <w:tcPr>
        <w:tcBorders>
          <w:top w:val="nil"/>
          <w:bottom w:val="nil"/>
          <w:insideH w:val="nil"/>
          <w:insideV w:val="nil"/>
        </w:tcBorders>
        <w:shd w:val="clear" w:color="auto" w:fill="FDE4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imes New Roman"/>
        <w:b/>
        <w:bCs/>
      </w:rPr>
    </w:tblStylePr>
    <w:tblStylePr w:type="lastRow">
      <w:rPr>
        <w:rFonts w:cs="Times New Roman"/>
        <w:b/>
        <w:bCs/>
      </w:rPr>
      <w:tblPr/>
      <w:tcPr>
        <w:tcBorders>
          <w:top w:val="single" w:sz="18" w:space="0" w:color="7BA0CD"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rFonts w:cs="Times New Roman"/>
        <w:b/>
        <w:bCs/>
      </w:rPr>
    </w:tblStylePr>
    <w:tblStylePr w:type="lastRow">
      <w:rPr>
        <w:rFonts w:cs="Times New Roman"/>
        <w:b/>
        <w:bCs/>
      </w:rPr>
      <w:tblPr/>
      <w:tcPr>
        <w:tcBorders>
          <w:top w:val="single" w:sz="18" w:space="0" w:color="CF7B79"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rFonts w:cs="Times New Roman"/>
        <w:b/>
        <w:bCs/>
      </w:rPr>
    </w:tblStylePr>
    <w:tblStylePr w:type="lastRow">
      <w:rPr>
        <w:rFonts w:cs="Times New Roman"/>
        <w:b/>
        <w:bCs/>
      </w:rPr>
      <w:tblPr/>
      <w:tcPr>
        <w:tcBorders>
          <w:top w:val="single" w:sz="18" w:space="0" w:color="B3CC82"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imes New Roman"/>
        <w:b/>
        <w:bCs/>
      </w:rPr>
    </w:tblStylePr>
    <w:tblStylePr w:type="lastRow">
      <w:rPr>
        <w:rFonts w:cs="Times New Roman"/>
        <w:b/>
        <w:bCs/>
      </w:rPr>
      <w:tblPr/>
      <w:tcPr>
        <w:tcBorders>
          <w:top w:val="single" w:sz="18" w:space="0" w:color="9F8AB9"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rFonts w:cs="Times New Roman"/>
        <w:b/>
        <w:bCs/>
      </w:rPr>
    </w:tblStylePr>
    <w:tblStylePr w:type="lastRow">
      <w:rPr>
        <w:rFonts w:cs="Times New Roman"/>
        <w:b/>
        <w:bCs/>
      </w:rPr>
      <w:tblPr/>
      <w:tcPr>
        <w:tcBorders>
          <w:top w:val="single" w:sz="18" w:space="0" w:color="78C0D4"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rFonts w:cs="Times New Roman"/>
        <w:b/>
        <w:bCs/>
      </w:rPr>
    </w:tblStylePr>
    <w:tblStylePr w:type="lastRow">
      <w:rPr>
        <w:rFonts w:cs="Times New Roman"/>
        <w:b/>
        <w:bCs/>
      </w:rPr>
      <w:tblPr/>
      <w:tcPr>
        <w:tcBorders>
          <w:top w:val="single" w:sz="18" w:space="0" w:color="F9B074"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rFonts w:cs="Times New Roman"/>
        <w:b/>
        <w:bCs/>
        <w:color w:val="000000" w:themeColor="text1"/>
      </w:rPr>
      <w:tblPr/>
      <w:tcPr>
        <w:shd w:val="clear" w:color="auto" w:fill="EDF2F8"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rPr>
        <w:rFonts w:cs="Times New Roman"/>
      </w:rPr>
      <w:tblPr/>
      <w:tcPr>
        <w:shd w:val="clear" w:color="auto" w:fill="A7BFDE" w:themeFill="accent1" w:themeFillTint="7F"/>
      </w:tcPr>
    </w:tblStylePr>
    <w:tblStylePr w:type="band1Horz">
      <w:rPr>
        <w:rFonts w:cs="Times New Roman"/>
      </w:rPr>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rFonts w:cs="Times New Roman"/>
        <w:b/>
        <w:bCs/>
        <w:color w:val="000000" w:themeColor="text1"/>
      </w:rPr>
      <w:tblPr/>
      <w:tcPr>
        <w:shd w:val="clear" w:color="auto" w:fill="F8EDED"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rPr>
        <w:rFonts w:cs="Times New Roman"/>
      </w:rPr>
      <w:tblPr/>
      <w:tcPr>
        <w:shd w:val="clear" w:color="auto" w:fill="DFA7A6" w:themeFill="accent2" w:themeFillTint="7F"/>
      </w:tcPr>
    </w:tblStylePr>
    <w:tblStylePr w:type="band1Horz">
      <w:rPr>
        <w:rFonts w:cs="Times New Roman"/>
      </w:rPr>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rFonts w:cs="Times New Roman"/>
        <w:b/>
        <w:bCs/>
        <w:color w:val="000000" w:themeColor="text1"/>
      </w:rPr>
      <w:tblPr/>
      <w:tcPr>
        <w:shd w:val="clear" w:color="auto" w:fill="F5F8EE"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rPr>
        <w:rFonts w:cs="Times New Roman"/>
      </w:rPr>
      <w:tblPr/>
      <w:tcPr>
        <w:shd w:val="clear" w:color="auto" w:fill="CDDDAC" w:themeFill="accent3" w:themeFillTint="7F"/>
      </w:tcPr>
    </w:tblStylePr>
    <w:tblStylePr w:type="band1Horz">
      <w:rPr>
        <w:rFonts w:cs="Times New Roman"/>
      </w:rPr>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rFonts w:cs="Times New Roman"/>
        <w:b/>
        <w:bCs/>
        <w:color w:val="000000" w:themeColor="text1"/>
      </w:rPr>
      <w:tblPr/>
      <w:tcPr>
        <w:shd w:val="clear" w:color="auto" w:fill="F2EFF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rPr>
        <w:rFonts w:cs="Times New Roman"/>
      </w:rPr>
      <w:tblPr/>
      <w:tcPr>
        <w:shd w:val="clear" w:color="auto" w:fill="BFB1D0" w:themeFill="accent4" w:themeFillTint="7F"/>
      </w:tcPr>
    </w:tblStylePr>
    <w:tblStylePr w:type="band1Horz">
      <w:rPr>
        <w:rFonts w:cs="Times New Roman"/>
      </w:rPr>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rFonts w:cs="Times New Roman"/>
        <w:b/>
        <w:bCs/>
        <w:color w:val="000000" w:themeColor="text1"/>
      </w:rPr>
      <w:tblPr/>
      <w:tcPr>
        <w:shd w:val="clear" w:color="auto" w:fill="EDF6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rPr>
        <w:rFonts w:cs="Times New Roman"/>
      </w:rPr>
      <w:tblPr/>
      <w:tcPr>
        <w:shd w:val="clear" w:color="auto" w:fill="A5D5E2" w:themeFill="accent5" w:themeFillTint="7F"/>
      </w:tcPr>
    </w:tblStylePr>
    <w:tblStylePr w:type="band1Horz">
      <w:rPr>
        <w:rFonts w:cs="Times New Roman"/>
      </w:rPr>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rFonts w:cs="Times New Roman"/>
        <w:b/>
        <w:bCs/>
        <w:color w:val="000000" w:themeColor="text1"/>
      </w:rPr>
      <w:tblPr/>
      <w:tcPr>
        <w:shd w:val="clear" w:color="auto" w:fill="FEF4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rPr>
        <w:rFonts w:cs="Times New Roman"/>
      </w:rPr>
      <w:tblPr/>
      <w:tcPr>
        <w:shd w:val="clear" w:color="auto" w:fill="FBCAA2" w:themeFill="accent6" w:themeFillTint="7F"/>
      </w:tcPr>
    </w:tblStylePr>
    <w:tblStylePr w:type="band1Horz">
      <w:rPr>
        <w:rFonts w:cs="Times New Roman"/>
      </w:rPr>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rPr>
        <w:rFonts w:cs="Times New Roman"/>
      </w:rPr>
      <w:tblPr/>
      <w:tcPr>
        <w:tcBorders>
          <w:top w:val="nil"/>
          <w:left w:val="nil"/>
          <w:bottom w:val="nil"/>
          <w:right w:val="nil"/>
          <w:insideH w:val="nil"/>
          <w:insideV w:val="nil"/>
        </w:tcBorders>
        <w:shd w:val="clear" w:color="auto" w:fill="365F91" w:themeFill="accent1" w:themeFillShade="BF"/>
      </w:tcPr>
    </w:tblStylePr>
    <w:tblStylePr w:type="band1Horz">
      <w:rPr>
        <w:rFonts w:cs="Times New Roman"/>
      </w:rPr>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rPr>
        <w:rFonts w:cs="Times New Roman"/>
      </w:rPr>
      <w:tblPr/>
      <w:tcPr>
        <w:tcBorders>
          <w:top w:val="nil"/>
          <w:left w:val="nil"/>
          <w:bottom w:val="nil"/>
          <w:right w:val="nil"/>
          <w:insideH w:val="nil"/>
          <w:insideV w:val="nil"/>
        </w:tcBorders>
        <w:shd w:val="clear" w:color="auto" w:fill="943634" w:themeFill="accent2" w:themeFillShade="BF"/>
      </w:tcPr>
    </w:tblStylePr>
    <w:tblStylePr w:type="band1Horz">
      <w:rPr>
        <w:rFonts w:cs="Times New Roman"/>
      </w:rPr>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rPr>
        <w:rFonts w:cs="Times New Roman"/>
      </w:rPr>
      <w:tblPr/>
      <w:tcPr>
        <w:tcBorders>
          <w:top w:val="nil"/>
          <w:left w:val="nil"/>
          <w:bottom w:val="nil"/>
          <w:right w:val="nil"/>
          <w:insideH w:val="nil"/>
          <w:insideV w:val="nil"/>
        </w:tcBorders>
        <w:shd w:val="clear" w:color="auto" w:fill="76923C" w:themeFill="accent3" w:themeFillShade="BF"/>
      </w:tcPr>
    </w:tblStylePr>
    <w:tblStylePr w:type="band1Horz">
      <w:rPr>
        <w:rFonts w:cs="Times New Roman"/>
      </w:rPr>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rPr>
        <w:rFonts w:cs="Times New Roman"/>
      </w:rPr>
      <w:tblPr/>
      <w:tcPr>
        <w:tcBorders>
          <w:top w:val="nil"/>
          <w:left w:val="nil"/>
          <w:bottom w:val="nil"/>
          <w:right w:val="nil"/>
          <w:insideH w:val="nil"/>
          <w:insideV w:val="nil"/>
        </w:tcBorders>
        <w:shd w:val="clear" w:color="auto" w:fill="5F497A" w:themeFill="accent4" w:themeFillShade="BF"/>
      </w:tcPr>
    </w:tblStylePr>
    <w:tblStylePr w:type="band1Horz">
      <w:rPr>
        <w:rFonts w:cs="Times New Roman"/>
      </w:rPr>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rPr>
        <w:rFonts w:cs="Times New Roman"/>
      </w:rPr>
      <w:tblPr/>
      <w:tcPr>
        <w:tcBorders>
          <w:top w:val="nil"/>
          <w:left w:val="nil"/>
          <w:bottom w:val="nil"/>
          <w:right w:val="nil"/>
          <w:insideH w:val="nil"/>
          <w:insideV w:val="nil"/>
        </w:tcBorders>
        <w:shd w:val="clear" w:color="auto" w:fill="31849B" w:themeFill="accent5" w:themeFillShade="BF"/>
      </w:tcPr>
    </w:tblStylePr>
    <w:tblStylePr w:type="band1Horz">
      <w:rPr>
        <w:rFonts w:cs="Times New Roman"/>
      </w:rPr>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rPr>
        <w:rFonts w:cs="Times New Roman"/>
      </w:rPr>
      <w:tblPr/>
      <w:tcPr>
        <w:tcBorders>
          <w:top w:val="nil"/>
          <w:left w:val="nil"/>
          <w:bottom w:val="nil"/>
          <w:right w:val="nil"/>
          <w:insideH w:val="nil"/>
          <w:insideV w:val="nil"/>
        </w:tcBorders>
        <w:shd w:val="clear" w:color="auto" w:fill="E36C0A" w:themeFill="accent6" w:themeFillShade="BF"/>
      </w:tcPr>
    </w:tblStylePr>
    <w:tblStylePr w:type="band1Horz">
      <w:rPr>
        <w:rFonts w:cs="Times New Roman"/>
      </w:rPr>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C4C7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rPr>
        <w:rFonts w:cs="Times New Roman"/>
      </w:rPr>
      <w:tblPr/>
      <w:tcPr>
        <w:shd w:val="clear" w:color="auto" w:fill="B8CCE4" w:themeFill="accent1" w:themeFillTint="66"/>
      </w:tcPr>
    </w:tblStylePr>
    <w:tblStylePr w:type="band1Horz">
      <w:rPr>
        <w:rFonts w:cs="Times New Roman"/>
      </w:rPr>
      <w:tblPr/>
      <w:tcPr>
        <w:shd w:val="clear" w:color="auto" w:fill="A7BFDE"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rFonts w:cs="Times New Roman"/>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772C2A"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rPr>
        <w:rFonts w:cs="Times New Roman"/>
      </w:rPr>
      <w:tblPr/>
      <w:tcPr>
        <w:shd w:val="clear" w:color="auto" w:fill="E5B8B7" w:themeFill="accent2" w:themeFillTint="66"/>
      </w:tcPr>
    </w:tblStylePr>
    <w:tblStylePr w:type="band1Horz">
      <w:rPr>
        <w:rFonts w:cs="Times New Roman"/>
      </w:rPr>
      <w:tblPr/>
      <w:tcPr>
        <w:shd w:val="clear" w:color="auto" w:fill="DFA7A6"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rFonts w:cs="Times New Roman"/>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rPr>
        <w:rFonts w:cs="Times New Roman"/>
      </w:rPr>
      <w:tblPr/>
      <w:tcPr>
        <w:shd w:val="clear" w:color="auto" w:fill="D6E3BC" w:themeFill="accent3" w:themeFillTint="66"/>
      </w:tcPr>
    </w:tblStylePr>
    <w:tblStylePr w:type="band1Horz">
      <w:rPr>
        <w:rFonts w:cs="Times New Roman"/>
      </w:rPr>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rFonts w:cs="Times New Roman"/>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C3B62"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rPr>
        <w:rFonts w:cs="Times New Roman"/>
      </w:rPr>
      <w:tblPr/>
      <w:tcPr>
        <w:shd w:val="clear" w:color="auto" w:fill="CCC0D9" w:themeFill="accent4" w:themeFillTint="66"/>
      </w:tcPr>
    </w:tblStylePr>
    <w:tblStylePr w:type="band1Horz">
      <w:rPr>
        <w:rFonts w:cs="Times New Roman"/>
      </w:rPr>
      <w:tblPr/>
      <w:tcPr>
        <w:shd w:val="clear" w:color="auto" w:fill="BFB1D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rFonts w:cs="Times New Roman"/>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76A7C"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rPr>
        <w:rFonts w:cs="Times New Roman"/>
      </w:rPr>
      <w:tblPr/>
      <w:tcPr>
        <w:shd w:val="clear" w:color="auto" w:fill="B6DDE8" w:themeFill="accent5" w:themeFillTint="66"/>
      </w:tcPr>
    </w:tblStylePr>
    <w:tblStylePr w:type="band1Horz">
      <w:rPr>
        <w:rFonts w:cs="Times New Roman"/>
      </w:rPr>
      <w:tblPr/>
      <w:tcPr>
        <w:shd w:val="clear" w:color="auto" w:fill="A5D5E2"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rFonts w:cs="Times New Roman"/>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B65608"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rPr>
        <w:rFonts w:cs="Times New Roman"/>
      </w:rPr>
      <w:tblPr/>
      <w:tcPr>
        <w:shd w:val="clear" w:color="auto" w:fill="FBD4B4" w:themeFill="accent6" w:themeFillTint="66"/>
      </w:tcPr>
    </w:tblStylePr>
    <w:tblStylePr w:type="band1Horz">
      <w:rPr>
        <w:rFonts w:cs="Times New Roman"/>
      </w:rPr>
      <w:tblPr/>
      <w:tcPr>
        <w:shd w:val="clear" w:color="auto" w:fill="FBCAA2"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hemeFill="accent1" w:themeFillTint="3F"/>
      </w:tcPr>
    </w:tblStylePr>
    <w:tblStylePr w:type="band1Horz">
      <w:rPr>
        <w:rFonts w:cs="Times New Roman"/>
      </w:rPr>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imes New Roman"/>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hemeFill="accent2" w:themeFillTint="3F"/>
      </w:tcPr>
    </w:tblStylePr>
    <w:tblStylePr w:type="band1Horz">
      <w:rPr>
        <w:rFonts w:cs="Times New Roman"/>
      </w:rPr>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rFonts w:cs="Times New Roman"/>
        <w:b/>
        <w:bCs/>
        <w:color w:val="664E82"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hemeFill="accent3" w:themeFillTint="3F"/>
      </w:tcPr>
    </w:tblStylePr>
    <w:tblStylePr w:type="band1Horz">
      <w:rPr>
        <w:rFonts w:cs="Times New Roman"/>
      </w:rPr>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rFonts w:cs="Times New Roman"/>
        <w:b/>
        <w:bCs/>
        <w:color w:val="7E9C40"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hemeFill="accent4" w:themeFillTint="3F"/>
      </w:tcPr>
    </w:tblStylePr>
    <w:tblStylePr w:type="band1Horz">
      <w:rPr>
        <w:rFonts w:cs="Times New Roman"/>
      </w:rPr>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rFonts w:cs="Times New Roman"/>
        <w:b/>
        <w:bCs/>
        <w:color w:val="F2730A"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hemeFill="accent5" w:themeFillTint="3F"/>
      </w:tcPr>
    </w:tblStylePr>
    <w:tblStylePr w:type="band1Horz">
      <w:rPr>
        <w:rFonts w:cs="Times New Roman"/>
      </w:rPr>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rFonts w:cs="Times New Roman"/>
        <w:b/>
        <w:bCs/>
        <w:color w:val="348DA5"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hemeFill="accent6" w:themeFillTint="3F"/>
      </w:tcPr>
    </w:tblStylePr>
    <w:tblStylePr w:type="band1Horz">
      <w:rPr>
        <w:rFonts w:cs="Times New Roman"/>
      </w:rPr>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rFonts w:cs="Times New Roman"/>
        <w:b/>
        <w:bCs/>
      </w:rPr>
      <w:tblPr/>
      <w:tcPr>
        <w:shd w:val="clear" w:color="auto" w:fill="B8CCE4" w:themeFill="accent1" w:themeFillTint="66"/>
      </w:tcPr>
    </w:tblStylePr>
    <w:tblStylePr w:type="lastRow">
      <w:rPr>
        <w:rFonts w:cs="Times New Roman"/>
        <w:b/>
        <w:bCs/>
        <w:color w:val="000000" w:themeColor="text1"/>
      </w:rPr>
      <w:tblPr/>
      <w:tcPr>
        <w:shd w:val="clear" w:color="auto" w:fill="B8CCE4" w:themeFill="accent1" w:themeFillTint="66"/>
      </w:tcPr>
    </w:tblStylePr>
    <w:tblStylePr w:type="firstCol">
      <w:rPr>
        <w:rFonts w:cs="Times New Roman"/>
        <w:color w:val="FFFFFF" w:themeColor="background1"/>
      </w:rPr>
      <w:tblPr/>
      <w:tcPr>
        <w:shd w:val="clear" w:color="auto" w:fill="365F91" w:themeFill="accent1" w:themeFillShade="BF"/>
      </w:tcPr>
    </w:tblStylePr>
    <w:tblStylePr w:type="lastCol">
      <w:rPr>
        <w:rFonts w:cs="Times New Roman"/>
        <w:color w:val="FFFFFF" w:themeColor="background1"/>
      </w:rPr>
      <w:tblPr/>
      <w:tcPr>
        <w:shd w:val="clear" w:color="auto" w:fill="365F91" w:themeFill="accent1" w:themeFillShade="BF"/>
      </w:tcPr>
    </w:tblStylePr>
    <w:tblStylePr w:type="band1Vert">
      <w:rPr>
        <w:rFonts w:cs="Times New Roman"/>
      </w:rPr>
      <w:tblPr/>
      <w:tcPr>
        <w:shd w:val="clear" w:color="auto" w:fill="A7BFDE" w:themeFill="accent1" w:themeFillTint="7F"/>
      </w:tcPr>
    </w:tblStylePr>
    <w:tblStylePr w:type="band1Horz">
      <w:rPr>
        <w:rFonts w:cs="Times New Roman"/>
      </w:rPr>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rFonts w:cs="Times New Roman"/>
        <w:b/>
        <w:bCs/>
      </w:rPr>
      <w:tblPr/>
      <w:tcPr>
        <w:shd w:val="clear" w:color="auto" w:fill="E5B8B7" w:themeFill="accent2" w:themeFillTint="66"/>
      </w:tcPr>
    </w:tblStylePr>
    <w:tblStylePr w:type="lastRow">
      <w:rPr>
        <w:rFonts w:cs="Times New Roman"/>
        <w:b/>
        <w:bCs/>
        <w:color w:val="000000" w:themeColor="text1"/>
      </w:rPr>
      <w:tblPr/>
      <w:tcPr>
        <w:shd w:val="clear" w:color="auto" w:fill="E5B8B7" w:themeFill="accent2" w:themeFillTint="66"/>
      </w:tcPr>
    </w:tblStylePr>
    <w:tblStylePr w:type="firstCol">
      <w:rPr>
        <w:rFonts w:cs="Times New Roman"/>
        <w:color w:val="FFFFFF" w:themeColor="background1"/>
      </w:rPr>
      <w:tblPr/>
      <w:tcPr>
        <w:shd w:val="clear" w:color="auto" w:fill="943634" w:themeFill="accent2" w:themeFillShade="BF"/>
      </w:tcPr>
    </w:tblStylePr>
    <w:tblStylePr w:type="lastCol">
      <w:rPr>
        <w:rFonts w:cs="Times New Roman"/>
        <w:color w:val="FFFFFF" w:themeColor="background1"/>
      </w:rPr>
      <w:tblPr/>
      <w:tcPr>
        <w:shd w:val="clear" w:color="auto" w:fill="943634" w:themeFill="accent2" w:themeFillShade="BF"/>
      </w:tcPr>
    </w:tblStylePr>
    <w:tblStylePr w:type="band1Vert">
      <w:rPr>
        <w:rFonts w:cs="Times New Roman"/>
      </w:rPr>
      <w:tblPr/>
      <w:tcPr>
        <w:shd w:val="clear" w:color="auto" w:fill="DFA7A6" w:themeFill="accent2" w:themeFillTint="7F"/>
      </w:tcPr>
    </w:tblStylePr>
    <w:tblStylePr w:type="band1Horz">
      <w:rPr>
        <w:rFonts w:cs="Times New Roman"/>
      </w:rPr>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rFonts w:cs="Times New Roman"/>
        <w:b/>
        <w:bCs/>
      </w:rPr>
      <w:tblPr/>
      <w:tcPr>
        <w:shd w:val="clear" w:color="auto" w:fill="D6E3BC" w:themeFill="accent3" w:themeFillTint="66"/>
      </w:tcPr>
    </w:tblStylePr>
    <w:tblStylePr w:type="lastRow">
      <w:rPr>
        <w:rFonts w:cs="Times New Roman"/>
        <w:b/>
        <w:bCs/>
        <w:color w:val="000000" w:themeColor="text1"/>
      </w:rPr>
      <w:tblPr/>
      <w:tcPr>
        <w:shd w:val="clear" w:color="auto" w:fill="D6E3BC" w:themeFill="accent3" w:themeFillTint="66"/>
      </w:tcPr>
    </w:tblStylePr>
    <w:tblStylePr w:type="firstCol">
      <w:rPr>
        <w:rFonts w:cs="Times New Roman"/>
        <w:color w:val="FFFFFF" w:themeColor="background1"/>
      </w:rPr>
      <w:tblPr/>
      <w:tcPr>
        <w:shd w:val="clear" w:color="auto" w:fill="76923C" w:themeFill="accent3" w:themeFillShade="BF"/>
      </w:tcPr>
    </w:tblStylePr>
    <w:tblStylePr w:type="lastCol">
      <w:rPr>
        <w:rFonts w:cs="Times New Roman"/>
        <w:color w:val="FFFFFF" w:themeColor="background1"/>
      </w:rPr>
      <w:tblPr/>
      <w:tcPr>
        <w:shd w:val="clear" w:color="auto" w:fill="76923C" w:themeFill="accent3" w:themeFillShade="BF"/>
      </w:tcPr>
    </w:tblStylePr>
    <w:tblStylePr w:type="band1Vert">
      <w:rPr>
        <w:rFonts w:cs="Times New Roman"/>
      </w:rPr>
      <w:tblPr/>
      <w:tcPr>
        <w:shd w:val="clear" w:color="auto" w:fill="CDDDAC" w:themeFill="accent3" w:themeFillTint="7F"/>
      </w:tcPr>
    </w:tblStylePr>
    <w:tblStylePr w:type="band1Horz">
      <w:rPr>
        <w:rFonts w:cs="Times New Roman"/>
      </w:rPr>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rFonts w:cs="Times New Roman"/>
        <w:b/>
        <w:bCs/>
      </w:rPr>
      <w:tblPr/>
      <w:tcPr>
        <w:shd w:val="clear" w:color="auto" w:fill="CCC0D9" w:themeFill="accent4" w:themeFillTint="66"/>
      </w:tcPr>
    </w:tblStylePr>
    <w:tblStylePr w:type="lastRow">
      <w:rPr>
        <w:rFonts w:cs="Times New Roman"/>
        <w:b/>
        <w:bCs/>
        <w:color w:val="000000" w:themeColor="text1"/>
      </w:rPr>
      <w:tblPr/>
      <w:tcPr>
        <w:shd w:val="clear" w:color="auto" w:fill="CCC0D9" w:themeFill="accent4" w:themeFillTint="66"/>
      </w:tcPr>
    </w:tblStylePr>
    <w:tblStylePr w:type="firstCol">
      <w:rPr>
        <w:rFonts w:cs="Times New Roman"/>
        <w:color w:val="FFFFFF" w:themeColor="background1"/>
      </w:rPr>
      <w:tblPr/>
      <w:tcPr>
        <w:shd w:val="clear" w:color="auto" w:fill="5F497A" w:themeFill="accent4" w:themeFillShade="BF"/>
      </w:tcPr>
    </w:tblStylePr>
    <w:tblStylePr w:type="lastCol">
      <w:rPr>
        <w:rFonts w:cs="Times New Roman"/>
        <w:color w:val="FFFFFF" w:themeColor="background1"/>
      </w:rPr>
      <w:tblPr/>
      <w:tcPr>
        <w:shd w:val="clear" w:color="auto" w:fill="5F497A" w:themeFill="accent4" w:themeFillShade="BF"/>
      </w:tcPr>
    </w:tblStylePr>
    <w:tblStylePr w:type="band1Vert">
      <w:rPr>
        <w:rFonts w:cs="Times New Roman"/>
      </w:rPr>
      <w:tblPr/>
      <w:tcPr>
        <w:shd w:val="clear" w:color="auto" w:fill="BFB1D0" w:themeFill="accent4" w:themeFillTint="7F"/>
      </w:tcPr>
    </w:tblStylePr>
    <w:tblStylePr w:type="band1Horz">
      <w:rPr>
        <w:rFonts w:cs="Times New Roman"/>
      </w:rPr>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rFonts w:cs="Times New Roman"/>
        <w:b/>
        <w:bCs/>
      </w:rPr>
      <w:tblPr/>
      <w:tcPr>
        <w:shd w:val="clear" w:color="auto" w:fill="B6DDE8" w:themeFill="accent5" w:themeFillTint="66"/>
      </w:tcPr>
    </w:tblStylePr>
    <w:tblStylePr w:type="lastRow">
      <w:rPr>
        <w:rFonts w:cs="Times New Roman"/>
        <w:b/>
        <w:bCs/>
        <w:color w:val="000000" w:themeColor="text1"/>
      </w:rPr>
      <w:tblPr/>
      <w:tcPr>
        <w:shd w:val="clear" w:color="auto" w:fill="B6DDE8" w:themeFill="accent5" w:themeFillTint="66"/>
      </w:tcPr>
    </w:tblStylePr>
    <w:tblStylePr w:type="firstCol">
      <w:rPr>
        <w:rFonts w:cs="Times New Roman"/>
        <w:color w:val="FFFFFF" w:themeColor="background1"/>
      </w:rPr>
      <w:tblPr/>
      <w:tcPr>
        <w:shd w:val="clear" w:color="auto" w:fill="31849B" w:themeFill="accent5" w:themeFillShade="BF"/>
      </w:tcPr>
    </w:tblStylePr>
    <w:tblStylePr w:type="lastCol">
      <w:rPr>
        <w:rFonts w:cs="Times New Roman"/>
        <w:color w:val="FFFFFF" w:themeColor="background1"/>
      </w:rPr>
      <w:tblPr/>
      <w:tcPr>
        <w:shd w:val="clear" w:color="auto" w:fill="31849B" w:themeFill="accent5" w:themeFillShade="BF"/>
      </w:tcPr>
    </w:tblStylePr>
    <w:tblStylePr w:type="band1Vert">
      <w:rPr>
        <w:rFonts w:cs="Times New Roman"/>
      </w:rPr>
      <w:tblPr/>
      <w:tcPr>
        <w:shd w:val="clear" w:color="auto" w:fill="A5D5E2" w:themeFill="accent5" w:themeFillTint="7F"/>
      </w:tcPr>
    </w:tblStylePr>
    <w:tblStylePr w:type="band1Horz">
      <w:rPr>
        <w:rFonts w:cs="Times New Roman"/>
      </w:rPr>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rFonts w:cs="Times New Roman"/>
        <w:b/>
        <w:bCs/>
      </w:rPr>
      <w:tblPr/>
      <w:tcPr>
        <w:shd w:val="clear" w:color="auto" w:fill="FBD4B4" w:themeFill="accent6" w:themeFillTint="66"/>
      </w:tcPr>
    </w:tblStylePr>
    <w:tblStylePr w:type="lastRow">
      <w:rPr>
        <w:rFonts w:cs="Times New Roman"/>
        <w:b/>
        <w:bCs/>
        <w:color w:val="000000" w:themeColor="text1"/>
      </w:rPr>
      <w:tblPr/>
      <w:tcPr>
        <w:shd w:val="clear" w:color="auto" w:fill="FBD4B4" w:themeFill="accent6" w:themeFillTint="66"/>
      </w:tcPr>
    </w:tblStylePr>
    <w:tblStylePr w:type="firstCol">
      <w:rPr>
        <w:rFonts w:cs="Times New Roman"/>
        <w:color w:val="FFFFFF" w:themeColor="background1"/>
      </w:rPr>
      <w:tblPr/>
      <w:tcPr>
        <w:shd w:val="clear" w:color="auto" w:fill="E36C0A" w:themeFill="accent6" w:themeFillShade="BF"/>
      </w:tcPr>
    </w:tblStylePr>
    <w:tblStylePr w:type="lastCol">
      <w:rPr>
        <w:rFonts w:cs="Times New Roman"/>
        <w:color w:val="FFFFFF" w:themeColor="background1"/>
      </w:rPr>
      <w:tblPr/>
      <w:tcPr>
        <w:shd w:val="clear" w:color="auto" w:fill="E36C0A" w:themeFill="accent6" w:themeFillShade="BF"/>
      </w:tcPr>
    </w:tblStylePr>
    <w:tblStylePr w:type="band1Vert">
      <w:rPr>
        <w:rFonts w:cs="Times New Roman"/>
      </w:rPr>
      <w:tblPr/>
      <w:tcPr>
        <w:shd w:val="clear" w:color="auto" w:fill="FBCAA2" w:themeFill="accent6" w:themeFillTint="7F"/>
      </w:tcPr>
    </w:tblStylePr>
    <w:tblStylePr w:type="band1Horz">
      <w:rPr>
        <w:rFonts w:cs="Times New Roman"/>
      </w:rPr>
      <w:tblPr/>
      <w:tcPr>
        <w:shd w:val="clear" w:color="auto" w:fill="FBCAA2" w:themeFill="accent6" w:themeFillTint="7F"/>
      </w:tcPr>
    </w:tblStylePr>
  </w:style>
  <w:style w:type="paragraph" w:customStyle="1" w:styleId="Body">
    <w:name w:val="Body"/>
    <w:rPr>
      <w:rFonts w:ascii="Times New Roman" w:hAnsi="Times New Roman"/>
      <w:sz w:val="24"/>
    </w:rPr>
  </w:style>
  <w:style w:type="paragraph" w:customStyle="1" w:styleId="MainHeading">
    <w:name w:val="Main Heading"/>
    <w:rPr>
      <w:rFonts w:ascii="Times New Roman" w:hAnsi="Times New Roman"/>
      <w:sz w:val="24"/>
    </w:rPr>
  </w:style>
  <w:style w:type="paragraph" w:customStyle="1" w:styleId="Subheading">
    <w:name w:val="Subheading"/>
    <w:rPr>
      <w:rFonts w:ascii="Times New Roman" w:hAnsi="Times New Roman"/>
      <w:sz w:val="24"/>
    </w:rPr>
  </w:style>
  <w:style w:type="paragraph" w:customStyle="1" w:styleId="NumberedItem">
    <w:name w:val="Numbered Item"/>
    <w:rPr>
      <w:rFonts w:ascii="Times New Roman" w:hAnsi="Times New Roman"/>
      <w:sz w:val="24"/>
    </w:rPr>
  </w:style>
  <w:style w:type="paragraph" w:customStyle="1" w:styleId="Reference">
    <w:name w:val="Referenc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0F76-E8F6-4891-8245-7CB86BDB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6002</Words>
  <Characters>34215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Badhl al-Majhūd fī Ḥall Sunan Abī Dāwūd by Shaykh Khalīl Aḥmad al-Sahāranfūrī: A Ḥadīth Study</vt:lpstr>
    </vt:vector>
  </TitlesOfParts>
  <Company/>
  <LinksUpToDate>false</LinksUpToDate>
  <CharactersWithSpaces>40137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Badhl al-Majhūd fī Ḥall Sunan Abī Dāwūd by Shaykh Khalīl Aḥmad al-Sahāranfūrī: A Ḥadīth Study</dc:title>
  <dc:subject>Ḥadīth study of Badhl al-Majhūd fī Ḥall Sunan Abī Dāwūd</dc:subject>
  <dc:creator>Syed Abdul Majid Ghouri</dc:creator>
  <cp:keywords>Sunan Abī Dāwūd; Badhl al-Majhūd; Khalīl Aḥmad al-Sahāranfūrī; Ḥadīth methodology; Ḥadīth commentary</cp:keywords>
  <dc:description>generated by python-docx</dc:description>
  <cp:lastModifiedBy>qwert</cp:lastModifiedBy>
  <cp:revision>2</cp:revision>
  <dcterms:created xsi:type="dcterms:W3CDTF">2026-06-25T06:46:00Z</dcterms:created>
  <dcterms:modified xsi:type="dcterms:W3CDTF">2026-06-25T06:46:00Z</dcterms:modified>
</cp:coreProperties>
</file>