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A1" w:rsidRPr="00C65D2A" w:rsidRDefault="005127A1" w:rsidP="005127A1">
      <w:pPr>
        <w:pStyle w:val="Subtitle"/>
        <w:jc w:val="center"/>
        <w:rPr>
          <w:rFonts w:ascii="Garamond" w:hAnsi="Garamond"/>
          <w:b/>
          <w:bCs/>
          <w:color w:val="000000" w:themeColor="text1"/>
          <w:sz w:val="22"/>
          <w:szCs w:val="22"/>
          <w:lang w:val="en-ID" w:bidi="th-TH"/>
        </w:rPr>
      </w:pPr>
      <w:bookmarkStart w:id="0" w:name="_GoBack"/>
      <w:bookmarkEnd w:id="0"/>
      <w:r w:rsidRPr="00C65D2A">
        <w:rPr>
          <w:rFonts w:ascii="Garamond" w:hAnsi="Garamond"/>
          <w:b/>
          <w:bCs/>
          <w:color w:val="000000" w:themeColor="text1"/>
          <w:sz w:val="22"/>
          <w:szCs w:val="22"/>
          <w:lang w:val="en-ID" w:bidi="th-TH"/>
        </w:rPr>
        <w:t>Organizational Communication Climate and the Performance of Islamic Religious Education Teachers: Empirical Evidence from Public Junior High Schools in Padang Lawas Regency</w:t>
      </w:r>
    </w:p>
    <w:p w:rsidR="00B45E22" w:rsidRPr="00C65D2A" w:rsidRDefault="00B45E22" w:rsidP="00B45E22">
      <w:pPr>
        <w:pStyle w:val="Subtitle"/>
        <w:rPr>
          <w:rFonts w:ascii="Garamond" w:hAnsi="Garamond"/>
          <w:b/>
          <w:bCs/>
          <w:color w:val="000000" w:themeColor="text1"/>
          <w:sz w:val="22"/>
          <w:szCs w:val="22"/>
          <w:lang w:val="en-ID" w:bidi="th-TH"/>
        </w:rPr>
      </w:pPr>
      <w:r w:rsidRPr="00C65D2A">
        <w:rPr>
          <w:rFonts w:ascii="Garamond" w:hAnsi="Garamond"/>
          <w:b/>
          <w:bCs/>
          <w:color w:val="000000" w:themeColor="text1"/>
          <w:sz w:val="22"/>
          <w:szCs w:val="22"/>
          <w:lang w:val="en-ID" w:bidi="th-TH"/>
        </w:rPr>
        <w:t>Abstract</w:t>
      </w:r>
    </w:p>
    <w:p w:rsidR="00B45E22" w:rsidRPr="00C65D2A" w:rsidRDefault="00B45E22" w:rsidP="00B45E22">
      <w:pPr>
        <w:pStyle w:val="Subtitle"/>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This study aims to analyze the influence of organizational communication climate on the performance of Islamic Religious Education (IRE) teachers in public junior high schools in Padang Lawas Regency. The study employed a quantitative approach using a survey method and an explanatory research design. The population consisted of all Islamic Religious Education teachers working in public junior high schools in Padang Lawas Regency, totaling 45 teachers. Therefore, a total sampling technique was applied. Data were collected through questionnaires using a Likert scale and analyzed using descriptive statistics and simple linear regression with IBM SPSS software. The findings revealed that organizational communication climate has a positive and significant effect on the performance of Islamic Religious Education teachers. The regression analysis produced the equation Y = 18.40 + 0.54X, indicating that every one-unit increase in organizational communication climate leads to a 0.54-unit increase in teacher performance. The correlation coefficient (R) of 0.563 indicates a moderate positive relationship, while the coefficient of determination (R²) of 0.317 suggests that 31.7% of the variance in teacher performance can be explained by organizational communication climate, whereas the remaining 68.3% is influenced by other factors outside the research model. The t-test result showed a t-value of 4.47 with a significance level of 0.000 (&lt; 0.05), indicating that the research hypothesis was accepted. These findings confirm that an organizational communication climate characterized by trust, openness, communication support, and participation in decision-making contributes significantly to improving the performance of Islamic Religious Education teachers. The study highlights the importance of strengthening organizational communication within schools as part of efforts to enhance the quality of Islamic education management.</w:t>
      </w:r>
    </w:p>
    <w:p w:rsidR="00B45E22" w:rsidRPr="00C65D2A" w:rsidRDefault="00B45E22" w:rsidP="00B45E22">
      <w:pPr>
        <w:pStyle w:val="Subtitle"/>
        <w:ind w:left="1418" w:hanging="1418"/>
        <w:jc w:val="both"/>
        <w:rPr>
          <w:rFonts w:ascii="Garamond" w:hAnsi="Garamond"/>
          <w:color w:val="000000" w:themeColor="text1"/>
          <w:sz w:val="22"/>
          <w:szCs w:val="22"/>
          <w:lang w:val="en-ID" w:bidi="th-TH"/>
        </w:rPr>
      </w:pPr>
      <w:r w:rsidRPr="00C65D2A">
        <w:rPr>
          <w:rFonts w:ascii="Garamond" w:hAnsi="Garamond"/>
          <w:b/>
          <w:bCs/>
          <w:color w:val="000000" w:themeColor="text1"/>
          <w:sz w:val="22"/>
          <w:szCs w:val="22"/>
          <w:lang w:val="en-ID" w:bidi="th-TH"/>
        </w:rPr>
        <w:t>Keywords:</w:t>
      </w:r>
      <w:r w:rsidRPr="00C65D2A">
        <w:rPr>
          <w:rFonts w:ascii="Garamond" w:hAnsi="Garamond"/>
          <w:color w:val="000000" w:themeColor="text1"/>
          <w:sz w:val="22"/>
          <w:szCs w:val="22"/>
          <w:lang w:val="en-ID" w:bidi="th-TH"/>
        </w:rPr>
        <w:t xml:space="preserve"> </w:t>
      </w:r>
      <w:r w:rsidRPr="00C65D2A">
        <w:rPr>
          <w:rFonts w:ascii="Garamond" w:hAnsi="Garamond"/>
          <w:i/>
          <w:iCs/>
          <w:color w:val="000000" w:themeColor="text1"/>
          <w:sz w:val="22"/>
          <w:szCs w:val="22"/>
          <w:lang w:val="en-ID" w:bidi="th-TH"/>
        </w:rPr>
        <w:t>Organizational communication climate, teacher performance, Islamic Religious Education teachers, Islamic education management, junior high schools.</w:t>
      </w:r>
    </w:p>
    <w:p w:rsidR="00B45E22" w:rsidRPr="00C65D2A" w:rsidRDefault="00B45E22" w:rsidP="00B45E22">
      <w:pPr>
        <w:pStyle w:val="NormalWeb"/>
        <w:spacing w:before="0" w:beforeAutospacing="0" w:after="0" w:afterAutospacing="0"/>
        <w:jc w:val="both"/>
        <w:rPr>
          <w:rFonts w:ascii="Garamond" w:hAnsi="Garamond"/>
          <w:b/>
          <w:bCs/>
          <w:color w:val="000000" w:themeColor="text1"/>
          <w:sz w:val="22"/>
          <w:szCs w:val="22"/>
        </w:rPr>
      </w:pPr>
      <w:r w:rsidRPr="00C65D2A">
        <w:rPr>
          <w:rFonts w:ascii="Garamond" w:hAnsi="Garamond"/>
          <w:b/>
          <w:bCs/>
          <w:color w:val="000000" w:themeColor="text1"/>
          <w:sz w:val="22"/>
          <w:szCs w:val="22"/>
        </w:rPr>
        <w:t>Introduction</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Improving the quality of education is a strategic agenda in the development of Indonesia’s human resources. In the context of Islamic education, educational quality is determined not only by students’ academic achievement but also by the quality of the learning process implemented by teachers. Islamic Religious Education (PAI) teachers play a crucial role in developing students’ spiritual, moral, and social competencies through a planned and continuous educational process. Therefore, teacher performance is considered one of the primary indicators of successful educational implementation in schools.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Teacher performance refers to the outcomes demonstrated through the ability to plan, implement, evaluate, and develop the learning process professionally. Optimal performance is influenced not only by individual teacher competencies but also by organizational factors that support the creation of a conducive working environment. One of the organizational factors that plays a significant role in enhancing teacher effectiveness is the organizational communication climate.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According to R. Wayne Pace and Don F. Faules, organizational communication climate refers to organizational members’ perceptions of the quality of communication relationships within the workplace, including aspects such as openness, trust, support, participation in decision-making, and concern for organizational goals. A positive communication climate facilitates effective information exchange, thereby enhancing members’ motivation, coordination, and productivity.</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Within the school environment, effective communication among principals, teachers, educational staff, and other educational stakeholders is a fundamental prerequisite for creating a productive work culture. Conversely, ineffective communication may lead to misunderstandings, organizational conflicts, low work motivation, and a decline in the quality of teachers’ performance. Therefore, the organizational communication climate becomes a strategic factor in supporting improvements in teacher performance.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From an Islamic perspective, communication is an integral component of the educational process. Communication principles based on honesty (</w:t>
      </w:r>
      <w:r w:rsidRPr="00C65D2A">
        <w:rPr>
          <w:rFonts w:ascii="Cambria" w:hAnsi="Cambria" w:cs="Cambria"/>
          <w:i/>
          <w:iCs/>
          <w:color w:val="000000" w:themeColor="text1"/>
          <w:sz w:val="22"/>
          <w:szCs w:val="22"/>
        </w:rPr>
        <w:t>ṣ</w:t>
      </w:r>
      <w:r w:rsidRPr="00C65D2A">
        <w:rPr>
          <w:rFonts w:ascii="Garamond" w:hAnsi="Garamond"/>
          <w:i/>
          <w:iCs/>
          <w:color w:val="000000" w:themeColor="text1"/>
          <w:sz w:val="22"/>
          <w:szCs w:val="22"/>
        </w:rPr>
        <w:t>idq</w:t>
      </w:r>
      <w:r w:rsidRPr="00C65D2A">
        <w:rPr>
          <w:rFonts w:ascii="Garamond" w:hAnsi="Garamond"/>
          <w:color w:val="000000" w:themeColor="text1"/>
          <w:sz w:val="22"/>
          <w:szCs w:val="22"/>
        </w:rPr>
        <w:t>), trustworthiness (</w:t>
      </w:r>
      <w:r w:rsidRPr="00C65D2A">
        <w:rPr>
          <w:rFonts w:ascii="Garamond" w:hAnsi="Garamond"/>
          <w:i/>
          <w:iCs/>
          <w:color w:val="000000" w:themeColor="text1"/>
          <w:sz w:val="22"/>
          <w:szCs w:val="22"/>
        </w:rPr>
        <w:t>amanah</w:t>
      </w:r>
      <w:r w:rsidRPr="00C65D2A">
        <w:rPr>
          <w:rFonts w:ascii="Garamond" w:hAnsi="Garamond"/>
          <w:color w:val="000000" w:themeColor="text1"/>
          <w:sz w:val="22"/>
          <w:szCs w:val="22"/>
        </w:rPr>
        <w:t>), consultation (</w:t>
      </w:r>
      <w:r w:rsidRPr="00C65D2A">
        <w:rPr>
          <w:rFonts w:ascii="Garamond" w:hAnsi="Garamond"/>
          <w:i/>
          <w:iCs/>
          <w:color w:val="000000" w:themeColor="text1"/>
          <w:sz w:val="22"/>
          <w:szCs w:val="22"/>
        </w:rPr>
        <w:t>shūrā</w:t>
      </w:r>
      <w:r w:rsidRPr="00C65D2A">
        <w:rPr>
          <w:rFonts w:ascii="Garamond" w:hAnsi="Garamond"/>
          <w:color w:val="000000" w:themeColor="text1"/>
          <w:sz w:val="22"/>
          <w:szCs w:val="22"/>
        </w:rPr>
        <w:t xml:space="preserve">), and mutual respect serve as the foundation for establishing harmonious social relationships. The Qur’an emphasizes the importance of effective communication through the concepts of </w:t>
      </w:r>
      <w:r w:rsidRPr="00C65D2A">
        <w:rPr>
          <w:rFonts w:ascii="Garamond" w:hAnsi="Garamond"/>
          <w:i/>
          <w:iCs/>
          <w:color w:val="000000" w:themeColor="text1"/>
          <w:sz w:val="22"/>
          <w:szCs w:val="22"/>
        </w:rPr>
        <w:t>qaulan sadīdan</w:t>
      </w:r>
      <w:r w:rsidRPr="00C65D2A">
        <w:rPr>
          <w:rFonts w:ascii="Garamond" w:hAnsi="Garamond"/>
          <w:color w:val="000000" w:themeColor="text1"/>
          <w:sz w:val="22"/>
          <w:szCs w:val="22"/>
        </w:rPr>
        <w:t xml:space="preserve"> (truthful speech), </w:t>
      </w:r>
      <w:r w:rsidRPr="00C65D2A">
        <w:rPr>
          <w:rFonts w:ascii="Garamond" w:hAnsi="Garamond"/>
          <w:i/>
          <w:iCs/>
          <w:color w:val="000000" w:themeColor="text1"/>
          <w:sz w:val="22"/>
          <w:szCs w:val="22"/>
        </w:rPr>
        <w:t>qaulan layyinan</w:t>
      </w:r>
      <w:r w:rsidRPr="00C65D2A">
        <w:rPr>
          <w:rFonts w:ascii="Garamond" w:hAnsi="Garamond"/>
          <w:color w:val="000000" w:themeColor="text1"/>
          <w:sz w:val="22"/>
          <w:szCs w:val="22"/>
        </w:rPr>
        <w:t xml:space="preserve"> (gentle speech), and </w:t>
      </w:r>
      <w:r w:rsidRPr="00C65D2A">
        <w:rPr>
          <w:rFonts w:ascii="Garamond" w:hAnsi="Garamond"/>
          <w:i/>
          <w:iCs/>
          <w:color w:val="000000" w:themeColor="text1"/>
          <w:sz w:val="22"/>
          <w:szCs w:val="22"/>
        </w:rPr>
        <w:t>qaulan ma‘rūfan</w:t>
      </w:r>
      <w:r w:rsidRPr="00C65D2A">
        <w:rPr>
          <w:rFonts w:ascii="Garamond" w:hAnsi="Garamond"/>
          <w:color w:val="000000" w:themeColor="text1"/>
          <w:sz w:val="22"/>
          <w:szCs w:val="22"/>
        </w:rPr>
        <w:t xml:space="preserve"> (kind and appropriate speech). These values are highly relevant to the concept of organizational communication climate, which emphasizes openness, trust, and collaboration in achieving common goals.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Previous studies have demonstrated that organizational communication climate is positively associated with employee and teacher performance. However, most of these studies have been conducted within general </w:t>
      </w:r>
      <w:r w:rsidRPr="00C65D2A">
        <w:rPr>
          <w:rFonts w:ascii="Garamond" w:hAnsi="Garamond"/>
          <w:color w:val="000000" w:themeColor="text1"/>
          <w:sz w:val="22"/>
          <w:szCs w:val="22"/>
        </w:rPr>
        <w:lastRenderedPageBreak/>
        <w:t>organizational settings or broader educational institutions. Research specifically examining the influence of organizational communication climate on the performance of Islamic Religious Education teachers in public junior high schools, particularly in Padang Lawas Regency, remains relatively limited. In fact, the unique social, cultural, and religious characteristics of the local community may create distinctive dynamics in the organizational communication processes within schools.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Based on the foregoing discussion, this study is important to analyze the influence of organizational communication climate on the performance of Islamic Religious Education teachers in public junior high schools in Padang Lawas Regency. The findings are expected to contribute theoretically to the development of Islamic educational management studies and to provide a basis for policymaking aimed at improving the effectiveness of school management.</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novelty of this study lies in the following aspects:</w:t>
      </w:r>
    </w:p>
    <w:p w:rsidR="00B45E22" w:rsidRPr="00C65D2A" w:rsidRDefault="00B45E22" w:rsidP="00B45E22">
      <w:pPr>
        <w:pStyle w:val="NormalWeb"/>
        <w:numPr>
          <w:ilvl w:val="0"/>
          <w:numId w:val="7"/>
        </w:numPr>
        <w:tabs>
          <w:tab w:val="clear" w:pos="720"/>
        </w:tabs>
        <w:spacing w:before="0" w:beforeAutospacing="0" w:after="0" w:afterAutospacing="0"/>
        <w:ind w:left="284" w:hanging="284"/>
        <w:jc w:val="both"/>
        <w:rPr>
          <w:rFonts w:ascii="Garamond" w:hAnsi="Garamond"/>
          <w:color w:val="000000" w:themeColor="text1"/>
          <w:sz w:val="22"/>
          <w:szCs w:val="22"/>
        </w:rPr>
      </w:pPr>
      <w:r w:rsidRPr="00C65D2A">
        <w:rPr>
          <w:rFonts w:ascii="Garamond" w:hAnsi="Garamond"/>
          <w:color w:val="000000" w:themeColor="text1"/>
          <w:sz w:val="22"/>
          <w:szCs w:val="22"/>
        </w:rPr>
        <w:t xml:space="preserve">It specifically examines the organizational communication climate among Islamic Religious Education teachers, a topic that has received relatively little attention compared to studies on teachers in general. </w:t>
      </w:r>
    </w:p>
    <w:p w:rsidR="00B45E22" w:rsidRPr="00C65D2A" w:rsidRDefault="00B45E22" w:rsidP="00B45E22">
      <w:pPr>
        <w:pStyle w:val="NormalWeb"/>
        <w:numPr>
          <w:ilvl w:val="0"/>
          <w:numId w:val="7"/>
        </w:numPr>
        <w:tabs>
          <w:tab w:val="clear" w:pos="720"/>
        </w:tabs>
        <w:spacing w:before="0" w:beforeAutospacing="0" w:after="0" w:afterAutospacing="0"/>
        <w:ind w:left="284" w:hanging="284"/>
        <w:jc w:val="both"/>
        <w:rPr>
          <w:rFonts w:ascii="Garamond" w:hAnsi="Garamond"/>
          <w:color w:val="000000" w:themeColor="text1"/>
          <w:sz w:val="22"/>
          <w:szCs w:val="22"/>
        </w:rPr>
      </w:pPr>
      <w:r w:rsidRPr="00C65D2A">
        <w:rPr>
          <w:rFonts w:ascii="Garamond" w:hAnsi="Garamond"/>
          <w:color w:val="000000" w:themeColor="text1"/>
          <w:sz w:val="22"/>
          <w:szCs w:val="22"/>
        </w:rPr>
        <w:t xml:space="preserve">It integrates organizational communication theory with the perspective of Islamic educational management through the concepts of </w:t>
      </w:r>
      <w:r w:rsidRPr="00C65D2A">
        <w:rPr>
          <w:rFonts w:ascii="Garamond" w:hAnsi="Garamond"/>
          <w:i/>
          <w:iCs/>
          <w:color w:val="000000" w:themeColor="text1"/>
          <w:sz w:val="22"/>
          <w:szCs w:val="22"/>
        </w:rPr>
        <w:t>shūrā</w:t>
      </w:r>
      <w:r w:rsidRPr="00C65D2A">
        <w:rPr>
          <w:rFonts w:ascii="Garamond" w:hAnsi="Garamond"/>
          <w:color w:val="000000" w:themeColor="text1"/>
          <w:sz w:val="22"/>
          <w:szCs w:val="22"/>
        </w:rPr>
        <w:t xml:space="preserve"> (consultation), </w:t>
      </w:r>
      <w:r w:rsidRPr="00C65D2A">
        <w:rPr>
          <w:rFonts w:ascii="Garamond" w:hAnsi="Garamond"/>
          <w:i/>
          <w:iCs/>
          <w:color w:val="000000" w:themeColor="text1"/>
          <w:sz w:val="22"/>
          <w:szCs w:val="22"/>
        </w:rPr>
        <w:t>amanah</w:t>
      </w:r>
      <w:r w:rsidRPr="00C65D2A">
        <w:rPr>
          <w:rFonts w:ascii="Garamond" w:hAnsi="Garamond"/>
          <w:color w:val="000000" w:themeColor="text1"/>
          <w:sz w:val="22"/>
          <w:szCs w:val="22"/>
        </w:rPr>
        <w:t xml:space="preserve"> (trustworthiness), </w:t>
      </w:r>
      <w:r w:rsidRPr="00C65D2A">
        <w:rPr>
          <w:rFonts w:ascii="Garamond" w:hAnsi="Garamond"/>
          <w:i/>
          <w:iCs/>
          <w:color w:val="000000" w:themeColor="text1"/>
          <w:sz w:val="22"/>
          <w:szCs w:val="22"/>
        </w:rPr>
        <w:t>ukhuwah</w:t>
      </w:r>
      <w:r w:rsidRPr="00C65D2A">
        <w:rPr>
          <w:rFonts w:ascii="Garamond" w:hAnsi="Garamond"/>
          <w:color w:val="000000" w:themeColor="text1"/>
          <w:sz w:val="22"/>
          <w:szCs w:val="22"/>
        </w:rPr>
        <w:t xml:space="preserve"> (brotherhood), and </w:t>
      </w:r>
      <w:r w:rsidRPr="00C65D2A">
        <w:rPr>
          <w:rFonts w:ascii="Garamond" w:hAnsi="Garamond"/>
          <w:i/>
          <w:iCs/>
          <w:color w:val="000000" w:themeColor="text1"/>
          <w:sz w:val="22"/>
          <w:szCs w:val="22"/>
        </w:rPr>
        <w:t>qaulan sadīdan</w:t>
      </w:r>
      <w:r w:rsidRPr="00C65D2A">
        <w:rPr>
          <w:rFonts w:ascii="Garamond" w:hAnsi="Garamond"/>
          <w:color w:val="000000" w:themeColor="text1"/>
          <w:sz w:val="22"/>
          <w:szCs w:val="22"/>
        </w:rPr>
        <w:t xml:space="preserve"> (truthful communication). </w:t>
      </w:r>
    </w:p>
    <w:p w:rsidR="00B45E22" w:rsidRPr="00C65D2A" w:rsidRDefault="00B45E22" w:rsidP="00B45E22">
      <w:pPr>
        <w:pStyle w:val="NormalWeb"/>
        <w:numPr>
          <w:ilvl w:val="0"/>
          <w:numId w:val="7"/>
        </w:numPr>
        <w:tabs>
          <w:tab w:val="clear" w:pos="720"/>
        </w:tabs>
        <w:spacing w:before="0" w:beforeAutospacing="0" w:after="0" w:afterAutospacing="0"/>
        <w:ind w:left="284" w:hanging="284"/>
        <w:jc w:val="both"/>
        <w:rPr>
          <w:rFonts w:ascii="Garamond" w:hAnsi="Garamond"/>
          <w:color w:val="000000" w:themeColor="text1"/>
          <w:sz w:val="22"/>
          <w:szCs w:val="22"/>
        </w:rPr>
      </w:pPr>
      <w:r w:rsidRPr="00C65D2A">
        <w:rPr>
          <w:rFonts w:ascii="Garamond" w:hAnsi="Garamond"/>
          <w:color w:val="000000" w:themeColor="text1"/>
          <w:sz w:val="22"/>
          <w:szCs w:val="22"/>
        </w:rPr>
        <w:t xml:space="preserve">It provides empirical evidence from public junior high schools in Padang Lawas Regency, which possess socio-religious characteristics distinct from those of urban areas. </w:t>
      </w:r>
    </w:p>
    <w:p w:rsidR="00B45E22" w:rsidRPr="00C65D2A" w:rsidRDefault="00B45E22" w:rsidP="00B45E22">
      <w:pPr>
        <w:pStyle w:val="NormalWeb"/>
        <w:numPr>
          <w:ilvl w:val="0"/>
          <w:numId w:val="7"/>
        </w:numPr>
        <w:tabs>
          <w:tab w:val="clear" w:pos="720"/>
        </w:tabs>
        <w:spacing w:before="0" w:beforeAutospacing="0" w:after="0" w:afterAutospacing="0"/>
        <w:ind w:left="284" w:hanging="284"/>
        <w:jc w:val="both"/>
        <w:rPr>
          <w:rFonts w:ascii="Garamond" w:hAnsi="Garamond"/>
          <w:color w:val="000000" w:themeColor="text1"/>
          <w:sz w:val="22"/>
          <w:szCs w:val="22"/>
        </w:rPr>
      </w:pPr>
      <w:r w:rsidRPr="00C65D2A">
        <w:rPr>
          <w:rFonts w:ascii="Garamond" w:hAnsi="Garamond"/>
          <w:color w:val="000000" w:themeColor="text1"/>
          <w:sz w:val="22"/>
          <w:szCs w:val="22"/>
        </w:rPr>
        <w:t>It advances the understanding that communication climate functions not only as an organizational management instrument but also as a means of internalizing Islamic values within school governance.</w:t>
      </w:r>
    </w:p>
    <w:p w:rsidR="00B45E22" w:rsidRPr="00C65D2A" w:rsidRDefault="00B45E22" w:rsidP="00B45E22">
      <w:pPr>
        <w:pStyle w:val="NormalWeb"/>
        <w:spacing w:before="0" w:beforeAutospacing="0" w:after="0" w:afterAutospacing="0"/>
        <w:jc w:val="both"/>
        <w:rPr>
          <w:rFonts w:ascii="Garamond" w:hAnsi="Garamond"/>
          <w:b/>
          <w:bCs/>
          <w:color w:val="000000" w:themeColor="text1"/>
          <w:sz w:val="22"/>
          <w:szCs w:val="22"/>
        </w:rPr>
      </w:pPr>
      <w:r w:rsidRPr="00C65D2A">
        <w:rPr>
          <w:rFonts w:ascii="Garamond" w:hAnsi="Garamond"/>
          <w:b/>
          <w:bCs/>
          <w:color w:val="000000" w:themeColor="text1"/>
          <w:sz w:val="22"/>
          <w:szCs w:val="22"/>
        </w:rPr>
        <w:t>Theoretical Framework</w:t>
      </w:r>
    </w:p>
    <w:p w:rsidR="00B45E22" w:rsidRPr="00C65D2A" w:rsidRDefault="00B45E22" w:rsidP="00B45E22">
      <w:pPr>
        <w:pStyle w:val="Heading3"/>
        <w:spacing w:before="0" w:after="0"/>
        <w:rPr>
          <w:rFonts w:ascii="Garamond" w:hAnsi="Garamond"/>
          <w:b/>
          <w:bCs/>
          <w:color w:val="000000" w:themeColor="text1"/>
          <w:sz w:val="22"/>
          <w:szCs w:val="22"/>
          <w:lang w:val="en-ID"/>
        </w:rPr>
      </w:pPr>
      <w:r w:rsidRPr="00C65D2A">
        <w:rPr>
          <w:rFonts w:ascii="Garamond" w:hAnsi="Garamond"/>
          <w:color w:val="000000" w:themeColor="text1"/>
          <w:sz w:val="22"/>
          <w:szCs w:val="22"/>
        </w:rPr>
        <w:t xml:space="preserve">1. </w:t>
      </w:r>
      <w:r w:rsidRPr="00C65D2A">
        <w:rPr>
          <w:rFonts w:ascii="Garamond" w:hAnsi="Garamond"/>
          <w:b/>
          <w:bCs/>
          <w:color w:val="000000" w:themeColor="text1"/>
          <w:sz w:val="22"/>
          <w:szCs w:val="22"/>
        </w:rPr>
        <w:t>Organizational Communication Climate</w:t>
      </w:r>
    </w:p>
    <w:p w:rsidR="00B45E22" w:rsidRPr="00C65D2A" w:rsidRDefault="00B45E22" w:rsidP="00B45E22">
      <w:pPr>
        <w:pStyle w:val="Heading4"/>
        <w:spacing w:before="0" w:after="0"/>
        <w:rPr>
          <w:rFonts w:ascii="Garamond" w:hAnsi="Garamond"/>
          <w:b/>
          <w:bCs/>
          <w:color w:val="000000" w:themeColor="text1"/>
          <w:sz w:val="22"/>
          <w:szCs w:val="22"/>
        </w:rPr>
      </w:pPr>
      <w:r w:rsidRPr="00C65D2A">
        <w:rPr>
          <w:rFonts w:ascii="Garamond" w:hAnsi="Garamond"/>
          <w:b/>
          <w:bCs/>
          <w:color w:val="000000" w:themeColor="text1"/>
          <w:sz w:val="22"/>
          <w:szCs w:val="22"/>
        </w:rPr>
        <w:t>a. Definition of Organizational Communication Climate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Organizational communication climate is one of the factors that determines the effectiveness of relationships among organizational members in achieving common goals. It reflects members' perceptions of the quality of communication occurring within the work environment. These perceptions are formed through individuals’ experiences in receiving information, interacting with leaders and colleagues, and participating in various organizational activities.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According to Pace and Faules, organizational communication climate refers to the quality of organizational members’ subjective experiences derived from their perceptions of messages, events, and communication relationships occurring within the organization. A positive communication climate encourages trust, openness, support, and participation among organizational members in achieving shared objectives (Pace &amp; Faules, 2018).</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Muhammad Arni explains that organizational communication climate is the communication atmosphere that develops within an organization as a result of interactions among its members, which can influence work behavior, motivation, and organizational productivity (Muhammad, 2017). Therefore, communication climate is not merely related to the process of information transmission but also encompasses psychological aspects that affect organizational effectiveness.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the educational context, organizational communication climate reflects the quality of communication relationships among principals, teachers, educational staff, students, and various stakeholders involved in the educational process. Effective communication enables better work coordination and collaboration, thereby supporting efforts to improve educational quality (Robbins &amp; Judge, 2021).</w:t>
      </w:r>
    </w:p>
    <w:p w:rsidR="00B45E22" w:rsidRPr="00C65D2A" w:rsidRDefault="00B45E22" w:rsidP="00B45E22">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b. Dimensions of Organizational Communication Climate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Pace and Faules argue that the organizational communication climate consists of six main dimensions: trust, participation in decision-making, downward communication openness, upward communication openness, communication support, and focus on organizational goals (Pace &amp; Faules, 2018).</w:t>
      </w:r>
    </w:p>
    <w:p w:rsidR="00B45E22"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Trust serves as the primary foundation of organizational communication relationships because it enables the open and honest exchange of information. Participation in decision-making provides members with the opportunity to share their ideas and opinions, thereby enhancing their sense of belonging to the organization. Open communication both upward and downward enables the effective flow of information, while communication support and attention to organizational goals play a role in enhancing members’ motivation and work commitment (Muhammad, 2017).</w:t>
      </w:r>
    </w:p>
    <w:p w:rsidR="00C65D2A" w:rsidRDefault="00C65D2A" w:rsidP="00B45E22">
      <w:pPr>
        <w:pStyle w:val="NormalWeb"/>
        <w:spacing w:before="0" w:beforeAutospacing="0" w:after="0" w:afterAutospacing="0"/>
        <w:ind w:firstLine="851"/>
        <w:jc w:val="both"/>
        <w:rPr>
          <w:rFonts w:ascii="Garamond" w:hAnsi="Garamond"/>
          <w:color w:val="000000" w:themeColor="text1"/>
          <w:sz w:val="22"/>
          <w:szCs w:val="22"/>
        </w:rPr>
      </w:pPr>
    </w:p>
    <w:p w:rsidR="00C65D2A" w:rsidRPr="00C65D2A" w:rsidRDefault="00C65D2A" w:rsidP="00B45E22">
      <w:pPr>
        <w:pStyle w:val="NormalWeb"/>
        <w:spacing w:before="0" w:beforeAutospacing="0" w:after="0" w:afterAutospacing="0"/>
        <w:ind w:firstLine="851"/>
        <w:jc w:val="both"/>
        <w:rPr>
          <w:rFonts w:ascii="Garamond" w:hAnsi="Garamond"/>
          <w:color w:val="000000" w:themeColor="text1"/>
          <w:sz w:val="22"/>
          <w:szCs w:val="22"/>
        </w:rPr>
      </w:pPr>
    </w:p>
    <w:p w:rsidR="00B45E22" w:rsidRPr="00C65D2A" w:rsidRDefault="00B45E22" w:rsidP="00B45E22">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c. Organizational Communication Climate from an Islamic Perspective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Islam places communication as an essential component of social and organizational life. Communication principles in Islam emphasize not only the effectiveness of message delivery but also the importance of moral and ethical values. Allah the Almighty states: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i/>
          <w:iCs/>
          <w:color w:val="000000" w:themeColor="text1"/>
          <w:sz w:val="22"/>
          <w:szCs w:val="22"/>
        </w:rPr>
        <w:lastRenderedPageBreak/>
        <w:t>“And consult them in matters of affairs.”</w:t>
      </w:r>
      <w:r w:rsidRPr="00C65D2A">
        <w:rPr>
          <w:rFonts w:ascii="Garamond" w:hAnsi="Garamond"/>
          <w:color w:val="000000" w:themeColor="text1"/>
          <w:sz w:val="22"/>
          <w:szCs w:val="22"/>
        </w:rPr>
        <w:t xml:space="preserve"> (Qur'an, Āli ‘Imrān [3]: 159)</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This verse highlights the significance of the principle of </w:t>
      </w:r>
      <w:r w:rsidRPr="00C65D2A">
        <w:rPr>
          <w:rFonts w:ascii="Garamond" w:hAnsi="Garamond"/>
          <w:i/>
          <w:iCs/>
          <w:color w:val="000000" w:themeColor="text1"/>
          <w:sz w:val="22"/>
          <w:szCs w:val="22"/>
        </w:rPr>
        <w:t>shūrā</w:t>
      </w:r>
      <w:r w:rsidRPr="00C65D2A">
        <w:rPr>
          <w:rFonts w:ascii="Garamond" w:hAnsi="Garamond"/>
          <w:color w:val="000000" w:themeColor="text1"/>
          <w:sz w:val="22"/>
          <w:szCs w:val="22"/>
        </w:rPr>
        <w:t xml:space="preserve"> (consultation) in organizational decision-making. Furthermore, the Qur’an teaches the principles of </w:t>
      </w:r>
      <w:r w:rsidRPr="00C65D2A">
        <w:rPr>
          <w:rFonts w:ascii="Garamond" w:hAnsi="Garamond"/>
          <w:i/>
          <w:iCs/>
          <w:color w:val="000000" w:themeColor="text1"/>
          <w:sz w:val="22"/>
          <w:szCs w:val="22"/>
        </w:rPr>
        <w:t>qaulan sadīdan</w:t>
      </w:r>
      <w:r w:rsidRPr="00C65D2A">
        <w:rPr>
          <w:rFonts w:ascii="Garamond" w:hAnsi="Garamond"/>
          <w:color w:val="000000" w:themeColor="text1"/>
          <w:sz w:val="22"/>
          <w:szCs w:val="22"/>
        </w:rPr>
        <w:t xml:space="preserve"> (truthful speech), </w:t>
      </w:r>
      <w:r w:rsidRPr="00C65D2A">
        <w:rPr>
          <w:rFonts w:ascii="Garamond" w:hAnsi="Garamond"/>
          <w:i/>
          <w:iCs/>
          <w:color w:val="000000" w:themeColor="text1"/>
          <w:sz w:val="22"/>
          <w:szCs w:val="22"/>
        </w:rPr>
        <w:t>qaulan ma‘rūfan</w:t>
      </w:r>
      <w:r w:rsidRPr="00C65D2A">
        <w:rPr>
          <w:rFonts w:ascii="Garamond" w:hAnsi="Garamond"/>
          <w:color w:val="000000" w:themeColor="text1"/>
          <w:sz w:val="22"/>
          <w:szCs w:val="22"/>
        </w:rPr>
        <w:t xml:space="preserve"> (kind and appropriate speech), and </w:t>
      </w:r>
      <w:r w:rsidRPr="00C65D2A">
        <w:rPr>
          <w:rFonts w:ascii="Garamond" w:hAnsi="Garamond"/>
          <w:i/>
          <w:iCs/>
          <w:color w:val="000000" w:themeColor="text1"/>
          <w:sz w:val="22"/>
          <w:szCs w:val="22"/>
        </w:rPr>
        <w:t>qaulan layyinan</w:t>
      </w:r>
      <w:r w:rsidRPr="00C65D2A">
        <w:rPr>
          <w:rFonts w:ascii="Garamond" w:hAnsi="Garamond"/>
          <w:color w:val="000000" w:themeColor="text1"/>
          <w:sz w:val="22"/>
          <w:szCs w:val="22"/>
        </w:rPr>
        <w:t xml:space="preserve"> (gentle speech) as fundamental guidelines for effective communication (Ministry of Religious Affairs of the Republic of Indonesia, 2019).</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From the perspective of Islamic educational management, a positive organizational communication climate is characterized by communication practices founded upon honesty (</w:t>
      </w:r>
      <w:r w:rsidRPr="00C65D2A">
        <w:rPr>
          <w:rFonts w:ascii="Cambria" w:hAnsi="Cambria" w:cs="Cambria"/>
          <w:i/>
          <w:iCs/>
          <w:color w:val="000000" w:themeColor="text1"/>
          <w:sz w:val="22"/>
          <w:szCs w:val="22"/>
        </w:rPr>
        <w:t>ṣ</w:t>
      </w:r>
      <w:r w:rsidRPr="00C65D2A">
        <w:rPr>
          <w:rFonts w:ascii="Garamond" w:hAnsi="Garamond"/>
          <w:i/>
          <w:iCs/>
          <w:color w:val="000000" w:themeColor="text1"/>
          <w:sz w:val="22"/>
          <w:szCs w:val="22"/>
        </w:rPr>
        <w:t>idq</w:t>
      </w:r>
      <w:r w:rsidRPr="00C65D2A">
        <w:rPr>
          <w:rFonts w:ascii="Garamond" w:hAnsi="Garamond"/>
          <w:color w:val="000000" w:themeColor="text1"/>
          <w:sz w:val="22"/>
          <w:szCs w:val="22"/>
        </w:rPr>
        <w:t>), trustworthiness (</w:t>
      </w:r>
      <w:r w:rsidRPr="00C65D2A">
        <w:rPr>
          <w:rFonts w:ascii="Garamond" w:hAnsi="Garamond"/>
          <w:i/>
          <w:iCs/>
          <w:color w:val="000000" w:themeColor="text1"/>
          <w:sz w:val="22"/>
          <w:szCs w:val="22"/>
        </w:rPr>
        <w:t>amanah</w:t>
      </w:r>
      <w:r w:rsidRPr="00C65D2A">
        <w:rPr>
          <w:rFonts w:ascii="Garamond" w:hAnsi="Garamond"/>
          <w:color w:val="000000" w:themeColor="text1"/>
          <w:sz w:val="22"/>
          <w:szCs w:val="22"/>
        </w:rPr>
        <w:t>), justice (</w:t>
      </w:r>
      <w:r w:rsidRPr="00C65D2A">
        <w:rPr>
          <w:rFonts w:ascii="Garamond" w:hAnsi="Garamond"/>
          <w:i/>
          <w:iCs/>
          <w:color w:val="000000" w:themeColor="text1"/>
          <w:sz w:val="22"/>
          <w:szCs w:val="22"/>
        </w:rPr>
        <w:t>‘adl</w:t>
      </w:r>
      <w:r w:rsidRPr="00C65D2A">
        <w:rPr>
          <w:rFonts w:ascii="Garamond" w:hAnsi="Garamond"/>
          <w:color w:val="000000" w:themeColor="text1"/>
          <w:sz w:val="22"/>
          <w:szCs w:val="22"/>
        </w:rPr>
        <w:t>), openness, and cooperation in achieving educational objectives effectively. Such a communication climate fosters harmonious relationships among organizational members, strengthens mutual trust, and enhances commitment to institutional goals (Ramadina, Fuadi, &amp; Mutohar, 2025).</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Therefore, the concept of organizational communication climate in Islam extends beyond managerial effectiveness. It also serves as a medium for internalizing Islamic values within organizational life, particularly in educational institutions. Through the implementation of Islamic communication principles, schools can establish a work environment that promotes professionalism, collaboration, ethical behavior, and collective responsibility in achieving educational excellence.</w:t>
      </w:r>
    </w:p>
    <w:p w:rsidR="00B45E22" w:rsidRPr="00C65D2A" w:rsidRDefault="00B45E22" w:rsidP="00B45E22">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2. Performance of Islamic Religious Education Teachers</w:t>
      </w:r>
    </w:p>
    <w:p w:rsidR="00B45E22" w:rsidRPr="00C65D2A" w:rsidRDefault="00B45E22" w:rsidP="00B45E22">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color w:val="000000" w:themeColor="text1"/>
          <w:sz w:val="22"/>
          <w:szCs w:val="22"/>
        </w:rPr>
        <w:t xml:space="preserve">a. </w:t>
      </w:r>
      <w:r w:rsidRPr="00C65D2A">
        <w:rPr>
          <w:rFonts w:ascii="Garamond" w:hAnsi="Garamond"/>
          <w:b/>
          <w:bCs/>
          <w:color w:val="000000" w:themeColor="text1"/>
          <w:sz w:val="22"/>
          <w:szCs w:val="22"/>
        </w:rPr>
        <w:t>Definition of Teacher Performance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Teacher performance refers to the level of success achieved by teachers in carrying out their professional duties in accordance with the responsibilities assigned to them. Teacher performance is considered an important indicator in evaluating the effectiveness of educational implementation, as teachers are the primary factor determining the quality of the teaching and learning process.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According to Supardi, teacher performance is defined as the teacher’s ability to carry out instructional tasks, including lesson planning, instructional implementation, assessment of learning outcomes, and follow-up activities in an effective and efficient manner (Supardi, 2019).</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Mulyasa explains that teacher performance is the work achievement attained by teachers in performing their educational duties based on the competencies they possess, thereby enabling learning objectives to be achieved optimally (Mulyasa, 2020).</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the educational context, teacher performance encompasses not only the mastery of subject matter and pedagogical skills but also the ability to create a conducive learning environment, foster student engagement, and continuously improve instructional quality. Therefore, teacher performance reflects the extent to which teachers can effectively fulfill their professional roles in facilitating students’ academic, moral, and personal development.</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For Islamic Religious Education (PAI) teachers, performance carries an even broader dimension. In addition to delivering academic content, PAI teachers are responsible for nurturing students’ spiritual values, moral character, and religious understanding. Consequently, the performance of PAI teachers can be assessed through their effectiveness in planning, implementing, evaluating, and developing learning activities that promote both educational achievement and Islamic character formation among students.</w:t>
      </w:r>
    </w:p>
    <w:p w:rsidR="00B45E22" w:rsidRPr="00C65D2A" w:rsidRDefault="00B45E22" w:rsidP="00B45E22">
      <w:pPr>
        <w:pStyle w:val="NormalWeb"/>
        <w:spacing w:before="0" w:beforeAutospacing="0" w:after="0" w:afterAutospacing="0"/>
        <w:jc w:val="both"/>
        <w:rPr>
          <w:rFonts w:ascii="Garamond" w:hAnsi="Garamond"/>
          <w:b/>
          <w:bCs/>
          <w:color w:val="000000" w:themeColor="text1"/>
          <w:sz w:val="22"/>
          <w:szCs w:val="22"/>
        </w:rPr>
      </w:pPr>
      <w:r w:rsidRPr="00C65D2A">
        <w:rPr>
          <w:rFonts w:ascii="Garamond" w:hAnsi="Garamond"/>
          <w:b/>
          <w:bCs/>
          <w:color w:val="000000" w:themeColor="text1"/>
          <w:sz w:val="22"/>
          <w:szCs w:val="22"/>
        </w:rPr>
        <w:t>b. Indicators of Teacher Performance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Teacher performance can be measured through several key indicators, namely the ability to plan instruction, implement instruction, conduct learning evaluation, develop professional competence, and demonstrate work discipline (Supardi, 2019).</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Instructional planning involves the preparation of systematic learning materials and teaching plans that are aligned with students’ needs and educational objectives. Effective planning serves as the foundation for successful teaching and learning activities.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Instructional implementation refers to the teacher’s ability to manage the learning process effectively, including the use of appropriate teaching methods, learning resources, classroom management strategies, and student engagement techniques. Successful implementation enables students to achieve the intended learning outcomes.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Learning evaluation encompasses the assessment of students’ learning achievements through various evaluation methods and instruments. Through evaluation, teachers can measure students’ progress, identify learning difficulties, and provide appropriate feedback for improvement.</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Professional development reflects teachers’ efforts to enhance their competencies through academic and professional activities such as training programs, workshops, seminars, research, and continuous learning. Professional development is essential for maintaining instructional quality and adapting to educational changes and innovations.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In addition, work discipline represents teachers’ commitment to fulfilling their professional responsibilities, including punctuality, adherence to school regulations, consistency in carrying out duties, and </w:t>
      </w:r>
      <w:r w:rsidRPr="00C65D2A">
        <w:rPr>
          <w:rFonts w:ascii="Garamond" w:hAnsi="Garamond"/>
          <w:color w:val="000000" w:themeColor="text1"/>
          <w:sz w:val="22"/>
          <w:szCs w:val="22"/>
        </w:rPr>
        <w:lastRenderedPageBreak/>
        <w:t>accountability in educational activities. Strong work discipline contributes significantly to the effectiveness of educational management and the achievement of institutional goals (Mulyasa, 2020).</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Collectively, these indicators provide a comprehensive framework for assessing teacher performance, particularly in evaluating the effectiveness of Islamic Religious Education (PAI) teachers in carrying out their educational, instructional, and character-building responsibilities.</w:t>
      </w:r>
    </w:p>
    <w:p w:rsidR="00B45E22" w:rsidRPr="00C65D2A" w:rsidRDefault="00B45E22" w:rsidP="00B45E22">
      <w:pPr>
        <w:pStyle w:val="NormalWeb"/>
        <w:spacing w:before="0" w:beforeAutospacing="0" w:after="0" w:afterAutospacing="0"/>
        <w:jc w:val="both"/>
        <w:rPr>
          <w:rFonts w:ascii="Garamond" w:hAnsi="Garamond"/>
          <w:b/>
          <w:bCs/>
          <w:color w:val="000000" w:themeColor="text1"/>
          <w:sz w:val="22"/>
          <w:szCs w:val="22"/>
        </w:rPr>
      </w:pPr>
      <w:r w:rsidRPr="00C65D2A">
        <w:rPr>
          <w:rFonts w:ascii="Garamond" w:hAnsi="Garamond"/>
          <w:b/>
          <w:bCs/>
          <w:color w:val="000000" w:themeColor="text1"/>
          <w:sz w:val="22"/>
          <w:szCs w:val="22"/>
        </w:rPr>
        <w:t>c. Factors Influencing Teacher Performance</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Teacher performance is influenced by various factors originating both from within the individual teacher and from the organizational environment in which the teacher works. Individual factors include professional competence, motivation, commitment, work experience, personality, and job satisfaction. Meanwhile, organizational factors encompass leadership, organizational culture, work climate, communication patterns, and the availability of institutional support.</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According to Robbins and Judge, organizational factors such as leadership, organizational culture, work climate, and organizational communication play significant roles in shaping individual work behavior and performance (Robbins &amp; Judge, 2021). These factors influence how employees perceive their work environment, interact with colleagues, and carry out their professional responsibilities.</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the school setting, organizational communication climate is one of the key factors that can affect teacher effectiveness. A positive communication climate facilitates the exchange of information, strengthens cooperation among school members, reduces misunderstandings, and promotes greater participation in organizational activities. Such conditions contribute to a more supportive and productive educational environment.</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Teachers who work in an open and supportive communication environment tend to demonstrate higher levels of work motivation, organizational commitment, and productivity compared to those who work in less conducive communication settings. Effective communication enables teachers to receive clear guidance, constructive feedback, and emotional support from school leaders and colleagues, which ultimately enhances their performance (Safrul, 2022).</w:t>
      </w:r>
    </w:p>
    <w:p w:rsidR="00B45E22" w:rsidRPr="00C65D2A" w:rsidRDefault="00B45E22"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Therefore, improving teacher performance requires not only the development of individual competencies but also the creation of a positive organizational environment characterized by trust, openness, collaboration, and effective communication. In the context of Islamic Religious Education (PAI), a supportive organizational communication climate can further strengthen teachers’ commitment to carrying out their educational mission and promoting students’ spiritual and moral development.</w:t>
      </w:r>
    </w:p>
    <w:p w:rsidR="00BF640E" w:rsidRPr="00C65D2A" w:rsidRDefault="00BF640E" w:rsidP="00BF640E">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3. The Relationship Between Organizational Communication Climate and the Performance of Islamic Religious Education Teachers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Theoretically, organizational communication climate has a close relationship with teacher performance. Effective communication enables proper coordination, clear dissemination of information, and the development of harmonious working relationships among organizational members. These conditions create a supportive work environment that enhances teachers’ motivation, commitment, and productivity (Pace &amp; Faules, 2018, p. 166).</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 positive organizational communication climate fosters trust, openness, participation, and collaboration among school personnel. Such an environment encourages teachers to actively engage in school activities, share ideas, solve problems collectively, and perform their professional responsibilities more effectively. Conversely, a poor communication climate may lead to misunderstandings, reduced motivation, workplace conflicts, and lower levels of performance.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Research conducted by Prasetyo (2021) found that organizational climate has a positive effect on teacher performance in Islamic educational institutions. The findings indicate that the more favorable the organizational climate perceived by teachers, the higher their performance in carrying out professional duties. A supportive organizational environment contributes to increased job satisfaction, commitment, and instructional effectiveness (Prasetyo, 2021).</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Similarly, a study by Purwanto and Haryanti (2025) revealed that organizational climate contributes to improved teacher performance through the strengthening of spiritual work motivation. This finding suggests that a conducive work environment not only enhances professional performance but also nurtures intrinsic and spiritual motivation, which is particularly relevant within Islamic educational settings (Purwanto &amp; Haryanti, 2025).</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From the perspective of Islamic educational management, a positive organizational communication climate aligns with the values of </w:t>
      </w:r>
      <w:r w:rsidRPr="00C65D2A">
        <w:rPr>
          <w:rFonts w:ascii="Garamond" w:hAnsi="Garamond"/>
          <w:i/>
          <w:iCs/>
          <w:color w:val="000000" w:themeColor="text1"/>
          <w:sz w:val="22"/>
          <w:szCs w:val="22"/>
        </w:rPr>
        <w:t>shūrā</w:t>
      </w:r>
      <w:r w:rsidRPr="00C65D2A">
        <w:rPr>
          <w:rFonts w:ascii="Garamond" w:hAnsi="Garamond"/>
          <w:color w:val="000000" w:themeColor="text1"/>
          <w:sz w:val="22"/>
          <w:szCs w:val="22"/>
        </w:rPr>
        <w:t xml:space="preserve"> (consultation), </w:t>
      </w:r>
      <w:r w:rsidRPr="00C65D2A">
        <w:rPr>
          <w:rFonts w:ascii="Garamond" w:hAnsi="Garamond"/>
          <w:i/>
          <w:iCs/>
          <w:color w:val="000000" w:themeColor="text1"/>
          <w:sz w:val="22"/>
          <w:szCs w:val="22"/>
        </w:rPr>
        <w:t>amanah</w:t>
      </w:r>
      <w:r w:rsidRPr="00C65D2A">
        <w:rPr>
          <w:rFonts w:ascii="Garamond" w:hAnsi="Garamond"/>
          <w:color w:val="000000" w:themeColor="text1"/>
          <w:sz w:val="22"/>
          <w:szCs w:val="22"/>
        </w:rPr>
        <w:t xml:space="preserve"> (trustworthiness), </w:t>
      </w:r>
      <w:r w:rsidRPr="00C65D2A">
        <w:rPr>
          <w:rFonts w:ascii="Garamond" w:hAnsi="Garamond"/>
          <w:i/>
          <w:iCs/>
          <w:color w:val="000000" w:themeColor="text1"/>
          <w:sz w:val="22"/>
          <w:szCs w:val="22"/>
        </w:rPr>
        <w:t>ukhuwah</w:t>
      </w:r>
      <w:r w:rsidRPr="00C65D2A">
        <w:rPr>
          <w:rFonts w:ascii="Garamond" w:hAnsi="Garamond"/>
          <w:color w:val="000000" w:themeColor="text1"/>
          <w:sz w:val="22"/>
          <w:szCs w:val="22"/>
        </w:rPr>
        <w:t xml:space="preserve"> (brotherhood), and </w:t>
      </w:r>
      <w:r w:rsidRPr="00C65D2A">
        <w:rPr>
          <w:rFonts w:ascii="Garamond" w:hAnsi="Garamond"/>
          <w:i/>
          <w:iCs/>
          <w:color w:val="000000" w:themeColor="text1"/>
          <w:sz w:val="22"/>
          <w:szCs w:val="22"/>
        </w:rPr>
        <w:t>qaulan sadīdan</w:t>
      </w:r>
      <w:r w:rsidRPr="00C65D2A">
        <w:rPr>
          <w:rFonts w:ascii="Garamond" w:hAnsi="Garamond"/>
          <w:color w:val="000000" w:themeColor="text1"/>
          <w:sz w:val="22"/>
          <w:szCs w:val="22"/>
        </w:rPr>
        <w:t xml:space="preserve"> (truthful communication). These values encourage cooperation, mutual respect, and collective responsibility among school members, thereby creating a productive and harmonious educational environment.</w:t>
      </w:r>
    </w:p>
    <w:p w:rsidR="0079109C" w:rsidRPr="00C65D2A" w:rsidRDefault="00BF640E" w:rsidP="00C65D2A">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Based on the theoretical framework and findings of previous studies, it can be assumed that organizational communication climate has a positive influence on the performance of Islamic Religious Education (PAI) teachers. The more positive the communication climate established within a school, the higher </w:t>
      </w:r>
      <w:r w:rsidRPr="00C65D2A">
        <w:rPr>
          <w:rFonts w:ascii="Garamond" w:hAnsi="Garamond"/>
          <w:color w:val="000000" w:themeColor="text1"/>
          <w:sz w:val="22"/>
          <w:szCs w:val="22"/>
        </w:rPr>
        <w:lastRenderedPageBreak/>
        <w:t>the level of teacher performance in carrying out professional responsibilities related to teaching, learning, evaluation, and students’ spiritual and moral development.</w:t>
      </w:r>
    </w:p>
    <w:p w:rsidR="00BF640E" w:rsidRPr="00C65D2A" w:rsidRDefault="00BF640E" w:rsidP="00BF640E">
      <w:pPr>
        <w:pStyle w:val="NormalWeb"/>
        <w:spacing w:before="0" w:beforeAutospacing="0" w:after="0" w:afterAutospacing="0"/>
        <w:jc w:val="both"/>
        <w:rPr>
          <w:rFonts w:ascii="Garamond" w:hAnsi="Garamond"/>
          <w:b/>
          <w:bCs/>
          <w:color w:val="000000" w:themeColor="text1"/>
          <w:sz w:val="22"/>
          <w:szCs w:val="22"/>
        </w:rPr>
      </w:pPr>
      <w:r w:rsidRPr="00C65D2A">
        <w:rPr>
          <w:rFonts w:ascii="Garamond" w:hAnsi="Garamond"/>
          <w:b/>
          <w:bCs/>
          <w:color w:val="000000" w:themeColor="text1"/>
          <w:sz w:val="22"/>
          <w:szCs w:val="22"/>
        </w:rPr>
        <w:t>Research Methodology</w:t>
      </w:r>
    </w:p>
    <w:p w:rsidR="00BF640E" w:rsidRPr="00C65D2A" w:rsidRDefault="00BF640E" w:rsidP="00BF640E">
      <w:pPr>
        <w:pStyle w:val="Heading3"/>
        <w:spacing w:before="0" w:after="0"/>
        <w:ind w:left="284" w:hanging="284"/>
        <w:rPr>
          <w:rFonts w:ascii="Garamond" w:hAnsi="Garamond"/>
          <w:b/>
          <w:bCs/>
          <w:color w:val="000000" w:themeColor="text1"/>
          <w:sz w:val="22"/>
          <w:szCs w:val="22"/>
          <w:lang w:val="en-ID"/>
        </w:rPr>
      </w:pPr>
      <w:r w:rsidRPr="00C65D2A">
        <w:rPr>
          <w:rFonts w:ascii="Garamond" w:hAnsi="Garamond"/>
          <w:color w:val="000000" w:themeColor="text1"/>
          <w:sz w:val="22"/>
          <w:szCs w:val="22"/>
        </w:rPr>
        <w:t xml:space="preserve">1. </w:t>
      </w:r>
      <w:r w:rsidRPr="00C65D2A">
        <w:rPr>
          <w:rFonts w:ascii="Garamond" w:hAnsi="Garamond"/>
          <w:b/>
          <w:bCs/>
          <w:color w:val="000000" w:themeColor="text1"/>
          <w:sz w:val="22"/>
          <w:szCs w:val="22"/>
        </w:rPr>
        <w:t>Research Design</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This study employed a </w:t>
      </w:r>
      <w:r w:rsidRPr="00C65D2A">
        <w:rPr>
          <w:rStyle w:val="Strong"/>
          <w:rFonts w:ascii="Garamond" w:hAnsi="Garamond"/>
          <w:color w:val="000000" w:themeColor="text1"/>
          <w:sz w:val="22"/>
          <w:szCs w:val="22"/>
        </w:rPr>
        <w:t>quantitative approach</w:t>
      </w:r>
      <w:r w:rsidRPr="00C65D2A">
        <w:rPr>
          <w:rFonts w:ascii="Garamond" w:hAnsi="Garamond"/>
          <w:color w:val="000000" w:themeColor="text1"/>
          <w:sz w:val="22"/>
          <w:szCs w:val="22"/>
        </w:rPr>
        <w:t xml:space="preserve"> using a </w:t>
      </w:r>
      <w:r w:rsidRPr="00C65D2A">
        <w:rPr>
          <w:rStyle w:val="Strong"/>
          <w:rFonts w:ascii="Garamond" w:hAnsi="Garamond"/>
          <w:color w:val="000000" w:themeColor="text1"/>
          <w:sz w:val="22"/>
          <w:szCs w:val="22"/>
        </w:rPr>
        <w:t>survey method</w:t>
      </w:r>
      <w:r w:rsidRPr="00C65D2A">
        <w:rPr>
          <w:rFonts w:ascii="Garamond" w:hAnsi="Garamond"/>
          <w:color w:val="000000" w:themeColor="text1"/>
          <w:sz w:val="22"/>
          <w:szCs w:val="22"/>
        </w:rPr>
        <w:t xml:space="preserve"> and an </w:t>
      </w:r>
      <w:r w:rsidRPr="00C65D2A">
        <w:rPr>
          <w:rStyle w:val="Strong"/>
          <w:rFonts w:ascii="Garamond" w:hAnsi="Garamond"/>
          <w:color w:val="000000" w:themeColor="text1"/>
          <w:sz w:val="22"/>
          <w:szCs w:val="22"/>
        </w:rPr>
        <w:t>explanatory research design</w:t>
      </w:r>
      <w:r w:rsidRPr="00C65D2A">
        <w:rPr>
          <w:rFonts w:ascii="Garamond" w:hAnsi="Garamond"/>
          <w:color w:val="000000" w:themeColor="text1"/>
          <w:sz w:val="22"/>
          <w:szCs w:val="22"/>
        </w:rPr>
        <w:t>. The quantitative approach was selected because the study aims to examine the influence of organizational communication climate on the performance of Islamic Religious Education (PAI) teachers through statistical analysis (Creswell, 2018; Sugiyono, 2023). The survey method was utilized to collect empirical data from respondents regarding their perceptions of the organizational communication climate and their performance in carrying out professional responsibilities within the school environment.</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This research is classified as a </w:t>
      </w:r>
      <w:r w:rsidRPr="00C65D2A">
        <w:rPr>
          <w:rStyle w:val="Strong"/>
          <w:rFonts w:ascii="Garamond" w:hAnsi="Garamond"/>
          <w:color w:val="000000" w:themeColor="text1"/>
          <w:sz w:val="22"/>
          <w:szCs w:val="22"/>
        </w:rPr>
        <w:t>causal study</w:t>
      </w:r>
      <w:r w:rsidRPr="00C65D2A">
        <w:rPr>
          <w:rFonts w:ascii="Garamond" w:hAnsi="Garamond"/>
          <w:color w:val="000000" w:themeColor="text1"/>
          <w:sz w:val="22"/>
          <w:szCs w:val="22"/>
        </w:rPr>
        <w:t xml:space="preserve">, as it seeks to explain the cause-and-effect relationship between the independent variable, namely </w:t>
      </w:r>
      <w:r w:rsidRPr="00C65D2A">
        <w:rPr>
          <w:rStyle w:val="Strong"/>
          <w:rFonts w:ascii="Garamond" w:hAnsi="Garamond"/>
          <w:color w:val="000000" w:themeColor="text1"/>
          <w:sz w:val="22"/>
          <w:szCs w:val="22"/>
        </w:rPr>
        <w:t>organizational communication climate (X)</w:t>
      </w:r>
      <w:r w:rsidRPr="00C65D2A">
        <w:rPr>
          <w:rFonts w:ascii="Garamond" w:hAnsi="Garamond"/>
          <w:color w:val="000000" w:themeColor="text1"/>
          <w:sz w:val="22"/>
          <w:szCs w:val="22"/>
        </w:rPr>
        <w:t xml:space="preserve">, and the dependent variable, namely </w:t>
      </w:r>
      <w:r w:rsidRPr="00C65D2A">
        <w:rPr>
          <w:rStyle w:val="Strong"/>
          <w:rFonts w:ascii="Garamond" w:hAnsi="Garamond"/>
          <w:color w:val="000000" w:themeColor="text1"/>
          <w:sz w:val="22"/>
          <w:szCs w:val="22"/>
        </w:rPr>
        <w:t>the performance of Islamic Religious Education teachers (Y)</w:t>
      </w:r>
      <w:r w:rsidRPr="00C65D2A">
        <w:rPr>
          <w:rFonts w:ascii="Garamond" w:hAnsi="Garamond"/>
          <w:color w:val="000000" w:themeColor="text1"/>
          <w:sz w:val="22"/>
          <w:szCs w:val="22"/>
        </w:rPr>
        <w:t xml:space="preserve"> (Sekaran &amp; Bougie, 2020). By investigating the relationship between these variables, the study aims to determine whether variations in the organizational communication climate contribute to differences in teacher performance.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An explanatory research design was chosen because it allows researchers not only to describe existing phenomena but also to test hypotheses concerning the influence of one variable on another. In this context, the study examines the extent to which organizational communication climate affects the professional performance of PAI teachers in public junior high schools.</w:t>
      </w:r>
    </w:p>
    <w:p w:rsidR="00BF640E" w:rsidRPr="00C65D2A" w:rsidRDefault="00BF640E" w:rsidP="00BF640E">
      <w:pPr>
        <w:pStyle w:val="NormalWeb"/>
        <w:spacing w:before="0" w:beforeAutospacing="0" w:after="0" w:afterAutospacing="0"/>
        <w:ind w:firstLine="851"/>
        <w:jc w:val="both"/>
        <w:rPr>
          <w:rFonts w:ascii="Garamond" w:hAnsi="Garamond"/>
          <w:b/>
          <w:bCs/>
          <w:color w:val="000000" w:themeColor="text1"/>
          <w:sz w:val="22"/>
          <w:szCs w:val="22"/>
        </w:rPr>
      </w:pPr>
      <w:r w:rsidRPr="00C65D2A">
        <w:rPr>
          <w:rFonts w:ascii="Garamond" w:hAnsi="Garamond"/>
          <w:color w:val="000000" w:themeColor="text1"/>
          <w:sz w:val="22"/>
          <w:szCs w:val="22"/>
        </w:rPr>
        <w:t>Therefore, this study goes beyond merely describing the conditions of organizational communication and teacher performance. It also quantitatively measures the magnitude and direction of the effect of organizational communication climate on teacher performance, thereby providing empirical evidence regarding the role of communication processes in enhancing educational effectiveness.</w:t>
      </w:r>
    </w:p>
    <w:p w:rsidR="00BF640E" w:rsidRPr="00C65D2A" w:rsidRDefault="00BF640E" w:rsidP="00BF640E">
      <w:pPr>
        <w:pStyle w:val="Heading3"/>
        <w:spacing w:before="0" w:after="0"/>
        <w:rPr>
          <w:rFonts w:ascii="Garamond" w:hAnsi="Garamond"/>
          <w:b/>
          <w:bCs/>
          <w:color w:val="000000" w:themeColor="text1"/>
          <w:sz w:val="22"/>
          <w:szCs w:val="22"/>
          <w:lang w:val="en-ID"/>
        </w:rPr>
      </w:pPr>
      <w:r w:rsidRPr="00C65D2A">
        <w:rPr>
          <w:rFonts w:ascii="Garamond" w:hAnsi="Garamond"/>
          <w:b/>
          <w:bCs/>
          <w:color w:val="000000" w:themeColor="text1"/>
          <w:sz w:val="22"/>
          <w:szCs w:val="22"/>
        </w:rPr>
        <w:t>2. Research Location and Time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This study was conducted in </w:t>
      </w:r>
      <w:r w:rsidRPr="00C65D2A">
        <w:rPr>
          <w:rStyle w:val="Strong"/>
          <w:rFonts w:ascii="Garamond" w:hAnsi="Garamond"/>
          <w:color w:val="000000" w:themeColor="text1"/>
          <w:sz w:val="22"/>
          <w:szCs w:val="22"/>
        </w:rPr>
        <w:t>public junior high schools (Sekolah Menengah Pertama Negeri)</w:t>
      </w:r>
      <w:r w:rsidRPr="00C65D2A">
        <w:rPr>
          <w:rFonts w:ascii="Garamond" w:hAnsi="Garamond"/>
          <w:color w:val="000000" w:themeColor="text1"/>
          <w:sz w:val="22"/>
          <w:szCs w:val="22"/>
        </w:rPr>
        <w:t xml:space="preserve"> located in </w:t>
      </w:r>
      <w:r w:rsidRPr="00C65D2A">
        <w:rPr>
          <w:rStyle w:val="Strong"/>
          <w:rFonts w:ascii="Garamond" w:hAnsi="Garamond"/>
          <w:color w:val="000000" w:themeColor="text1"/>
          <w:sz w:val="22"/>
          <w:szCs w:val="22"/>
        </w:rPr>
        <w:t>Padang Lawas Regency, North Sumatra, Indonesia</w:t>
      </w:r>
      <w:r w:rsidRPr="00C65D2A">
        <w:rPr>
          <w:rFonts w:ascii="Garamond" w:hAnsi="Garamond"/>
          <w:color w:val="000000" w:themeColor="text1"/>
          <w:sz w:val="22"/>
          <w:szCs w:val="22"/>
        </w:rPr>
        <w:t>. The selection of the research site was based on the consideration that these schools share relatively similar characteristics in terms of educational governance and administrative management, while exhibiting variations in organizational communication patterns and teacher performance.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Padang Lawas Regency provides a relevant context for examining the relationship between organizational communication climate and the performance of Islamic Religious Education (PAI) teachers due to its distinctive socio-cultural and religious environment. These characteristics offer valuable insights into how communication processes within educational organizations influence teachers’ professional effectiveness.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study was carried out during the </w:t>
      </w:r>
      <w:r w:rsidRPr="00C65D2A">
        <w:rPr>
          <w:rStyle w:val="Strong"/>
          <w:rFonts w:ascii="Garamond" w:hAnsi="Garamond"/>
          <w:color w:val="000000" w:themeColor="text1"/>
          <w:sz w:val="22"/>
          <w:szCs w:val="22"/>
        </w:rPr>
        <w:t>2025/2026 academic year</w:t>
      </w:r>
      <w:r w:rsidRPr="00C65D2A">
        <w:rPr>
          <w:rFonts w:ascii="Garamond" w:hAnsi="Garamond"/>
          <w:color w:val="000000" w:themeColor="text1"/>
          <w:sz w:val="22"/>
          <w:szCs w:val="22"/>
        </w:rPr>
        <w:t>. Data collection was conducted within this period to ensure that respondents had adequate experience and involvement in school activities, enabling them to provide accurate information regarding the organizational communication climate and their professional performance.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By focusing on public junior high schools in Padang Lawas Regency during the 2025/2026 academic year, the study seeks to generate empirical findings that are contextually relevant and contribute to the development of educational management practices, particularly in Islamic education settings.</w:t>
      </w:r>
    </w:p>
    <w:p w:rsidR="00BF640E" w:rsidRPr="00C65D2A" w:rsidRDefault="00BF640E" w:rsidP="00BF640E">
      <w:pPr>
        <w:pStyle w:val="Heading3"/>
        <w:spacing w:before="0" w:after="0"/>
        <w:rPr>
          <w:rFonts w:ascii="Garamond" w:hAnsi="Garamond"/>
          <w:b/>
          <w:bCs/>
          <w:color w:val="000000" w:themeColor="text1"/>
          <w:sz w:val="22"/>
          <w:szCs w:val="22"/>
          <w:lang w:val="en-ID"/>
        </w:rPr>
      </w:pPr>
      <w:r w:rsidRPr="00C65D2A">
        <w:rPr>
          <w:rFonts w:ascii="Garamond" w:hAnsi="Garamond"/>
          <w:b/>
          <w:bCs/>
          <w:color w:val="000000" w:themeColor="text1"/>
          <w:sz w:val="22"/>
          <w:szCs w:val="22"/>
        </w:rPr>
        <w:t>3. Population and Sample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population of this study consisted of all </w:t>
      </w:r>
      <w:r w:rsidRPr="00C65D2A">
        <w:rPr>
          <w:rStyle w:val="Strong"/>
          <w:rFonts w:ascii="Garamond" w:hAnsi="Garamond"/>
          <w:color w:val="000000" w:themeColor="text1"/>
          <w:sz w:val="22"/>
          <w:szCs w:val="22"/>
        </w:rPr>
        <w:t>Islamic Religious Education (PAI) teachers</w:t>
      </w:r>
      <w:r w:rsidRPr="00C65D2A">
        <w:rPr>
          <w:rFonts w:ascii="Garamond" w:hAnsi="Garamond"/>
          <w:color w:val="000000" w:themeColor="text1"/>
          <w:sz w:val="22"/>
          <w:szCs w:val="22"/>
        </w:rPr>
        <w:t xml:space="preserve"> employed at public junior high schools in </w:t>
      </w:r>
      <w:r w:rsidRPr="00C65D2A">
        <w:rPr>
          <w:rStyle w:val="Strong"/>
          <w:rFonts w:ascii="Garamond" w:hAnsi="Garamond"/>
          <w:color w:val="000000" w:themeColor="text1"/>
          <w:sz w:val="22"/>
          <w:szCs w:val="22"/>
        </w:rPr>
        <w:t>Padang Lawas Regency, North Sumatra, Indonesia</w:t>
      </w:r>
      <w:r w:rsidRPr="00C65D2A">
        <w:rPr>
          <w:rFonts w:ascii="Garamond" w:hAnsi="Garamond"/>
          <w:color w:val="000000" w:themeColor="text1"/>
          <w:sz w:val="22"/>
          <w:szCs w:val="22"/>
        </w:rPr>
        <w:t xml:space="preserve">. Based on data obtained from the Padang Lawas Regency Education Office, the total population comprised </w:t>
      </w:r>
      <w:r w:rsidRPr="00C65D2A">
        <w:rPr>
          <w:rStyle w:val="Strong"/>
          <w:rFonts w:ascii="Garamond" w:hAnsi="Garamond"/>
          <w:color w:val="000000" w:themeColor="text1"/>
          <w:sz w:val="22"/>
          <w:szCs w:val="22"/>
        </w:rPr>
        <w:t>45 teachers</w:t>
      </w:r>
      <w:r w:rsidRPr="00C65D2A">
        <w:rPr>
          <w:rFonts w:ascii="Garamond" w:hAnsi="Garamond"/>
          <w:color w:val="000000" w:themeColor="text1"/>
          <w:sz w:val="22"/>
          <w:szCs w:val="22"/>
        </w:rPr>
        <w:t>.</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Given the relatively small population size, this study employed a </w:t>
      </w:r>
      <w:r w:rsidRPr="00C65D2A">
        <w:rPr>
          <w:rStyle w:val="Strong"/>
          <w:rFonts w:ascii="Garamond" w:hAnsi="Garamond"/>
          <w:color w:val="000000" w:themeColor="text1"/>
          <w:sz w:val="22"/>
          <w:szCs w:val="22"/>
        </w:rPr>
        <w:t>total sampling</w:t>
      </w:r>
      <w:r w:rsidRPr="00C65D2A">
        <w:rPr>
          <w:rFonts w:ascii="Garamond" w:hAnsi="Garamond"/>
          <w:color w:val="000000" w:themeColor="text1"/>
          <w:sz w:val="22"/>
          <w:szCs w:val="22"/>
        </w:rPr>
        <w:t xml:space="preserve"> (or </w:t>
      </w:r>
      <w:r w:rsidRPr="00C65D2A">
        <w:rPr>
          <w:rStyle w:val="Strong"/>
          <w:rFonts w:ascii="Garamond" w:hAnsi="Garamond"/>
          <w:color w:val="000000" w:themeColor="text1"/>
          <w:sz w:val="22"/>
          <w:szCs w:val="22"/>
        </w:rPr>
        <w:t>census sampling</w:t>
      </w:r>
      <w:r w:rsidRPr="00C65D2A">
        <w:rPr>
          <w:rFonts w:ascii="Garamond" w:hAnsi="Garamond"/>
          <w:color w:val="000000" w:themeColor="text1"/>
          <w:sz w:val="22"/>
          <w:szCs w:val="22"/>
        </w:rPr>
        <w:t>) technique, in which all members of the population were included as research participants. According to Arikunto (2019), total sampling is appropriate when the population consists of fewer than 100 individuals, allowing all population members to be selected as respondents.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use of total sampling offers several advantages, including minimizing sampling error and providing a more comprehensive representation of the population under study. Since every member of the population participates in the research, the findings are expected to more accurately reflect the actual conditions of Islamic Religious Education teachers within the selected schools.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Therefore, the sample size of this study consisted of </w:t>
      </w:r>
      <w:r w:rsidRPr="00C65D2A">
        <w:rPr>
          <w:rStyle w:val="Strong"/>
          <w:rFonts w:ascii="Garamond" w:hAnsi="Garamond"/>
          <w:color w:val="000000" w:themeColor="text1"/>
          <w:sz w:val="22"/>
          <w:szCs w:val="22"/>
        </w:rPr>
        <w:t>45 Islamic Religious Education teachers</w:t>
      </w:r>
      <w:r w:rsidRPr="00C65D2A">
        <w:rPr>
          <w:rFonts w:ascii="Garamond" w:hAnsi="Garamond"/>
          <w:color w:val="000000" w:themeColor="text1"/>
          <w:sz w:val="22"/>
          <w:szCs w:val="22"/>
        </w:rPr>
        <w:t xml:space="preserve"> serving in public junior high schools throughout Padang Lawas Regency. These respondents were selected to provide data regarding their perceptions of the organizational communication climate and their professional performance within the school environment.</w:t>
      </w:r>
    </w:p>
    <w:p w:rsidR="00BF640E" w:rsidRPr="00C65D2A" w:rsidRDefault="00BF640E" w:rsidP="00BF640E">
      <w:pPr>
        <w:pStyle w:val="Heading3"/>
        <w:spacing w:before="0" w:after="0"/>
        <w:rPr>
          <w:rFonts w:ascii="Garamond" w:hAnsi="Garamond"/>
          <w:b/>
          <w:bCs/>
          <w:color w:val="000000" w:themeColor="text1"/>
          <w:sz w:val="22"/>
          <w:szCs w:val="22"/>
          <w:lang w:val="en-ID"/>
        </w:rPr>
      </w:pPr>
      <w:r w:rsidRPr="00C65D2A">
        <w:rPr>
          <w:rFonts w:ascii="Garamond" w:hAnsi="Garamond"/>
          <w:b/>
          <w:bCs/>
          <w:color w:val="000000" w:themeColor="text1"/>
          <w:sz w:val="22"/>
          <w:szCs w:val="22"/>
        </w:rPr>
        <w:t>4. Research Variables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This study involves two variables: the </w:t>
      </w:r>
      <w:r w:rsidRPr="00C65D2A">
        <w:rPr>
          <w:rStyle w:val="Strong"/>
          <w:rFonts w:ascii="Garamond" w:hAnsi="Garamond"/>
          <w:b w:val="0"/>
          <w:bCs w:val="0"/>
          <w:color w:val="000000" w:themeColor="text1"/>
          <w:sz w:val="22"/>
          <w:szCs w:val="22"/>
        </w:rPr>
        <w:t>independent variable</w:t>
      </w:r>
      <w:r w:rsidRPr="00C65D2A">
        <w:rPr>
          <w:rFonts w:ascii="Garamond" w:hAnsi="Garamond"/>
          <w:color w:val="000000" w:themeColor="text1"/>
          <w:sz w:val="22"/>
          <w:szCs w:val="22"/>
        </w:rPr>
        <w:t xml:space="preserve"> and the </w:t>
      </w:r>
      <w:r w:rsidRPr="00C65D2A">
        <w:rPr>
          <w:rStyle w:val="Strong"/>
          <w:rFonts w:ascii="Garamond" w:hAnsi="Garamond"/>
          <w:b w:val="0"/>
          <w:bCs w:val="0"/>
          <w:color w:val="000000" w:themeColor="text1"/>
          <w:sz w:val="22"/>
          <w:szCs w:val="22"/>
        </w:rPr>
        <w:t>dependent variable</w:t>
      </w:r>
      <w:r w:rsidRPr="00C65D2A">
        <w:rPr>
          <w:rFonts w:ascii="Garamond" w:hAnsi="Garamond"/>
          <w:color w:val="000000" w:themeColor="text1"/>
          <w:sz w:val="22"/>
          <w:szCs w:val="22"/>
        </w:rPr>
        <w:t>.</w:t>
      </w:r>
    </w:p>
    <w:p w:rsidR="00BF640E" w:rsidRPr="00C65D2A" w:rsidRDefault="00BF640E" w:rsidP="00BF640E">
      <w:pPr>
        <w:pStyle w:val="Heading4"/>
        <w:spacing w:before="0" w:after="0"/>
        <w:jc w:val="both"/>
        <w:rPr>
          <w:rFonts w:ascii="Garamond" w:hAnsi="Garamond"/>
          <w:color w:val="000000" w:themeColor="text1"/>
          <w:sz w:val="22"/>
          <w:szCs w:val="22"/>
        </w:rPr>
      </w:pPr>
      <w:r w:rsidRPr="00C65D2A">
        <w:rPr>
          <w:rFonts w:ascii="Garamond" w:hAnsi="Garamond"/>
          <w:color w:val="000000" w:themeColor="text1"/>
          <w:sz w:val="22"/>
          <w:szCs w:val="22"/>
        </w:rPr>
        <w:lastRenderedPageBreak/>
        <w:t>1. Independent Variable (X): Organizational Communication Climate</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Organizational communication climate refers to teachers’ perceptions of the quality of communication occurring within the school environment. It encompasses various dimensions, including </w:t>
      </w:r>
      <w:r w:rsidRPr="00C65D2A">
        <w:rPr>
          <w:rStyle w:val="Strong"/>
          <w:rFonts w:ascii="Garamond" w:hAnsi="Garamond"/>
          <w:b w:val="0"/>
          <w:bCs w:val="0"/>
          <w:color w:val="000000" w:themeColor="text1"/>
          <w:sz w:val="22"/>
          <w:szCs w:val="22"/>
        </w:rPr>
        <w:t>trust</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openness</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support</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participation in decision-making</w:t>
      </w:r>
      <w:r w:rsidRPr="00C65D2A">
        <w:rPr>
          <w:rFonts w:ascii="Garamond" w:hAnsi="Garamond"/>
          <w:color w:val="000000" w:themeColor="text1"/>
          <w:sz w:val="22"/>
          <w:szCs w:val="22"/>
        </w:rPr>
        <w:t xml:space="preserve">, and </w:t>
      </w:r>
      <w:r w:rsidRPr="00C65D2A">
        <w:rPr>
          <w:rStyle w:val="Strong"/>
          <w:rFonts w:ascii="Garamond" w:hAnsi="Garamond"/>
          <w:b w:val="0"/>
          <w:bCs w:val="0"/>
          <w:color w:val="000000" w:themeColor="text1"/>
          <w:sz w:val="22"/>
          <w:szCs w:val="22"/>
        </w:rPr>
        <w:t>concern for organizational goals</w:t>
      </w:r>
      <w:r w:rsidRPr="00C65D2A">
        <w:rPr>
          <w:rFonts w:ascii="Garamond" w:hAnsi="Garamond"/>
          <w:color w:val="000000" w:themeColor="text1"/>
          <w:sz w:val="22"/>
          <w:szCs w:val="22"/>
        </w:rPr>
        <w:t xml:space="preserve"> (Pace &amp; Faules, 2018).</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this study, organizational communication climate is measured based on teachers’ perceptions of communication practices and interactions among school members. A positive communication climate is characterized by effective information exchange, mutual trust, collaborative relationships, and opportunities for participation in organizational processes.</w:t>
      </w:r>
    </w:p>
    <w:p w:rsidR="00BF640E" w:rsidRPr="00C65D2A" w:rsidRDefault="00BF640E" w:rsidP="00BF640E">
      <w:pPr>
        <w:pStyle w:val="Heading4"/>
        <w:spacing w:before="0" w:after="0"/>
        <w:rPr>
          <w:rFonts w:ascii="Garamond" w:hAnsi="Garamond"/>
          <w:color w:val="000000" w:themeColor="text1"/>
          <w:sz w:val="22"/>
          <w:szCs w:val="22"/>
        </w:rPr>
      </w:pPr>
      <w:r w:rsidRPr="00C65D2A">
        <w:rPr>
          <w:rFonts w:ascii="Garamond" w:hAnsi="Garamond"/>
          <w:color w:val="000000" w:themeColor="text1"/>
          <w:sz w:val="22"/>
          <w:szCs w:val="22"/>
        </w:rPr>
        <w:t>2. Dependent Variable (Y): Performance of Islamic Religious Education Teachers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Teacher performance refers to the level of success achieved by teachers in carrying out their professional responsibilities. It includes several key aspects, namely </w:t>
      </w:r>
      <w:r w:rsidRPr="00C65D2A">
        <w:rPr>
          <w:rStyle w:val="Strong"/>
          <w:rFonts w:ascii="Garamond" w:hAnsi="Garamond"/>
          <w:b w:val="0"/>
          <w:bCs w:val="0"/>
          <w:color w:val="000000" w:themeColor="text1"/>
          <w:sz w:val="22"/>
          <w:szCs w:val="22"/>
        </w:rPr>
        <w:t>instructional planning</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instructional implementation</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learning evaluation</w:t>
      </w:r>
      <w:r w:rsidRPr="00C65D2A">
        <w:rPr>
          <w:rFonts w:ascii="Garamond" w:hAnsi="Garamond"/>
          <w:color w:val="000000" w:themeColor="text1"/>
          <w:sz w:val="22"/>
          <w:szCs w:val="22"/>
        </w:rPr>
        <w:t xml:space="preserve">, </w:t>
      </w:r>
      <w:r w:rsidRPr="00C65D2A">
        <w:rPr>
          <w:rStyle w:val="Strong"/>
          <w:rFonts w:ascii="Garamond" w:hAnsi="Garamond"/>
          <w:b w:val="0"/>
          <w:bCs w:val="0"/>
          <w:color w:val="000000" w:themeColor="text1"/>
          <w:sz w:val="22"/>
          <w:szCs w:val="22"/>
        </w:rPr>
        <w:t>professional development</w:t>
      </w:r>
      <w:r w:rsidRPr="00C65D2A">
        <w:rPr>
          <w:rFonts w:ascii="Garamond" w:hAnsi="Garamond"/>
          <w:color w:val="000000" w:themeColor="text1"/>
          <w:sz w:val="22"/>
          <w:szCs w:val="22"/>
        </w:rPr>
        <w:t xml:space="preserve">, and </w:t>
      </w:r>
      <w:r w:rsidRPr="00C65D2A">
        <w:rPr>
          <w:rStyle w:val="Strong"/>
          <w:rFonts w:ascii="Garamond" w:hAnsi="Garamond"/>
          <w:b w:val="0"/>
          <w:bCs w:val="0"/>
          <w:color w:val="000000" w:themeColor="text1"/>
          <w:sz w:val="22"/>
          <w:szCs w:val="22"/>
        </w:rPr>
        <w:t>work discipline</w:t>
      </w:r>
      <w:r w:rsidRPr="00C65D2A">
        <w:rPr>
          <w:rFonts w:ascii="Garamond" w:hAnsi="Garamond"/>
          <w:color w:val="000000" w:themeColor="text1"/>
          <w:sz w:val="22"/>
          <w:szCs w:val="22"/>
        </w:rPr>
        <w:t xml:space="preserve"> (Supardi, 2019).</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this research, the performance of Islamic Religious Education (PAI) teachers is assessed through indicators that reflect their effectiveness in planning, implementing, and evaluating learning activities, as well as their commitment to continuous professional improvement and adherence to professional responsibilities.</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Thus, this study examines the extent to which the </w:t>
      </w:r>
      <w:r w:rsidRPr="00C65D2A">
        <w:rPr>
          <w:rStyle w:val="Strong"/>
          <w:rFonts w:ascii="Garamond" w:hAnsi="Garamond"/>
          <w:b w:val="0"/>
          <w:bCs w:val="0"/>
          <w:color w:val="000000" w:themeColor="text1"/>
          <w:sz w:val="22"/>
          <w:szCs w:val="22"/>
        </w:rPr>
        <w:t>organizational communication climate (X)</w:t>
      </w:r>
      <w:r w:rsidRPr="00C65D2A">
        <w:rPr>
          <w:rFonts w:ascii="Garamond" w:hAnsi="Garamond"/>
          <w:color w:val="000000" w:themeColor="text1"/>
          <w:sz w:val="22"/>
          <w:szCs w:val="22"/>
        </w:rPr>
        <w:t xml:space="preserve"> influences the </w:t>
      </w:r>
      <w:r w:rsidRPr="00C65D2A">
        <w:rPr>
          <w:rStyle w:val="Strong"/>
          <w:rFonts w:ascii="Garamond" w:hAnsi="Garamond"/>
          <w:b w:val="0"/>
          <w:bCs w:val="0"/>
          <w:color w:val="000000" w:themeColor="text1"/>
          <w:sz w:val="22"/>
          <w:szCs w:val="22"/>
        </w:rPr>
        <w:t>performance of Islamic Religious Education teachers (Y)</w:t>
      </w:r>
      <w:r w:rsidRPr="00C65D2A">
        <w:rPr>
          <w:rFonts w:ascii="Garamond" w:hAnsi="Garamond"/>
          <w:color w:val="000000" w:themeColor="text1"/>
          <w:sz w:val="22"/>
          <w:szCs w:val="22"/>
        </w:rPr>
        <w:t xml:space="preserve"> in public junior high schools in Padang Lawas Regency. The conceptual relationship between the variables is illustrated as follows:</w:t>
      </w:r>
    </w:p>
    <w:p w:rsidR="00BF640E" w:rsidRPr="00C65D2A" w:rsidRDefault="00BF640E" w:rsidP="00BF640E">
      <w:pPr>
        <w:pStyle w:val="NormalWeb"/>
        <w:spacing w:before="0" w:beforeAutospacing="0" w:after="0" w:afterAutospacing="0"/>
        <w:rPr>
          <w:rStyle w:val="Strong"/>
          <w:rFonts w:ascii="Garamond" w:hAnsi="Garamond"/>
          <w:b w:val="0"/>
          <w:bCs w:val="0"/>
          <w:color w:val="000000" w:themeColor="text1"/>
          <w:sz w:val="22"/>
          <w:szCs w:val="22"/>
        </w:rPr>
      </w:pPr>
      <w:r w:rsidRPr="00C65D2A">
        <w:rPr>
          <w:rStyle w:val="Strong"/>
          <w:rFonts w:ascii="Garamond" w:hAnsi="Garamond"/>
          <w:b w:val="0"/>
          <w:bCs w:val="0"/>
          <w:color w:val="000000" w:themeColor="text1"/>
          <w:sz w:val="22"/>
          <w:szCs w:val="22"/>
        </w:rPr>
        <w:t>Organizational Communication Climate (X) → Teacher Performance (Y)</w:t>
      </w:r>
    </w:p>
    <w:p w:rsidR="00BF640E" w:rsidRPr="00C65D2A" w:rsidRDefault="00BF640E" w:rsidP="00BF640E">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study assumes that a more positive organizational communication climate will contribute to higher levels of teacher performance in carrying out professional educational duties.</w:t>
      </w:r>
    </w:p>
    <w:p w:rsidR="00BF640E" w:rsidRPr="00C65D2A" w:rsidRDefault="00BF640E" w:rsidP="00BF640E">
      <w:pPr>
        <w:pStyle w:val="NormalWeb"/>
        <w:numPr>
          <w:ilvl w:val="0"/>
          <w:numId w:val="7"/>
        </w:numPr>
        <w:tabs>
          <w:tab w:val="clear" w:pos="720"/>
        </w:tabs>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lang w:val="en-US"/>
        </w:rPr>
        <w:t>Operational Definition of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6"/>
        <w:gridCol w:w="4777"/>
        <w:gridCol w:w="1756"/>
      </w:tblGrid>
      <w:tr w:rsidR="002F46DD" w:rsidRPr="00C65D2A" w:rsidTr="00006746">
        <w:trPr>
          <w:tblHeader/>
          <w:tblCellSpacing w:w="15" w:type="dxa"/>
        </w:trPr>
        <w:tc>
          <w:tcPr>
            <w:tcW w:w="0" w:type="auto"/>
            <w:vAlign w:val="center"/>
            <w:hideMark/>
          </w:tcPr>
          <w:p w:rsidR="002F46DD" w:rsidRPr="00C65D2A" w:rsidRDefault="002F46DD" w:rsidP="00006746">
            <w:pPr>
              <w:pStyle w:val="NormalWeb"/>
              <w:jc w:val="center"/>
              <w:rPr>
                <w:rFonts w:ascii="Garamond" w:hAnsi="Garamond"/>
                <w:b/>
                <w:bCs/>
                <w:color w:val="000000" w:themeColor="text1"/>
                <w:sz w:val="22"/>
                <w:szCs w:val="22"/>
              </w:rPr>
            </w:pPr>
            <w:r w:rsidRPr="00C65D2A">
              <w:rPr>
                <w:rFonts w:ascii="Garamond" w:hAnsi="Garamond"/>
                <w:b/>
                <w:bCs/>
                <w:color w:val="000000" w:themeColor="text1"/>
                <w:sz w:val="22"/>
                <w:szCs w:val="22"/>
              </w:rPr>
              <w:t>Variable</w:t>
            </w:r>
          </w:p>
        </w:tc>
        <w:tc>
          <w:tcPr>
            <w:tcW w:w="4747" w:type="dxa"/>
            <w:vAlign w:val="center"/>
            <w:hideMark/>
          </w:tcPr>
          <w:p w:rsidR="002F46DD" w:rsidRPr="00C65D2A" w:rsidRDefault="002F46DD" w:rsidP="00006746">
            <w:pPr>
              <w:pStyle w:val="NormalWeb"/>
              <w:jc w:val="center"/>
              <w:rPr>
                <w:rFonts w:ascii="Garamond" w:hAnsi="Garamond"/>
                <w:b/>
                <w:bCs/>
                <w:color w:val="000000" w:themeColor="text1"/>
                <w:sz w:val="22"/>
                <w:szCs w:val="22"/>
              </w:rPr>
            </w:pPr>
            <w:r w:rsidRPr="00C65D2A">
              <w:rPr>
                <w:rFonts w:ascii="Garamond" w:hAnsi="Garamond"/>
                <w:b/>
                <w:bCs/>
                <w:color w:val="000000" w:themeColor="text1"/>
                <w:sz w:val="22"/>
                <w:szCs w:val="22"/>
              </w:rPr>
              <w:t>Indicators</w:t>
            </w:r>
          </w:p>
        </w:tc>
        <w:tc>
          <w:tcPr>
            <w:tcW w:w="1711" w:type="dxa"/>
            <w:vAlign w:val="center"/>
            <w:hideMark/>
          </w:tcPr>
          <w:p w:rsidR="002F46DD" w:rsidRPr="00C65D2A" w:rsidRDefault="002F46DD" w:rsidP="00006746">
            <w:pPr>
              <w:pStyle w:val="NormalWeb"/>
              <w:ind w:firstLine="851"/>
              <w:jc w:val="both"/>
              <w:rPr>
                <w:rFonts w:ascii="Garamond" w:hAnsi="Garamond"/>
                <w:b/>
                <w:bCs/>
                <w:color w:val="000000" w:themeColor="text1"/>
                <w:sz w:val="22"/>
                <w:szCs w:val="22"/>
              </w:rPr>
            </w:pPr>
            <w:r w:rsidRPr="00C65D2A">
              <w:rPr>
                <w:rFonts w:ascii="Garamond" w:hAnsi="Garamond"/>
                <w:b/>
                <w:bCs/>
                <w:color w:val="000000" w:themeColor="text1"/>
                <w:sz w:val="22"/>
                <w:szCs w:val="22"/>
              </w:rPr>
              <w:t>Scale</w:t>
            </w:r>
          </w:p>
        </w:tc>
      </w:tr>
      <w:tr w:rsidR="002F46DD" w:rsidRPr="00C65D2A" w:rsidTr="00006746">
        <w:trPr>
          <w:tblCellSpacing w:w="15" w:type="dxa"/>
        </w:trPr>
        <w:tc>
          <w:tcPr>
            <w:tcW w:w="0" w:type="auto"/>
            <w:vAlign w:val="center"/>
            <w:hideMark/>
          </w:tcPr>
          <w:p w:rsidR="002F46DD"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Organizational Communication Climate (X</w:t>
            </w:r>
          </w:p>
        </w:tc>
        <w:tc>
          <w:tcPr>
            <w:tcW w:w="4747" w:type="dxa"/>
            <w:vAlign w:val="center"/>
            <w:hideMark/>
          </w:tcPr>
          <w:p w:rsidR="002F46DD"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Trust, participation in decision-making, openness in upward communication, openness in downward communication, supportive communication, and concern for organizational goals</w:t>
            </w:r>
          </w:p>
        </w:tc>
        <w:tc>
          <w:tcPr>
            <w:tcW w:w="1711" w:type="dxa"/>
            <w:vAlign w:val="center"/>
            <w:hideMark/>
          </w:tcPr>
          <w:p w:rsidR="002F46DD" w:rsidRPr="00C65D2A" w:rsidRDefault="002F46DD" w:rsidP="00006746">
            <w:pPr>
              <w:pStyle w:val="NormalWeb"/>
              <w:jc w:val="center"/>
              <w:rPr>
                <w:rFonts w:ascii="Garamond" w:hAnsi="Garamond"/>
                <w:color w:val="000000" w:themeColor="text1"/>
                <w:sz w:val="22"/>
                <w:szCs w:val="22"/>
              </w:rPr>
            </w:pPr>
            <w:r w:rsidRPr="00C65D2A">
              <w:rPr>
                <w:rFonts w:ascii="Garamond" w:hAnsi="Garamond"/>
                <w:color w:val="000000" w:themeColor="text1"/>
                <w:sz w:val="22"/>
                <w:szCs w:val="22"/>
              </w:rPr>
              <w:t>Likert Scale 1–5</w:t>
            </w:r>
          </w:p>
        </w:tc>
      </w:tr>
      <w:tr w:rsidR="002F46DD" w:rsidRPr="00C65D2A" w:rsidTr="00006746">
        <w:trPr>
          <w:tblCellSpacing w:w="15" w:type="dxa"/>
        </w:trPr>
        <w:tc>
          <w:tcPr>
            <w:tcW w:w="0" w:type="auto"/>
            <w:vAlign w:val="center"/>
            <w:hideMark/>
          </w:tcPr>
          <w:p w:rsidR="002F46DD"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Performance of Islamic Religious Education (PAI) Teachers (Y)</w:t>
            </w:r>
          </w:p>
        </w:tc>
        <w:tc>
          <w:tcPr>
            <w:tcW w:w="4747" w:type="dxa"/>
            <w:vAlign w:val="center"/>
            <w:hideMark/>
          </w:tcPr>
          <w:p w:rsidR="002F46DD"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Instructional planning, instructional implementation, learning evaluation, professional development, and work discipline</w:t>
            </w:r>
          </w:p>
        </w:tc>
        <w:tc>
          <w:tcPr>
            <w:tcW w:w="1711" w:type="dxa"/>
            <w:vAlign w:val="center"/>
            <w:hideMark/>
          </w:tcPr>
          <w:p w:rsidR="002F46DD" w:rsidRPr="00C65D2A" w:rsidRDefault="002F46DD" w:rsidP="00006746">
            <w:pPr>
              <w:pStyle w:val="NormalWeb"/>
              <w:jc w:val="center"/>
              <w:rPr>
                <w:rFonts w:ascii="Garamond" w:hAnsi="Garamond"/>
                <w:color w:val="000000" w:themeColor="text1"/>
                <w:sz w:val="22"/>
                <w:szCs w:val="22"/>
              </w:rPr>
            </w:pPr>
            <w:r w:rsidRPr="00C65D2A">
              <w:rPr>
                <w:rFonts w:ascii="Garamond" w:hAnsi="Garamond"/>
                <w:color w:val="000000" w:themeColor="text1"/>
                <w:sz w:val="22"/>
                <w:szCs w:val="22"/>
              </w:rPr>
              <w:t>Likert Scale 1–5</w:t>
            </w:r>
          </w:p>
        </w:tc>
      </w:tr>
    </w:tbl>
    <w:p w:rsidR="002F46DD" w:rsidRPr="00C65D2A" w:rsidRDefault="002F46DD" w:rsidP="002F46DD">
      <w:pPr>
        <w:pStyle w:val="NormalWeb"/>
        <w:numPr>
          <w:ilvl w:val="0"/>
          <w:numId w:val="7"/>
        </w:numPr>
        <w:tabs>
          <w:tab w:val="clear" w:pos="720"/>
        </w:tabs>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Data Collection Techniques</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Data were collected through the following method:</w:t>
      </w:r>
    </w:p>
    <w:p w:rsidR="002F46DD" w:rsidRPr="00C65D2A" w:rsidRDefault="002F46DD" w:rsidP="002F46DD">
      <w:pPr>
        <w:pStyle w:val="NormalWeb"/>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1. Questionnaire</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 questionnaire was used as the primary research instrument to measure respondents’ perceptions of the organizational communication climate and teacher performance. The instrument was developed based on theoretical indicators derived from organizational communication climate theory and teacher performance theory. Specifically, the questionnaire items were constructed based on the dimensions of organizational communication climate proposed by Pace and Faules (2018) and the teacher performance indicators developed by Supardi (2019).</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Each statement in the questionnaire was measured using a five-point Likert scale, consisting of Strongly Agree, Agree, Neutral, Disagree, and Strongly Disagree. The Likert scale is one of the most widely used measurement techniques in social science research for assessing respondents’ attitudes, perceptions, and opinions regarding a particular research object (Sugiyono, 2023).</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scoring criteria for the Likert scale used in this study are presented as follows:</w:t>
      </w:r>
    </w:p>
    <w:tbl>
      <w:tblPr>
        <w:tblW w:w="0" w:type="auto"/>
        <w:jc w:val="center"/>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2"/>
        <w:gridCol w:w="2127"/>
      </w:tblGrid>
      <w:tr w:rsidR="00B45E22" w:rsidRPr="00C65D2A" w:rsidTr="002F46DD">
        <w:trPr>
          <w:tblHeader/>
          <w:tblCellSpacing w:w="15" w:type="dxa"/>
          <w:jc w:val="center"/>
        </w:trPr>
        <w:tc>
          <w:tcPr>
            <w:tcW w:w="2567" w:type="dxa"/>
            <w:vAlign w:val="center"/>
            <w:hideMark/>
          </w:tcPr>
          <w:p w:rsidR="00B45E22" w:rsidRPr="00C65D2A" w:rsidRDefault="002F46DD" w:rsidP="002F46DD">
            <w:pPr>
              <w:pStyle w:val="NormalWeb"/>
              <w:jc w:val="center"/>
              <w:rPr>
                <w:rFonts w:ascii="Garamond" w:hAnsi="Garamond"/>
                <w:b/>
                <w:bCs/>
                <w:color w:val="000000" w:themeColor="text1"/>
                <w:sz w:val="22"/>
                <w:szCs w:val="22"/>
              </w:rPr>
            </w:pPr>
            <w:r w:rsidRPr="00C65D2A">
              <w:rPr>
                <w:rFonts w:ascii="Garamond" w:hAnsi="Garamond"/>
                <w:b/>
                <w:bCs/>
                <w:color w:val="000000" w:themeColor="text1"/>
                <w:sz w:val="22"/>
                <w:szCs w:val="22"/>
                <w:lang w:val="en-US"/>
              </w:rPr>
              <w:t>Response Category</w:t>
            </w:r>
          </w:p>
        </w:tc>
        <w:tc>
          <w:tcPr>
            <w:tcW w:w="2082" w:type="dxa"/>
            <w:vAlign w:val="center"/>
            <w:hideMark/>
          </w:tcPr>
          <w:p w:rsidR="00B45E22" w:rsidRPr="00C65D2A" w:rsidRDefault="00B45E22" w:rsidP="00006746">
            <w:pPr>
              <w:pStyle w:val="NormalWeb"/>
              <w:ind w:firstLine="851"/>
              <w:jc w:val="both"/>
              <w:rPr>
                <w:rFonts w:ascii="Garamond" w:hAnsi="Garamond"/>
                <w:b/>
                <w:bCs/>
                <w:color w:val="000000" w:themeColor="text1"/>
                <w:sz w:val="22"/>
                <w:szCs w:val="22"/>
              </w:rPr>
            </w:pPr>
            <w:r w:rsidRPr="00C65D2A">
              <w:rPr>
                <w:rFonts w:ascii="Garamond" w:hAnsi="Garamond"/>
                <w:b/>
                <w:bCs/>
                <w:color w:val="000000" w:themeColor="text1"/>
                <w:sz w:val="22"/>
                <w:szCs w:val="22"/>
              </w:rPr>
              <w:t>S</w:t>
            </w:r>
            <w:r w:rsidR="002F46DD" w:rsidRPr="00C65D2A">
              <w:rPr>
                <w:rFonts w:ascii="Garamond" w:hAnsi="Garamond"/>
                <w:b/>
                <w:bCs/>
                <w:color w:val="000000" w:themeColor="text1"/>
                <w:sz w:val="22"/>
                <w:szCs w:val="22"/>
              </w:rPr>
              <w:t>c</w:t>
            </w:r>
            <w:r w:rsidRPr="00C65D2A">
              <w:rPr>
                <w:rFonts w:ascii="Garamond" w:hAnsi="Garamond"/>
                <w:b/>
                <w:bCs/>
                <w:color w:val="000000" w:themeColor="text1"/>
                <w:sz w:val="22"/>
                <w:szCs w:val="22"/>
              </w:rPr>
              <w:t>or</w:t>
            </w:r>
            <w:r w:rsidR="002F46DD" w:rsidRPr="00C65D2A">
              <w:rPr>
                <w:rFonts w:ascii="Garamond" w:hAnsi="Garamond"/>
                <w:b/>
                <w:bCs/>
                <w:color w:val="000000" w:themeColor="text1"/>
                <w:sz w:val="22"/>
                <w:szCs w:val="22"/>
              </w:rPr>
              <w:t>e</w:t>
            </w:r>
          </w:p>
        </w:tc>
      </w:tr>
      <w:tr w:rsidR="00B45E22" w:rsidRPr="00C65D2A" w:rsidTr="002F46DD">
        <w:trPr>
          <w:tblCellSpacing w:w="15" w:type="dxa"/>
          <w:jc w:val="center"/>
        </w:trPr>
        <w:tc>
          <w:tcPr>
            <w:tcW w:w="2567" w:type="dxa"/>
            <w:vAlign w:val="center"/>
            <w:hideMark/>
          </w:tcPr>
          <w:p w:rsidR="00B45E22"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Strongly Agree (SA)</w:t>
            </w:r>
          </w:p>
        </w:tc>
        <w:tc>
          <w:tcPr>
            <w:tcW w:w="2082" w:type="dxa"/>
            <w:vAlign w:val="center"/>
            <w:hideMark/>
          </w:tcPr>
          <w:p w:rsidR="00B45E22" w:rsidRPr="00C65D2A" w:rsidRDefault="00B45E22" w:rsidP="00006746">
            <w:pPr>
              <w:pStyle w:val="NormalWeb"/>
              <w:ind w:firstLine="851"/>
              <w:jc w:val="both"/>
              <w:rPr>
                <w:rFonts w:ascii="Garamond" w:hAnsi="Garamond"/>
                <w:color w:val="000000" w:themeColor="text1"/>
                <w:sz w:val="22"/>
                <w:szCs w:val="22"/>
              </w:rPr>
            </w:pPr>
            <w:r w:rsidRPr="00C65D2A">
              <w:rPr>
                <w:rFonts w:ascii="Garamond" w:hAnsi="Garamond"/>
                <w:color w:val="000000" w:themeColor="text1"/>
                <w:sz w:val="22"/>
                <w:szCs w:val="22"/>
              </w:rPr>
              <w:t>5</w:t>
            </w:r>
          </w:p>
        </w:tc>
      </w:tr>
      <w:tr w:rsidR="00B45E22" w:rsidRPr="00C65D2A" w:rsidTr="002F46DD">
        <w:trPr>
          <w:tblCellSpacing w:w="15" w:type="dxa"/>
          <w:jc w:val="center"/>
        </w:trPr>
        <w:tc>
          <w:tcPr>
            <w:tcW w:w="2567" w:type="dxa"/>
            <w:vAlign w:val="center"/>
            <w:hideMark/>
          </w:tcPr>
          <w:p w:rsidR="00B45E22"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Agree (A)</w:t>
            </w:r>
          </w:p>
        </w:tc>
        <w:tc>
          <w:tcPr>
            <w:tcW w:w="2082" w:type="dxa"/>
            <w:vAlign w:val="center"/>
            <w:hideMark/>
          </w:tcPr>
          <w:p w:rsidR="00B45E22" w:rsidRPr="00C65D2A" w:rsidRDefault="00B45E22" w:rsidP="00006746">
            <w:pPr>
              <w:pStyle w:val="NormalWeb"/>
              <w:ind w:firstLine="851"/>
              <w:jc w:val="both"/>
              <w:rPr>
                <w:rFonts w:ascii="Garamond" w:hAnsi="Garamond"/>
                <w:color w:val="000000" w:themeColor="text1"/>
                <w:sz w:val="22"/>
                <w:szCs w:val="22"/>
              </w:rPr>
            </w:pPr>
            <w:r w:rsidRPr="00C65D2A">
              <w:rPr>
                <w:rFonts w:ascii="Garamond" w:hAnsi="Garamond"/>
                <w:color w:val="000000" w:themeColor="text1"/>
                <w:sz w:val="22"/>
                <w:szCs w:val="22"/>
              </w:rPr>
              <w:t>4</w:t>
            </w:r>
          </w:p>
        </w:tc>
      </w:tr>
      <w:tr w:rsidR="00B45E22" w:rsidRPr="00C65D2A" w:rsidTr="002F46DD">
        <w:trPr>
          <w:tblCellSpacing w:w="15" w:type="dxa"/>
          <w:jc w:val="center"/>
        </w:trPr>
        <w:tc>
          <w:tcPr>
            <w:tcW w:w="2567" w:type="dxa"/>
            <w:vAlign w:val="center"/>
            <w:hideMark/>
          </w:tcPr>
          <w:p w:rsidR="00B45E22"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Neutral (N)</w:t>
            </w:r>
          </w:p>
        </w:tc>
        <w:tc>
          <w:tcPr>
            <w:tcW w:w="2082" w:type="dxa"/>
            <w:vAlign w:val="center"/>
            <w:hideMark/>
          </w:tcPr>
          <w:p w:rsidR="00B45E22" w:rsidRPr="00C65D2A" w:rsidRDefault="00B45E22" w:rsidP="00006746">
            <w:pPr>
              <w:pStyle w:val="NormalWeb"/>
              <w:ind w:firstLine="851"/>
              <w:jc w:val="both"/>
              <w:rPr>
                <w:rFonts w:ascii="Garamond" w:hAnsi="Garamond"/>
                <w:color w:val="000000" w:themeColor="text1"/>
                <w:sz w:val="22"/>
                <w:szCs w:val="22"/>
              </w:rPr>
            </w:pPr>
            <w:r w:rsidRPr="00C65D2A">
              <w:rPr>
                <w:rFonts w:ascii="Garamond" w:hAnsi="Garamond"/>
                <w:color w:val="000000" w:themeColor="text1"/>
                <w:sz w:val="22"/>
                <w:szCs w:val="22"/>
              </w:rPr>
              <w:t>3</w:t>
            </w:r>
          </w:p>
        </w:tc>
      </w:tr>
      <w:tr w:rsidR="00B45E22" w:rsidRPr="00C65D2A" w:rsidTr="002F46DD">
        <w:trPr>
          <w:tblCellSpacing w:w="15" w:type="dxa"/>
          <w:jc w:val="center"/>
        </w:trPr>
        <w:tc>
          <w:tcPr>
            <w:tcW w:w="2567" w:type="dxa"/>
            <w:vAlign w:val="center"/>
            <w:hideMark/>
          </w:tcPr>
          <w:p w:rsidR="00B45E22"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Disagree (D)</w:t>
            </w:r>
          </w:p>
        </w:tc>
        <w:tc>
          <w:tcPr>
            <w:tcW w:w="2082" w:type="dxa"/>
            <w:vAlign w:val="center"/>
            <w:hideMark/>
          </w:tcPr>
          <w:p w:rsidR="00B45E22" w:rsidRPr="00C65D2A" w:rsidRDefault="00B45E22" w:rsidP="00006746">
            <w:pPr>
              <w:pStyle w:val="NormalWeb"/>
              <w:ind w:firstLine="851"/>
              <w:jc w:val="both"/>
              <w:rPr>
                <w:rFonts w:ascii="Garamond" w:hAnsi="Garamond"/>
                <w:color w:val="000000" w:themeColor="text1"/>
                <w:sz w:val="22"/>
                <w:szCs w:val="22"/>
              </w:rPr>
            </w:pPr>
            <w:r w:rsidRPr="00C65D2A">
              <w:rPr>
                <w:rFonts w:ascii="Garamond" w:hAnsi="Garamond"/>
                <w:color w:val="000000" w:themeColor="text1"/>
                <w:sz w:val="22"/>
                <w:szCs w:val="22"/>
              </w:rPr>
              <w:t>2</w:t>
            </w:r>
          </w:p>
        </w:tc>
      </w:tr>
      <w:tr w:rsidR="00B45E22" w:rsidRPr="00C65D2A" w:rsidTr="002F46DD">
        <w:trPr>
          <w:tblCellSpacing w:w="15" w:type="dxa"/>
          <w:jc w:val="center"/>
        </w:trPr>
        <w:tc>
          <w:tcPr>
            <w:tcW w:w="2567" w:type="dxa"/>
            <w:vAlign w:val="center"/>
            <w:hideMark/>
          </w:tcPr>
          <w:p w:rsidR="00B45E22" w:rsidRPr="00C65D2A" w:rsidRDefault="002F46DD" w:rsidP="00006746">
            <w:pPr>
              <w:pStyle w:val="NormalWeb"/>
              <w:jc w:val="both"/>
              <w:rPr>
                <w:rFonts w:ascii="Garamond" w:hAnsi="Garamond"/>
                <w:color w:val="000000" w:themeColor="text1"/>
                <w:sz w:val="22"/>
                <w:szCs w:val="22"/>
              </w:rPr>
            </w:pPr>
            <w:r w:rsidRPr="00C65D2A">
              <w:rPr>
                <w:rFonts w:ascii="Garamond" w:hAnsi="Garamond"/>
                <w:color w:val="000000" w:themeColor="text1"/>
                <w:sz w:val="22"/>
                <w:szCs w:val="22"/>
                <w:lang w:val="en-US"/>
              </w:rPr>
              <w:t>Strongly Disagree (SD)</w:t>
            </w:r>
          </w:p>
        </w:tc>
        <w:tc>
          <w:tcPr>
            <w:tcW w:w="2082" w:type="dxa"/>
            <w:vAlign w:val="center"/>
            <w:hideMark/>
          </w:tcPr>
          <w:p w:rsidR="00B45E22" w:rsidRPr="00C65D2A" w:rsidRDefault="00B45E22" w:rsidP="00006746">
            <w:pPr>
              <w:pStyle w:val="NormalWeb"/>
              <w:ind w:firstLine="851"/>
              <w:jc w:val="both"/>
              <w:rPr>
                <w:rFonts w:ascii="Garamond" w:hAnsi="Garamond"/>
                <w:color w:val="000000" w:themeColor="text1"/>
                <w:sz w:val="22"/>
                <w:szCs w:val="22"/>
              </w:rPr>
            </w:pPr>
            <w:r w:rsidRPr="00C65D2A">
              <w:rPr>
                <w:rFonts w:ascii="Garamond" w:hAnsi="Garamond"/>
                <w:color w:val="000000" w:themeColor="text1"/>
                <w:sz w:val="22"/>
                <w:szCs w:val="22"/>
              </w:rPr>
              <w:t>1</w:t>
            </w:r>
          </w:p>
        </w:tc>
      </w:tr>
    </w:tbl>
    <w:p w:rsidR="002F46DD" w:rsidRPr="00C65D2A" w:rsidRDefault="002F46DD" w:rsidP="002F46DD">
      <w:pPr>
        <w:pStyle w:val="Heading3"/>
        <w:spacing w:before="0" w:after="0"/>
        <w:ind w:left="284" w:hanging="284"/>
        <w:rPr>
          <w:rFonts w:ascii="Garamond" w:hAnsi="Garamond"/>
          <w:b/>
          <w:bCs/>
          <w:color w:val="000000" w:themeColor="text1"/>
          <w:sz w:val="22"/>
          <w:szCs w:val="22"/>
          <w:lang w:val="en-ID"/>
        </w:rPr>
      </w:pPr>
      <w:r w:rsidRPr="00C65D2A">
        <w:rPr>
          <w:rFonts w:ascii="Garamond" w:hAnsi="Garamond"/>
          <w:color w:val="000000" w:themeColor="text1"/>
          <w:sz w:val="22"/>
          <w:szCs w:val="22"/>
        </w:rPr>
        <w:t xml:space="preserve">2. </w:t>
      </w:r>
      <w:r w:rsidRPr="00C65D2A">
        <w:rPr>
          <w:rFonts w:ascii="Garamond" w:hAnsi="Garamond"/>
          <w:b/>
          <w:bCs/>
          <w:color w:val="000000" w:themeColor="text1"/>
          <w:sz w:val="22"/>
          <w:szCs w:val="22"/>
        </w:rPr>
        <w:t>Documentation</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documentation </w:t>
      </w:r>
      <w:r w:rsidRPr="00C65D2A">
        <w:rPr>
          <w:rFonts w:ascii="Garamond" w:hAnsi="Garamond"/>
          <w:b/>
          <w:bCs/>
          <w:color w:val="000000" w:themeColor="text1"/>
          <w:sz w:val="22"/>
          <w:szCs w:val="22"/>
        </w:rPr>
        <w:t>technique</w:t>
      </w:r>
      <w:r w:rsidRPr="00C65D2A">
        <w:rPr>
          <w:rFonts w:ascii="Garamond" w:hAnsi="Garamond"/>
          <w:color w:val="000000" w:themeColor="text1"/>
          <w:sz w:val="22"/>
          <w:szCs w:val="22"/>
        </w:rPr>
        <w:t xml:space="preserve"> was employed to obtain supporting data, including school profiles, the number of teachers, school organizational structures, and other documents relevant to the study (Creswell, 2018). These documents were used to complement and verify the information collected through the </w:t>
      </w:r>
      <w:r w:rsidRPr="00C65D2A">
        <w:rPr>
          <w:rFonts w:ascii="Garamond" w:hAnsi="Garamond"/>
          <w:color w:val="000000" w:themeColor="text1"/>
          <w:sz w:val="22"/>
          <w:szCs w:val="22"/>
        </w:rPr>
        <w:lastRenderedPageBreak/>
        <w:t>questionnaire, thereby enhancing the accuracy and credibility of the research findings. Instrument Validity and Reliability Testing</w:t>
      </w:r>
    </w:p>
    <w:p w:rsidR="002F46DD" w:rsidRPr="00C65D2A" w:rsidRDefault="002F46DD" w:rsidP="002F46DD">
      <w:pPr>
        <w:pStyle w:val="Heading4"/>
        <w:spacing w:before="0" w:after="0"/>
        <w:rPr>
          <w:rFonts w:ascii="Garamond" w:hAnsi="Garamond"/>
          <w:color w:val="000000" w:themeColor="text1"/>
          <w:sz w:val="22"/>
          <w:szCs w:val="22"/>
        </w:rPr>
      </w:pPr>
      <w:r w:rsidRPr="00C65D2A">
        <w:rPr>
          <w:rFonts w:ascii="Garamond" w:hAnsi="Garamond"/>
          <w:color w:val="000000" w:themeColor="text1"/>
          <w:sz w:val="22"/>
          <w:szCs w:val="22"/>
        </w:rPr>
        <w:t>a. Validity Test</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A validity test was conducted to determine whether the questionnaire items accurately measured the intended research variables. In this study, item validity was assessed using the </w:t>
      </w:r>
      <w:r w:rsidRPr="00C65D2A">
        <w:rPr>
          <w:rStyle w:val="Strong"/>
          <w:rFonts w:ascii="Garamond" w:hAnsi="Garamond"/>
          <w:color w:val="000000" w:themeColor="text1"/>
          <w:sz w:val="22"/>
          <w:szCs w:val="22"/>
        </w:rPr>
        <w:t>Pearson Product-Moment Correlation</w:t>
      </w:r>
      <w:r w:rsidRPr="00C65D2A">
        <w:rPr>
          <w:rFonts w:ascii="Garamond" w:hAnsi="Garamond"/>
          <w:color w:val="000000" w:themeColor="text1"/>
          <w:sz w:val="22"/>
          <w:szCs w:val="22"/>
        </w:rPr>
        <w:t xml:space="preserve"> technique. An item was considered valid if its calculated correlation coefficient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&lt;sub&gt;calculated&lt;/sub&gt;) was greater than the critical value of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&lt;sub&gt;table&lt;/sub&gt; at a significance level of 0.05 (Ghozali, 2021). </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Pearson Product-Moment Correlation formula is presented as follows:</w:t>
      </w:r>
    </w:p>
    <w:p w:rsidR="002F46DD" w:rsidRPr="00C65D2A" w:rsidRDefault="00B72DF5" w:rsidP="002F46DD">
      <w:pPr>
        <w:pStyle w:val="NormalWeb"/>
        <w:spacing w:before="0" w:beforeAutospacing="0" w:after="0" w:afterAutospacing="0"/>
        <w:rPr>
          <w:rFonts w:ascii="Garamond" w:hAnsi="Garamond"/>
          <w:color w:val="000000" w:themeColor="text1"/>
          <w:sz w:val="22"/>
          <w:szCs w:val="22"/>
        </w:rPr>
      </w:pPr>
      <m:oMathPara>
        <m:oMath>
          <m:sSub>
            <m:sSubPr>
              <m:ctrlPr>
                <w:rPr>
                  <w:rFonts w:ascii="Cambria Math" w:hAnsi="Cambria Math"/>
                  <w:color w:val="000000" w:themeColor="text1"/>
                  <w:sz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xy</m:t>
              </m:r>
            </m:sub>
          </m:sSub>
          <m:r>
            <w:rPr>
              <w:rFonts w:ascii="Cambria Math" w:hAnsi="Cambria Math"/>
              <w:color w:val="000000" w:themeColor="text1"/>
              <w:sz w:val="22"/>
              <w:szCs w:val="22"/>
            </w:rPr>
            <m:t>=</m:t>
          </m:r>
          <m:f>
            <m:fPr>
              <m:ctrlPr>
                <w:rPr>
                  <w:rFonts w:ascii="Cambria Math" w:hAnsi="Cambria Math"/>
                  <w:color w:val="000000" w:themeColor="text1"/>
                  <w:sz w:val="22"/>
                </w:rPr>
              </m:ctrlPr>
            </m:fPr>
            <m:num>
              <m:r>
                <w:rPr>
                  <w:rFonts w:ascii="Cambria Math" w:hAnsi="Cambria Math"/>
                  <w:color w:val="000000" w:themeColor="text1"/>
                  <w:sz w:val="22"/>
                  <w:szCs w:val="22"/>
                </w:rPr>
                <m:t>n∑XY-(∑X)(∑Y)</m:t>
              </m:r>
            </m:num>
            <m:den>
              <m:rad>
                <m:radPr>
                  <m:degHide m:val="1"/>
                  <m:ctrlPr>
                    <w:rPr>
                      <w:rFonts w:ascii="Cambria Math" w:hAnsi="Cambria Math"/>
                      <w:color w:val="000000" w:themeColor="text1"/>
                      <w:sz w:val="22"/>
                    </w:rPr>
                  </m:ctrlPr>
                </m:radPr>
                <m:deg/>
                <m:e>
                  <m:d>
                    <m:dPr>
                      <m:begChr m:val="["/>
                      <m:endChr m:val="]"/>
                      <m:ctrlPr>
                        <w:rPr>
                          <w:rFonts w:ascii="Cambria Math" w:hAnsi="Cambria Math"/>
                          <w:color w:val="000000" w:themeColor="text1"/>
                          <w:sz w:val="22"/>
                        </w:rPr>
                      </m:ctrlPr>
                    </m:dPr>
                    <m:e>
                      <m:r>
                        <w:rPr>
                          <w:rFonts w:ascii="Cambria Math" w:hAnsi="Cambria Math"/>
                          <w:color w:val="000000" w:themeColor="text1"/>
                          <w:sz w:val="22"/>
                          <w:szCs w:val="22"/>
                        </w:rPr>
                        <m:t>n∑</m:t>
                      </m:r>
                      <m:sSup>
                        <m:sSupPr>
                          <m:ctrlPr>
                            <w:rPr>
                              <w:rFonts w:ascii="Cambria Math" w:hAnsi="Cambria Math"/>
                              <w:color w:val="000000" w:themeColor="text1"/>
                              <w:sz w:val="22"/>
                            </w:rPr>
                          </m:ctrlPr>
                        </m:sSupPr>
                        <m:e>
                          <m:r>
                            <w:rPr>
                              <w:rFonts w:ascii="Cambria Math" w:hAnsi="Cambria Math"/>
                              <w:color w:val="000000" w:themeColor="text1"/>
                              <w:sz w:val="22"/>
                              <w:szCs w:val="22"/>
                            </w:rPr>
                            <m:t>X</m:t>
                          </m:r>
                        </m:e>
                        <m:sup>
                          <m:r>
                            <w:rPr>
                              <w:rFonts w:ascii="Cambria Math" w:hAnsi="Cambria Math"/>
                              <w:color w:val="000000" w:themeColor="text1"/>
                              <w:sz w:val="22"/>
                              <w:szCs w:val="22"/>
                            </w:rPr>
                            <m:t>2</m:t>
                          </m:r>
                        </m:sup>
                      </m:sSup>
                      <m:r>
                        <w:rPr>
                          <w:rFonts w:ascii="Cambria Math" w:hAnsi="Cambria Math"/>
                          <w:color w:val="000000" w:themeColor="text1"/>
                          <w:sz w:val="22"/>
                          <w:szCs w:val="22"/>
                        </w:rPr>
                        <m:t>-(∑X</m:t>
                      </m:r>
                      <m:sSup>
                        <m:sSupPr>
                          <m:ctrlPr>
                            <w:rPr>
                              <w:rFonts w:ascii="Cambria Math" w:hAnsi="Cambria Math"/>
                              <w:color w:val="000000" w:themeColor="text1"/>
                              <w:sz w:val="22"/>
                            </w:rPr>
                          </m:ctrlPr>
                        </m:sSupPr>
                        <m:e>
                          <m:r>
                            <w:rPr>
                              <w:rFonts w:ascii="Cambria Math" w:hAnsi="Cambria Math"/>
                              <w:color w:val="000000" w:themeColor="text1"/>
                              <w:sz w:val="22"/>
                              <w:szCs w:val="22"/>
                            </w:rPr>
                            <m:t>)</m:t>
                          </m:r>
                        </m:e>
                        <m:sup>
                          <m:r>
                            <w:rPr>
                              <w:rFonts w:ascii="Cambria Math" w:hAnsi="Cambria Math"/>
                              <w:color w:val="000000" w:themeColor="text1"/>
                              <w:sz w:val="22"/>
                              <w:szCs w:val="22"/>
                            </w:rPr>
                            <m:t>2</m:t>
                          </m:r>
                        </m:sup>
                      </m:sSup>
                      <m:r>
                        <w:rPr>
                          <w:rFonts w:ascii="Cambria Math" w:hAnsi="Cambria Math"/>
                          <w:color w:val="000000" w:themeColor="text1"/>
                          <w:sz w:val="22"/>
                          <w:szCs w:val="22"/>
                        </w:rPr>
                        <m:t>][n∑</m:t>
                      </m:r>
                      <m:sSup>
                        <m:sSupPr>
                          <m:ctrlPr>
                            <w:rPr>
                              <w:rFonts w:ascii="Cambria Math" w:hAnsi="Cambria Math"/>
                              <w:color w:val="000000" w:themeColor="text1"/>
                              <w:sz w:val="22"/>
                            </w:rPr>
                          </m:ctrlPr>
                        </m:sSupPr>
                        <m:e>
                          <m:r>
                            <w:rPr>
                              <w:rFonts w:ascii="Cambria Math" w:hAnsi="Cambria Math"/>
                              <w:color w:val="000000" w:themeColor="text1"/>
                              <w:sz w:val="22"/>
                              <w:szCs w:val="22"/>
                            </w:rPr>
                            <m:t>Y</m:t>
                          </m:r>
                        </m:e>
                        <m:sup>
                          <m:r>
                            <w:rPr>
                              <w:rFonts w:ascii="Cambria Math" w:hAnsi="Cambria Math"/>
                              <w:color w:val="000000" w:themeColor="text1"/>
                              <w:sz w:val="22"/>
                              <w:szCs w:val="22"/>
                            </w:rPr>
                            <m:t>2</m:t>
                          </m:r>
                        </m:sup>
                      </m:sSup>
                      <m:r>
                        <w:rPr>
                          <w:rFonts w:ascii="Cambria Math" w:hAnsi="Cambria Math"/>
                          <w:color w:val="000000" w:themeColor="text1"/>
                          <w:sz w:val="22"/>
                          <w:szCs w:val="22"/>
                        </w:rPr>
                        <m:t>-(∑Y</m:t>
                      </m:r>
                      <m:sSup>
                        <m:sSupPr>
                          <m:ctrlPr>
                            <w:rPr>
                              <w:rFonts w:ascii="Cambria Math" w:hAnsi="Cambria Math"/>
                              <w:color w:val="000000" w:themeColor="text1"/>
                              <w:sz w:val="22"/>
                            </w:rPr>
                          </m:ctrlPr>
                        </m:sSupPr>
                        <m:e>
                          <m:r>
                            <w:rPr>
                              <w:rFonts w:ascii="Cambria Math" w:hAnsi="Cambria Math"/>
                              <w:color w:val="000000" w:themeColor="text1"/>
                              <w:sz w:val="22"/>
                              <w:szCs w:val="22"/>
                            </w:rPr>
                            <m:t>)</m:t>
                          </m:r>
                        </m:e>
                        <m:sup>
                          <m:r>
                            <w:rPr>
                              <w:rFonts w:ascii="Cambria Math" w:hAnsi="Cambria Math"/>
                              <w:color w:val="000000" w:themeColor="text1"/>
                              <w:sz w:val="22"/>
                              <w:szCs w:val="22"/>
                            </w:rPr>
                            <m:t>2</m:t>
                          </m:r>
                        </m:sup>
                      </m:sSup>
                    </m:e>
                  </m:d>
                </m:e>
              </m:rad>
            </m:den>
          </m:f>
        </m:oMath>
      </m:oMathPara>
    </w:p>
    <w:p w:rsidR="002F46DD" w:rsidRPr="00C65D2A" w:rsidRDefault="002F46DD" w:rsidP="002F46DD">
      <w:pPr>
        <w:pStyle w:val="NormalWeb"/>
        <w:spacing w:before="0" w:beforeAutospacing="0" w:after="0" w:afterAutospacing="0"/>
        <w:rPr>
          <w:rFonts w:ascii="Garamond" w:hAnsi="Garamond"/>
          <w:color w:val="000000" w:themeColor="text1"/>
          <w:sz w:val="22"/>
          <w:szCs w:val="22"/>
        </w:rPr>
      </w:pPr>
      <w:r w:rsidRPr="00C65D2A">
        <w:rPr>
          <w:rFonts w:ascii="Garamond" w:hAnsi="Garamond"/>
          <w:color w:val="000000" w:themeColor="text1"/>
          <w:sz w:val="22"/>
          <w:szCs w:val="22"/>
        </w:rPr>
        <w:t>Where:</w:t>
      </w:r>
    </w:p>
    <w:p w:rsidR="002F46DD" w:rsidRPr="00C65D2A" w:rsidRDefault="002F46DD" w:rsidP="002F46DD">
      <w:pPr>
        <w:numPr>
          <w:ilvl w:val="0"/>
          <w:numId w:val="11"/>
        </w:numPr>
        <w:rPr>
          <w:rFonts w:ascii="Garamond" w:hAnsi="Garamond"/>
          <w:color w:val="000000" w:themeColor="text1"/>
          <w:sz w:val="22"/>
          <w:szCs w:val="22"/>
        </w:rPr>
      </w:pP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&lt;sub&gt;xy&lt;/sub&gt; = Pearson correlation coefficient </w:t>
      </w:r>
    </w:p>
    <w:p w:rsidR="002F46DD" w:rsidRPr="00C65D2A" w:rsidRDefault="002F46DD" w:rsidP="002F46DD">
      <w:pPr>
        <w:numPr>
          <w:ilvl w:val="0"/>
          <w:numId w:val="11"/>
        </w:numPr>
        <w:rPr>
          <w:rFonts w:ascii="Garamond" w:hAnsi="Garamond"/>
          <w:color w:val="000000" w:themeColor="text1"/>
          <w:sz w:val="22"/>
          <w:szCs w:val="22"/>
        </w:rPr>
      </w:pPr>
      <w:r w:rsidRPr="00C65D2A">
        <w:rPr>
          <w:rStyle w:val="Emphasis"/>
          <w:rFonts w:ascii="Garamond" w:hAnsi="Garamond"/>
          <w:color w:val="000000" w:themeColor="text1"/>
          <w:sz w:val="22"/>
          <w:szCs w:val="22"/>
        </w:rPr>
        <w:t>X</w:t>
      </w:r>
      <w:r w:rsidRPr="00C65D2A">
        <w:rPr>
          <w:rFonts w:ascii="Garamond" w:hAnsi="Garamond"/>
          <w:color w:val="000000" w:themeColor="text1"/>
          <w:sz w:val="22"/>
          <w:szCs w:val="22"/>
        </w:rPr>
        <w:t xml:space="preserve"> = Item score </w:t>
      </w:r>
    </w:p>
    <w:p w:rsidR="002F46DD" w:rsidRPr="00C65D2A" w:rsidRDefault="002F46DD" w:rsidP="002F46DD">
      <w:pPr>
        <w:numPr>
          <w:ilvl w:val="0"/>
          <w:numId w:val="11"/>
        </w:numPr>
        <w:rPr>
          <w:rFonts w:ascii="Garamond" w:hAnsi="Garamond"/>
          <w:color w:val="000000" w:themeColor="text1"/>
          <w:sz w:val="22"/>
          <w:szCs w:val="22"/>
        </w:rPr>
      </w:pPr>
      <w:r w:rsidRPr="00C65D2A">
        <w:rPr>
          <w:rStyle w:val="Emphasis"/>
          <w:rFonts w:ascii="Garamond" w:hAnsi="Garamond"/>
          <w:color w:val="000000" w:themeColor="text1"/>
          <w:sz w:val="22"/>
          <w:szCs w:val="22"/>
        </w:rPr>
        <w:t>Y</w:t>
      </w:r>
      <w:r w:rsidRPr="00C65D2A">
        <w:rPr>
          <w:rFonts w:ascii="Garamond" w:hAnsi="Garamond"/>
          <w:color w:val="000000" w:themeColor="text1"/>
          <w:sz w:val="22"/>
          <w:szCs w:val="22"/>
        </w:rPr>
        <w:t xml:space="preserve"> = Total score </w:t>
      </w:r>
    </w:p>
    <w:p w:rsidR="002F46DD" w:rsidRPr="00C65D2A" w:rsidRDefault="002F46DD" w:rsidP="002F46DD">
      <w:pPr>
        <w:numPr>
          <w:ilvl w:val="0"/>
          <w:numId w:val="11"/>
        </w:numPr>
        <w:rPr>
          <w:rFonts w:ascii="Garamond" w:hAnsi="Garamond"/>
          <w:color w:val="000000" w:themeColor="text1"/>
          <w:sz w:val="22"/>
          <w:szCs w:val="22"/>
        </w:rPr>
      </w:pPr>
      <w:r w:rsidRPr="00C65D2A">
        <w:rPr>
          <w:rStyle w:val="Emphasis"/>
          <w:rFonts w:ascii="Garamond" w:hAnsi="Garamond"/>
          <w:color w:val="000000" w:themeColor="text1"/>
          <w:sz w:val="22"/>
          <w:szCs w:val="22"/>
        </w:rPr>
        <w:t>n</w:t>
      </w:r>
      <w:r w:rsidRPr="00C65D2A">
        <w:rPr>
          <w:rFonts w:ascii="Garamond" w:hAnsi="Garamond"/>
          <w:color w:val="000000" w:themeColor="text1"/>
          <w:sz w:val="22"/>
          <w:szCs w:val="22"/>
        </w:rPr>
        <w:t xml:space="preserve"> = Number of respondents </w:t>
      </w:r>
    </w:p>
    <w:p w:rsidR="002F46DD" w:rsidRPr="00C65D2A" w:rsidRDefault="002F46DD" w:rsidP="002F46DD">
      <w:pPr>
        <w:numPr>
          <w:ilvl w:val="0"/>
          <w:numId w:val="11"/>
        </w:numPr>
        <w:rPr>
          <w:rFonts w:ascii="Garamond" w:hAnsi="Garamond"/>
          <w:color w:val="000000" w:themeColor="text1"/>
          <w:sz w:val="22"/>
          <w:szCs w:val="22"/>
        </w:rPr>
      </w:pPr>
      <w:r w:rsidRPr="00C65D2A">
        <w:rPr>
          <w:rFonts w:ascii="Garamond" w:hAnsi="Garamond"/>
          <w:color w:val="000000" w:themeColor="text1"/>
          <w:sz w:val="22"/>
          <w:szCs w:val="22"/>
        </w:rPr>
        <w:t xml:space="preserve">Σ = Summation of scores </w:t>
      </w:r>
    </w:p>
    <w:p w:rsidR="002F46DD" w:rsidRPr="00C65D2A" w:rsidRDefault="002F46DD" w:rsidP="002F46DD">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If the value of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&lt;sub&gt;calculated&lt;/sub&gt; exceeds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&lt;sub&gt;table&lt;/sub&gt;, the questionnaire item is considered valid and suitable for use in data collection. Conversely, items with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 xml:space="preserve">&lt;sub&gt;calculated&lt;/sub&gt; lower than </w:t>
      </w:r>
      <w:r w:rsidRPr="00C65D2A">
        <w:rPr>
          <w:rStyle w:val="Emphasis"/>
          <w:rFonts w:ascii="Garamond" w:hAnsi="Garamond"/>
          <w:color w:val="000000" w:themeColor="text1"/>
          <w:sz w:val="22"/>
          <w:szCs w:val="22"/>
        </w:rPr>
        <w:t>r</w:t>
      </w:r>
      <w:r w:rsidRPr="00C65D2A">
        <w:rPr>
          <w:rFonts w:ascii="Garamond" w:hAnsi="Garamond"/>
          <w:color w:val="000000" w:themeColor="text1"/>
          <w:sz w:val="22"/>
          <w:szCs w:val="22"/>
        </w:rPr>
        <w:t>&lt;sub&gt;table&lt;/sub&gt; are considered invalid and should be revised or removed from the instrument.</w:t>
      </w:r>
    </w:p>
    <w:p w:rsidR="005127A1" w:rsidRPr="00C65D2A" w:rsidRDefault="005127A1" w:rsidP="005127A1">
      <w:pPr>
        <w:pStyle w:val="NormalWeb"/>
        <w:numPr>
          <w:ilvl w:val="0"/>
          <w:numId w:val="7"/>
        </w:numPr>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Data Analysis Techniques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Data analysis was conducted using statistical software such as </w:t>
      </w:r>
      <w:r w:rsidRPr="00C65D2A">
        <w:rPr>
          <w:rStyle w:val="Strong"/>
          <w:rFonts w:ascii="Garamond" w:hAnsi="Garamond"/>
          <w:color w:val="000000" w:themeColor="text1"/>
          <w:sz w:val="22"/>
          <w:szCs w:val="22"/>
        </w:rPr>
        <w:t>SPSS</w:t>
      </w:r>
      <w:r w:rsidRPr="00C65D2A">
        <w:rPr>
          <w:rFonts w:ascii="Garamond" w:hAnsi="Garamond"/>
          <w:color w:val="000000" w:themeColor="text1"/>
          <w:sz w:val="22"/>
          <w:szCs w:val="22"/>
        </w:rPr>
        <w:t xml:space="preserve"> or </w:t>
      </w:r>
      <w:r w:rsidRPr="00C65D2A">
        <w:rPr>
          <w:rStyle w:val="Strong"/>
          <w:rFonts w:ascii="Garamond" w:hAnsi="Garamond"/>
          <w:color w:val="000000" w:themeColor="text1"/>
          <w:sz w:val="22"/>
          <w:szCs w:val="22"/>
        </w:rPr>
        <w:t>SmartPLS</w:t>
      </w:r>
      <w:r w:rsidRPr="00C65D2A">
        <w:rPr>
          <w:rFonts w:ascii="Garamond" w:hAnsi="Garamond"/>
          <w:color w:val="000000" w:themeColor="text1"/>
          <w:sz w:val="22"/>
          <w:szCs w:val="22"/>
        </w:rPr>
        <w:t xml:space="preserve"> to process and analyze the collected data.</w:t>
      </w:r>
    </w:p>
    <w:p w:rsidR="005127A1" w:rsidRPr="00C65D2A" w:rsidRDefault="005127A1" w:rsidP="005127A1">
      <w:pPr>
        <w:pStyle w:val="Heading4"/>
        <w:spacing w:before="0" w:after="0"/>
        <w:rPr>
          <w:rFonts w:ascii="Garamond" w:hAnsi="Garamond"/>
          <w:b/>
          <w:bCs/>
          <w:color w:val="000000" w:themeColor="text1"/>
          <w:sz w:val="22"/>
          <w:szCs w:val="22"/>
        </w:rPr>
      </w:pPr>
      <w:r w:rsidRPr="00C65D2A">
        <w:rPr>
          <w:rFonts w:ascii="Garamond" w:hAnsi="Garamond"/>
          <w:b/>
          <w:bCs/>
          <w:color w:val="000000" w:themeColor="text1"/>
          <w:sz w:val="22"/>
          <w:szCs w:val="22"/>
        </w:rPr>
        <w:t>1. Descriptive Statistical Analysis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Descriptive statistical analysis was employed to describe the characteristics of the respondents and to determine the levels of organizational communication climate and teacher performance. The analysis included the calculation of </w:t>
      </w:r>
      <w:r w:rsidRPr="00C65D2A">
        <w:rPr>
          <w:rStyle w:val="Strong"/>
          <w:rFonts w:ascii="Garamond" w:hAnsi="Garamond"/>
          <w:color w:val="000000" w:themeColor="text1"/>
          <w:sz w:val="22"/>
          <w:szCs w:val="22"/>
        </w:rPr>
        <w:t>mean scores</w:t>
      </w:r>
      <w:r w:rsidRPr="00C65D2A">
        <w:rPr>
          <w:rFonts w:ascii="Garamond" w:hAnsi="Garamond"/>
          <w:color w:val="000000" w:themeColor="text1"/>
          <w:sz w:val="22"/>
          <w:szCs w:val="22"/>
        </w:rPr>
        <w:t xml:space="preserve">, </w:t>
      </w:r>
      <w:r w:rsidRPr="00C65D2A">
        <w:rPr>
          <w:rStyle w:val="Strong"/>
          <w:rFonts w:ascii="Garamond" w:hAnsi="Garamond"/>
          <w:color w:val="000000" w:themeColor="text1"/>
          <w:sz w:val="22"/>
          <w:szCs w:val="22"/>
        </w:rPr>
        <w:t>percentages</w:t>
      </w:r>
      <w:r w:rsidRPr="00C65D2A">
        <w:rPr>
          <w:rFonts w:ascii="Garamond" w:hAnsi="Garamond"/>
          <w:color w:val="000000" w:themeColor="text1"/>
          <w:sz w:val="22"/>
          <w:szCs w:val="22"/>
        </w:rPr>
        <w:t xml:space="preserve">, </w:t>
      </w:r>
      <w:r w:rsidRPr="00C65D2A">
        <w:rPr>
          <w:rStyle w:val="Strong"/>
          <w:rFonts w:ascii="Garamond" w:hAnsi="Garamond"/>
          <w:color w:val="000000" w:themeColor="text1"/>
          <w:sz w:val="22"/>
          <w:szCs w:val="22"/>
        </w:rPr>
        <w:t>standard deviations</w:t>
      </w:r>
      <w:r w:rsidRPr="00C65D2A">
        <w:rPr>
          <w:rFonts w:ascii="Garamond" w:hAnsi="Garamond"/>
          <w:color w:val="000000" w:themeColor="text1"/>
          <w:sz w:val="22"/>
          <w:szCs w:val="22"/>
        </w:rPr>
        <w:t xml:space="preserve">, </w:t>
      </w:r>
      <w:r w:rsidRPr="00C65D2A">
        <w:rPr>
          <w:rStyle w:val="Strong"/>
          <w:rFonts w:ascii="Garamond" w:hAnsi="Garamond"/>
          <w:color w:val="000000" w:themeColor="text1"/>
          <w:sz w:val="22"/>
          <w:szCs w:val="22"/>
        </w:rPr>
        <w:t>minimum values</w:t>
      </w:r>
      <w:r w:rsidRPr="00C65D2A">
        <w:rPr>
          <w:rFonts w:ascii="Garamond" w:hAnsi="Garamond"/>
          <w:color w:val="000000" w:themeColor="text1"/>
          <w:sz w:val="22"/>
          <w:szCs w:val="22"/>
        </w:rPr>
        <w:t xml:space="preserve">, and </w:t>
      </w:r>
      <w:r w:rsidRPr="00C65D2A">
        <w:rPr>
          <w:rStyle w:val="Strong"/>
          <w:rFonts w:ascii="Garamond" w:hAnsi="Garamond"/>
          <w:color w:val="000000" w:themeColor="text1"/>
          <w:sz w:val="22"/>
          <w:szCs w:val="22"/>
        </w:rPr>
        <w:t>maximum values</w:t>
      </w:r>
      <w:r w:rsidRPr="00C65D2A">
        <w:rPr>
          <w:rFonts w:ascii="Garamond" w:hAnsi="Garamond"/>
          <w:color w:val="000000" w:themeColor="text1"/>
          <w:sz w:val="22"/>
          <w:szCs w:val="22"/>
        </w:rPr>
        <w:t xml:space="preserve"> (Sugiyono, 2023).</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Descriptive statistics provide an overview of the distribution of responses and help identify general trends related to the research variables. The results are presented in tables and narrative form to facilitate interpretation.</w:t>
      </w:r>
    </w:p>
    <w:p w:rsidR="005127A1" w:rsidRPr="00C65D2A" w:rsidRDefault="005127A1" w:rsidP="005127A1">
      <w:pPr>
        <w:pStyle w:val="Heading4"/>
        <w:spacing w:before="0" w:after="0"/>
        <w:rPr>
          <w:rFonts w:ascii="Garamond" w:hAnsi="Garamond"/>
          <w:b/>
          <w:bCs/>
          <w:color w:val="000000" w:themeColor="text1"/>
          <w:sz w:val="22"/>
          <w:szCs w:val="22"/>
        </w:rPr>
      </w:pPr>
      <w:r w:rsidRPr="00C65D2A">
        <w:rPr>
          <w:rFonts w:ascii="Garamond" w:hAnsi="Garamond"/>
          <w:b/>
          <w:bCs/>
          <w:color w:val="000000" w:themeColor="text1"/>
          <w:sz w:val="22"/>
          <w:szCs w:val="22"/>
        </w:rPr>
        <w:t>2. Assumption Testing</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Before conducting hypothesis testing, the data were subjected to several prerequisite tests to ensure compliance with statistical assumptions.</w:t>
      </w:r>
    </w:p>
    <w:p w:rsidR="005127A1" w:rsidRPr="00C65D2A" w:rsidRDefault="005127A1" w:rsidP="005127A1">
      <w:pPr>
        <w:pStyle w:val="Heading5"/>
        <w:spacing w:before="0" w:after="0"/>
        <w:rPr>
          <w:rFonts w:ascii="Garamond" w:hAnsi="Garamond"/>
          <w:b/>
          <w:bCs/>
          <w:color w:val="000000" w:themeColor="text1"/>
          <w:sz w:val="22"/>
          <w:szCs w:val="22"/>
        </w:rPr>
      </w:pPr>
      <w:r w:rsidRPr="00C65D2A">
        <w:rPr>
          <w:rFonts w:ascii="Garamond" w:hAnsi="Garamond"/>
          <w:b/>
          <w:bCs/>
          <w:color w:val="000000" w:themeColor="text1"/>
          <w:sz w:val="22"/>
          <w:szCs w:val="22"/>
        </w:rPr>
        <w:t>a. Normality Test</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normality test was performed to determine whether the data were normally distributed. This study employed either the </w:t>
      </w:r>
      <w:r w:rsidRPr="00C65D2A">
        <w:rPr>
          <w:rStyle w:val="Strong"/>
          <w:rFonts w:ascii="Garamond" w:hAnsi="Garamond"/>
          <w:color w:val="000000" w:themeColor="text1"/>
          <w:sz w:val="22"/>
          <w:szCs w:val="22"/>
        </w:rPr>
        <w:t>Kolmogorov–Smirnov test</w:t>
      </w:r>
      <w:r w:rsidRPr="00C65D2A">
        <w:rPr>
          <w:rFonts w:ascii="Garamond" w:hAnsi="Garamond"/>
          <w:color w:val="000000" w:themeColor="text1"/>
          <w:sz w:val="22"/>
          <w:szCs w:val="22"/>
        </w:rPr>
        <w:t xml:space="preserve"> or the </w:t>
      </w:r>
      <w:r w:rsidRPr="00C65D2A">
        <w:rPr>
          <w:rStyle w:val="Strong"/>
          <w:rFonts w:ascii="Garamond" w:hAnsi="Garamond"/>
          <w:color w:val="000000" w:themeColor="text1"/>
          <w:sz w:val="22"/>
          <w:szCs w:val="22"/>
        </w:rPr>
        <w:t>Shapiro–Wilk test</w:t>
      </w:r>
      <w:r w:rsidRPr="00C65D2A">
        <w:rPr>
          <w:rFonts w:ascii="Garamond" w:hAnsi="Garamond"/>
          <w:color w:val="000000" w:themeColor="text1"/>
          <w:sz w:val="22"/>
          <w:szCs w:val="22"/>
        </w:rPr>
        <w:t>, depending on the sample characteristics. Data were considered normally distributed if the significance value (</w:t>
      </w:r>
      <w:r w:rsidRPr="00C65D2A">
        <w:rPr>
          <w:rStyle w:val="Emphasis"/>
          <w:rFonts w:ascii="Garamond" w:hAnsi="Garamond"/>
          <w:color w:val="000000" w:themeColor="text1"/>
          <w:sz w:val="22"/>
          <w:szCs w:val="22"/>
        </w:rPr>
        <w:t>p-value</w:t>
      </w:r>
      <w:r w:rsidRPr="00C65D2A">
        <w:rPr>
          <w:rFonts w:ascii="Garamond" w:hAnsi="Garamond"/>
          <w:color w:val="000000" w:themeColor="text1"/>
          <w:sz w:val="22"/>
          <w:szCs w:val="22"/>
        </w:rPr>
        <w:t xml:space="preserve">) was greater than </w:t>
      </w:r>
      <w:r w:rsidRPr="00C65D2A">
        <w:rPr>
          <w:rStyle w:val="Strong"/>
          <w:rFonts w:ascii="Garamond" w:hAnsi="Garamond"/>
          <w:color w:val="000000" w:themeColor="text1"/>
          <w:sz w:val="22"/>
          <w:szCs w:val="22"/>
        </w:rPr>
        <w:t>0.05</w:t>
      </w:r>
      <w:r w:rsidRPr="00C65D2A">
        <w:rPr>
          <w:rFonts w:ascii="Garamond" w:hAnsi="Garamond"/>
          <w:color w:val="000000" w:themeColor="text1"/>
          <w:sz w:val="22"/>
          <w:szCs w:val="22"/>
        </w:rPr>
        <w:t xml:space="preserve"> (Ghozali, 2021).</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A normal distribution indicates that the data satisfy one of the fundamental assumptions required for parametric statistical analyses.</w:t>
      </w:r>
    </w:p>
    <w:p w:rsidR="005127A1" w:rsidRPr="00C65D2A" w:rsidRDefault="005127A1" w:rsidP="005127A1">
      <w:pPr>
        <w:pStyle w:val="Heading5"/>
        <w:spacing w:before="0" w:after="0"/>
        <w:rPr>
          <w:rFonts w:ascii="Garamond" w:hAnsi="Garamond"/>
          <w:b/>
          <w:bCs/>
          <w:color w:val="000000" w:themeColor="text1"/>
          <w:sz w:val="22"/>
          <w:szCs w:val="22"/>
        </w:rPr>
      </w:pPr>
      <w:r w:rsidRPr="00C65D2A">
        <w:rPr>
          <w:rFonts w:ascii="Garamond" w:hAnsi="Garamond"/>
          <w:b/>
          <w:bCs/>
          <w:color w:val="000000" w:themeColor="text1"/>
          <w:sz w:val="22"/>
          <w:szCs w:val="22"/>
        </w:rPr>
        <w:t>b. Linearity Test</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linearity test was conducted to verify whether the relationship between the independent variable (</w:t>
      </w:r>
      <w:r w:rsidRPr="00C65D2A">
        <w:rPr>
          <w:rStyle w:val="Strong"/>
          <w:rFonts w:ascii="Garamond" w:hAnsi="Garamond"/>
          <w:color w:val="000000" w:themeColor="text1"/>
          <w:sz w:val="22"/>
          <w:szCs w:val="22"/>
        </w:rPr>
        <w:t>organizational communication climate</w:t>
      </w:r>
      <w:r w:rsidRPr="00C65D2A">
        <w:rPr>
          <w:rFonts w:ascii="Garamond" w:hAnsi="Garamond"/>
          <w:color w:val="000000" w:themeColor="text1"/>
          <w:sz w:val="22"/>
          <w:szCs w:val="22"/>
        </w:rPr>
        <w:t>) and the dependent variable (</w:t>
      </w:r>
      <w:r w:rsidRPr="00C65D2A">
        <w:rPr>
          <w:rStyle w:val="Strong"/>
          <w:rFonts w:ascii="Garamond" w:hAnsi="Garamond"/>
          <w:color w:val="000000" w:themeColor="text1"/>
          <w:sz w:val="22"/>
          <w:szCs w:val="22"/>
        </w:rPr>
        <w:t>teacher performance</w:t>
      </w:r>
      <w:r w:rsidRPr="00C65D2A">
        <w:rPr>
          <w:rFonts w:ascii="Garamond" w:hAnsi="Garamond"/>
          <w:color w:val="000000" w:themeColor="text1"/>
          <w:sz w:val="22"/>
          <w:szCs w:val="22"/>
        </w:rPr>
        <w:t>) was linear. Establishing linearity is essential before applying correlation and regression analyses.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relationship between variables was considered linear if the significance value of </w:t>
      </w:r>
      <w:r w:rsidRPr="00C65D2A">
        <w:rPr>
          <w:rStyle w:val="Strong"/>
          <w:rFonts w:ascii="Garamond" w:hAnsi="Garamond"/>
          <w:color w:val="000000" w:themeColor="text1"/>
          <w:sz w:val="22"/>
          <w:szCs w:val="22"/>
        </w:rPr>
        <w:t>Deviation from Linearity</w:t>
      </w:r>
      <w:r w:rsidRPr="00C65D2A">
        <w:rPr>
          <w:rFonts w:ascii="Garamond" w:hAnsi="Garamond"/>
          <w:color w:val="000000" w:themeColor="text1"/>
          <w:sz w:val="22"/>
          <w:szCs w:val="22"/>
        </w:rPr>
        <w:t xml:space="preserve"> was greater than </w:t>
      </w:r>
      <w:r w:rsidRPr="00C65D2A">
        <w:rPr>
          <w:rStyle w:val="Strong"/>
          <w:rFonts w:ascii="Garamond" w:hAnsi="Garamond"/>
          <w:color w:val="000000" w:themeColor="text1"/>
          <w:sz w:val="22"/>
          <w:szCs w:val="22"/>
        </w:rPr>
        <w:t>0.05</w:t>
      </w:r>
      <w:r w:rsidRPr="00C65D2A">
        <w:rPr>
          <w:rFonts w:ascii="Garamond" w:hAnsi="Garamond"/>
          <w:color w:val="000000" w:themeColor="text1"/>
          <w:sz w:val="22"/>
          <w:szCs w:val="22"/>
        </w:rPr>
        <w:t xml:space="preserve"> (Field, 2018). A linear relationship indicates that changes in the independent variable are associated with proportional changes in the dependent variable, thereby supporting the use of linear regression analysis.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results of the normality and linearity tests serve as the basis for determining the appropriateness of subsequent inferential statistical procedures used to test the research hypothesis.</w:t>
      </w:r>
    </w:p>
    <w:p w:rsidR="005127A1" w:rsidRPr="00C65D2A" w:rsidRDefault="005127A1" w:rsidP="00422C11">
      <w:pPr>
        <w:pStyle w:val="NormalWeb"/>
        <w:numPr>
          <w:ilvl w:val="1"/>
          <w:numId w:val="11"/>
        </w:numPr>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Simple Linear Regression Analysis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To examine the influence of organizational communication climate on the performance of Islamic Religious Education (PAI) teachers, a simple linear regression analysis was employed. This statistical technique is used to determine the extent to which the independent variable affects the dependent variable and to predict changes in the dependent variable based on variations in the independent variable (Ghozali, 2021).</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simple linear regression model used in this study is presented as follows:</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Regression Model</w:t>
      </w:r>
    </w:p>
    <w:p w:rsidR="00B45E22" w:rsidRPr="00C65D2A" w:rsidRDefault="00B45E22" w:rsidP="005127A1">
      <w:pPr>
        <w:pStyle w:val="NormalWeb"/>
        <w:spacing w:before="0" w:beforeAutospacing="0" w:after="0" w:afterAutospacing="0"/>
        <w:jc w:val="both"/>
        <w:rPr>
          <w:rFonts w:ascii="Garamond" w:hAnsi="Garamond"/>
          <w:color w:val="000000" w:themeColor="text1"/>
          <w:sz w:val="22"/>
          <w:szCs w:val="22"/>
        </w:rPr>
      </w:pPr>
      <m:oMathPara>
        <m:oMathParaPr>
          <m:jc m:val="left"/>
        </m:oMathParaPr>
        <m:oMath>
          <m:r>
            <w:rPr>
              <w:rFonts w:ascii="Cambria Math" w:hAnsi="Cambria Math"/>
              <w:color w:val="000000" w:themeColor="text1"/>
              <w:sz w:val="22"/>
              <w:szCs w:val="22"/>
            </w:rPr>
            <w:lastRenderedPageBreak/>
            <m:t>Y=a+bX+e</m:t>
          </m:r>
        </m:oMath>
      </m:oMathPara>
    </w:p>
    <w:p w:rsidR="005127A1" w:rsidRPr="00C65D2A" w:rsidRDefault="005127A1" w:rsidP="005127A1">
      <w:pPr>
        <w:pStyle w:val="NormalWeb"/>
        <w:spacing w:before="0" w:beforeAutospacing="0" w:after="0" w:afterAutospacing="0"/>
        <w:jc w:val="both"/>
        <w:rPr>
          <w:rFonts w:ascii="Garamond" w:hAnsi="Garamond"/>
          <w:color w:val="000000" w:themeColor="text1"/>
          <w:sz w:val="22"/>
          <w:szCs w:val="22"/>
        </w:rPr>
      </w:pPr>
      <w:r w:rsidRPr="00C65D2A">
        <w:rPr>
          <w:rFonts w:ascii="Garamond" w:hAnsi="Garamond"/>
          <w:color w:val="000000" w:themeColor="text1"/>
          <w:sz w:val="22"/>
          <w:szCs w:val="22"/>
        </w:rPr>
        <w:t>Where:</w:t>
      </w:r>
    </w:p>
    <w:p w:rsidR="005127A1" w:rsidRPr="00C65D2A" w:rsidRDefault="005127A1" w:rsidP="005127A1">
      <w:pPr>
        <w:pStyle w:val="NormalWeb"/>
        <w:spacing w:before="0" w:beforeAutospacing="0" w:after="0" w:afterAutospacing="0"/>
        <w:ind w:left="360"/>
        <w:jc w:val="both"/>
        <w:rPr>
          <w:rFonts w:ascii="Garamond" w:hAnsi="Garamond"/>
          <w:color w:val="000000" w:themeColor="text1"/>
          <w:sz w:val="22"/>
          <w:szCs w:val="22"/>
        </w:rPr>
      </w:pPr>
      <w:r w:rsidRPr="00C65D2A">
        <w:rPr>
          <w:rFonts w:ascii="Garamond" w:hAnsi="Garamond"/>
          <w:b/>
          <w:bCs/>
          <w:color w:val="000000" w:themeColor="text1"/>
          <w:sz w:val="22"/>
          <w:szCs w:val="22"/>
        </w:rPr>
        <w:t>Y</w:t>
      </w:r>
      <w:r w:rsidRPr="00C65D2A">
        <w:rPr>
          <w:rFonts w:ascii="Garamond" w:hAnsi="Garamond"/>
          <w:color w:val="000000" w:themeColor="text1"/>
          <w:sz w:val="22"/>
          <w:szCs w:val="22"/>
        </w:rPr>
        <w:t xml:space="preserve"> = Performance of Islamic Religious Education (PAI) Teachers </w:t>
      </w:r>
    </w:p>
    <w:p w:rsidR="005127A1" w:rsidRPr="00C65D2A" w:rsidRDefault="005127A1" w:rsidP="005127A1">
      <w:pPr>
        <w:pStyle w:val="NormalWeb"/>
        <w:spacing w:before="0" w:beforeAutospacing="0" w:after="0" w:afterAutospacing="0"/>
        <w:ind w:left="360"/>
        <w:jc w:val="both"/>
        <w:rPr>
          <w:rFonts w:ascii="Garamond" w:hAnsi="Garamond"/>
          <w:color w:val="000000" w:themeColor="text1"/>
          <w:sz w:val="22"/>
          <w:szCs w:val="22"/>
        </w:rPr>
      </w:pPr>
      <w:r w:rsidRPr="00C65D2A">
        <w:rPr>
          <w:rFonts w:ascii="Garamond" w:hAnsi="Garamond"/>
          <w:b/>
          <w:bCs/>
          <w:color w:val="000000" w:themeColor="text1"/>
          <w:sz w:val="22"/>
          <w:szCs w:val="22"/>
        </w:rPr>
        <w:t>a</w:t>
      </w:r>
      <w:r w:rsidRPr="00C65D2A">
        <w:rPr>
          <w:rFonts w:ascii="Garamond" w:hAnsi="Garamond"/>
          <w:color w:val="000000" w:themeColor="text1"/>
          <w:sz w:val="22"/>
          <w:szCs w:val="22"/>
        </w:rPr>
        <w:t xml:space="preserve"> = Constant (intercept) </w:t>
      </w:r>
    </w:p>
    <w:p w:rsidR="005127A1" w:rsidRPr="00C65D2A" w:rsidRDefault="005127A1" w:rsidP="005127A1">
      <w:pPr>
        <w:pStyle w:val="NormalWeb"/>
        <w:spacing w:before="0" w:beforeAutospacing="0" w:after="0" w:afterAutospacing="0"/>
        <w:ind w:left="360"/>
        <w:jc w:val="both"/>
        <w:rPr>
          <w:rFonts w:ascii="Garamond" w:hAnsi="Garamond"/>
          <w:color w:val="000000" w:themeColor="text1"/>
          <w:sz w:val="22"/>
          <w:szCs w:val="22"/>
        </w:rPr>
      </w:pPr>
      <w:r w:rsidRPr="00C65D2A">
        <w:rPr>
          <w:rFonts w:ascii="Garamond" w:hAnsi="Garamond"/>
          <w:b/>
          <w:bCs/>
          <w:color w:val="000000" w:themeColor="text1"/>
          <w:sz w:val="22"/>
          <w:szCs w:val="22"/>
        </w:rPr>
        <w:t>b</w:t>
      </w:r>
      <w:r w:rsidRPr="00C65D2A">
        <w:rPr>
          <w:rFonts w:ascii="Garamond" w:hAnsi="Garamond"/>
          <w:color w:val="000000" w:themeColor="text1"/>
          <w:sz w:val="22"/>
          <w:szCs w:val="22"/>
        </w:rPr>
        <w:t xml:space="preserve"> = Regression coefficient </w:t>
      </w:r>
    </w:p>
    <w:p w:rsidR="005127A1" w:rsidRPr="00C65D2A" w:rsidRDefault="005127A1" w:rsidP="005127A1">
      <w:pPr>
        <w:pStyle w:val="NormalWeb"/>
        <w:spacing w:before="0" w:beforeAutospacing="0" w:after="0" w:afterAutospacing="0"/>
        <w:ind w:left="360"/>
        <w:jc w:val="both"/>
        <w:rPr>
          <w:rFonts w:ascii="Garamond" w:hAnsi="Garamond"/>
          <w:color w:val="000000" w:themeColor="text1"/>
          <w:sz w:val="22"/>
          <w:szCs w:val="22"/>
        </w:rPr>
      </w:pPr>
      <w:r w:rsidRPr="00C65D2A">
        <w:rPr>
          <w:rFonts w:ascii="Garamond" w:hAnsi="Garamond"/>
          <w:b/>
          <w:bCs/>
          <w:color w:val="000000" w:themeColor="text1"/>
          <w:sz w:val="22"/>
          <w:szCs w:val="22"/>
        </w:rPr>
        <w:t>X</w:t>
      </w:r>
      <w:r w:rsidRPr="00C65D2A">
        <w:rPr>
          <w:rFonts w:ascii="Garamond" w:hAnsi="Garamond"/>
          <w:color w:val="000000" w:themeColor="text1"/>
          <w:sz w:val="22"/>
          <w:szCs w:val="22"/>
        </w:rPr>
        <w:t xml:space="preserve"> = Organizational Communication Climate </w:t>
      </w:r>
    </w:p>
    <w:p w:rsidR="005127A1" w:rsidRPr="00C65D2A" w:rsidRDefault="005127A1" w:rsidP="005127A1">
      <w:pPr>
        <w:pStyle w:val="NormalWeb"/>
        <w:spacing w:before="0" w:beforeAutospacing="0" w:after="0" w:afterAutospacing="0"/>
        <w:ind w:left="360"/>
        <w:jc w:val="both"/>
        <w:rPr>
          <w:rFonts w:ascii="Garamond" w:hAnsi="Garamond"/>
          <w:color w:val="000000" w:themeColor="text1"/>
          <w:sz w:val="22"/>
          <w:szCs w:val="22"/>
        </w:rPr>
      </w:pPr>
      <w:r w:rsidRPr="00C65D2A">
        <w:rPr>
          <w:rFonts w:ascii="Garamond" w:hAnsi="Garamond"/>
          <w:b/>
          <w:bCs/>
          <w:color w:val="000000" w:themeColor="text1"/>
          <w:sz w:val="22"/>
          <w:szCs w:val="22"/>
        </w:rPr>
        <w:t>e</w:t>
      </w:r>
      <w:r w:rsidRPr="00C65D2A">
        <w:rPr>
          <w:rFonts w:ascii="Garamond" w:hAnsi="Garamond"/>
          <w:color w:val="000000" w:themeColor="text1"/>
          <w:sz w:val="22"/>
          <w:szCs w:val="22"/>
        </w:rPr>
        <w:t xml:space="preserve"> = Error term (residual)</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regression coefficient (</w:t>
      </w:r>
      <w:r w:rsidRPr="00C65D2A">
        <w:rPr>
          <w:rFonts w:ascii="Garamond" w:hAnsi="Garamond"/>
          <w:b/>
          <w:bCs/>
          <w:color w:val="000000" w:themeColor="text1"/>
          <w:sz w:val="22"/>
          <w:szCs w:val="22"/>
        </w:rPr>
        <w:t>b</w:t>
      </w:r>
      <w:r w:rsidRPr="00C65D2A">
        <w:rPr>
          <w:rFonts w:ascii="Garamond" w:hAnsi="Garamond"/>
          <w:color w:val="000000" w:themeColor="text1"/>
          <w:sz w:val="22"/>
          <w:szCs w:val="22"/>
        </w:rPr>
        <w:t>) indicates the direction and magnitude of the influence of organizational communication climate on teacher performance. A positive coefficient signifies that an improvement in organizational communication climate is associated with an increase in teacher performance, whereas a negative coefficient indicates the opposite relationship.</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significance of the regression model was assessed using the </w:t>
      </w:r>
      <w:r w:rsidRPr="00C65D2A">
        <w:rPr>
          <w:rFonts w:ascii="Garamond" w:hAnsi="Garamond"/>
          <w:b/>
          <w:bCs/>
          <w:color w:val="000000" w:themeColor="text1"/>
          <w:sz w:val="22"/>
          <w:szCs w:val="22"/>
        </w:rPr>
        <w:t>t-test</w:t>
      </w:r>
      <w:r w:rsidRPr="00C65D2A">
        <w:rPr>
          <w:rFonts w:ascii="Garamond" w:hAnsi="Garamond"/>
          <w:color w:val="000000" w:themeColor="text1"/>
          <w:sz w:val="22"/>
          <w:szCs w:val="22"/>
        </w:rPr>
        <w:t>. The research hypothesis was accepted if the significance value (</w:t>
      </w:r>
      <w:r w:rsidRPr="00C65D2A">
        <w:rPr>
          <w:rFonts w:ascii="Garamond" w:hAnsi="Garamond"/>
          <w:i/>
          <w:iCs/>
          <w:color w:val="000000" w:themeColor="text1"/>
          <w:sz w:val="22"/>
          <w:szCs w:val="22"/>
        </w:rPr>
        <w:t>p-value</w:t>
      </w:r>
      <w:r w:rsidRPr="00C65D2A">
        <w:rPr>
          <w:rFonts w:ascii="Garamond" w:hAnsi="Garamond"/>
          <w:color w:val="000000" w:themeColor="text1"/>
          <w:sz w:val="22"/>
          <w:szCs w:val="22"/>
        </w:rPr>
        <w:t xml:space="preserve">) was less than </w:t>
      </w:r>
      <w:r w:rsidRPr="00C65D2A">
        <w:rPr>
          <w:rFonts w:ascii="Garamond" w:hAnsi="Garamond"/>
          <w:b/>
          <w:bCs/>
          <w:color w:val="000000" w:themeColor="text1"/>
          <w:sz w:val="22"/>
          <w:szCs w:val="22"/>
        </w:rPr>
        <w:t>0.05</w:t>
      </w:r>
      <w:r w:rsidRPr="00C65D2A">
        <w:rPr>
          <w:rFonts w:ascii="Garamond" w:hAnsi="Garamond"/>
          <w:color w:val="000000" w:themeColor="text1"/>
          <w:sz w:val="22"/>
          <w:szCs w:val="22"/>
        </w:rPr>
        <w:t>, indicating that organizational communication climate has a statistically significant effect on the performance of Islamic Religious Education teachers (Field, 2018).</w:t>
      </w:r>
    </w:p>
    <w:p w:rsidR="005127A1" w:rsidRPr="00C65D2A" w:rsidRDefault="005127A1" w:rsidP="005127A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In addition, the </w:t>
      </w:r>
      <w:r w:rsidRPr="00C65D2A">
        <w:rPr>
          <w:rFonts w:ascii="Garamond" w:hAnsi="Garamond"/>
          <w:b/>
          <w:bCs/>
          <w:color w:val="000000" w:themeColor="text1"/>
          <w:sz w:val="22"/>
          <w:szCs w:val="22"/>
        </w:rPr>
        <w:t>coefficient of determination (R²)</w:t>
      </w:r>
      <w:r w:rsidRPr="00C65D2A">
        <w:rPr>
          <w:rFonts w:ascii="Garamond" w:hAnsi="Garamond"/>
          <w:color w:val="000000" w:themeColor="text1"/>
          <w:sz w:val="22"/>
          <w:szCs w:val="22"/>
        </w:rPr>
        <w:t xml:space="preserve"> was calculated to measure the proportion of variance in teacher performance that could be explained by organizational communication climate. A higher R² value indicates a greater explanatory power of the independent variable in predicting the dependent variable.</w:t>
      </w:r>
    </w:p>
    <w:p w:rsidR="00B45E22" w:rsidRPr="00C65D2A" w:rsidRDefault="005127A1" w:rsidP="00B45E22">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b/>
          <w:bCs/>
          <w:color w:val="000000" w:themeColor="text1"/>
          <w:sz w:val="22"/>
          <w:szCs w:val="22"/>
          <w:lang w:val="en-US"/>
        </w:rPr>
        <w:t>Simple linear regression analysis</w:t>
      </w:r>
      <w:r w:rsidRPr="00C65D2A">
        <w:rPr>
          <w:rFonts w:ascii="Garamond" w:hAnsi="Garamond"/>
          <w:color w:val="000000" w:themeColor="text1"/>
          <w:sz w:val="22"/>
          <w:szCs w:val="22"/>
          <w:lang w:val="en-US"/>
        </w:rPr>
        <w:t xml:space="preserve"> was employed to determine both the </w:t>
      </w:r>
      <w:r w:rsidRPr="00C65D2A">
        <w:rPr>
          <w:rFonts w:ascii="Garamond" w:hAnsi="Garamond"/>
          <w:b/>
          <w:bCs/>
          <w:color w:val="000000" w:themeColor="text1"/>
          <w:sz w:val="22"/>
          <w:szCs w:val="22"/>
          <w:lang w:val="en-US"/>
        </w:rPr>
        <w:t>direction</w:t>
      </w:r>
      <w:r w:rsidRPr="00C65D2A">
        <w:rPr>
          <w:rFonts w:ascii="Garamond" w:hAnsi="Garamond"/>
          <w:color w:val="000000" w:themeColor="text1"/>
          <w:sz w:val="22"/>
          <w:szCs w:val="22"/>
          <w:lang w:val="en-US"/>
        </w:rPr>
        <w:t xml:space="preserve"> and the </w:t>
      </w:r>
      <w:r w:rsidRPr="00C65D2A">
        <w:rPr>
          <w:rFonts w:ascii="Garamond" w:hAnsi="Garamond"/>
          <w:b/>
          <w:bCs/>
          <w:color w:val="000000" w:themeColor="text1"/>
          <w:sz w:val="22"/>
          <w:szCs w:val="22"/>
          <w:lang w:val="en-US"/>
        </w:rPr>
        <w:t>magnitude of the influence</w:t>
      </w:r>
      <w:r w:rsidRPr="00C65D2A">
        <w:rPr>
          <w:rFonts w:ascii="Garamond" w:hAnsi="Garamond"/>
          <w:color w:val="000000" w:themeColor="text1"/>
          <w:sz w:val="22"/>
          <w:szCs w:val="22"/>
          <w:lang w:val="en-US"/>
        </w:rPr>
        <w:t xml:space="preserve"> of the independent variable on the dependent variable (Ghozali, 2021).</w:t>
      </w:r>
    </w:p>
    <w:p w:rsidR="00422C11" w:rsidRPr="00C65D2A" w:rsidRDefault="00422C11" w:rsidP="00422C11">
      <w:pPr>
        <w:pStyle w:val="NormalWeb"/>
        <w:numPr>
          <w:ilvl w:val="0"/>
          <w:numId w:val="4"/>
        </w:numPr>
        <w:tabs>
          <w:tab w:val="clear" w:pos="720"/>
        </w:tabs>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Hypothesis Testing (t-Test)</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t-test was employed to determine the significance of the influence of organizational communication climate on the performance of Islamic Religious Education (PAI) teachers. According to Ghozali (2021), a hypothesis is accepted when the significance value (</w:t>
      </w:r>
      <w:r w:rsidRPr="00C65D2A">
        <w:rPr>
          <w:rFonts w:ascii="Garamond" w:hAnsi="Garamond"/>
          <w:i/>
          <w:iCs/>
          <w:color w:val="000000" w:themeColor="text1"/>
          <w:sz w:val="22"/>
          <w:szCs w:val="22"/>
        </w:rPr>
        <w:t>p-value</w:t>
      </w:r>
      <w:r w:rsidRPr="00C65D2A">
        <w:rPr>
          <w:rFonts w:ascii="Garamond" w:hAnsi="Garamond"/>
          <w:color w:val="000000" w:themeColor="text1"/>
          <w:sz w:val="22"/>
          <w:szCs w:val="22"/>
        </w:rPr>
        <w:t>) is less than 0.05, indicating that the independent variable has a statistically significant effect on the dependent variable.</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In this study, the t-test was used to examine whether organizational communication climate significantly affects the performance of Islamic Religious Education teachers in public junior high schools in Padang Lawas Regency.</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Decision-Making Criteria</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criteria for hypothesis testing are as follows:</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If the significance value (</w:t>
      </w:r>
      <w:r w:rsidRPr="00C65D2A">
        <w:rPr>
          <w:rFonts w:ascii="Garamond" w:hAnsi="Garamond"/>
          <w:i/>
          <w:iCs/>
          <w:color w:val="000000" w:themeColor="text1"/>
          <w:sz w:val="22"/>
          <w:szCs w:val="22"/>
        </w:rPr>
        <w:t>p-value</w:t>
      </w:r>
      <w:r w:rsidRPr="00C65D2A">
        <w:rPr>
          <w:rFonts w:ascii="Garamond" w:hAnsi="Garamond"/>
          <w:color w:val="000000" w:themeColor="text1"/>
          <w:sz w:val="22"/>
          <w:szCs w:val="22"/>
        </w:rPr>
        <w:t>) is less than 0.05 (</w:t>
      </w:r>
      <w:r w:rsidRPr="00C65D2A">
        <w:rPr>
          <w:rFonts w:ascii="Garamond" w:hAnsi="Garamond"/>
          <w:i/>
          <w:iCs/>
          <w:color w:val="000000" w:themeColor="text1"/>
          <w:sz w:val="22"/>
          <w:szCs w:val="22"/>
        </w:rPr>
        <w:t>p</w:t>
      </w:r>
      <w:r w:rsidRPr="00C65D2A">
        <w:rPr>
          <w:rFonts w:ascii="Garamond" w:hAnsi="Garamond"/>
          <w:color w:val="000000" w:themeColor="text1"/>
          <w:sz w:val="22"/>
          <w:szCs w:val="22"/>
        </w:rPr>
        <w:t xml:space="preserve"> &lt; 0.05), H</w:t>
      </w:r>
      <w:r w:rsidRPr="00C65D2A">
        <w:rPr>
          <w:rFonts w:ascii="Cambria Math" w:hAnsi="Cambria Math" w:cs="Cambria Math"/>
          <w:color w:val="000000" w:themeColor="text1"/>
          <w:sz w:val="22"/>
          <w:szCs w:val="22"/>
        </w:rPr>
        <w:t>₀</w:t>
      </w:r>
      <w:r w:rsidRPr="00C65D2A">
        <w:rPr>
          <w:rFonts w:ascii="Garamond" w:hAnsi="Garamond"/>
          <w:color w:val="000000" w:themeColor="text1"/>
          <w:sz w:val="22"/>
          <w:szCs w:val="22"/>
        </w:rPr>
        <w:t xml:space="preserve"> is rejected and H</w:t>
      </w:r>
      <w:r w:rsidRPr="00C65D2A">
        <w:rPr>
          <w:rFonts w:ascii="Cambria Math" w:hAnsi="Cambria Math" w:cs="Cambria Math"/>
          <w:color w:val="000000" w:themeColor="text1"/>
          <w:sz w:val="22"/>
          <w:szCs w:val="22"/>
        </w:rPr>
        <w:t>₁</w:t>
      </w:r>
      <w:r w:rsidRPr="00C65D2A">
        <w:rPr>
          <w:rFonts w:ascii="Garamond" w:hAnsi="Garamond"/>
          <w:color w:val="000000" w:themeColor="text1"/>
          <w:sz w:val="22"/>
          <w:szCs w:val="22"/>
        </w:rPr>
        <w:t xml:space="preserve"> is accepted. This result indicates that organizational communication climate has a significant effect on the performance of Islamic Religious Education teachers.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If the significance value (</w:t>
      </w:r>
      <w:r w:rsidRPr="00C65D2A">
        <w:rPr>
          <w:rFonts w:ascii="Garamond" w:hAnsi="Garamond"/>
          <w:i/>
          <w:iCs/>
          <w:color w:val="000000" w:themeColor="text1"/>
          <w:sz w:val="22"/>
          <w:szCs w:val="22"/>
        </w:rPr>
        <w:t>p-value</w:t>
      </w:r>
      <w:r w:rsidRPr="00C65D2A">
        <w:rPr>
          <w:rFonts w:ascii="Garamond" w:hAnsi="Garamond"/>
          <w:color w:val="000000" w:themeColor="text1"/>
          <w:sz w:val="22"/>
          <w:szCs w:val="22"/>
        </w:rPr>
        <w:t>) is greater than 0.05 (</w:t>
      </w:r>
      <w:r w:rsidRPr="00C65D2A">
        <w:rPr>
          <w:rFonts w:ascii="Garamond" w:hAnsi="Garamond"/>
          <w:i/>
          <w:iCs/>
          <w:color w:val="000000" w:themeColor="text1"/>
          <w:sz w:val="22"/>
          <w:szCs w:val="22"/>
        </w:rPr>
        <w:t>p</w:t>
      </w:r>
      <w:r w:rsidRPr="00C65D2A">
        <w:rPr>
          <w:rFonts w:ascii="Garamond" w:hAnsi="Garamond"/>
          <w:color w:val="000000" w:themeColor="text1"/>
          <w:sz w:val="22"/>
          <w:szCs w:val="22"/>
        </w:rPr>
        <w:t xml:space="preserve"> &gt; 0.05), H</w:t>
      </w:r>
      <w:r w:rsidRPr="00C65D2A">
        <w:rPr>
          <w:rFonts w:ascii="Cambria Math" w:hAnsi="Cambria Math" w:cs="Cambria Math"/>
          <w:color w:val="000000" w:themeColor="text1"/>
          <w:sz w:val="22"/>
          <w:szCs w:val="22"/>
        </w:rPr>
        <w:t>₀</w:t>
      </w:r>
      <w:r w:rsidRPr="00C65D2A">
        <w:rPr>
          <w:rFonts w:ascii="Garamond" w:hAnsi="Garamond"/>
          <w:color w:val="000000" w:themeColor="text1"/>
          <w:sz w:val="22"/>
          <w:szCs w:val="22"/>
        </w:rPr>
        <w:t xml:space="preserve"> is accepted and H</w:t>
      </w:r>
      <w:r w:rsidRPr="00C65D2A">
        <w:rPr>
          <w:rFonts w:ascii="Cambria Math" w:hAnsi="Cambria Math" w:cs="Cambria Math"/>
          <w:color w:val="000000" w:themeColor="text1"/>
          <w:sz w:val="22"/>
          <w:szCs w:val="22"/>
        </w:rPr>
        <w:t>₁</w:t>
      </w:r>
      <w:r w:rsidRPr="00C65D2A">
        <w:rPr>
          <w:rFonts w:ascii="Garamond" w:hAnsi="Garamond"/>
          <w:color w:val="000000" w:themeColor="text1"/>
          <w:sz w:val="22"/>
          <w:szCs w:val="22"/>
        </w:rPr>
        <w:t xml:space="preserve"> is rejected. This result indicates that organizational communication climate does not have a significant effect on the performance of Islamic Religious Education teachers.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Research Hypotheses</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H</w:t>
      </w:r>
      <w:r w:rsidRPr="00C65D2A">
        <w:rPr>
          <w:rFonts w:ascii="Cambria Math" w:hAnsi="Cambria Math" w:cs="Cambria Math"/>
          <w:color w:val="000000" w:themeColor="text1"/>
          <w:sz w:val="22"/>
          <w:szCs w:val="22"/>
        </w:rPr>
        <w:t>₀</w:t>
      </w:r>
      <w:r w:rsidRPr="00C65D2A">
        <w:rPr>
          <w:rFonts w:ascii="Garamond" w:hAnsi="Garamond"/>
          <w:color w:val="000000" w:themeColor="text1"/>
          <w:sz w:val="22"/>
          <w:szCs w:val="22"/>
        </w:rPr>
        <w:t xml:space="preserve"> (Null Hypothesis): Organizational communication climate has no significant effect on the performance of Islamic Religious Education teachers.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H</w:t>
      </w:r>
      <w:r w:rsidRPr="00C65D2A">
        <w:rPr>
          <w:rFonts w:ascii="Cambria Math" w:hAnsi="Cambria Math" w:cs="Cambria Math"/>
          <w:color w:val="000000" w:themeColor="text1"/>
          <w:sz w:val="22"/>
          <w:szCs w:val="22"/>
        </w:rPr>
        <w:t>₁</w:t>
      </w:r>
      <w:r w:rsidRPr="00C65D2A">
        <w:rPr>
          <w:rFonts w:ascii="Garamond" w:hAnsi="Garamond"/>
          <w:color w:val="000000" w:themeColor="text1"/>
          <w:sz w:val="22"/>
          <w:szCs w:val="22"/>
        </w:rPr>
        <w:t xml:space="preserve"> (Alternative Hypothesis): Organizational communication climate has a significant positive effect on the performance of Islamic Religious Education teachers.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results of the t-test provide empirical evidence regarding whether organizational communication climate contributes significantly to improving teacher performance and support the acceptance or rejection of the proposed research hypothesis.</w:t>
      </w:r>
    </w:p>
    <w:p w:rsidR="00422C11" w:rsidRPr="00C65D2A" w:rsidRDefault="00422C11" w:rsidP="00422C11">
      <w:pPr>
        <w:pStyle w:val="NormalWeb"/>
        <w:numPr>
          <w:ilvl w:val="0"/>
          <w:numId w:val="4"/>
        </w:numPr>
        <w:tabs>
          <w:tab w:val="clear" w:pos="720"/>
        </w:tabs>
        <w:spacing w:before="0" w:beforeAutospacing="0" w:after="0" w:afterAutospacing="0"/>
        <w:ind w:left="284" w:hanging="284"/>
        <w:jc w:val="both"/>
        <w:rPr>
          <w:rFonts w:ascii="Garamond" w:hAnsi="Garamond"/>
          <w:b/>
          <w:bCs/>
          <w:color w:val="000000" w:themeColor="text1"/>
          <w:sz w:val="22"/>
          <w:szCs w:val="22"/>
        </w:rPr>
      </w:pPr>
      <w:r w:rsidRPr="00C65D2A">
        <w:rPr>
          <w:rFonts w:ascii="Garamond" w:hAnsi="Garamond"/>
          <w:b/>
          <w:bCs/>
          <w:color w:val="000000" w:themeColor="text1"/>
          <w:sz w:val="22"/>
          <w:szCs w:val="22"/>
        </w:rPr>
        <w:t>Coefficient of Determination (R²)</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w:t>
      </w:r>
      <w:r w:rsidRPr="00C65D2A">
        <w:rPr>
          <w:rStyle w:val="Strong"/>
          <w:rFonts w:ascii="Garamond" w:hAnsi="Garamond"/>
          <w:color w:val="000000" w:themeColor="text1"/>
          <w:sz w:val="22"/>
          <w:szCs w:val="22"/>
        </w:rPr>
        <w:t>coefficient of determination (R²)</w:t>
      </w:r>
      <w:r w:rsidRPr="00C65D2A">
        <w:rPr>
          <w:rFonts w:ascii="Garamond" w:hAnsi="Garamond"/>
          <w:color w:val="000000" w:themeColor="text1"/>
          <w:sz w:val="22"/>
          <w:szCs w:val="22"/>
        </w:rPr>
        <w:t xml:space="preserve"> was used to determine the extent to which </w:t>
      </w:r>
      <w:r w:rsidRPr="00C65D2A">
        <w:rPr>
          <w:rStyle w:val="Strong"/>
          <w:rFonts w:ascii="Garamond" w:hAnsi="Garamond"/>
          <w:color w:val="000000" w:themeColor="text1"/>
          <w:sz w:val="22"/>
          <w:szCs w:val="22"/>
        </w:rPr>
        <w:t>organizational communication climate</w:t>
      </w:r>
      <w:r w:rsidRPr="00C65D2A">
        <w:rPr>
          <w:rFonts w:ascii="Garamond" w:hAnsi="Garamond"/>
          <w:color w:val="000000" w:themeColor="text1"/>
          <w:sz w:val="22"/>
          <w:szCs w:val="22"/>
        </w:rPr>
        <w:t xml:space="preserve"> contributes to explaining variations in the </w:t>
      </w:r>
      <w:r w:rsidRPr="00C65D2A">
        <w:rPr>
          <w:rStyle w:val="Strong"/>
          <w:rFonts w:ascii="Garamond" w:hAnsi="Garamond"/>
          <w:color w:val="000000" w:themeColor="text1"/>
          <w:sz w:val="22"/>
          <w:szCs w:val="22"/>
        </w:rPr>
        <w:t>performance of Islamic Religious Education (PAI) teachers</w:t>
      </w:r>
      <w:r w:rsidRPr="00C65D2A">
        <w:rPr>
          <w:rFonts w:ascii="Garamond" w:hAnsi="Garamond"/>
          <w:color w:val="000000" w:themeColor="text1"/>
          <w:sz w:val="22"/>
          <w:szCs w:val="22"/>
        </w:rPr>
        <w:t xml:space="preserve">. The coefficient of determination indicates the proportion of variance in the dependent variable that can be explained by the independent variable included in the regression model.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formula for the coefficient of determination is as follows:</w:t>
      </w:r>
    </w:p>
    <w:p w:rsidR="00B45E22" w:rsidRPr="00C65D2A" w:rsidRDefault="00B45E22" w:rsidP="00B45E22">
      <w:pPr>
        <w:pStyle w:val="NormalWeb"/>
        <w:spacing w:before="0" w:beforeAutospacing="0" w:after="0" w:afterAutospacing="0"/>
        <w:jc w:val="both"/>
        <w:rPr>
          <w:rFonts w:ascii="Garamond" w:hAnsi="Garamond"/>
          <w:color w:val="000000" w:themeColor="text1"/>
          <w:sz w:val="22"/>
          <w:szCs w:val="22"/>
        </w:rPr>
      </w:pPr>
      <m:oMathPara>
        <m:oMath>
          <m:r>
            <w:rPr>
              <w:rFonts w:ascii="Cambria Math" w:hAnsi="Cambria Math"/>
              <w:color w:val="000000" w:themeColor="text1"/>
              <w:sz w:val="22"/>
              <w:szCs w:val="22"/>
            </w:rPr>
            <m:t>KD=</m:t>
          </m:r>
          <m:sSup>
            <m:sSupPr>
              <m:ctrlPr>
                <w:rPr>
                  <w:rFonts w:ascii="Cambria Math" w:hAnsi="Cambria Math"/>
                  <w:color w:val="000000" w:themeColor="text1"/>
                  <w:sz w:val="22"/>
                </w:rPr>
              </m:ctrlPr>
            </m:sSupPr>
            <m:e>
              <m:r>
                <w:rPr>
                  <w:rFonts w:ascii="Cambria Math" w:hAnsi="Cambria Math"/>
                  <w:color w:val="000000" w:themeColor="text1"/>
                  <w:sz w:val="22"/>
                  <w:szCs w:val="22"/>
                </w:rPr>
                <m:t>r</m:t>
              </m:r>
            </m:e>
            <m:sup>
              <m:r>
                <w:rPr>
                  <w:rFonts w:ascii="Cambria Math" w:hAnsi="Cambria Math"/>
                  <w:color w:val="000000" w:themeColor="text1"/>
                  <w:sz w:val="22"/>
                  <w:szCs w:val="22"/>
                </w:rPr>
                <m:t>2</m:t>
              </m:r>
            </m:sup>
          </m:sSup>
          <m:r>
            <w:rPr>
              <w:rFonts w:ascii="Cambria Math" w:hAnsi="Cambria Math"/>
              <w:color w:val="000000" w:themeColor="text1"/>
              <w:sz w:val="22"/>
              <w:szCs w:val="22"/>
            </w:rPr>
            <m:t>×100</m:t>
          </m:r>
          <m:r>
            <m:rPr>
              <m:sty m:val="p"/>
            </m:rPr>
            <w:rPr>
              <w:rFonts w:ascii="Cambria Math" w:hAnsi="Cambria Math"/>
              <w:color w:val="000000" w:themeColor="text1"/>
              <w:sz w:val="22"/>
              <w:szCs w:val="22"/>
            </w:rPr>
            <m:t>%</m:t>
          </m:r>
        </m:oMath>
      </m:oMathPara>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Where:</w:t>
      </w:r>
    </w:p>
    <w:p w:rsidR="00422C11" w:rsidRPr="00C65D2A" w:rsidRDefault="00422C11" w:rsidP="00422C11">
      <w:pPr>
        <w:pStyle w:val="NormalWeb"/>
        <w:spacing w:before="0" w:beforeAutospacing="0" w:after="0" w:afterAutospacing="0"/>
        <w:jc w:val="both"/>
        <w:rPr>
          <w:rFonts w:ascii="Garamond" w:hAnsi="Garamond"/>
          <w:color w:val="000000" w:themeColor="text1"/>
          <w:sz w:val="22"/>
          <w:szCs w:val="22"/>
        </w:rPr>
      </w:pPr>
      <w:r w:rsidRPr="00C65D2A">
        <w:rPr>
          <w:rFonts w:ascii="Garamond" w:hAnsi="Garamond"/>
          <w:b/>
          <w:bCs/>
          <w:color w:val="000000" w:themeColor="text1"/>
          <w:sz w:val="22"/>
          <w:szCs w:val="22"/>
        </w:rPr>
        <w:t>KD</w:t>
      </w:r>
      <w:r w:rsidRPr="00C65D2A">
        <w:rPr>
          <w:rFonts w:ascii="Garamond" w:hAnsi="Garamond"/>
          <w:color w:val="000000" w:themeColor="text1"/>
          <w:sz w:val="22"/>
          <w:szCs w:val="22"/>
        </w:rPr>
        <w:t xml:space="preserve"> = Coefficient of Determination </w:t>
      </w:r>
    </w:p>
    <w:p w:rsidR="00422C11" w:rsidRPr="00C65D2A" w:rsidRDefault="00422C11" w:rsidP="00422C11">
      <w:pPr>
        <w:pStyle w:val="NormalWeb"/>
        <w:spacing w:before="0" w:beforeAutospacing="0" w:after="0" w:afterAutospacing="0"/>
        <w:jc w:val="both"/>
        <w:rPr>
          <w:rFonts w:ascii="Garamond" w:hAnsi="Garamond"/>
          <w:color w:val="000000" w:themeColor="text1"/>
          <w:sz w:val="22"/>
          <w:szCs w:val="22"/>
        </w:rPr>
      </w:pPr>
      <w:r w:rsidRPr="00C65D2A">
        <w:rPr>
          <w:rFonts w:ascii="Garamond" w:hAnsi="Garamond"/>
          <w:b/>
          <w:bCs/>
          <w:color w:val="000000" w:themeColor="text1"/>
          <w:sz w:val="22"/>
          <w:szCs w:val="22"/>
        </w:rPr>
        <w:t>r²</w:t>
      </w:r>
      <w:r w:rsidRPr="00C65D2A">
        <w:rPr>
          <w:rFonts w:ascii="Garamond" w:hAnsi="Garamond"/>
          <w:color w:val="000000" w:themeColor="text1"/>
          <w:sz w:val="22"/>
          <w:szCs w:val="22"/>
        </w:rPr>
        <w:t xml:space="preserve"> = Coefficient of correlation squared </w:t>
      </w:r>
    </w:p>
    <w:p w:rsidR="00422C11" w:rsidRPr="00C65D2A" w:rsidRDefault="00422C11" w:rsidP="00422C11">
      <w:pPr>
        <w:pStyle w:val="NormalWeb"/>
        <w:spacing w:before="0" w:beforeAutospacing="0" w:after="0" w:afterAutospacing="0"/>
        <w:jc w:val="both"/>
        <w:rPr>
          <w:rFonts w:ascii="Garamond" w:hAnsi="Garamond"/>
          <w:color w:val="000000" w:themeColor="text1"/>
          <w:sz w:val="22"/>
          <w:szCs w:val="22"/>
        </w:rPr>
      </w:pPr>
      <w:r w:rsidRPr="00C65D2A">
        <w:rPr>
          <w:rFonts w:ascii="Garamond" w:hAnsi="Garamond"/>
          <w:b/>
          <w:bCs/>
          <w:color w:val="000000" w:themeColor="text1"/>
          <w:sz w:val="22"/>
          <w:szCs w:val="22"/>
        </w:rPr>
        <w:t>100%</w:t>
      </w:r>
      <w:r w:rsidRPr="00C65D2A">
        <w:rPr>
          <w:rFonts w:ascii="Garamond" w:hAnsi="Garamond"/>
          <w:color w:val="000000" w:themeColor="text1"/>
          <w:sz w:val="22"/>
          <w:szCs w:val="22"/>
        </w:rPr>
        <w:t xml:space="preserve"> = Percentage value </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The coefficient of determination is expressed as a percentage and indicates how much of the variation in teacher performance can be explained by organizational communication climate. For example, an R² value of </w:t>
      </w:r>
      <w:r w:rsidRPr="00C65D2A">
        <w:rPr>
          <w:rFonts w:ascii="Garamond" w:hAnsi="Garamond"/>
          <w:color w:val="000000" w:themeColor="text1"/>
          <w:sz w:val="22"/>
          <w:szCs w:val="22"/>
        </w:rPr>
        <w:lastRenderedPageBreak/>
        <w:t>0.60 (60%) indicates that 60% of the variation in teacher performance is explained by organizational communication climate, while the remaining 40% is influenced by other factors not included in the model.</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 xml:space="preserve">According to Hair et al. (2022), the larger the value of </w:t>
      </w:r>
      <w:r w:rsidRPr="00C65D2A">
        <w:rPr>
          <w:rFonts w:ascii="Garamond" w:hAnsi="Garamond"/>
          <w:b/>
          <w:bCs/>
          <w:color w:val="000000" w:themeColor="text1"/>
          <w:sz w:val="22"/>
          <w:szCs w:val="22"/>
        </w:rPr>
        <w:t>R²</w:t>
      </w:r>
      <w:r w:rsidRPr="00C65D2A">
        <w:rPr>
          <w:rFonts w:ascii="Garamond" w:hAnsi="Garamond"/>
          <w:color w:val="000000" w:themeColor="text1"/>
          <w:sz w:val="22"/>
          <w:szCs w:val="22"/>
        </w:rPr>
        <w:t>, the greater the contribution of the independent variable in explaining the dependent variable. Therefore, a higher coefficient of determination indicates that organizational communication climate plays a more substantial role in improving the performance of Islamic Religious Education teachers.</w:t>
      </w:r>
    </w:p>
    <w:p w:rsidR="00422C11" w:rsidRPr="00C65D2A" w:rsidRDefault="00422C11" w:rsidP="00422C11">
      <w:pPr>
        <w:pStyle w:val="NormalWeb"/>
        <w:spacing w:before="0" w:beforeAutospacing="0" w:after="0" w:afterAutospacing="0"/>
        <w:ind w:firstLine="851"/>
        <w:jc w:val="both"/>
        <w:rPr>
          <w:rFonts w:ascii="Garamond" w:hAnsi="Garamond"/>
          <w:color w:val="000000" w:themeColor="text1"/>
          <w:sz w:val="22"/>
          <w:szCs w:val="22"/>
        </w:rPr>
      </w:pPr>
      <w:r w:rsidRPr="00C65D2A">
        <w:rPr>
          <w:rFonts w:ascii="Garamond" w:hAnsi="Garamond"/>
          <w:color w:val="000000" w:themeColor="text1"/>
          <w:sz w:val="22"/>
          <w:szCs w:val="22"/>
        </w:rPr>
        <w:t>The coefficient of determination complements the regression and hypothesis-testing results by providing information on the explanatory power of the model and the practical significance of the relationship between the study variables.</w:t>
      </w:r>
    </w:p>
    <w:p w:rsidR="00B45E22" w:rsidRPr="00C65D2A" w:rsidRDefault="00A4635F" w:rsidP="00A4635F">
      <w:pPr>
        <w:jc w:val="both"/>
        <w:rPr>
          <w:rFonts w:ascii="Garamond" w:hAnsi="Garamond"/>
          <w:b/>
          <w:bCs/>
          <w:color w:val="000000" w:themeColor="text1"/>
          <w:sz w:val="22"/>
          <w:szCs w:val="22"/>
        </w:rPr>
      </w:pPr>
      <w:r w:rsidRPr="00C65D2A">
        <w:rPr>
          <w:rFonts w:ascii="Garamond" w:hAnsi="Garamond"/>
          <w:b/>
          <w:bCs/>
          <w:color w:val="000000" w:themeColor="text1"/>
          <w:sz w:val="22"/>
          <w:szCs w:val="22"/>
        </w:rPr>
        <w:t>Results and Discussion</w:t>
      </w:r>
    </w:p>
    <w:p w:rsidR="006C65B4" w:rsidRPr="00C65D2A" w:rsidRDefault="006C65B4" w:rsidP="006C65B4">
      <w:pPr>
        <w:pStyle w:val="ListParagraph"/>
        <w:numPr>
          <w:ilvl w:val="0"/>
          <w:numId w:val="5"/>
        </w:numPr>
        <w:ind w:left="284" w:hanging="284"/>
        <w:jc w:val="both"/>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The Effect of Organisational Communication Climate on the Performance of Islamic Religious Education Teachers</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This study aims to analyse the effect of organisational communication climate on the performance of Islamic Religious Education teachers at state junior secondary schools in Padang Lawas Regency. The analysis was conducted using Pearson’s product-moment correlation on 45 respondents comprising Islamic Religious Education teachers.</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Based on the data analysis, a correlation coefficient of 0.398 was obtained. This value indicates a positive relationship between the organisational communication climate and teacher performance. The better the communication climate established within the school environment, the higher the teachers’ performance in carrying out their professional duties.</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To determine the level of significance of this relationship, a t-test was conducted. The results showed that the calculated t-value was 2.843, whilst the table t-value at a 5% significance level with 43 degrees of freedom was 2.017. As the calculated t-value is greater than the table t-value, the research hypothesis is accepted.</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Furthermore, the results of the coefficient of determination analysis show a value of 15.82%, which means that 15.82% of the variation in the performance of Islamic Religious Education teachers can be explained by the organisational communication climate, whilst the remainder is influenced by other factors outside the research model.</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Based on the data from the 45 respondents you sent, the following analysis results were obtained:</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Product Moment Correlation Calculation Results</w:t>
      </w:r>
    </w:p>
    <w:p w:rsidR="006C65B4" w:rsidRPr="00C65D2A" w:rsidRDefault="006C65B4" w:rsidP="006C65B4">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Research data:</w:t>
      </w:r>
    </w:p>
    <w:p w:rsidR="00B45E22" w:rsidRPr="00C65D2A" w:rsidRDefault="00B45E22" w:rsidP="006C65B4">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N = 45 </w:t>
      </w:r>
    </w:p>
    <w:p w:rsidR="00B45E22" w:rsidRPr="00C65D2A" w:rsidRDefault="00B45E22" w:rsidP="00B45E22">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∑X = 2261 </w:t>
      </w:r>
    </w:p>
    <w:p w:rsidR="00B45E22" w:rsidRPr="00C65D2A" w:rsidRDefault="00B45E22" w:rsidP="00B45E22">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∑Y = 2046 </w:t>
      </w:r>
    </w:p>
    <w:p w:rsidR="00B45E22" w:rsidRPr="00C65D2A" w:rsidRDefault="00B45E22" w:rsidP="00B45E22">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∑X² = 114703 </w:t>
      </w:r>
    </w:p>
    <w:p w:rsidR="00B45E22" w:rsidRPr="00C65D2A" w:rsidRDefault="00B45E22" w:rsidP="00B45E22">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∑Y² = 94052 </w:t>
      </w:r>
    </w:p>
    <w:p w:rsidR="00B45E22" w:rsidRPr="00C65D2A" w:rsidRDefault="00B45E22" w:rsidP="00B45E22">
      <w:pPr>
        <w:ind w:left="360"/>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∑XY = 103223 </w:t>
      </w:r>
    </w:p>
    <w:p w:rsidR="006C65B4" w:rsidRPr="00C65D2A" w:rsidRDefault="006C65B4"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Using the Pearson product-moment correlation formula:</w:t>
      </w:r>
    </w:p>
    <w:p w:rsidR="00B45E22" w:rsidRPr="00C65D2A" w:rsidRDefault="00B72DF5" w:rsidP="00B45E22">
      <w:pPr>
        <w:jc w:val="both"/>
        <w:rPr>
          <w:rFonts w:ascii="Garamond" w:hAnsi="Garamond"/>
          <w:color w:val="000000" w:themeColor="text1"/>
          <w:sz w:val="22"/>
          <w:szCs w:val="22"/>
          <w:lang w:val="en-ID"/>
        </w:rPr>
      </w:pPr>
      <m:oMathPara>
        <m:oMath>
          <m:sSub>
            <m:sSubPr>
              <m:ctrlPr>
                <w:rPr>
                  <w:rFonts w:ascii="Cambria Math" w:hAnsi="Cambria Math"/>
                  <w:color w:val="000000" w:themeColor="text1"/>
                  <w:sz w:val="22"/>
                </w:rPr>
              </m:ctrlPr>
            </m:sSubPr>
            <m:e>
              <m:r>
                <w:rPr>
                  <w:rFonts w:ascii="Cambria Math" w:hAnsi="Cambria Math"/>
                  <w:color w:val="000000" w:themeColor="text1"/>
                  <w:sz w:val="22"/>
                  <w:szCs w:val="22"/>
                  <w:lang w:val="en-ID"/>
                </w:rPr>
                <m:t>r</m:t>
              </m:r>
            </m:e>
            <m:sub>
              <m:r>
                <w:rPr>
                  <w:rFonts w:ascii="Cambria Math" w:hAnsi="Cambria Math"/>
                  <w:color w:val="000000" w:themeColor="text1"/>
                  <w:sz w:val="22"/>
                  <w:szCs w:val="22"/>
                  <w:lang w:val="en-ID"/>
                </w:rPr>
                <m:t>xy</m:t>
              </m:r>
            </m:sub>
          </m:sSub>
          <m:r>
            <w:rPr>
              <w:rFonts w:ascii="Cambria Math" w:hAnsi="Cambria Math"/>
              <w:color w:val="000000" w:themeColor="text1"/>
              <w:sz w:val="22"/>
              <w:szCs w:val="22"/>
              <w:lang w:val="en-ID"/>
            </w:rPr>
            <m:t>=</m:t>
          </m:r>
          <m:f>
            <m:fPr>
              <m:ctrlPr>
                <w:rPr>
                  <w:rFonts w:ascii="Cambria Math" w:hAnsi="Cambria Math"/>
                  <w:color w:val="000000" w:themeColor="text1"/>
                  <w:sz w:val="22"/>
                </w:rPr>
              </m:ctrlPr>
            </m:fPr>
            <m:num>
              <m:r>
                <w:rPr>
                  <w:rFonts w:ascii="Cambria Math" w:hAnsi="Cambria Math"/>
                  <w:color w:val="000000" w:themeColor="text1"/>
                  <w:sz w:val="22"/>
                  <w:szCs w:val="22"/>
                  <w:lang w:val="en-ID"/>
                </w:rPr>
                <m:t>n∑XY-(∑X)(∑Y)</m:t>
              </m:r>
            </m:num>
            <m:den>
              <m:rad>
                <m:radPr>
                  <m:degHide m:val="1"/>
                  <m:ctrlPr>
                    <w:rPr>
                      <w:rFonts w:ascii="Cambria Math" w:hAnsi="Cambria Math"/>
                      <w:color w:val="000000" w:themeColor="text1"/>
                      <w:sz w:val="22"/>
                    </w:rPr>
                  </m:ctrlPr>
                </m:radPr>
                <m:deg/>
                <m:e>
                  <m:d>
                    <m:dPr>
                      <m:begChr m:val="["/>
                      <m:endChr m:val="]"/>
                      <m:ctrlPr>
                        <w:rPr>
                          <w:rFonts w:ascii="Cambria Math" w:hAnsi="Cambria Math"/>
                          <w:color w:val="000000" w:themeColor="text1"/>
                          <w:sz w:val="22"/>
                        </w:rPr>
                      </m:ctrlPr>
                    </m:dPr>
                    <m:e>
                      <m:r>
                        <w:rPr>
                          <w:rFonts w:ascii="Cambria Math" w:hAnsi="Cambria Math"/>
                          <w:color w:val="000000" w:themeColor="text1"/>
                          <w:sz w:val="22"/>
                          <w:szCs w:val="22"/>
                          <w:lang w:val="en-ID"/>
                        </w:rPr>
                        <m:t>n∑</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X</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-(∑X</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][n∑</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Y</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-(∑Y</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m:t>
                          </m:r>
                        </m:e>
                        <m:sup>
                          <m:r>
                            <w:rPr>
                              <w:rFonts w:ascii="Cambria Math" w:hAnsi="Cambria Math"/>
                              <w:color w:val="000000" w:themeColor="text1"/>
                              <w:sz w:val="22"/>
                              <w:szCs w:val="22"/>
                              <w:lang w:val="en-ID"/>
                            </w:rPr>
                            <m:t>2</m:t>
                          </m:r>
                        </m:sup>
                      </m:sSup>
                    </m:e>
                  </m:d>
                </m:e>
              </m:rad>
            </m:den>
          </m:f>
        </m:oMath>
      </m:oMathPara>
    </w:p>
    <w:p w:rsidR="00B45E22" w:rsidRPr="00C65D2A" w:rsidRDefault="006C65B4"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Obtained</w:t>
      </w:r>
      <w:r w:rsidR="00B45E22" w:rsidRPr="00C65D2A">
        <w:rPr>
          <w:rFonts w:ascii="Garamond" w:hAnsi="Garamond"/>
          <w:color w:val="000000" w:themeColor="text1"/>
          <w:sz w:val="22"/>
          <w:szCs w:val="22"/>
          <w:lang w:val="en-ID"/>
        </w:rPr>
        <w:t>:</w:t>
      </w:r>
    </w:p>
    <w:p w:rsidR="00B45E22" w:rsidRPr="00C65D2A" w:rsidRDefault="00B72DF5" w:rsidP="00B45E22">
      <w:pPr>
        <w:jc w:val="both"/>
        <w:rPr>
          <w:rFonts w:ascii="Garamond" w:hAnsi="Garamond"/>
          <w:color w:val="000000" w:themeColor="text1"/>
          <w:sz w:val="22"/>
          <w:szCs w:val="22"/>
          <w:lang w:val="en-ID"/>
        </w:rPr>
      </w:pPr>
      <m:oMathPara>
        <m:oMath>
          <m:sSub>
            <m:sSubPr>
              <m:ctrlPr>
                <w:rPr>
                  <w:rFonts w:ascii="Cambria Math" w:hAnsi="Cambria Math"/>
                  <w:color w:val="000000" w:themeColor="text1"/>
                  <w:sz w:val="22"/>
                </w:rPr>
              </m:ctrlPr>
            </m:sSubPr>
            <m:e>
              <m:r>
                <w:rPr>
                  <w:rFonts w:ascii="Cambria Math" w:hAnsi="Cambria Math"/>
                  <w:color w:val="000000" w:themeColor="text1"/>
                  <w:sz w:val="22"/>
                  <w:szCs w:val="22"/>
                  <w:lang w:val="en-ID"/>
                </w:rPr>
                <m:t>r</m:t>
              </m:r>
            </m:e>
            <m:sub>
              <m:r>
                <w:rPr>
                  <w:rFonts w:ascii="Cambria Math" w:hAnsi="Cambria Math"/>
                  <w:color w:val="000000" w:themeColor="text1"/>
                  <w:sz w:val="22"/>
                  <w:szCs w:val="22"/>
                  <w:lang w:val="en-ID"/>
                </w:rPr>
                <m:t>xy</m:t>
              </m:r>
            </m:sub>
          </m:sSub>
          <m:r>
            <w:rPr>
              <w:rFonts w:ascii="Cambria Math" w:hAnsi="Cambria Math"/>
              <w:color w:val="000000" w:themeColor="text1"/>
              <w:sz w:val="22"/>
              <w:szCs w:val="22"/>
              <w:lang w:val="en-ID"/>
            </w:rPr>
            <m:t>=0,398</m:t>
          </m:r>
          <m:r>
            <w:rPr>
              <w:rFonts w:ascii="Garamond" w:hAnsi="Garamond"/>
              <w:i/>
              <w:color w:val="000000" w:themeColor="text1"/>
              <w:sz w:val="22"/>
              <w:szCs w:val="22"/>
              <w:lang w:val="en-ID"/>
            </w:rPr>
            <w:br/>
          </m:r>
        </m:oMath>
      </m:oMathPara>
    </w:p>
    <w:p w:rsidR="006C65B4" w:rsidRPr="00C65D2A" w:rsidRDefault="006C65B4" w:rsidP="006C65B4">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Based on the interpretation of the correlation coefficient, the value of 0.398 falls within the category of a low to moderate relationship (positive correlation).</w:t>
      </w:r>
    </w:p>
    <w:p w:rsidR="006C65B4" w:rsidRPr="00C65D2A" w:rsidRDefault="006C65B4" w:rsidP="006C65B4">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Significance Test</w:t>
      </w:r>
    </w:p>
    <w:p w:rsidR="006C65B4" w:rsidRPr="00C65D2A" w:rsidRDefault="006C65B4" w:rsidP="006C65B4">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significance test was conducted using a t-test:</w:t>
      </w:r>
    </w:p>
    <w:p w:rsidR="00B45E22" w:rsidRPr="00C65D2A" w:rsidRDefault="00B45E22" w:rsidP="006C65B4">
      <w:pPr>
        <w:jc w:val="both"/>
        <w:rPr>
          <w:rFonts w:ascii="Garamond" w:hAnsi="Garamond"/>
          <w:color w:val="000000" w:themeColor="text1"/>
          <w:sz w:val="22"/>
          <w:szCs w:val="22"/>
          <w:lang w:val="en-ID"/>
        </w:rPr>
      </w:pPr>
      <m:oMathPara>
        <m:oMath>
          <m:r>
            <w:rPr>
              <w:rFonts w:ascii="Cambria Math" w:hAnsi="Cambria Math"/>
              <w:color w:val="000000" w:themeColor="text1"/>
              <w:sz w:val="22"/>
              <w:szCs w:val="22"/>
              <w:lang w:val="en-ID"/>
            </w:rPr>
            <m:t>t=</m:t>
          </m:r>
          <m:f>
            <m:fPr>
              <m:ctrlPr>
                <w:rPr>
                  <w:rFonts w:ascii="Cambria Math" w:hAnsi="Cambria Math"/>
                  <w:color w:val="000000" w:themeColor="text1"/>
                  <w:sz w:val="22"/>
                </w:rPr>
              </m:ctrlPr>
            </m:fPr>
            <m:num>
              <m:r>
                <w:rPr>
                  <w:rFonts w:ascii="Cambria Math" w:hAnsi="Cambria Math"/>
                  <w:color w:val="000000" w:themeColor="text1"/>
                  <w:sz w:val="22"/>
                  <w:szCs w:val="22"/>
                  <w:lang w:val="en-ID"/>
                </w:rPr>
                <m:t>r</m:t>
              </m:r>
              <m:rad>
                <m:radPr>
                  <m:degHide m:val="1"/>
                  <m:ctrlPr>
                    <w:rPr>
                      <w:rFonts w:ascii="Cambria Math" w:hAnsi="Cambria Math"/>
                      <w:color w:val="000000" w:themeColor="text1"/>
                      <w:sz w:val="22"/>
                    </w:rPr>
                  </m:ctrlPr>
                </m:radPr>
                <m:deg/>
                <m:e>
                  <m:r>
                    <w:rPr>
                      <w:rFonts w:ascii="Cambria Math" w:hAnsi="Cambria Math"/>
                      <w:color w:val="000000" w:themeColor="text1"/>
                      <w:sz w:val="22"/>
                      <w:szCs w:val="22"/>
                      <w:lang w:val="en-ID"/>
                    </w:rPr>
                    <m:t>n-2</m:t>
                  </m:r>
                </m:e>
              </m:rad>
            </m:num>
            <m:den>
              <m:rad>
                <m:radPr>
                  <m:degHide m:val="1"/>
                  <m:ctrlPr>
                    <w:rPr>
                      <w:rFonts w:ascii="Cambria Math" w:hAnsi="Cambria Math"/>
                      <w:color w:val="000000" w:themeColor="text1"/>
                      <w:sz w:val="22"/>
                    </w:rPr>
                  </m:ctrlPr>
                </m:radPr>
                <m:deg/>
                <m:e>
                  <m:r>
                    <w:rPr>
                      <w:rFonts w:ascii="Cambria Math" w:hAnsi="Cambria Math"/>
                      <w:color w:val="000000" w:themeColor="text1"/>
                      <w:sz w:val="22"/>
                      <w:szCs w:val="22"/>
                      <w:lang w:val="en-ID"/>
                    </w:rPr>
                    <m:t>1-</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r</m:t>
                      </m:r>
                    </m:e>
                    <m:sup>
                      <m:r>
                        <w:rPr>
                          <w:rFonts w:ascii="Cambria Math" w:hAnsi="Cambria Math"/>
                          <w:color w:val="000000" w:themeColor="text1"/>
                          <w:sz w:val="22"/>
                          <w:szCs w:val="22"/>
                          <w:lang w:val="en-ID"/>
                        </w:rPr>
                        <m:t>2</m:t>
                      </m:r>
                    </m:sup>
                  </m:sSup>
                </m:e>
              </m:rad>
            </m:den>
          </m:f>
        </m:oMath>
      </m:oMathPara>
    </w:p>
    <w:p w:rsidR="00B45E22" w:rsidRPr="00C65D2A" w:rsidRDefault="006C65B4"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Calculation results:</w:t>
      </w:r>
      <w:r w:rsidR="00B45E22" w:rsidRPr="00C65D2A">
        <w:rPr>
          <w:rFonts w:ascii="Garamond" w:hAnsi="Garamond"/>
          <w:color w:val="000000" w:themeColor="text1"/>
          <w:sz w:val="22"/>
          <w:szCs w:val="22"/>
          <w:lang w:val="en-ID"/>
        </w:rPr>
        <w:t>:</w:t>
      </w:r>
    </w:p>
    <w:p w:rsidR="00B45E22" w:rsidRPr="00C65D2A" w:rsidRDefault="00B72DF5" w:rsidP="00B45E22">
      <w:pPr>
        <w:jc w:val="both"/>
        <w:rPr>
          <w:rFonts w:ascii="Garamond" w:hAnsi="Garamond"/>
          <w:color w:val="000000" w:themeColor="text1"/>
          <w:sz w:val="22"/>
          <w:szCs w:val="22"/>
          <w:lang w:val="en-ID"/>
        </w:rPr>
      </w:pPr>
      <m:oMathPara>
        <m:oMath>
          <m:sSub>
            <m:sSubPr>
              <m:ctrlPr>
                <w:rPr>
                  <w:rFonts w:ascii="Cambria Math" w:hAnsi="Cambria Math"/>
                  <w:color w:val="000000" w:themeColor="text1"/>
                  <w:sz w:val="22"/>
                </w:rPr>
              </m:ctrlPr>
            </m:sSubPr>
            <m:e>
              <m:r>
                <w:rPr>
                  <w:rFonts w:ascii="Cambria Math" w:hAnsi="Cambria Math"/>
                  <w:color w:val="000000" w:themeColor="text1"/>
                  <w:sz w:val="22"/>
                  <w:szCs w:val="22"/>
                  <w:lang w:val="en-ID"/>
                </w:rPr>
                <m:t>t</m:t>
              </m:r>
            </m:e>
            <m:sub>
              <m:r>
                <w:rPr>
                  <w:rFonts w:ascii="Cambria Math" w:hAnsi="Cambria Math"/>
                  <w:color w:val="000000" w:themeColor="text1"/>
                  <w:sz w:val="22"/>
                  <w:szCs w:val="22"/>
                  <w:lang w:val="en-ID"/>
                </w:rPr>
                <m:t>hitung</m:t>
              </m:r>
            </m:sub>
          </m:sSub>
          <m:r>
            <w:rPr>
              <w:rFonts w:ascii="Cambria Math" w:hAnsi="Cambria Math"/>
              <w:color w:val="000000" w:themeColor="text1"/>
              <w:sz w:val="22"/>
              <w:szCs w:val="22"/>
              <w:lang w:val="en-ID"/>
            </w:rPr>
            <m:t>=2,843</m:t>
          </m:r>
          <m:r>
            <w:rPr>
              <w:rFonts w:ascii="Garamond" w:hAnsi="Garamond"/>
              <w:i/>
              <w:color w:val="000000" w:themeColor="text1"/>
              <w:sz w:val="22"/>
              <w:szCs w:val="22"/>
              <w:lang w:val="en-ID"/>
            </w:rPr>
            <w:br/>
          </m:r>
        </m:oMath>
      </m:oMathPara>
    </w:p>
    <w:p w:rsidR="00B45E22" w:rsidRPr="00C65D2A" w:rsidRDefault="006C65B4"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Degrees of freedom</w:t>
      </w:r>
      <w:r w:rsidR="00B45E22" w:rsidRPr="00C65D2A">
        <w:rPr>
          <w:rFonts w:ascii="Garamond" w:hAnsi="Garamond"/>
          <w:color w:val="000000" w:themeColor="text1"/>
          <w:sz w:val="22"/>
          <w:szCs w:val="22"/>
          <w:lang w:val="en-ID"/>
        </w:rPr>
        <w:t>:</w:t>
      </w:r>
    </w:p>
    <w:p w:rsidR="00B45E22" w:rsidRPr="00C65D2A" w:rsidRDefault="00B45E22" w:rsidP="00B45E22">
      <w:pPr>
        <w:jc w:val="both"/>
        <w:rPr>
          <w:rFonts w:ascii="Garamond" w:hAnsi="Garamond"/>
          <w:color w:val="000000" w:themeColor="text1"/>
          <w:sz w:val="22"/>
          <w:szCs w:val="22"/>
          <w:lang w:val="en-ID"/>
        </w:rPr>
      </w:pPr>
      <m:oMathPara>
        <m:oMath>
          <m:r>
            <w:rPr>
              <w:rFonts w:ascii="Cambria Math" w:hAnsi="Cambria Math"/>
              <w:color w:val="000000" w:themeColor="text1"/>
              <w:sz w:val="22"/>
              <w:szCs w:val="22"/>
              <w:lang w:val="en-ID"/>
            </w:rPr>
            <m:t>df=n-2=43</m:t>
          </m:r>
          <m:r>
            <w:rPr>
              <w:rFonts w:ascii="Garamond" w:hAnsi="Garamond"/>
              <w:i/>
              <w:color w:val="000000" w:themeColor="text1"/>
              <w:sz w:val="22"/>
              <w:szCs w:val="22"/>
              <w:lang w:val="en-ID"/>
            </w:rPr>
            <w:br/>
          </m:r>
        </m:oMath>
      </m:oMathPara>
    </w:p>
    <w:p w:rsidR="00B45E22" w:rsidRPr="00C65D2A" w:rsidRDefault="005C4EFB"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At a significance level of 5%, the following was obtained</w:t>
      </w:r>
      <w:r w:rsidR="00B45E22" w:rsidRPr="00C65D2A">
        <w:rPr>
          <w:rFonts w:ascii="Garamond" w:hAnsi="Garamond"/>
          <w:color w:val="000000" w:themeColor="text1"/>
          <w:sz w:val="22"/>
          <w:szCs w:val="22"/>
          <w:lang w:val="en-ID"/>
        </w:rPr>
        <w:t>:</w:t>
      </w:r>
    </w:p>
    <w:p w:rsidR="00B45E22" w:rsidRPr="00C65D2A" w:rsidRDefault="00B72DF5" w:rsidP="00B45E22">
      <w:pPr>
        <w:jc w:val="both"/>
        <w:rPr>
          <w:rFonts w:ascii="Garamond" w:hAnsi="Garamond"/>
          <w:color w:val="000000" w:themeColor="text1"/>
          <w:sz w:val="22"/>
          <w:szCs w:val="22"/>
          <w:lang w:val="en-ID"/>
        </w:rPr>
      </w:pPr>
      <m:oMathPara>
        <m:oMath>
          <m:sSub>
            <m:sSubPr>
              <m:ctrlPr>
                <w:rPr>
                  <w:rFonts w:ascii="Cambria Math" w:hAnsi="Cambria Math"/>
                  <w:color w:val="000000" w:themeColor="text1"/>
                  <w:sz w:val="22"/>
                </w:rPr>
              </m:ctrlPr>
            </m:sSubPr>
            <m:e>
              <m:r>
                <w:rPr>
                  <w:rFonts w:ascii="Cambria Math" w:hAnsi="Cambria Math"/>
                  <w:color w:val="000000" w:themeColor="text1"/>
                  <w:sz w:val="22"/>
                  <w:szCs w:val="22"/>
                  <w:lang w:val="en-ID"/>
                </w:rPr>
                <m:t>t</m:t>
              </m:r>
            </m:e>
            <m:sub>
              <m:r>
                <w:rPr>
                  <w:rFonts w:ascii="Cambria Math" w:hAnsi="Cambria Math"/>
                  <w:color w:val="000000" w:themeColor="text1"/>
                  <w:sz w:val="22"/>
                  <w:szCs w:val="22"/>
                  <w:lang w:val="en-ID"/>
                </w:rPr>
                <m:t>tabel</m:t>
              </m:r>
            </m:sub>
          </m:sSub>
          <m:r>
            <w:rPr>
              <w:rFonts w:ascii="Cambria Math" w:hAnsi="Cambria Math"/>
              <w:color w:val="000000" w:themeColor="text1"/>
              <w:sz w:val="22"/>
              <w:szCs w:val="22"/>
              <w:lang w:val="en-ID"/>
            </w:rPr>
            <m:t>=2,017</m:t>
          </m:r>
          <m:r>
            <w:rPr>
              <w:rFonts w:ascii="Garamond" w:hAnsi="Garamond"/>
              <w:i/>
              <w:color w:val="000000" w:themeColor="text1"/>
              <w:sz w:val="22"/>
              <w:szCs w:val="22"/>
              <w:lang w:val="en-ID"/>
            </w:rPr>
            <w:br/>
          </m:r>
        </m:oMath>
      </m:oMathPara>
    </w:p>
    <w:p w:rsidR="00B45E22" w:rsidRPr="00C65D2A" w:rsidRDefault="005C4EFB"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lastRenderedPageBreak/>
        <w:t>Because</w:t>
      </w:r>
      <w:r w:rsidR="00B45E22" w:rsidRPr="00C65D2A">
        <w:rPr>
          <w:rFonts w:ascii="Garamond" w:hAnsi="Garamond"/>
          <w:color w:val="000000" w:themeColor="text1"/>
          <w:sz w:val="22"/>
          <w:szCs w:val="22"/>
          <w:lang w:val="en-ID"/>
        </w:rPr>
        <w:t>:</w:t>
      </w:r>
    </w:p>
    <w:p w:rsidR="00B45E22" w:rsidRPr="00C65D2A" w:rsidRDefault="00B45E22" w:rsidP="00B45E22">
      <w:pPr>
        <w:jc w:val="both"/>
        <w:rPr>
          <w:rFonts w:ascii="Garamond" w:hAnsi="Garamond"/>
          <w:color w:val="000000" w:themeColor="text1"/>
          <w:sz w:val="22"/>
          <w:szCs w:val="22"/>
          <w:lang w:val="en-ID"/>
        </w:rPr>
      </w:pPr>
      <m:oMathPara>
        <m:oMath>
          <m:r>
            <w:rPr>
              <w:rFonts w:ascii="Cambria Math" w:hAnsi="Cambria Math"/>
              <w:color w:val="000000" w:themeColor="text1"/>
              <w:sz w:val="22"/>
              <w:szCs w:val="22"/>
              <w:lang w:val="en-ID"/>
            </w:rPr>
            <m:t>2,843&gt;2,017</m:t>
          </m:r>
          <m:r>
            <w:rPr>
              <w:rFonts w:ascii="Garamond" w:hAnsi="Garamond"/>
              <w:i/>
              <w:color w:val="000000" w:themeColor="text1"/>
              <w:sz w:val="22"/>
              <w:szCs w:val="22"/>
              <w:lang w:val="en-ID"/>
            </w:rPr>
            <w:br/>
          </m:r>
        </m:oMath>
      </m:oMathPara>
    </w:p>
    <w:p w:rsidR="00B45E22" w:rsidRPr="00C65D2A" w:rsidRDefault="005C4EFB"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Therefore, H</w:t>
      </w:r>
      <w:r w:rsidRPr="00C65D2A">
        <w:rPr>
          <w:rFonts w:ascii="Cambria Math" w:hAnsi="Cambria Math" w:cs="Cambria Math"/>
          <w:color w:val="000000" w:themeColor="text1"/>
          <w:sz w:val="22"/>
          <w:szCs w:val="22"/>
          <w:lang w:val="en-ID"/>
        </w:rPr>
        <w:t>₀</w:t>
      </w:r>
      <w:r w:rsidRPr="00C65D2A">
        <w:rPr>
          <w:rFonts w:ascii="Garamond" w:hAnsi="Garamond"/>
          <w:color w:val="000000" w:themeColor="text1"/>
          <w:sz w:val="22"/>
          <w:szCs w:val="22"/>
          <w:lang w:val="en-ID"/>
        </w:rPr>
        <w:t xml:space="preserve"> is rejected and H</w:t>
      </w:r>
      <w:r w:rsidRPr="00C65D2A">
        <w:rPr>
          <w:rFonts w:ascii="Cambria Math" w:hAnsi="Cambria Math" w:cs="Cambria Math"/>
          <w:color w:val="000000" w:themeColor="text1"/>
          <w:sz w:val="22"/>
          <w:szCs w:val="22"/>
          <w:lang w:val="en-ID"/>
        </w:rPr>
        <w:t>₁</w:t>
      </w:r>
      <w:r w:rsidRPr="00C65D2A">
        <w:rPr>
          <w:rFonts w:ascii="Garamond" w:hAnsi="Garamond"/>
          <w:color w:val="000000" w:themeColor="text1"/>
          <w:sz w:val="22"/>
          <w:szCs w:val="22"/>
          <w:lang w:val="en-ID"/>
        </w:rPr>
        <w:t xml:space="preserve"> is accepted.</w:t>
      </w:r>
    </w:p>
    <w:p w:rsidR="005C4EFB" w:rsidRPr="00C65D2A" w:rsidRDefault="005C4EFB" w:rsidP="005C4EFB">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There is therefore a significant correlation between the organisational communication climate and the performance of Islamic Religious Education teachers.</w:t>
      </w:r>
    </w:p>
    <w:p w:rsidR="005C4EFB" w:rsidRPr="00C65D2A" w:rsidRDefault="005C4EFB" w:rsidP="005C4EFB">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Coefficient of Determination</w:t>
      </w:r>
    </w:p>
    <w:p w:rsidR="00B45E22" w:rsidRPr="00C65D2A" w:rsidRDefault="005C4EFB" w:rsidP="005C4EFB">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coefficient of determination is calculated using the formula</w:t>
      </w:r>
      <w:r w:rsidR="00B45E22" w:rsidRPr="00C65D2A">
        <w:rPr>
          <w:rFonts w:ascii="Garamond" w:hAnsi="Garamond"/>
          <w:color w:val="000000" w:themeColor="text1"/>
          <w:sz w:val="22"/>
          <w:szCs w:val="22"/>
          <w:lang w:val="en-ID"/>
        </w:rPr>
        <w:t>:</w:t>
      </w:r>
    </w:p>
    <w:p w:rsidR="00B45E22" w:rsidRPr="00C65D2A" w:rsidRDefault="00B72DF5" w:rsidP="00B45E22">
      <w:pPr>
        <w:jc w:val="both"/>
        <w:rPr>
          <w:rFonts w:ascii="Garamond" w:hAnsi="Garamond"/>
          <w:color w:val="000000" w:themeColor="text1"/>
          <w:sz w:val="22"/>
          <w:szCs w:val="22"/>
          <w:lang w:val="en-ID"/>
        </w:rPr>
      </w:pPr>
      <m:oMathPara>
        <m:oMath>
          <m:sSup>
            <m:sSupPr>
              <m:ctrlPr>
                <w:rPr>
                  <w:rFonts w:ascii="Cambria Math" w:hAnsi="Cambria Math"/>
                  <w:color w:val="000000" w:themeColor="text1"/>
                  <w:sz w:val="22"/>
                </w:rPr>
              </m:ctrlPr>
            </m:sSupPr>
            <m:e>
              <m:r>
                <w:rPr>
                  <w:rFonts w:ascii="Cambria Math" w:hAnsi="Cambria Math"/>
                  <w:color w:val="000000" w:themeColor="text1"/>
                  <w:sz w:val="22"/>
                  <w:szCs w:val="22"/>
                  <w:lang w:val="en-ID"/>
                </w:rPr>
                <m:t>R</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r</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×100</m:t>
          </m:r>
          <m:r>
            <m:rPr>
              <m:sty m:val="p"/>
            </m:rPr>
            <w:rPr>
              <w:rFonts w:ascii="Cambria Math" w:hAnsi="Cambria Math"/>
              <w:color w:val="000000" w:themeColor="text1"/>
              <w:sz w:val="22"/>
              <w:szCs w:val="22"/>
              <w:lang w:val="en-ID"/>
            </w:rPr>
            <m:t>%</m:t>
          </m:r>
        </m:oMath>
      </m:oMathPara>
    </w:p>
    <w:p w:rsidR="00B45E22" w:rsidRPr="00C65D2A" w:rsidRDefault="005C4EFB"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Results</w:t>
      </w:r>
      <w:r w:rsidR="00B45E22" w:rsidRPr="00C65D2A">
        <w:rPr>
          <w:rFonts w:ascii="Garamond" w:hAnsi="Garamond"/>
          <w:color w:val="000000" w:themeColor="text1"/>
          <w:sz w:val="22"/>
          <w:szCs w:val="22"/>
          <w:lang w:val="en-ID"/>
        </w:rPr>
        <w:t>:</w:t>
      </w:r>
    </w:p>
    <w:p w:rsidR="00B45E22" w:rsidRPr="00C65D2A" w:rsidRDefault="00B72DF5" w:rsidP="00B45E22">
      <w:pPr>
        <w:jc w:val="both"/>
        <w:rPr>
          <w:rFonts w:ascii="Garamond" w:hAnsi="Garamond"/>
          <w:color w:val="000000" w:themeColor="text1"/>
          <w:sz w:val="22"/>
          <w:szCs w:val="22"/>
          <w:lang w:val="en-ID"/>
        </w:rPr>
      </w:pPr>
      <m:oMathPara>
        <m:oMath>
          <m:sSup>
            <m:sSupPr>
              <m:ctrlPr>
                <w:rPr>
                  <w:rFonts w:ascii="Cambria Math" w:hAnsi="Cambria Math"/>
                  <w:color w:val="000000" w:themeColor="text1"/>
                  <w:sz w:val="22"/>
                </w:rPr>
              </m:ctrlPr>
            </m:sSupPr>
            <m:e>
              <m:r>
                <w:rPr>
                  <w:rFonts w:ascii="Cambria Math" w:hAnsi="Cambria Math"/>
                  <w:color w:val="000000" w:themeColor="text1"/>
                  <w:sz w:val="22"/>
                  <w:szCs w:val="22"/>
                  <w:lang w:val="en-ID"/>
                </w:rPr>
                <m:t>R</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=(0,398</m:t>
          </m:r>
          <m:sSup>
            <m:sSupPr>
              <m:ctrlPr>
                <w:rPr>
                  <w:rFonts w:ascii="Cambria Math" w:hAnsi="Cambria Math"/>
                  <w:color w:val="000000" w:themeColor="text1"/>
                  <w:sz w:val="22"/>
                </w:rPr>
              </m:ctrlPr>
            </m:sSupPr>
            <m:e>
              <m:r>
                <w:rPr>
                  <w:rFonts w:ascii="Cambria Math" w:hAnsi="Cambria Math"/>
                  <w:color w:val="000000" w:themeColor="text1"/>
                  <w:sz w:val="22"/>
                  <w:szCs w:val="22"/>
                  <w:lang w:val="en-ID"/>
                </w:rPr>
                <m:t>)</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×100</m:t>
          </m:r>
          <m:r>
            <m:rPr>
              <m:sty m:val="p"/>
            </m:rPr>
            <w:rPr>
              <w:rFonts w:ascii="Cambria Math" w:hAnsi="Cambria Math"/>
              <w:color w:val="000000" w:themeColor="text1"/>
              <w:sz w:val="22"/>
              <w:szCs w:val="22"/>
              <w:lang w:val="en-ID"/>
            </w:rPr>
            <m:t>%</m:t>
          </m:r>
          <m:r>
            <w:rPr>
              <w:rFonts w:ascii="Garamond" w:hAnsi="Garamond"/>
              <w:color w:val="000000" w:themeColor="text1"/>
              <w:sz w:val="22"/>
              <w:szCs w:val="22"/>
              <w:lang w:val="en-ID"/>
            </w:rPr>
            <w:br/>
          </m:r>
        </m:oMath>
        <m:oMath>
          <m:sSup>
            <m:sSupPr>
              <m:ctrlPr>
                <w:rPr>
                  <w:rFonts w:ascii="Cambria Math" w:hAnsi="Cambria Math"/>
                  <w:color w:val="000000" w:themeColor="text1"/>
                  <w:sz w:val="22"/>
                </w:rPr>
              </m:ctrlPr>
            </m:sSupPr>
            <m:e>
              <m:r>
                <w:rPr>
                  <w:rFonts w:ascii="Cambria Math" w:hAnsi="Cambria Math"/>
                  <w:color w:val="000000" w:themeColor="text1"/>
                  <w:sz w:val="22"/>
                  <w:szCs w:val="22"/>
                  <w:lang w:val="en-ID"/>
                </w:rPr>
                <m:t>R</m:t>
              </m:r>
            </m:e>
            <m:sup>
              <m:r>
                <w:rPr>
                  <w:rFonts w:ascii="Cambria Math" w:hAnsi="Cambria Math"/>
                  <w:color w:val="000000" w:themeColor="text1"/>
                  <w:sz w:val="22"/>
                  <w:szCs w:val="22"/>
                  <w:lang w:val="en-ID"/>
                </w:rPr>
                <m:t>2</m:t>
              </m:r>
            </m:sup>
          </m:sSup>
          <m:r>
            <w:rPr>
              <w:rFonts w:ascii="Cambria Math" w:hAnsi="Cambria Math"/>
              <w:color w:val="000000" w:themeColor="text1"/>
              <w:sz w:val="22"/>
              <w:szCs w:val="22"/>
              <w:lang w:val="en-ID"/>
            </w:rPr>
            <m:t>=15,82</m:t>
          </m:r>
          <m:r>
            <m:rPr>
              <m:sty m:val="p"/>
            </m:rPr>
            <w:rPr>
              <w:rFonts w:ascii="Cambria Math" w:hAnsi="Cambria Math"/>
              <w:color w:val="000000" w:themeColor="text1"/>
              <w:sz w:val="22"/>
              <w:szCs w:val="22"/>
              <w:lang w:val="en-ID"/>
            </w:rPr>
            <m:t>%</m:t>
          </m:r>
          <m:r>
            <w:rPr>
              <w:rFonts w:ascii="Garamond" w:hAnsi="Garamond"/>
              <w:color w:val="000000" w:themeColor="text1"/>
              <w:sz w:val="22"/>
              <w:szCs w:val="22"/>
              <w:lang w:val="en-ID"/>
            </w:rPr>
            <w:br/>
          </m:r>
        </m:oMath>
      </m:oMathPara>
      <w:r w:rsidR="005C4EFB" w:rsidRPr="00C65D2A">
        <w:rPr>
          <w:rFonts w:ascii="Garamond" w:hAnsi="Garamond"/>
          <w:color w:val="000000" w:themeColor="text1"/>
          <w:sz w:val="22"/>
          <w:szCs w:val="22"/>
          <w:lang w:val="en-ID"/>
        </w:rPr>
        <w:t>This means that the organisational communication climate accounts for 15.82% of the improvement in the performance of Islamic Religious Education teachers, whilst the remaining 84.18% is influenced by other factors such as the headteacher’s leadership, work motivation, organisational culture, professional competence, job satisfaction and the working environment.</w:t>
      </w:r>
    </w:p>
    <w:p w:rsidR="00814C71" w:rsidRPr="00C65D2A" w:rsidRDefault="00814C71" w:rsidP="00814C71">
      <w:pPr>
        <w:ind w:left="284" w:hanging="284"/>
        <w:jc w:val="both"/>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2. Organisational Communication Climate and the Performance of Islamic Religious Education Teachers</w:t>
      </w:r>
    </w:p>
    <w:p w:rsidR="00814C71" w:rsidRPr="00C65D2A" w:rsidRDefault="00814C71" w:rsidP="00814C71">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research findings indicate that the organisational communication climate has a positive and significant influence on the performance of Islamic Religious Education teachers. These findings suggest that the quality of communication within the school organisation is a key factor in enhancing the effectiveness of teachers’ performance of their duties.</w:t>
      </w:r>
    </w:p>
    <w:p w:rsidR="00814C71" w:rsidRPr="00C65D2A" w:rsidRDefault="00814C71" w:rsidP="00814C71">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According to R. Wayne Pace and Don F. Faules, the organisational communication climate reflects members’ perceptions of the quality of communication relationships within the work environment, including trust, openness, communication support, participation in decision-making, and attention to organisational goals. When these aspects are positively established, members of the organisation will demonstrate higher levels of engagement and productivity.</w:t>
      </w:r>
    </w:p>
    <w:p w:rsidR="00814C71" w:rsidRPr="00C65D2A" w:rsidRDefault="00814C71" w:rsidP="00814C71">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findings of this study indicate that teachers working in an open communication environment tend to have a better understanding of the school’s objectives, receive adequate support from management, and have the opportunity to express their ideas and aspirations. These conditions foster a sense of belonging to the organisation, which ultimately leads to improved performance.</w:t>
      </w:r>
    </w:p>
    <w:p w:rsidR="00B45E22" w:rsidRPr="00C65D2A" w:rsidRDefault="00814C71" w:rsidP="00814C71">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Nevertheless, the contribution of the organisational communication climate to teacher performance is only 15.82%. This finding suggests that teacher performance is a multidimensional phenomenon that is not determined solely by organisational communication. Other factors such as pedagogical competence, intrinsic motivation, headteacher leadership, organisational culture, well-being, and teaching experience also play a role in shaping teacher performance</w:t>
      </w:r>
      <w:r w:rsidR="00B45E22" w:rsidRPr="00C65D2A">
        <w:rPr>
          <w:rFonts w:ascii="Garamond" w:hAnsi="Garamond"/>
          <w:color w:val="000000" w:themeColor="text1"/>
          <w:sz w:val="22"/>
          <w:szCs w:val="22"/>
          <w:lang w:val="en-ID"/>
        </w:rPr>
        <w:t>.</w:t>
      </w:r>
    </w:p>
    <w:p w:rsidR="00814C71" w:rsidRPr="00C65D2A" w:rsidRDefault="00814C71" w:rsidP="00814C71">
      <w:pPr>
        <w:pStyle w:val="ListParagraph"/>
        <w:numPr>
          <w:ilvl w:val="0"/>
          <w:numId w:val="16"/>
        </w:numPr>
        <w:ind w:left="284" w:hanging="284"/>
        <w:jc w:val="both"/>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The Perspective of Islamic Education Management</w:t>
      </w:r>
    </w:p>
    <w:p w:rsidR="00814C71" w:rsidRPr="00C65D2A" w:rsidRDefault="00814C71" w:rsidP="00814C71">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From the perspective of Islamic educational management, the findings of this study reinforce the importance of applying the principles of shūrā (consultation), amānah (responsibility), ukhuwah (brotherhood), and ta‘āwun (cooperation) in the governance of educational institutions. Open and participatory communication constitutes a tangible implementation of the principle of shūrā, which forms one of the foundations of Islamic leadership.</w:t>
      </w:r>
    </w:p>
    <w:p w:rsidR="00814C71" w:rsidRPr="00C65D2A" w:rsidRDefault="00814C71" w:rsidP="00814C71">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Allah the Almighty states:</w:t>
      </w:r>
    </w:p>
    <w:p w:rsidR="00814C71" w:rsidRPr="00C65D2A" w:rsidRDefault="00814C71" w:rsidP="00814C71">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“And consult them in the matter.” (Q.S. Āli ‘Imrān [3]: 159).</w:t>
      </w:r>
    </w:p>
    <w:p w:rsidR="00814C71" w:rsidRPr="00C65D2A" w:rsidRDefault="00814C71" w:rsidP="00814C71">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This verse emphasises that the involvement of organisational members in the decision-making process is an integral part of effective governance. In the school context, teachers who are involved in programme development, activity evaluation, and policy-making will have a stronger commitment to achieving educational objectives.</w:t>
      </w:r>
    </w:p>
    <w:p w:rsidR="0079109C" w:rsidRPr="00C65D2A" w:rsidRDefault="00814C71" w:rsidP="0079109C">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Furthermore, a healthy communication climate also reflects the application of the values of qaulan sadīdan (truthful speech) and qaulan ma‘rūfan (kind speech), which are the principles of communication in Islam. When communication within the school environment takes place honestly, politely, and with mutual respect, harmonious working relationships can be built, thereby supporting improved teacher performance.</w:t>
      </w:r>
    </w:p>
    <w:p w:rsidR="00814C71" w:rsidRPr="00C65D2A" w:rsidRDefault="00814C71" w:rsidP="0079109C">
      <w:pPr>
        <w:pStyle w:val="ListParagraph"/>
        <w:ind w:left="0"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findings of this study suggest that school heads need to develop a more open, participatory organisational communication system grounded in Islamic values so that the performance of Islamic Religious Education teachers can be continuously improved. Thus, the organisational communication climate serves not only as a managerial tool but also as a means of internalising Islamic values in the management of education.</w:t>
      </w:r>
    </w:p>
    <w:p w:rsidR="00B45E22" w:rsidRPr="00C65D2A" w:rsidRDefault="00814C71" w:rsidP="00B45E22">
      <w:pPr>
        <w:jc w:val="both"/>
        <w:rPr>
          <w:rFonts w:ascii="Garamond" w:hAnsi="Garamond"/>
          <w:b/>
          <w:bCs/>
          <w:color w:val="000000" w:themeColor="text1"/>
          <w:sz w:val="22"/>
          <w:szCs w:val="22"/>
        </w:rPr>
      </w:pPr>
      <w:r w:rsidRPr="00C65D2A">
        <w:rPr>
          <w:rFonts w:ascii="Garamond" w:hAnsi="Garamond"/>
          <w:b/>
          <w:bCs/>
          <w:color w:val="000000" w:themeColor="text1"/>
          <w:sz w:val="22"/>
          <w:szCs w:val="22"/>
        </w:rPr>
        <w:t>Conclusion</w:t>
      </w:r>
    </w:p>
    <w:p w:rsidR="00BA57AD" w:rsidRPr="00C65D2A" w:rsidRDefault="00BA57AD" w:rsidP="00BA57AD">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lastRenderedPageBreak/>
        <w:t>Based on the results of research into the influence of the organisational communication climate on the performance of Islamic Religious Education teachers at state junior secondary schools in Padang Lawas Regency, it can be concluded that the organisational communication climate has a positive and significant influence on teachers’ performance. The results of the Product Moment correlation analysis showed a correlation coefficient of 0.398, indicating a positive relationship between the two variables. This suggests that the better the communication climate established within the school environment, the better the performance of Islamic Education Teachers in carrying out their professional duties.</w:t>
      </w:r>
    </w:p>
    <w:p w:rsidR="00BA57AD" w:rsidRPr="00C65D2A" w:rsidRDefault="00BA57AD" w:rsidP="00BA57AD">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The results of the hypothesis testing using the t-test show that the calculated t-value of 2.843 is greater than the critical t-value of 2.017 at a 5% significance level; therefore, the hypothesis stating that the organisational communication climate influences the performance of Islamic Religious Education teachers can be accepted. This finding confirms that the quality of organisational communication is one of the factors contributing to improved teacher performance.</w:t>
      </w:r>
    </w:p>
    <w:p w:rsidR="00BA57AD" w:rsidRPr="00C65D2A" w:rsidRDefault="00BA57AD" w:rsidP="00BA57AD">
      <w:pPr>
        <w:ind w:firstLine="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Furthermore, the results of the coefficient of determination analysis indicate that the organisational communication climate accounts for 15.82% of the variation in the performance of Islamic Religious Education Teachers, whilst the remaining 84.18% is influenced by other factors outside the scope of this study, such as professional competence, work motivation, headteacher leadership, organisational culture, the working environment, and teachers’ welfare levels.</w:t>
      </w:r>
    </w:p>
    <w:p w:rsidR="00BA57AD" w:rsidRPr="00C65D2A" w:rsidRDefault="00BA57AD" w:rsidP="00B45E22">
      <w:pPr>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From the perspective of Islamic educational management, these findings underscore the importance of fostering a climate of communication grounded in the principles of shūrā (consultation), amānah (accountability), ukhuwah (brotherhood), and ta‘āwun (cooperation). The implementation of open, participatory communication oriented towards Islamic values can strengthen working relationships among school community members and encourage continuous improvement in teachers’ performance. Therefore, headteachers need to foster a conducive culture of communication as part of a strategy to improve educational quality and strengthen Islamic educational management within the school.</w:t>
      </w:r>
    </w:p>
    <w:p w:rsidR="00814C71" w:rsidRPr="00C65D2A" w:rsidRDefault="00814C71" w:rsidP="00814C71">
      <w:pPr>
        <w:ind w:left="851" w:hanging="851"/>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Bibliography</w:t>
      </w:r>
    </w:p>
    <w:p w:rsidR="00814C71" w:rsidRPr="00C65D2A" w:rsidRDefault="00814C71" w:rsidP="00814C71">
      <w:pPr>
        <w:ind w:left="851" w:hanging="851"/>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Books</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Arikunto. Research Procedures: A Practical Approach. Jakarta: Rineka Cipta, 2019.</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Creswell. Research Design: Qualitative, Quantitative, and Mixed Methods Approaches. 5th ed. Thousand Oaks, CA: SAGE Publications, 2018.</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Ghozali. Applications of Multivariate Analysis with IBM SPSS. Semarang: Diponegoro University Press, 2021.</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Mangkunegara. Corporate Human Resource Management. Bandung: Remaja Rosdakarya, 2021.</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Muhammad. Organisational Communication. Jakarta: Bumi Aksara, 2017.</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Pace and Faules. Organisational Communication: Strategies for Improving Corporate Performance. Bandung: Remaja Rosdakarya, 2018.</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Robbins and Judge. Organisational Behaviour. 18th ed. Harlow: Pearson Education, 2021.</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Sugiyono. Quantitative, Qualitative, and R&amp;D Research Methods. Bandung: Alfabeta, 2023.</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Supardi. Teacher Performance. Jakarta: RajaGrafindo Persada, 2019.</w:t>
      </w:r>
    </w:p>
    <w:p w:rsidR="00814C71" w:rsidRPr="00C65D2A" w:rsidRDefault="00814C71"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Wibowo. Performance Management. Jakarta: RajaGrafindo Persada, 2021.</w:t>
      </w:r>
    </w:p>
    <w:p w:rsidR="00814C71" w:rsidRPr="00C65D2A" w:rsidRDefault="00814C71" w:rsidP="00814C71">
      <w:pPr>
        <w:ind w:left="851" w:hanging="851"/>
        <w:jc w:val="both"/>
        <w:rPr>
          <w:rFonts w:ascii="Garamond" w:hAnsi="Garamond"/>
          <w:b/>
          <w:bCs/>
          <w:color w:val="000000" w:themeColor="text1"/>
          <w:sz w:val="22"/>
          <w:szCs w:val="22"/>
          <w:lang w:val="en-ID"/>
        </w:rPr>
      </w:pPr>
      <w:r w:rsidRPr="00C65D2A">
        <w:rPr>
          <w:rFonts w:ascii="Garamond" w:hAnsi="Garamond"/>
          <w:b/>
          <w:bCs/>
          <w:color w:val="000000" w:themeColor="text1"/>
          <w:sz w:val="22"/>
          <w:szCs w:val="22"/>
          <w:lang w:val="en-ID"/>
        </w:rPr>
        <w:t>Journal Articles</w:t>
      </w:r>
    </w:p>
    <w:p w:rsidR="00814C71"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Astuti, Astuti, and Akram Akram. “The Correlation Between Organisational Communication and Work Climate.” Adaara: Journal of Islamic Education Management 13, no. 2 (2023). </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Abebe, A., and A. Assemie. “Quality of Work Life and Organisational Commitment of Academic Staff in Ethiopian Universities.” Heliyon 9, no. 4 (2023): e15139. </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Aburizaizah, S. J. “The Role of Quality Assurance in Saudi Higher Education Institutions.” International Journal of Educational Research Open 3 (2022): 100127.</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Aldridge, Jill M., Meghan J. Blackstock, and Felicity I. McLure. “School Climate: Using a Person–Environment Fit Perspective to Inform School Improvement.” Learning Environments Research 27, no. 2 (2024): 411–430. </w:t>
      </w:r>
    </w:p>
    <w:p w:rsidR="00814C71"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Hidayat, H., L. Anggraini, M. Ridha, S. A. Sami’an, and A. Swarnawati. “The Relationship Between Organisational Communication Climate and Leadership Communication Style on the Performance of Employees at Private Higher Education Institutions in Riau.” 2022.</w:t>
      </w:r>
    </w:p>
    <w:p w:rsidR="00814C71"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Irawati, and Khairiani. “The Effect of Interpersonal Communication and Organisational Climate on Teacher Work Motivation.” Innovative Journal of Islamic Education Management 5, no. 1 (2025). </w:t>
      </w:r>
    </w:p>
    <w:p w:rsidR="00324EFD"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Lasahido, Nurrahmi, Lahmuddin Lubis, and Candra Wijaya. “The Influence of Organisational Climate, Communication Competence and Work Motivation on the Performance of Sumut Syariah Bank Employees Based on Islamic Education in North Sumatra.” Islamic Education: Journal of Islamic Education 12, no. 3 (2023). </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lastRenderedPageBreak/>
        <w:t>Leithwood, Kenneth, Doris Jantzi, and Rosanne Steinbach. “Leadership and Other Conditions Which Foster Organizational Learning in Schools.” In Organizational Learning in Schools, 2021.</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Lijun, Wei, and Hsin Chun Te. “The Role of Primary School Principals and Administrators in Promoting Student Achievement, Teacher Effectiveness, and a Positive School Culture.” Journal of Roi Kaensarn Academi 9, no. 8 (2024). </w:t>
      </w:r>
    </w:p>
    <w:p w:rsidR="00814C71"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Nasution, Toni, Mesiono, Raudatun Annisa, Wan Anwar Fuadi, and Indra Sakti Siagian. “Implementation of Organisational Communication at Madrasah Aliyah Plus Taruna Teknik Al Jabbar Medan in Enhancing Teacher Performance.” ALACRITY: Journal of Education 4, no. 3 (2024). </w:t>
      </w:r>
    </w:p>
    <w:p w:rsidR="00B45E22" w:rsidRPr="00C65D2A" w:rsidRDefault="00814C71" w:rsidP="00814C71">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Prasetyo, Muhammad Anggung Manumanoso. “The Effects of Organisational Climate and Transformative Leadership on Islamic Boarding School Teacher Performance.” Journal of Educational Leadership and Supervision Management 6, no. 2 (2021): 214–235. </w:t>
      </w:r>
      <w:r w:rsidR="00B45E22" w:rsidRPr="00C65D2A">
        <w:rPr>
          <w:rFonts w:ascii="Garamond" w:hAnsi="Garamond"/>
          <w:color w:val="000000" w:themeColor="text1"/>
          <w:sz w:val="22"/>
          <w:szCs w:val="22"/>
          <w:lang w:val="en-ID"/>
        </w:rPr>
        <w:t xml:space="preserve">Purwanto, Eko Sigit, dan Nik Haryanti. “Spiritual Work Motivation as a Mediator in the Relationship Between Organizational Climate and Teacher Performance.” </w:t>
      </w:r>
      <w:r w:rsidR="00B45E22" w:rsidRPr="00C65D2A">
        <w:rPr>
          <w:rFonts w:ascii="Garamond" w:hAnsi="Garamond"/>
          <w:i/>
          <w:iCs/>
          <w:color w:val="000000" w:themeColor="text1"/>
          <w:sz w:val="22"/>
          <w:szCs w:val="22"/>
          <w:lang w:val="en-ID"/>
        </w:rPr>
        <w:t>Al-Tanzim: Jurnal Manajemen Pendidikan Islam</w:t>
      </w:r>
      <w:r w:rsidR="00B45E22" w:rsidRPr="00C65D2A">
        <w:rPr>
          <w:rFonts w:ascii="Garamond" w:hAnsi="Garamond"/>
          <w:color w:val="000000" w:themeColor="text1"/>
          <w:sz w:val="22"/>
          <w:szCs w:val="22"/>
          <w:lang w:val="en-ID"/>
        </w:rPr>
        <w:t xml:space="preserve"> 9, no. 1 (2025): 1–16. </w:t>
      </w:r>
    </w:p>
    <w:p w:rsidR="00B45E22" w:rsidRPr="00C65D2A" w:rsidRDefault="00B45E22" w:rsidP="00B45E22">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Ramadina, Evy, Imam Fuadi, dan Prim Masrokan Mutohar. “Peran Komunikasi Efektif dalam Meningkatkan Produktivitas Organisasi Lembaga Pendidikan Islam.” </w:t>
      </w:r>
      <w:r w:rsidRPr="00C65D2A">
        <w:rPr>
          <w:rFonts w:ascii="Garamond" w:hAnsi="Garamond"/>
          <w:i/>
          <w:iCs/>
          <w:color w:val="000000" w:themeColor="text1"/>
          <w:sz w:val="22"/>
          <w:szCs w:val="22"/>
          <w:lang w:val="en-ID"/>
        </w:rPr>
        <w:t>Jurnal Kepemimpinan dan Pengurusan Sekolah</w:t>
      </w:r>
      <w:r w:rsidRPr="00C65D2A">
        <w:rPr>
          <w:rFonts w:ascii="Garamond" w:hAnsi="Garamond"/>
          <w:color w:val="000000" w:themeColor="text1"/>
          <w:sz w:val="22"/>
          <w:szCs w:val="22"/>
          <w:lang w:val="en-ID"/>
        </w:rPr>
        <w:t xml:space="preserve"> 10, no. 4 (2025). </w:t>
      </w:r>
    </w:p>
    <w:p w:rsidR="00B45E22" w:rsidRPr="00C65D2A" w:rsidRDefault="00B45E22" w:rsidP="00B45E22">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Safrul. “The Influence of Communication, Organizational Climate and Transformational Leadership Style of the Principal on Teacher Performance.” </w:t>
      </w:r>
      <w:r w:rsidRPr="00C65D2A">
        <w:rPr>
          <w:rFonts w:ascii="Garamond" w:hAnsi="Garamond"/>
          <w:i/>
          <w:iCs/>
          <w:color w:val="000000" w:themeColor="text1"/>
          <w:sz w:val="22"/>
          <w:szCs w:val="22"/>
          <w:lang w:val="en-ID"/>
        </w:rPr>
        <w:t>Al-Ishlah: Jurnal Pendidikan</w:t>
      </w:r>
      <w:r w:rsidRPr="00C65D2A">
        <w:rPr>
          <w:rFonts w:ascii="Garamond" w:hAnsi="Garamond"/>
          <w:color w:val="000000" w:themeColor="text1"/>
          <w:sz w:val="22"/>
          <w:szCs w:val="22"/>
          <w:lang w:val="en-ID"/>
        </w:rPr>
        <w:t xml:space="preserve"> 14, no. 3 (2022).</w:t>
      </w:r>
    </w:p>
    <w:p w:rsidR="00B45E22" w:rsidRPr="00C65D2A" w:rsidRDefault="00B45E22" w:rsidP="00B45E22">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Setyati, Indah, dan Maria Dominica Niron. “Leadership Supervision and School Climate: Their Effects on Teacher Performance in Islamic Education Contexts in Indonesia.” </w:t>
      </w:r>
      <w:r w:rsidRPr="00C65D2A">
        <w:rPr>
          <w:rFonts w:ascii="Garamond" w:hAnsi="Garamond"/>
          <w:i/>
          <w:iCs/>
          <w:color w:val="000000" w:themeColor="text1"/>
          <w:sz w:val="22"/>
          <w:szCs w:val="22"/>
          <w:lang w:val="en-ID"/>
        </w:rPr>
        <w:t>Belajea: Jurnal Pendidikan Islam</w:t>
      </w:r>
      <w:r w:rsidRPr="00C65D2A">
        <w:rPr>
          <w:rFonts w:ascii="Garamond" w:hAnsi="Garamond"/>
          <w:color w:val="000000" w:themeColor="text1"/>
          <w:sz w:val="22"/>
          <w:szCs w:val="22"/>
          <w:lang w:val="en-ID"/>
        </w:rPr>
        <w:t xml:space="preserve"> 10, no. 1 (2025): 225–242. </w:t>
      </w:r>
    </w:p>
    <w:p w:rsidR="00324EFD" w:rsidRPr="00C65D2A" w:rsidRDefault="00B45E22"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Siskawati, Isna, Ade Masturi, Nurul Hidayati, Marisa Puspita Sary, dan Anan Nisoh. “The Influence of Whatsapp Usage and Teacher Interpersonal Communication on Organizational Communication Quality.” </w:t>
      </w:r>
      <w:r w:rsidRPr="00C65D2A">
        <w:rPr>
          <w:rFonts w:ascii="Garamond" w:hAnsi="Garamond"/>
          <w:i/>
          <w:iCs/>
          <w:color w:val="000000" w:themeColor="text1"/>
          <w:sz w:val="22"/>
          <w:szCs w:val="22"/>
          <w:lang w:val="en-ID"/>
        </w:rPr>
        <w:t>Syiar: Jurnal Komunikasi dan Penyiaran Islam</w:t>
      </w:r>
      <w:r w:rsidRPr="00C65D2A">
        <w:rPr>
          <w:rFonts w:ascii="Garamond" w:hAnsi="Garamond"/>
          <w:color w:val="000000" w:themeColor="text1"/>
          <w:sz w:val="22"/>
          <w:szCs w:val="22"/>
          <w:lang w:val="en-ID"/>
        </w:rPr>
        <w:t xml:space="preserve"> 5, no. 2 (2025). </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Suntani, Utui Tatang, Rambat Nur Sasongko, Muhammad Kristiawan, Ahmad Walid, and Raden Gamal Tamrin Kusumah. “The Role of Principal Interpersonal Communication on Teachers’ Work Motivation.” Education Quarterly Reviews 4, no. 2 (2021). </w:t>
      </w:r>
    </w:p>
    <w:p w:rsidR="006F00B6" w:rsidRPr="00C65D2A" w:rsidRDefault="006F00B6"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Rizky, Muhammad, Candra Wijaya, and Muhammad Rifa’i. “The Effect of Organisational Climate, Teachers’ Professionalism, and Achievement Motivation on Teachers’ Performance at State-Run Private Schools.” Jurnal Basicedu 6, no. 4 (2022). </w:t>
      </w:r>
    </w:p>
    <w:p w:rsidR="006F00B6" w:rsidRPr="00C65D2A" w:rsidRDefault="006F00B6"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Van den Broeck, Anja, Joshua L. Howard, Yves Van Vaerenbergh, Hannes Leroy, and Marylène Gagné. “Beyond Intrinsic and Extrinsic Motivation: A Meta-Analysis on Self-Determination Theory’s Multidimensional Conceptualisation of Work Motivation.” Organizational Psychology Review 11, no. 3 (2021): 240–273. </w:t>
      </w:r>
    </w:p>
    <w:p w:rsidR="006F00B6" w:rsidRPr="00C65D2A" w:rsidRDefault="006F00B6" w:rsidP="006F00B6">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Wang, Fang, Hao Liu, and MingLi Fan. “The Relationship between Transformational Leadership and Teacher Autonomy: A Latent Moderation Analysis.” Acta Psychologica 249 (2024): 104444. </w:t>
      </w:r>
    </w:p>
    <w:p w:rsidR="00324EFD" w:rsidRPr="00C65D2A" w:rsidRDefault="00324EFD" w:rsidP="00324EFD">
      <w:pPr>
        <w:ind w:left="851" w:hanging="851"/>
        <w:jc w:val="both"/>
        <w:rPr>
          <w:rFonts w:ascii="Garamond" w:hAnsi="Garamond"/>
          <w:color w:val="000000" w:themeColor="text1"/>
          <w:sz w:val="22"/>
          <w:szCs w:val="22"/>
          <w:lang w:val="en-ID"/>
        </w:rPr>
      </w:pPr>
      <w:r w:rsidRPr="00C65D2A">
        <w:rPr>
          <w:rFonts w:ascii="Garamond" w:hAnsi="Garamond"/>
          <w:color w:val="000000" w:themeColor="text1"/>
          <w:sz w:val="22"/>
          <w:szCs w:val="22"/>
          <w:lang w:val="en-ID"/>
        </w:rPr>
        <w:t xml:space="preserve">Wijiyanto, Iwan, dan Rina Mida Hayati. “Enhancing Science Teacher Performance: The Role of Interpersonal Communication, Pedagogical Competence, and Organizational Climate.” </w:t>
      </w:r>
      <w:r w:rsidRPr="00C65D2A">
        <w:rPr>
          <w:rFonts w:ascii="Garamond" w:hAnsi="Garamond"/>
          <w:i/>
          <w:iCs/>
          <w:color w:val="000000" w:themeColor="text1"/>
          <w:sz w:val="22"/>
          <w:szCs w:val="22"/>
          <w:lang w:val="en-ID"/>
        </w:rPr>
        <w:t>Journal of Education Policy and Management Studies</w:t>
      </w:r>
      <w:r w:rsidRPr="00C65D2A">
        <w:rPr>
          <w:rFonts w:ascii="Garamond" w:hAnsi="Garamond"/>
          <w:color w:val="000000" w:themeColor="text1"/>
          <w:sz w:val="22"/>
          <w:szCs w:val="22"/>
          <w:lang w:val="en-ID"/>
        </w:rPr>
        <w:t xml:space="preserve"> 2, no. 1 (2025). </w:t>
      </w:r>
    </w:p>
    <w:p w:rsidR="00324EFD" w:rsidRPr="00C65D2A" w:rsidRDefault="00324EFD" w:rsidP="006F00B6">
      <w:pPr>
        <w:ind w:left="851" w:hanging="851"/>
        <w:jc w:val="both"/>
        <w:rPr>
          <w:rFonts w:ascii="Garamond" w:hAnsi="Garamond"/>
          <w:color w:val="000000" w:themeColor="text1"/>
          <w:sz w:val="22"/>
          <w:szCs w:val="22"/>
          <w:lang w:val="en-ID"/>
        </w:rPr>
      </w:pPr>
    </w:p>
    <w:sectPr w:rsidR="00324EFD" w:rsidRPr="00C65D2A" w:rsidSect="00B45E22">
      <w:headerReference w:type="even" r:id="rId9"/>
      <w:headerReference w:type="default" r:id="rId10"/>
      <w:footerReference w:type="even" r:id="rId11"/>
      <w:pgSz w:w="11907" w:h="16840" w:code="9"/>
      <w:pgMar w:top="1134" w:right="1134" w:bottom="1134" w:left="1134"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DF5" w:rsidRDefault="00B72DF5">
      <w:r>
        <w:separator/>
      </w:r>
    </w:p>
  </w:endnote>
  <w:endnote w:type="continuationSeparator" w:id="0">
    <w:p w:rsidR="00B72DF5" w:rsidRDefault="00B7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等线">
    <w:panose1 w:val="00000000000000000000"/>
    <w:charset w:val="80"/>
    <w:family w:val="roman"/>
    <w:notTrueType/>
    <w:pitch w:val="default"/>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22" w:rsidRDefault="00B45E22" w:rsidP="005C1E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5E22" w:rsidRDefault="00B45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DF5" w:rsidRDefault="00B72DF5">
      <w:r>
        <w:separator/>
      </w:r>
    </w:p>
  </w:footnote>
  <w:footnote w:type="continuationSeparator" w:id="0">
    <w:p w:rsidR="00B72DF5" w:rsidRDefault="00B72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22" w:rsidRDefault="00B45E22" w:rsidP="005C1E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5E22" w:rsidRDefault="00B45E2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E22" w:rsidRDefault="00B45E2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9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56915"/>
    <w:multiLevelType w:val="hybridMultilevel"/>
    <w:tmpl w:val="FFFFFFFF"/>
    <w:lvl w:ilvl="0" w:tplc="3809000F">
      <w:start w:val="1"/>
      <w:numFmt w:val="decimal"/>
      <w:lvlText w:val="%1."/>
      <w:lvlJc w:val="left"/>
      <w:pPr>
        <w:ind w:left="1571" w:hanging="360"/>
      </w:pPr>
      <w:rPr>
        <w:rFonts w:cs="Times New Roman"/>
      </w:rPr>
    </w:lvl>
    <w:lvl w:ilvl="1" w:tplc="38090019" w:tentative="1">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2">
    <w:nsid w:val="13C63B9B"/>
    <w:multiLevelType w:val="hybridMultilevel"/>
    <w:tmpl w:val="FFFFFFFF"/>
    <w:lvl w:ilvl="0" w:tplc="09A09840">
      <w:start w:val="2"/>
      <w:numFmt w:val="decimal"/>
      <w:lvlText w:val="%1."/>
      <w:lvlJc w:val="left"/>
      <w:pPr>
        <w:ind w:left="1571"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158E15A3"/>
    <w:multiLevelType w:val="hybridMultilevel"/>
    <w:tmpl w:val="FFFFFFFF"/>
    <w:lvl w:ilvl="0" w:tplc="5038C744">
      <w:start w:val="3"/>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4">
    <w:nsid w:val="1631012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EFE1EDA"/>
    <w:multiLevelType w:val="hybridMultilevel"/>
    <w:tmpl w:val="FFFFFFFF"/>
    <w:lvl w:ilvl="0" w:tplc="3809000F">
      <w:start w:val="3"/>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22C345B4"/>
    <w:multiLevelType w:val="hybridMultilevel"/>
    <w:tmpl w:val="FFFFFFFF"/>
    <w:lvl w:ilvl="0" w:tplc="380EE2E8">
      <w:start w:val="4"/>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7">
    <w:nsid w:val="41675599"/>
    <w:multiLevelType w:val="hybridMultilevel"/>
    <w:tmpl w:val="FFFFFFFF"/>
    <w:lvl w:ilvl="0" w:tplc="00DEBE08">
      <w:start w:val="2"/>
      <w:numFmt w:val="decimal"/>
      <w:lvlText w:val="%1."/>
      <w:lvlJc w:val="left"/>
      <w:pPr>
        <w:ind w:left="1571" w:hanging="360"/>
      </w:pPr>
      <w:rPr>
        <w:rFonts w:cs="Times New Roman" w:hint="default"/>
      </w:rPr>
    </w:lvl>
    <w:lvl w:ilvl="1" w:tplc="38090019" w:tentative="1">
      <w:start w:val="1"/>
      <w:numFmt w:val="lowerLetter"/>
      <w:lvlText w:val="%2."/>
      <w:lvlJc w:val="left"/>
      <w:pPr>
        <w:ind w:left="2291" w:hanging="360"/>
      </w:pPr>
      <w:rPr>
        <w:rFonts w:cs="Times New Roman"/>
      </w:rPr>
    </w:lvl>
    <w:lvl w:ilvl="2" w:tplc="3809001B" w:tentative="1">
      <w:start w:val="1"/>
      <w:numFmt w:val="lowerRoman"/>
      <w:lvlText w:val="%3."/>
      <w:lvlJc w:val="right"/>
      <w:pPr>
        <w:ind w:left="3011" w:hanging="180"/>
      </w:pPr>
      <w:rPr>
        <w:rFonts w:cs="Times New Roman"/>
      </w:rPr>
    </w:lvl>
    <w:lvl w:ilvl="3" w:tplc="3809000F" w:tentative="1">
      <w:start w:val="1"/>
      <w:numFmt w:val="decimal"/>
      <w:lvlText w:val="%4."/>
      <w:lvlJc w:val="left"/>
      <w:pPr>
        <w:ind w:left="3731" w:hanging="360"/>
      </w:pPr>
      <w:rPr>
        <w:rFonts w:cs="Times New Roman"/>
      </w:rPr>
    </w:lvl>
    <w:lvl w:ilvl="4" w:tplc="38090019" w:tentative="1">
      <w:start w:val="1"/>
      <w:numFmt w:val="lowerLetter"/>
      <w:lvlText w:val="%5."/>
      <w:lvlJc w:val="left"/>
      <w:pPr>
        <w:ind w:left="4451" w:hanging="360"/>
      </w:pPr>
      <w:rPr>
        <w:rFonts w:cs="Times New Roman"/>
      </w:rPr>
    </w:lvl>
    <w:lvl w:ilvl="5" w:tplc="3809001B" w:tentative="1">
      <w:start w:val="1"/>
      <w:numFmt w:val="lowerRoman"/>
      <w:lvlText w:val="%6."/>
      <w:lvlJc w:val="right"/>
      <w:pPr>
        <w:ind w:left="5171" w:hanging="180"/>
      </w:pPr>
      <w:rPr>
        <w:rFonts w:cs="Times New Roman"/>
      </w:rPr>
    </w:lvl>
    <w:lvl w:ilvl="6" w:tplc="3809000F" w:tentative="1">
      <w:start w:val="1"/>
      <w:numFmt w:val="decimal"/>
      <w:lvlText w:val="%7."/>
      <w:lvlJc w:val="left"/>
      <w:pPr>
        <w:ind w:left="5891" w:hanging="360"/>
      </w:pPr>
      <w:rPr>
        <w:rFonts w:cs="Times New Roman"/>
      </w:rPr>
    </w:lvl>
    <w:lvl w:ilvl="7" w:tplc="38090019" w:tentative="1">
      <w:start w:val="1"/>
      <w:numFmt w:val="lowerLetter"/>
      <w:lvlText w:val="%8."/>
      <w:lvlJc w:val="left"/>
      <w:pPr>
        <w:ind w:left="6611" w:hanging="360"/>
      </w:pPr>
      <w:rPr>
        <w:rFonts w:cs="Times New Roman"/>
      </w:rPr>
    </w:lvl>
    <w:lvl w:ilvl="8" w:tplc="3809001B" w:tentative="1">
      <w:start w:val="1"/>
      <w:numFmt w:val="lowerRoman"/>
      <w:lvlText w:val="%9."/>
      <w:lvlJc w:val="right"/>
      <w:pPr>
        <w:ind w:left="7331" w:hanging="180"/>
      </w:pPr>
      <w:rPr>
        <w:rFonts w:cs="Times New Roman"/>
      </w:rPr>
    </w:lvl>
  </w:abstractNum>
  <w:abstractNum w:abstractNumId="8">
    <w:nsid w:val="46252D1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6973F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A960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439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E47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2215E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06C3DAA"/>
    <w:multiLevelType w:val="multilevel"/>
    <w:tmpl w:val="FFFFFFFF"/>
    <w:lvl w:ilvl="0">
      <w:start w:val="4"/>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5">
    <w:nsid w:val="773D2B7B"/>
    <w:multiLevelType w:val="hybridMultilevel"/>
    <w:tmpl w:val="FFFFFFFF"/>
    <w:lvl w:ilvl="0" w:tplc="BFF24AFC">
      <w:start w:val="1"/>
      <w:numFmt w:val="decimal"/>
      <w:lvlText w:val="%1."/>
      <w:lvlJc w:val="left"/>
      <w:pPr>
        <w:ind w:left="1571"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1"/>
  </w:num>
  <w:num w:numId="4">
    <w:abstractNumId w:val="14"/>
  </w:num>
  <w:num w:numId="5">
    <w:abstractNumId w:val="15"/>
  </w:num>
  <w:num w:numId="6">
    <w:abstractNumId w:val="2"/>
  </w:num>
  <w:num w:numId="7">
    <w:abstractNumId w:val="13"/>
  </w:num>
  <w:num w:numId="8">
    <w:abstractNumId w:val="7"/>
  </w:num>
  <w:num w:numId="9">
    <w:abstractNumId w:val="3"/>
  </w:num>
  <w:num w:numId="10">
    <w:abstractNumId w:val="6"/>
  </w:num>
  <w:num w:numId="11">
    <w:abstractNumId w:val="9"/>
  </w:num>
  <w:num w:numId="12">
    <w:abstractNumId w:val="12"/>
  </w:num>
  <w:num w:numId="13">
    <w:abstractNumId w:val="10"/>
  </w:num>
  <w:num w:numId="14">
    <w:abstractNumId w:val="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22"/>
    <w:rsid w:val="00006746"/>
    <w:rsid w:val="002F46DD"/>
    <w:rsid w:val="00324EFD"/>
    <w:rsid w:val="00422C11"/>
    <w:rsid w:val="004F3C05"/>
    <w:rsid w:val="005127A1"/>
    <w:rsid w:val="005B51D1"/>
    <w:rsid w:val="005C1E57"/>
    <w:rsid w:val="005C4EFB"/>
    <w:rsid w:val="006C65B4"/>
    <w:rsid w:val="006F00B6"/>
    <w:rsid w:val="006F51C1"/>
    <w:rsid w:val="00776B3C"/>
    <w:rsid w:val="0079109C"/>
    <w:rsid w:val="00814C71"/>
    <w:rsid w:val="00A4635F"/>
    <w:rsid w:val="00AD5B57"/>
    <w:rsid w:val="00B45E22"/>
    <w:rsid w:val="00B72DF5"/>
    <w:rsid w:val="00BA57AD"/>
    <w:rsid w:val="00BF640E"/>
    <w:rsid w:val="00C65D2A"/>
    <w:rsid w:val="00DB6332"/>
    <w:rsid w:val="00E636EC"/>
    <w:rsid w:val="00ED0B3B"/>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E22"/>
    <w:pPr>
      <w:spacing w:after="0" w:line="240" w:lineRule="auto"/>
    </w:pPr>
    <w:rPr>
      <w:rFonts w:ascii="Times New Roman" w:hAnsi="Times New Roman" w:cs="Times New Roman"/>
      <w:kern w:val="0"/>
      <w:sz w:val="24"/>
      <w:szCs w:val="24"/>
      <w:lang w:val="en-US"/>
    </w:rPr>
  </w:style>
  <w:style w:type="paragraph" w:styleId="Heading1">
    <w:name w:val="heading 1"/>
    <w:basedOn w:val="Normal"/>
    <w:next w:val="Normal"/>
    <w:link w:val="Heading1Char"/>
    <w:uiPriority w:val="9"/>
    <w:qFormat/>
    <w:rsid w:val="00B45E22"/>
    <w:pPr>
      <w:keepNext/>
      <w:keepLines/>
      <w:spacing w:before="360" w:after="80"/>
      <w:outlineLvl w:val="0"/>
    </w:pPr>
    <w:rPr>
      <w:rFonts w:asciiTheme="majorHAnsi" w:eastAsiaTheme="majorEastAsia" w:hAnsiTheme="majorHAnsi"/>
      <w:color w:val="2F5496" w:themeColor="accent1" w:themeShade="BF"/>
      <w:sz w:val="40"/>
      <w:szCs w:val="50"/>
    </w:rPr>
  </w:style>
  <w:style w:type="paragraph" w:styleId="Heading2">
    <w:name w:val="heading 2"/>
    <w:basedOn w:val="Normal"/>
    <w:next w:val="Normal"/>
    <w:link w:val="Heading2Char"/>
    <w:uiPriority w:val="9"/>
    <w:semiHidden/>
    <w:unhideWhenUsed/>
    <w:qFormat/>
    <w:rsid w:val="00B45E22"/>
    <w:pPr>
      <w:keepNext/>
      <w:keepLines/>
      <w:spacing w:before="160" w:after="80"/>
      <w:outlineLvl w:val="1"/>
    </w:pPr>
    <w:rPr>
      <w:rFonts w:asciiTheme="majorHAnsi" w:eastAsiaTheme="majorEastAsia" w:hAnsiTheme="majorHAnsi"/>
      <w:color w:val="2F5496" w:themeColor="accent1" w:themeShade="BF"/>
      <w:sz w:val="32"/>
      <w:szCs w:val="40"/>
    </w:rPr>
  </w:style>
  <w:style w:type="paragraph" w:styleId="Heading3">
    <w:name w:val="heading 3"/>
    <w:basedOn w:val="Normal"/>
    <w:next w:val="Normal"/>
    <w:link w:val="Heading3Char"/>
    <w:uiPriority w:val="9"/>
    <w:unhideWhenUsed/>
    <w:qFormat/>
    <w:rsid w:val="00B45E22"/>
    <w:pPr>
      <w:keepNext/>
      <w:keepLines/>
      <w:spacing w:before="160" w:after="80"/>
      <w:outlineLvl w:val="2"/>
    </w:pPr>
    <w:rPr>
      <w:rFonts w:eastAsiaTheme="majorEastAsia"/>
      <w:color w:val="2F5496" w:themeColor="accent1" w:themeShade="BF"/>
      <w:sz w:val="28"/>
      <w:szCs w:val="35"/>
    </w:rPr>
  </w:style>
  <w:style w:type="paragraph" w:styleId="Heading4">
    <w:name w:val="heading 4"/>
    <w:basedOn w:val="Normal"/>
    <w:next w:val="Normal"/>
    <w:link w:val="Heading4Char"/>
    <w:uiPriority w:val="9"/>
    <w:unhideWhenUsed/>
    <w:qFormat/>
    <w:rsid w:val="00B45E22"/>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B45E22"/>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B45E2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45E2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45E2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45E22"/>
    <w:pPr>
      <w:keepNext/>
      <w:keepLines/>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22"/>
    <w:rPr>
      <w:rFonts w:asciiTheme="majorHAnsi" w:eastAsiaTheme="majorEastAsia" w:hAnsiTheme="majorHAnsi" w:cs="Times New Roman"/>
      <w:color w:val="2F5496" w:themeColor="accent1" w:themeShade="BF"/>
      <w:sz w:val="50"/>
      <w:szCs w:val="50"/>
      <w:lang w:bidi="th-TH"/>
    </w:rPr>
  </w:style>
  <w:style w:type="character" w:customStyle="1" w:styleId="Heading2Char">
    <w:name w:val="Heading 2 Char"/>
    <w:basedOn w:val="DefaultParagraphFont"/>
    <w:link w:val="Heading2"/>
    <w:uiPriority w:val="9"/>
    <w:semiHidden/>
    <w:locked/>
    <w:rsid w:val="00B45E22"/>
    <w:rPr>
      <w:rFonts w:asciiTheme="majorHAnsi" w:eastAsiaTheme="majorEastAsia" w:hAnsiTheme="majorHAnsi" w:cs="Times New Roman"/>
      <w:color w:val="2F5496" w:themeColor="accent1" w:themeShade="BF"/>
      <w:sz w:val="40"/>
      <w:szCs w:val="40"/>
      <w:lang w:bidi="th-TH"/>
    </w:rPr>
  </w:style>
  <w:style w:type="character" w:customStyle="1" w:styleId="Heading3Char">
    <w:name w:val="Heading 3 Char"/>
    <w:basedOn w:val="DefaultParagraphFont"/>
    <w:link w:val="Heading3"/>
    <w:uiPriority w:val="9"/>
    <w:locked/>
    <w:rsid w:val="00B45E22"/>
    <w:rPr>
      <w:rFonts w:eastAsiaTheme="majorEastAsia" w:cs="Times New Roman"/>
      <w:color w:val="2F5496" w:themeColor="accent1" w:themeShade="BF"/>
      <w:sz w:val="35"/>
      <w:szCs w:val="35"/>
      <w:lang w:bidi="th-TH"/>
    </w:rPr>
  </w:style>
  <w:style w:type="character" w:customStyle="1" w:styleId="Heading4Char">
    <w:name w:val="Heading 4 Char"/>
    <w:basedOn w:val="DefaultParagraphFont"/>
    <w:link w:val="Heading4"/>
    <w:uiPriority w:val="9"/>
    <w:locked/>
    <w:rsid w:val="00B45E22"/>
    <w:rPr>
      <w:rFonts w:eastAsiaTheme="majorEastAsia" w:cs="Times New Roman"/>
      <w:i/>
      <w:iCs/>
      <w:color w:val="2F5496" w:themeColor="accent1" w:themeShade="BF"/>
      <w:lang w:bidi="th-TH"/>
    </w:rPr>
  </w:style>
  <w:style w:type="character" w:customStyle="1" w:styleId="Heading5Char">
    <w:name w:val="Heading 5 Char"/>
    <w:basedOn w:val="DefaultParagraphFont"/>
    <w:link w:val="Heading5"/>
    <w:uiPriority w:val="9"/>
    <w:semiHidden/>
    <w:locked/>
    <w:rsid w:val="00B45E22"/>
    <w:rPr>
      <w:rFonts w:eastAsiaTheme="majorEastAsia" w:cs="Times New Roman"/>
      <w:color w:val="2F5496" w:themeColor="accent1" w:themeShade="BF"/>
      <w:lang w:bidi="th-TH"/>
    </w:rPr>
  </w:style>
  <w:style w:type="character" w:customStyle="1" w:styleId="Heading6Char">
    <w:name w:val="Heading 6 Char"/>
    <w:basedOn w:val="DefaultParagraphFont"/>
    <w:link w:val="Heading6"/>
    <w:uiPriority w:val="9"/>
    <w:semiHidden/>
    <w:locked/>
    <w:rsid w:val="00B45E22"/>
    <w:rPr>
      <w:rFonts w:eastAsiaTheme="majorEastAsia" w:cs="Times New Roman"/>
      <w:i/>
      <w:iCs/>
      <w:color w:val="595959" w:themeColor="text1" w:themeTint="A6"/>
      <w:lang w:bidi="th-TH"/>
    </w:rPr>
  </w:style>
  <w:style w:type="character" w:customStyle="1" w:styleId="Heading7Char">
    <w:name w:val="Heading 7 Char"/>
    <w:basedOn w:val="DefaultParagraphFont"/>
    <w:link w:val="Heading7"/>
    <w:uiPriority w:val="9"/>
    <w:semiHidden/>
    <w:locked/>
    <w:rsid w:val="00B45E22"/>
    <w:rPr>
      <w:rFonts w:eastAsiaTheme="majorEastAsia" w:cs="Times New Roman"/>
      <w:color w:val="595959" w:themeColor="text1" w:themeTint="A6"/>
      <w:lang w:bidi="th-TH"/>
    </w:rPr>
  </w:style>
  <w:style w:type="character" w:customStyle="1" w:styleId="Heading8Char">
    <w:name w:val="Heading 8 Char"/>
    <w:basedOn w:val="DefaultParagraphFont"/>
    <w:link w:val="Heading8"/>
    <w:uiPriority w:val="9"/>
    <w:semiHidden/>
    <w:locked/>
    <w:rsid w:val="00B45E22"/>
    <w:rPr>
      <w:rFonts w:eastAsiaTheme="majorEastAsia" w:cs="Times New Roman"/>
      <w:i/>
      <w:iCs/>
      <w:color w:val="272727" w:themeColor="text1" w:themeTint="D8"/>
      <w:lang w:bidi="th-TH"/>
    </w:rPr>
  </w:style>
  <w:style w:type="character" w:customStyle="1" w:styleId="Heading9Char">
    <w:name w:val="Heading 9 Char"/>
    <w:basedOn w:val="DefaultParagraphFont"/>
    <w:link w:val="Heading9"/>
    <w:uiPriority w:val="9"/>
    <w:semiHidden/>
    <w:locked/>
    <w:rsid w:val="00B45E22"/>
    <w:rPr>
      <w:rFonts w:eastAsiaTheme="majorEastAsia" w:cs="Times New Roman"/>
      <w:color w:val="272727" w:themeColor="text1" w:themeTint="D8"/>
      <w:lang w:bidi="th-TH"/>
    </w:rPr>
  </w:style>
  <w:style w:type="paragraph" w:styleId="Title">
    <w:name w:val="Title"/>
    <w:basedOn w:val="Normal"/>
    <w:next w:val="Normal"/>
    <w:link w:val="TitleChar"/>
    <w:uiPriority w:val="10"/>
    <w:qFormat/>
    <w:rsid w:val="00B45E22"/>
    <w:pPr>
      <w:spacing w:after="80"/>
      <w:contextualSpacing/>
    </w:pPr>
    <w:rPr>
      <w:rFonts w:asciiTheme="majorHAnsi" w:eastAsiaTheme="majorEastAsia" w:hAnsiTheme="majorHAnsi"/>
      <w:spacing w:val="-10"/>
      <w:kern w:val="28"/>
      <w:sz w:val="56"/>
      <w:szCs w:val="71"/>
    </w:rPr>
  </w:style>
  <w:style w:type="character" w:customStyle="1" w:styleId="TitleChar">
    <w:name w:val="Title Char"/>
    <w:basedOn w:val="DefaultParagraphFont"/>
    <w:link w:val="Title"/>
    <w:uiPriority w:val="10"/>
    <w:locked/>
    <w:rsid w:val="00B45E22"/>
    <w:rPr>
      <w:rFonts w:asciiTheme="majorHAnsi" w:eastAsiaTheme="majorEastAsia" w:hAnsiTheme="majorHAnsi" w:cs="Times New Roman"/>
      <w:spacing w:val="-10"/>
      <w:kern w:val="28"/>
      <w:sz w:val="71"/>
      <w:szCs w:val="71"/>
      <w:lang w:bidi="th-TH"/>
    </w:rPr>
  </w:style>
  <w:style w:type="paragraph" w:styleId="Subtitle">
    <w:name w:val="Subtitle"/>
    <w:basedOn w:val="Normal"/>
    <w:next w:val="Normal"/>
    <w:link w:val="SubtitleChar"/>
    <w:uiPriority w:val="11"/>
    <w:qFormat/>
    <w:rsid w:val="00B45E22"/>
    <w:pPr>
      <w:numPr>
        <w:ilvl w:val="1"/>
      </w:numPr>
    </w:pPr>
    <w:rPr>
      <w:rFonts w:eastAsiaTheme="majorEastAsia"/>
      <w:color w:val="595959" w:themeColor="text1" w:themeTint="A6"/>
      <w:spacing w:val="15"/>
      <w:sz w:val="28"/>
      <w:szCs w:val="35"/>
    </w:rPr>
  </w:style>
  <w:style w:type="character" w:customStyle="1" w:styleId="SubtitleChar">
    <w:name w:val="Subtitle Char"/>
    <w:basedOn w:val="DefaultParagraphFont"/>
    <w:link w:val="Subtitle"/>
    <w:uiPriority w:val="11"/>
    <w:locked/>
    <w:rsid w:val="00B45E22"/>
    <w:rPr>
      <w:rFonts w:eastAsiaTheme="majorEastAsia" w:cs="Times New Roman"/>
      <w:color w:val="595959" w:themeColor="text1" w:themeTint="A6"/>
      <w:spacing w:val="15"/>
      <w:sz w:val="35"/>
      <w:szCs w:val="35"/>
      <w:lang w:bidi="th-TH"/>
    </w:rPr>
  </w:style>
  <w:style w:type="paragraph" w:styleId="Quote">
    <w:name w:val="Quote"/>
    <w:basedOn w:val="Normal"/>
    <w:next w:val="Normal"/>
    <w:link w:val="QuoteChar"/>
    <w:uiPriority w:val="29"/>
    <w:qFormat/>
    <w:rsid w:val="00B45E22"/>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B45E22"/>
    <w:rPr>
      <w:rFonts w:cs="Times New Roman"/>
      <w:i/>
      <w:iCs/>
      <w:color w:val="404040" w:themeColor="text1" w:themeTint="BF"/>
    </w:rPr>
  </w:style>
  <w:style w:type="paragraph" w:styleId="ListParagraph">
    <w:name w:val="List Paragraph"/>
    <w:basedOn w:val="Normal"/>
    <w:uiPriority w:val="34"/>
    <w:qFormat/>
    <w:rsid w:val="00B45E22"/>
    <w:pPr>
      <w:ind w:left="720"/>
      <w:contextualSpacing/>
    </w:pPr>
  </w:style>
  <w:style w:type="character" w:styleId="IntenseEmphasis">
    <w:name w:val="Intense Emphasis"/>
    <w:basedOn w:val="DefaultParagraphFont"/>
    <w:uiPriority w:val="21"/>
    <w:qFormat/>
    <w:rsid w:val="00B45E22"/>
    <w:rPr>
      <w:rFonts w:cs="Times New Roman"/>
      <w:i/>
      <w:iCs/>
      <w:color w:val="2F5496" w:themeColor="accent1" w:themeShade="BF"/>
    </w:rPr>
  </w:style>
  <w:style w:type="paragraph" w:styleId="IntenseQuote">
    <w:name w:val="Intense Quote"/>
    <w:basedOn w:val="Normal"/>
    <w:next w:val="Normal"/>
    <w:link w:val="IntenseQuoteChar"/>
    <w:uiPriority w:val="30"/>
    <w:qFormat/>
    <w:rsid w:val="00B45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sid w:val="00B45E22"/>
    <w:rPr>
      <w:rFonts w:cs="Times New Roman"/>
      <w:i/>
      <w:iCs/>
      <w:color w:val="2F5496" w:themeColor="accent1" w:themeShade="BF"/>
    </w:rPr>
  </w:style>
  <w:style w:type="character" w:styleId="IntenseReference">
    <w:name w:val="Intense Reference"/>
    <w:basedOn w:val="DefaultParagraphFont"/>
    <w:uiPriority w:val="32"/>
    <w:qFormat/>
    <w:rsid w:val="00B45E22"/>
    <w:rPr>
      <w:rFonts w:cs="Times New Roman"/>
      <w:b/>
      <w:bCs/>
      <w:smallCaps/>
      <w:color w:val="2F5496" w:themeColor="accent1" w:themeShade="BF"/>
      <w:spacing w:val="5"/>
    </w:rPr>
  </w:style>
  <w:style w:type="paragraph" w:styleId="Footer">
    <w:name w:val="footer"/>
    <w:basedOn w:val="Normal"/>
    <w:link w:val="FooterChar"/>
    <w:uiPriority w:val="99"/>
    <w:rsid w:val="00B45E22"/>
    <w:pPr>
      <w:tabs>
        <w:tab w:val="center" w:pos="4320"/>
        <w:tab w:val="right" w:pos="8640"/>
      </w:tabs>
    </w:pPr>
  </w:style>
  <w:style w:type="character" w:customStyle="1" w:styleId="FooterChar">
    <w:name w:val="Footer Char"/>
    <w:basedOn w:val="DefaultParagraphFont"/>
    <w:link w:val="Footer"/>
    <w:uiPriority w:val="99"/>
    <w:locked/>
    <w:rsid w:val="00B45E22"/>
    <w:rPr>
      <w:rFonts w:ascii="Times New Roman" w:hAnsi="Times New Roman" w:cs="Times New Roman"/>
      <w:kern w:val="0"/>
      <w:sz w:val="24"/>
      <w:szCs w:val="24"/>
      <w:lang w:val="en-US" w:eastAsia="x-none" w:bidi="ar-SA"/>
    </w:rPr>
  </w:style>
  <w:style w:type="paragraph" w:styleId="Header">
    <w:name w:val="header"/>
    <w:basedOn w:val="Normal"/>
    <w:link w:val="HeaderChar"/>
    <w:uiPriority w:val="99"/>
    <w:rsid w:val="00B45E22"/>
    <w:pPr>
      <w:tabs>
        <w:tab w:val="center" w:pos="4320"/>
        <w:tab w:val="right" w:pos="8640"/>
      </w:tabs>
    </w:pPr>
  </w:style>
  <w:style w:type="character" w:customStyle="1" w:styleId="HeaderChar">
    <w:name w:val="Header Char"/>
    <w:basedOn w:val="DefaultParagraphFont"/>
    <w:link w:val="Header"/>
    <w:uiPriority w:val="99"/>
    <w:locked/>
    <w:rsid w:val="00B45E22"/>
    <w:rPr>
      <w:rFonts w:ascii="Times New Roman" w:hAnsi="Times New Roman" w:cs="Times New Roman"/>
      <w:kern w:val="0"/>
      <w:sz w:val="24"/>
      <w:szCs w:val="24"/>
      <w:lang w:val="en-US" w:eastAsia="x-none" w:bidi="ar-SA"/>
    </w:rPr>
  </w:style>
  <w:style w:type="character" w:styleId="PageNumber">
    <w:name w:val="page number"/>
    <w:basedOn w:val="DefaultParagraphFont"/>
    <w:uiPriority w:val="99"/>
    <w:rsid w:val="00B45E22"/>
    <w:rPr>
      <w:rFonts w:cs="Times New Roman"/>
    </w:rPr>
  </w:style>
  <w:style w:type="paragraph" w:styleId="NormalWeb">
    <w:name w:val="Normal (Web)"/>
    <w:basedOn w:val="Normal"/>
    <w:uiPriority w:val="99"/>
    <w:unhideWhenUsed/>
    <w:rsid w:val="00B45E22"/>
    <w:pPr>
      <w:spacing w:before="100" w:beforeAutospacing="1" w:after="100" w:afterAutospacing="1"/>
    </w:pPr>
    <w:rPr>
      <w:lang w:val="en-ID" w:eastAsia="en-ID"/>
    </w:rPr>
  </w:style>
  <w:style w:type="character" w:customStyle="1" w:styleId="whitespace-normal">
    <w:name w:val="whitespace-normal"/>
    <w:basedOn w:val="DefaultParagraphFont"/>
    <w:rsid w:val="00B45E22"/>
    <w:rPr>
      <w:rFonts w:cs="Times New Roman"/>
    </w:rPr>
  </w:style>
  <w:style w:type="character" w:styleId="Emphasis">
    <w:name w:val="Emphasis"/>
    <w:basedOn w:val="DefaultParagraphFont"/>
    <w:uiPriority w:val="20"/>
    <w:qFormat/>
    <w:rsid w:val="00B45E22"/>
    <w:rPr>
      <w:rFonts w:cs="Times New Roman"/>
      <w:i/>
      <w:iCs/>
    </w:rPr>
  </w:style>
  <w:style w:type="character" w:styleId="Strong">
    <w:name w:val="Strong"/>
    <w:basedOn w:val="DefaultParagraphFont"/>
    <w:uiPriority w:val="22"/>
    <w:qFormat/>
    <w:rsid w:val="00BF640E"/>
    <w:rPr>
      <w:rFonts w:cs="Times New Roman"/>
      <w:b/>
      <w:bCs/>
    </w:rPr>
  </w:style>
  <w:style w:type="character" w:styleId="Hyperlink">
    <w:name w:val="Hyperlink"/>
    <w:basedOn w:val="DefaultParagraphFont"/>
    <w:uiPriority w:val="99"/>
    <w:unhideWhenUsed/>
    <w:rsid w:val="005127A1"/>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5127A1"/>
    <w:rPr>
      <w:rFonts w:cs="Times New Roman"/>
      <w:color w:val="605E5C"/>
      <w:shd w:val="clear" w:color="auto" w:fill="E1DFDD"/>
    </w:rPr>
  </w:style>
  <w:style w:type="paragraph" w:customStyle="1" w:styleId="isselectedend">
    <w:name w:val="isselectedend"/>
    <w:basedOn w:val="Normal"/>
    <w:rsid w:val="00A4635F"/>
    <w:pPr>
      <w:spacing w:before="100" w:beforeAutospacing="1" w:after="100" w:afterAutospacing="1"/>
    </w:pPr>
    <w:rPr>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E22"/>
    <w:pPr>
      <w:spacing w:after="0" w:line="240" w:lineRule="auto"/>
    </w:pPr>
    <w:rPr>
      <w:rFonts w:ascii="Times New Roman" w:hAnsi="Times New Roman" w:cs="Times New Roman"/>
      <w:kern w:val="0"/>
      <w:sz w:val="24"/>
      <w:szCs w:val="24"/>
      <w:lang w:val="en-US"/>
    </w:rPr>
  </w:style>
  <w:style w:type="paragraph" w:styleId="Heading1">
    <w:name w:val="heading 1"/>
    <w:basedOn w:val="Normal"/>
    <w:next w:val="Normal"/>
    <w:link w:val="Heading1Char"/>
    <w:uiPriority w:val="9"/>
    <w:qFormat/>
    <w:rsid w:val="00B45E22"/>
    <w:pPr>
      <w:keepNext/>
      <w:keepLines/>
      <w:spacing w:before="360" w:after="80"/>
      <w:outlineLvl w:val="0"/>
    </w:pPr>
    <w:rPr>
      <w:rFonts w:asciiTheme="majorHAnsi" w:eastAsiaTheme="majorEastAsia" w:hAnsiTheme="majorHAnsi"/>
      <w:color w:val="2F5496" w:themeColor="accent1" w:themeShade="BF"/>
      <w:sz w:val="40"/>
      <w:szCs w:val="50"/>
    </w:rPr>
  </w:style>
  <w:style w:type="paragraph" w:styleId="Heading2">
    <w:name w:val="heading 2"/>
    <w:basedOn w:val="Normal"/>
    <w:next w:val="Normal"/>
    <w:link w:val="Heading2Char"/>
    <w:uiPriority w:val="9"/>
    <w:semiHidden/>
    <w:unhideWhenUsed/>
    <w:qFormat/>
    <w:rsid w:val="00B45E22"/>
    <w:pPr>
      <w:keepNext/>
      <w:keepLines/>
      <w:spacing w:before="160" w:after="80"/>
      <w:outlineLvl w:val="1"/>
    </w:pPr>
    <w:rPr>
      <w:rFonts w:asciiTheme="majorHAnsi" w:eastAsiaTheme="majorEastAsia" w:hAnsiTheme="majorHAnsi"/>
      <w:color w:val="2F5496" w:themeColor="accent1" w:themeShade="BF"/>
      <w:sz w:val="32"/>
      <w:szCs w:val="40"/>
    </w:rPr>
  </w:style>
  <w:style w:type="paragraph" w:styleId="Heading3">
    <w:name w:val="heading 3"/>
    <w:basedOn w:val="Normal"/>
    <w:next w:val="Normal"/>
    <w:link w:val="Heading3Char"/>
    <w:uiPriority w:val="9"/>
    <w:unhideWhenUsed/>
    <w:qFormat/>
    <w:rsid w:val="00B45E22"/>
    <w:pPr>
      <w:keepNext/>
      <w:keepLines/>
      <w:spacing w:before="160" w:after="80"/>
      <w:outlineLvl w:val="2"/>
    </w:pPr>
    <w:rPr>
      <w:rFonts w:eastAsiaTheme="majorEastAsia"/>
      <w:color w:val="2F5496" w:themeColor="accent1" w:themeShade="BF"/>
      <w:sz w:val="28"/>
      <w:szCs w:val="35"/>
    </w:rPr>
  </w:style>
  <w:style w:type="paragraph" w:styleId="Heading4">
    <w:name w:val="heading 4"/>
    <w:basedOn w:val="Normal"/>
    <w:next w:val="Normal"/>
    <w:link w:val="Heading4Char"/>
    <w:uiPriority w:val="9"/>
    <w:unhideWhenUsed/>
    <w:qFormat/>
    <w:rsid w:val="00B45E22"/>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B45E22"/>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B45E2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B45E2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B45E2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B45E22"/>
    <w:pPr>
      <w:keepNext/>
      <w:keepLines/>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22"/>
    <w:rPr>
      <w:rFonts w:asciiTheme="majorHAnsi" w:eastAsiaTheme="majorEastAsia" w:hAnsiTheme="majorHAnsi" w:cs="Times New Roman"/>
      <w:color w:val="2F5496" w:themeColor="accent1" w:themeShade="BF"/>
      <w:sz w:val="50"/>
      <w:szCs w:val="50"/>
      <w:lang w:bidi="th-TH"/>
    </w:rPr>
  </w:style>
  <w:style w:type="character" w:customStyle="1" w:styleId="Heading2Char">
    <w:name w:val="Heading 2 Char"/>
    <w:basedOn w:val="DefaultParagraphFont"/>
    <w:link w:val="Heading2"/>
    <w:uiPriority w:val="9"/>
    <w:semiHidden/>
    <w:locked/>
    <w:rsid w:val="00B45E22"/>
    <w:rPr>
      <w:rFonts w:asciiTheme="majorHAnsi" w:eastAsiaTheme="majorEastAsia" w:hAnsiTheme="majorHAnsi" w:cs="Times New Roman"/>
      <w:color w:val="2F5496" w:themeColor="accent1" w:themeShade="BF"/>
      <w:sz w:val="40"/>
      <w:szCs w:val="40"/>
      <w:lang w:bidi="th-TH"/>
    </w:rPr>
  </w:style>
  <w:style w:type="character" w:customStyle="1" w:styleId="Heading3Char">
    <w:name w:val="Heading 3 Char"/>
    <w:basedOn w:val="DefaultParagraphFont"/>
    <w:link w:val="Heading3"/>
    <w:uiPriority w:val="9"/>
    <w:locked/>
    <w:rsid w:val="00B45E22"/>
    <w:rPr>
      <w:rFonts w:eastAsiaTheme="majorEastAsia" w:cs="Times New Roman"/>
      <w:color w:val="2F5496" w:themeColor="accent1" w:themeShade="BF"/>
      <w:sz w:val="35"/>
      <w:szCs w:val="35"/>
      <w:lang w:bidi="th-TH"/>
    </w:rPr>
  </w:style>
  <w:style w:type="character" w:customStyle="1" w:styleId="Heading4Char">
    <w:name w:val="Heading 4 Char"/>
    <w:basedOn w:val="DefaultParagraphFont"/>
    <w:link w:val="Heading4"/>
    <w:uiPriority w:val="9"/>
    <w:locked/>
    <w:rsid w:val="00B45E22"/>
    <w:rPr>
      <w:rFonts w:eastAsiaTheme="majorEastAsia" w:cs="Times New Roman"/>
      <w:i/>
      <w:iCs/>
      <w:color w:val="2F5496" w:themeColor="accent1" w:themeShade="BF"/>
      <w:lang w:bidi="th-TH"/>
    </w:rPr>
  </w:style>
  <w:style w:type="character" w:customStyle="1" w:styleId="Heading5Char">
    <w:name w:val="Heading 5 Char"/>
    <w:basedOn w:val="DefaultParagraphFont"/>
    <w:link w:val="Heading5"/>
    <w:uiPriority w:val="9"/>
    <w:semiHidden/>
    <w:locked/>
    <w:rsid w:val="00B45E22"/>
    <w:rPr>
      <w:rFonts w:eastAsiaTheme="majorEastAsia" w:cs="Times New Roman"/>
      <w:color w:val="2F5496" w:themeColor="accent1" w:themeShade="BF"/>
      <w:lang w:bidi="th-TH"/>
    </w:rPr>
  </w:style>
  <w:style w:type="character" w:customStyle="1" w:styleId="Heading6Char">
    <w:name w:val="Heading 6 Char"/>
    <w:basedOn w:val="DefaultParagraphFont"/>
    <w:link w:val="Heading6"/>
    <w:uiPriority w:val="9"/>
    <w:semiHidden/>
    <w:locked/>
    <w:rsid w:val="00B45E22"/>
    <w:rPr>
      <w:rFonts w:eastAsiaTheme="majorEastAsia" w:cs="Times New Roman"/>
      <w:i/>
      <w:iCs/>
      <w:color w:val="595959" w:themeColor="text1" w:themeTint="A6"/>
      <w:lang w:bidi="th-TH"/>
    </w:rPr>
  </w:style>
  <w:style w:type="character" w:customStyle="1" w:styleId="Heading7Char">
    <w:name w:val="Heading 7 Char"/>
    <w:basedOn w:val="DefaultParagraphFont"/>
    <w:link w:val="Heading7"/>
    <w:uiPriority w:val="9"/>
    <w:semiHidden/>
    <w:locked/>
    <w:rsid w:val="00B45E22"/>
    <w:rPr>
      <w:rFonts w:eastAsiaTheme="majorEastAsia" w:cs="Times New Roman"/>
      <w:color w:val="595959" w:themeColor="text1" w:themeTint="A6"/>
      <w:lang w:bidi="th-TH"/>
    </w:rPr>
  </w:style>
  <w:style w:type="character" w:customStyle="1" w:styleId="Heading8Char">
    <w:name w:val="Heading 8 Char"/>
    <w:basedOn w:val="DefaultParagraphFont"/>
    <w:link w:val="Heading8"/>
    <w:uiPriority w:val="9"/>
    <w:semiHidden/>
    <w:locked/>
    <w:rsid w:val="00B45E22"/>
    <w:rPr>
      <w:rFonts w:eastAsiaTheme="majorEastAsia" w:cs="Times New Roman"/>
      <w:i/>
      <w:iCs/>
      <w:color w:val="272727" w:themeColor="text1" w:themeTint="D8"/>
      <w:lang w:bidi="th-TH"/>
    </w:rPr>
  </w:style>
  <w:style w:type="character" w:customStyle="1" w:styleId="Heading9Char">
    <w:name w:val="Heading 9 Char"/>
    <w:basedOn w:val="DefaultParagraphFont"/>
    <w:link w:val="Heading9"/>
    <w:uiPriority w:val="9"/>
    <w:semiHidden/>
    <w:locked/>
    <w:rsid w:val="00B45E22"/>
    <w:rPr>
      <w:rFonts w:eastAsiaTheme="majorEastAsia" w:cs="Times New Roman"/>
      <w:color w:val="272727" w:themeColor="text1" w:themeTint="D8"/>
      <w:lang w:bidi="th-TH"/>
    </w:rPr>
  </w:style>
  <w:style w:type="paragraph" w:styleId="Title">
    <w:name w:val="Title"/>
    <w:basedOn w:val="Normal"/>
    <w:next w:val="Normal"/>
    <w:link w:val="TitleChar"/>
    <w:uiPriority w:val="10"/>
    <w:qFormat/>
    <w:rsid w:val="00B45E22"/>
    <w:pPr>
      <w:spacing w:after="80"/>
      <w:contextualSpacing/>
    </w:pPr>
    <w:rPr>
      <w:rFonts w:asciiTheme="majorHAnsi" w:eastAsiaTheme="majorEastAsia" w:hAnsiTheme="majorHAnsi"/>
      <w:spacing w:val="-10"/>
      <w:kern w:val="28"/>
      <w:sz w:val="56"/>
      <w:szCs w:val="71"/>
    </w:rPr>
  </w:style>
  <w:style w:type="character" w:customStyle="1" w:styleId="TitleChar">
    <w:name w:val="Title Char"/>
    <w:basedOn w:val="DefaultParagraphFont"/>
    <w:link w:val="Title"/>
    <w:uiPriority w:val="10"/>
    <w:locked/>
    <w:rsid w:val="00B45E22"/>
    <w:rPr>
      <w:rFonts w:asciiTheme="majorHAnsi" w:eastAsiaTheme="majorEastAsia" w:hAnsiTheme="majorHAnsi" w:cs="Times New Roman"/>
      <w:spacing w:val="-10"/>
      <w:kern w:val="28"/>
      <w:sz w:val="71"/>
      <w:szCs w:val="71"/>
      <w:lang w:bidi="th-TH"/>
    </w:rPr>
  </w:style>
  <w:style w:type="paragraph" w:styleId="Subtitle">
    <w:name w:val="Subtitle"/>
    <w:basedOn w:val="Normal"/>
    <w:next w:val="Normal"/>
    <w:link w:val="SubtitleChar"/>
    <w:uiPriority w:val="11"/>
    <w:qFormat/>
    <w:rsid w:val="00B45E22"/>
    <w:pPr>
      <w:numPr>
        <w:ilvl w:val="1"/>
      </w:numPr>
    </w:pPr>
    <w:rPr>
      <w:rFonts w:eastAsiaTheme="majorEastAsia"/>
      <w:color w:val="595959" w:themeColor="text1" w:themeTint="A6"/>
      <w:spacing w:val="15"/>
      <w:sz w:val="28"/>
      <w:szCs w:val="35"/>
    </w:rPr>
  </w:style>
  <w:style w:type="character" w:customStyle="1" w:styleId="SubtitleChar">
    <w:name w:val="Subtitle Char"/>
    <w:basedOn w:val="DefaultParagraphFont"/>
    <w:link w:val="Subtitle"/>
    <w:uiPriority w:val="11"/>
    <w:locked/>
    <w:rsid w:val="00B45E22"/>
    <w:rPr>
      <w:rFonts w:eastAsiaTheme="majorEastAsia" w:cs="Times New Roman"/>
      <w:color w:val="595959" w:themeColor="text1" w:themeTint="A6"/>
      <w:spacing w:val="15"/>
      <w:sz w:val="35"/>
      <w:szCs w:val="35"/>
      <w:lang w:bidi="th-TH"/>
    </w:rPr>
  </w:style>
  <w:style w:type="paragraph" w:styleId="Quote">
    <w:name w:val="Quote"/>
    <w:basedOn w:val="Normal"/>
    <w:next w:val="Normal"/>
    <w:link w:val="QuoteChar"/>
    <w:uiPriority w:val="29"/>
    <w:qFormat/>
    <w:rsid w:val="00B45E22"/>
    <w:pPr>
      <w:spacing w:before="160"/>
      <w:jc w:val="center"/>
    </w:pPr>
    <w:rPr>
      <w:i/>
      <w:iCs/>
      <w:color w:val="404040" w:themeColor="text1" w:themeTint="BF"/>
    </w:rPr>
  </w:style>
  <w:style w:type="character" w:customStyle="1" w:styleId="QuoteChar">
    <w:name w:val="Quote Char"/>
    <w:basedOn w:val="DefaultParagraphFont"/>
    <w:link w:val="Quote"/>
    <w:uiPriority w:val="29"/>
    <w:locked/>
    <w:rsid w:val="00B45E22"/>
    <w:rPr>
      <w:rFonts w:cs="Times New Roman"/>
      <w:i/>
      <w:iCs/>
      <w:color w:val="404040" w:themeColor="text1" w:themeTint="BF"/>
    </w:rPr>
  </w:style>
  <w:style w:type="paragraph" w:styleId="ListParagraph">
    <w:name w:val="List Paragraph"/>
    <w:basedOn w:val="Normal"/>
    <w:uiPriority w:val="34"/>
    <w:qFormat/>
    <w:rsid w:val="00B45E22"/>
    <w:pPr>
      <w:ind w:left="720"/>
      <w:contextualSpacing/>
    </w:pPr>
  </w:style>
  <w:style w:type="character" w:styleId="IntenseEmphasis">
    <w:name w:val="Intense Emphasis"/>
    <w:basedOn w:val="DefaultParagraphFont"/>
    <w:uiPriority w:val="21"/>
    <w:qFormat/>
    <w:rsid w:val="00B45E22"/>
    <w:rPr>
      <w:rFonts w:cs="Times New Roman"/>
      <w:i/>
      <w:iCs/>
      <w:color w:val="2F5496" w:themeColor="accent1" w:themeShade="BF"/>
    </w:rPr>
  </w:style>
  <w:style w:type="paragraph" w:styleId="IntenseQuote">
    <w:name w:val="Intense Quote"/>
    <w:basedOn w:val="Normal"/>
    <w:next w:val="Normal"/>
    <w:link w:val="IntenseQuoteChar"/>
    <w:uiPriority w:val="30"/>
    <w:qFormat/>
    <w:rsid w:val="00B45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locked/>
    <w:rsid w:val="00B45E22"/>
    <w:rPr>
      <w:rFonts w:cs="Times New Roman"/>
      <w:i/>
      <w:iCs/>
      <w:color w:val="2F5496" w:themeColor="accent1" w:themeShade="BF"/>
    </w:rPr>
  </w:style>
  <w:style w:type="character" w:styleId="IntenseReference">
    <w:name w:val="Intense Reference"/>
    <w:basedOn w:val="DefaultParagraphFont"/>
    <w:uiPriority w:val="32"/>
    <w:qFormat/>
    <w:rsid w:val="00B45E22"/>
    <w:rPr>
      <w:rFonts w:cs="Times New Roman"/>
      <w:b/>
      <w:bCs/>
      <w:smallCaps/>
      <w:color w:val="2F5496" w:themeColor="accent1" w:themeShade="BF"/>
      <w:spacing w:val="5"/>
    </w:rPr>
  </w:style>
  <w:style w:type="paragraph" w:styleId="Footer">
    <w:name w:val="footer"/>
    <w:basedOn w:val="Normal"/>
    <w:link w:val="FooterChar"/>
    <w:uiPriority w:val="99"/>
    <w:rsid w:val="00B45E22"/>
    <w:pPr>
      <w:tabs>
        <w:tab w:val="center" w:pos="4320"/>
        <w:tab w:val="right" w:pos="8640"/>
      </w:tabs>
    </w:pPr>
  </w:style>
  <w:style w:type="character" w:customStyle="1" w:styleId="FooterChar">
    <w:name w:val="Footer Char"/>
    <w:basedOn w:val="DefaultParagraphFont"/>
    <w:link w:val="Footer"/>
    <w:uiPriority w:val="99"/>
    <w:locked/>
    <w:rsid w:val="00B45E22"/>
    <w:rPr>
      <w:rFonts w:ascii="Times New Roman" w:hAnsi="Times New Roman" w:cs="Times New Roman"/>
      <w:kern w:val="0"/>
      <w:sz w:val="24"/>
      <w:szCs w:val="24"/>
      <w:lang w:val="en-US" w:eastAsia="x-none" w:bidi="ar-SA"/>
    </w:rPr>
  </w:style>
  <w:style w:type="paragraph" w:styleId="Header">
    <w:name w:val="header"/>
    <w:basedOn w:val="Normal"/>
    <w:link w:val="HeaderChar"/>
    <w:uiPriority w:val="99"/>
    <w:rsid w:val="00B45E22"/>
    <w:pPr>
      <w:tabs>
        <w:tab w:val="center" w:pos="4320"/>
        <w:tab w:val="right" w:pos="8640"/>
      </w:tabs>
    </w:pPr>
  </w:style>
  <w:style w:type="character" w:customStyle="1" w:styleId="HeaderChar">
    <w:name w:val="Header Char"/>
    <w:basedOn w:val="DefaultParagraphFont"/>
    <w:link w:val="Header"/>
    <w:uiPriority w:val="99"/>
    <w:locked/>
    <w:rsid w:val="00B45E22"/>
    <w:rPr>
      <w:rFonts w:ascii="Times New Roman" w:hAnsi="Times New Roman" w:cs="Times New Roman"/>
      <w:kern w:val="0"/>
      <w:sz w:val="24"/>
      <w:szCs w:val="24"/>
      <w:lang w:val="en-US" w:eastAsia="x-none" w:bidi="ar-SA"/>
    </w:rPr>
  </w:style>
  <w:style w:type="character" w:styleId="PageNumber">
    <w:name w:val="page number"/>
    <w:basedOn w:val="DefaultParagraphFont"/>
    <w:uiPriority w:val="99"/>
    <w:rsid w:val="00B45E22"/>
    <w:rPr>
      <w:rFonts w:cs="Times New Roman"/>
    </w:rPr>
  </w:style>
  <w:style w:type="paragraph" w:styleId="NormalWeb">
    <w:name w:val="Normal (Web)"/>
    <w:basedOn w:val="Normal"/>
    <w:uiPriority w:val="99"/>
    <w:unhideWhenUsed/>
    <w:rsid w:val="00B45E22"/>
    <w:pPr>
      <w:spacing w:before="100" w:beforeAutospacing="1" w:after="100" w:afterAutospacing="1"/>
    </w:pPr>
    <w:rPr>
      <w:lang w:val="en-ID" w:eastAsia="en-ID"/>
    </w:rPr>
  </w:style>
  <w:style w:type="character" w:customStyle="1" w:styleId="whitespace-normal">
    <w:name w:val="whitespace-normal"/>
    <w:basedOn w:val="DefaultParagraphFont"/>
    <w:rsid w:val="00B45E22"/>
    <w:rPr>
      <w:rFonts w:cs="Times New Roman"/>
    </w:rPr>
  </w:style>
  <w:style w:type="character" w:styleId="Emphasis">
    <w:name w:val="Emphasis"/>
    <w:basedOn w:val="DefaultParagraphFont"/>
    <w:uiPriority w:val="20"/>
    <w:qFormat/>
    <w:rsid w:val="00B45E22"/>
    <w:rPr>
      <w:rFonts w:cs="Times New Roman"/>
      <w:i/>
      <w:iCs/>
    </w:rPr>
  </w:style>
  <w:style w:type="character" w:styleId="Strong">
    <w:name w:val="Strong"/>
    <w:basedOn w:val="DefaultParagraphFont"/>
    <w:uiPriority w:val="22"/>
    <w:qFormat/>
    <w:rsid w:val="00BF640E"/>
    <w:rPr>
      <w:rFonts w:cs="Times New Roman"/>
      <w:b/>
      <w:bCs/>
    </w:rPr>
  </w:style>
  <w:style w:type="character" w:styleId="Hyperlink">
    <w:name w:val="Hyperlink"/>
    <w:basedOn w:val="DefaultParagraphFont"/>
    <w:uiPriority w:val="99"/>
    <w:unhideWhenUsed/>
    <w:rsid w:val="005127A1"/>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5127A1"/>
    <w:rPr>
      <w:rFonts w:cs="Times New Roman"/>
      <w:color w:val="605E5C"/>
      <w:shd w:val="clear" w:color="auto" w:fill="E1DFDD"/>
    </w:rPr>
  </w:style>
  <w:style w:type="paragraph" w:customStyle="1" w:styleId="isselectedend">
    <w:name w:val="isselectedend"/>
    <w:basedOn w:val="Normal"/>
    <w:rsid w:val="00A4635F"/>
    <w:pPr>
      <w:spacing w:before="100" w:beforeAutospacing="1" w:after="100" w:afterAutospacing="1"/>
    </w:pPr>
    <w:rPr>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FB974-71D3-47B0-B6BD-4C996829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Asus</dc:creator>
  <cp:lastModifiedBy>qwert</cp:lastModifiedBy>
  <cp:revision>2</cp:revision>
  <dcterms:created xsi:type="dcterms:W3CDTF">2026-07-07T08:54:00Z</dcterms:created>
  <dcterms:modified xsi:type="dcterms:W3CDTF">2026-07-07T08:54:00Z</dcterms:modified>
</cp:coreProperties>
</file>