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0DD3C">
      <w:pPr>
        <w:pStyle w:val="5"/>
        <w:ind w:left="0"/>
        <w:rPr>
          <w:sz w:val="20"/>
        </w:rPr>
      </w:pPr>
    </w:p>
    <w:p w14:paraId="250A3A84">
      <w:pPr>
        <w:pStyle w:val="5"/>
        <w:ind w:left="0"/>
        <w:rPr>
          <w:sz w:val="20"/>
        </w:rPr>
      </w:pPr>
    </w:p>
    <w:p w14:paraId="0C08CCB5">
      <w:pPr>
        <w:pStyle w:val="5"/>
        <w:ind w:left="0"/>
        <w:rPr>
          <w:sz w:val="20"/>
        </w:rPr>
      </w:pPr>
    </w:p>
    <w:p w14:paraId="04280A0F">
      <w:pPr>
        <w:pStyle w:val="5"/>
        <w:spacing w:before="121"/>
        <w:ind w:left="0"/>
        <w:rPr>
          <w:sz w:val="20"/>
        </w:rPr>
      </w:pPr>
    </w:p>
    <w:p w14:paraId="68E94EC8">
      <w:pPr>
        <w:pStyle w:val="5"/>
        <w:ind w:left="3562"/>
        <w:rPr>
          <w:sz w:val="20"/>
        </w:rPr>
      </w:pPr>
    </w:p>
    <w:p w14:paraId="7D885A66">
      <w:pPr>
        <w:pStyle w:val="5"/>
        <w:spacing w:before="7"/>
        <w:ind w:left="0"/>
        <w:rPr>
          <w:sz w:val="17"/>
        </w:rPr>
      </w:pPr>
      <w:r>
        <w:rPr>
          <w:sz w:val="17"/>
        </w:rPr>
        <mc:AlternateContent>
          <mc:Choice Requires="wps">
            <w:drawing>
              <wp:anchor distT="0" distB="0" distL="0" distR="0" simplePos="0" relativeHeight="251659264" behindDoc="1" locked="0" layoutInCell="1" allowOverlap="1">
                <wp:simplePos x="0" y="0"/>
                <wp:positionH relativeFrom="page">
                  <wp:posOffset>895985</wp:posOffset>
                </wp:positionH>
                <wp:positionV relativeFrom="paragraph">
                  <wp:posOffset>144145</wp:posOffset>
                </wp:positionV>
                <wp:extent cx="5769610" cy="9525"/>
                <wp:effectExtent l="0" t="0" r="0" b="0"/>
                <wp:wrapTopAndBottom/>
                <wp:docPr id="2" name="Graphic 2"/>
                <wp:cNvGraphicFramePr/>
                <a:graphic xmlns:a="http://schemas.openxmlformats.org/drawingml/2006/main">
                  <a:graphicData uri="http://schemas.microsoft.com/office/word/2010/wordprocessingShape">
                    <wps:wsp>
                      <wps:cNvSpPr/>
                      <wps:spPr>
                        <a:xfrm>
                          <a:off x="0" y="0"/>
                          <a:ext cx="5769610" cy="9525"/>
                        </a:xfrm>
                        <a:custGeom>
                          <a:avLst/>
                          <a:gdLst/>
                          <a:ahLst/>
                          <a:cxnLst/>
                          <a:rect l="l" t="t" r="r" b="b"/>
                          <a:pathLst>
                            <a:path w="5769610" h="9525">
                              <a:moveTo>
                                <a:pt x="5769229" y="0"/>
                              </a:moveTo>
                              <a:lnTo>
                                <a:pt x="0" y="0"/>
                              </a:lnTo>
                              <a:lnTo>
                                <a:pt x="0" y="9144"/>
                              </a:lnTo>
                              <a:lnTo>
                                <a:pt x="5769229" y="9144"/>
                              </a:lnTo>
                              <a:lnTo>
                                <a:pt x="5769229" y="0"/>
                              </a:lnTo>
                              <a:close/>
                            </a:path>
                          </a:pathLst>
                        </a:custGeom>
                        <a:solidFill>
                          <a:srgbClr val="155F82"/>
                        </a:solidFill>
                      </wps:spPr>
                      <wps:bodyPr wrap="square" lIns="0" tIns="0" rIns="0" bIns="0" rtlCol="0">
                        <a:noAutofit/>
                      </wps:bodyPr>
                    </wps:wsp>
                  </a:graphicData>
                </a:graphic>
              </wp:anchor>
            </w:drawing>
          </mc:Choice>
          <mc:Fallback>
            <w:pict>
              <v:shape id="Graphic 2" o:spid="_x0000_s1026" o:spt="100" style="position:absolute;left:0pt;margin-left:70.55pt;margin-top:11.35pt;height:0.75pt;width:454.3pt;mso-position-horizontal-relative:page;mso-wrap-distance-bottom:0pt;mso-wrap-distance-top:0pt;z-index:-251657216;mso-width-relative:page;mso-height-relative:page;" fillcolor="#155F82" filled="t" stroked="f" coordsize="5769610,9525" o:gfxdata="UEsDBAoAAAAAAIdO4kAAAAAAAAAAAAAAAAAEAAAAZHJzL1BLAwQUAAAACACHTuJA84C4N9YAAAAK&#10;AQAADwAAAGRycy9kb3ducmV2LnhtbE2PwU7DMBBE70j8g7VI3KidKJSQxumhEhVSTxQ+wIm3TkS8&#10;jmI3LX/P9gS3nd3R7Jt6e/WjWHCOQyAN2UqBQOqCHchp+Pp8eypBxGTImjEQavjBCNvm/q42lQ0X&#10;+sDlmJzgEIqV0dCnNFVSxq5Hb+IqTEh8O4XZm8RydtLO5sLhfpS5UmvpzUD8oTcT7nrsvo9nryGt&#10;850py3Rw+3e3Pyyt7Z6LpPXjQ6Y2IBJe058ZbviMDg0zteFMNoqRdZFlbNWQ5y8gbgZVvPLU8qbI&#10;QTa1/F+h+QVQSwMEFAAAAAgAh07iQELf22QlAgAA3AQAAA4AAABkcnMvZTJvRG9jLnhtbK1UwY7b&#10;IBC9V+o/IO6NE2uTbqI4q2qjrCpV7Uq7/QCCcYwEDAUSJ3/fAZvE2r1spV7swfN4zHszeP1w1oqc&#10;hPMSTEVnkyklwnCopTlU9Pfr7ss9JT4wUzMFRlT0Ijx92Hz+tO7sSpTQgqqFI0hi/KqzFW1DsKui&#10;8LwVmvkJWGEw2YDTLODSHYrasQ7ZtSrK6XRRdOBq64AL7/Hrtk/SgdF9hBCaRnKxBX7UwoSe1QnF&#10;AkryrbSeblK1TSN4+NU0XgSiKopKQ3riIRjv47PYrNnq4JhtJR9KYB8p4Y0mzaTBQ69UWxYYOTr5&#10;jkpL7sBDEyYcdNELSY6gitn0jTcvLbMiaUGrvb2a7v8fLf95enZE1hUtKTFMY8OfBjfKaE5n/Qox&#10;L/bZDSuPYVR6bpyOb9RAzsnQy9VQcQ6E48f518VyMUOvOeaW83IeKYvbXn704UlA4mGnHz707ahz&#10;xNoc8bPJocOmxnaq1M5ACbbTpXbu+3ZaFuK+WFwMSTcqpB3qiEkNJ/EKCRaihFhtWS4pyUKw0htG&#10;mTEWNY1QOZffNvH1mOXs7m6QndP53cPGx/4TOE0v1pjpuAIveoOj7uT01QvEjd32oGS9k0pF+d4d&#10;9o/KkRNDW2fz+e4+9R63jGBFHIW++THaQ33ByelwWCrq/xyZE5So7wZnE3WHHLgc7HPggnqEdBvj&#10;0Qa+HQM0MnY+ndDzDgsc+qRiuKDxVo3XCXX7KW3+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OA&#10;uDfWAAAACgEAAA8AAAAAAAAAAQAgAAAAIgAAAGRycy9kb3ducmV2LnhtbFBLAQIUABQAAAAIAIdO&#10;4kBC39tkJQIAANwEAAAOAAAAAAAAAAEAIAAAACUBAABkcnMvZTJvRG9jLnhtbFBLBQYAAAAABgAG&#10;AFkBAAC8BQAAAAA=&#10;" path="m5769229,0l0,0,0,9144,5769229,9144,5769229,0xe">
                <v:fill on="t" focussize="0,0"/>
                <v:stroke on="f"/>
                <v:imagedata o:title=""/>
                <o:lock v:ext="edit" aspectratio="f"/>
                <v:textbox inset="0mm,0mm,0mm,0mm"/>
                <w10:wrap type="topAndBottom"/>
              </v:shape>
            </w:pict>
          </mc:Fallback>
        </mc:AlternateContent>
      </w:r>
    </w:p>
    <w:p w14:paraId="5FBD7E83">
      <w:pPr>
        <w:pStyle w:val="7"/>
        <w:rPr>
          <w:sz w:val="36"/>
          <w:szCs w:val="36"/>
        </w:rPr>
      </w:pPr>
      <w:r>
        <w:rPr>
          <w:sz w:val="36"/>
          <w:szCs w:val="36"/>
        </w:rPr>
        <w:t>Effectiveness of Loan Monitoring Practices on Risk Management of Licenced</w:t>
      </w:r>
      <w:r>
        <w:rPr>
          <w:spacing w:val="-17"/>
          <w:sz w:val="36"/>
          <w:szCs w:val="36"/>
        </w:rPr>
        <w:t xml:space="preserve"> </w:t>
      </w:r>
      <w:r>
        <w:rPr>
          <w:sz w:val="36"/>
          <w:szCs w:val="36"/>
        </w:rPr>
        <w:t>Non-financial</w:t>
      </w:r>
      <w:r>
        <w:rPr>
          <w:spacing w:val="-19"/>
          <w:sz w:val="36"/>
          <w:szCs w:val="36"/>
        </w:rPr>
        <w:t xml:space="preserve"> </w:t>
      </w:r>
      <w:r>
        <w:rPr>
          <w:sz w:val="36"/>
          <w:szCs w:val="36"/>
        </w:rPr>
        <w:t>Institutional Lenders in Nigeria.</w:t>
      </w:r>
    </w:p>
    <w:p w14:paraId="7AA16B1B">
      <w:pPr>
        <w:pStyle w:val="5"/>
        <w:spacing w:before="4"/>
        <w:ind w:left="0"/>
        <w:rPr>
          <w:sz w:val="8"/>
        </w:rPr>
      </w:pPr>
      <w:r>
        <w:rPr>
          <w:sz w:val="8"/>
        </w:rPr>
        <mc:AlternateContent>
          <mc:Choice Requires="wps">
            <w:drawing>
              <wp:anchor distT="0" distB="0" distL="0" distR="0" simplePos="0" relativeHeight="251659264" behindDoc="1" locked="0" layoutInCell="1" allowOverlap="1">
                <wp:simplePos x="0" y="0"/>
                <wp:positionH relativeFrom="page">
                  <wp:posOffset>895985</wp:posOffset>
                </wp:positionH>
                <wp:positionV relativeFrom="paragraph">
                  <wp:posOffset>76200</wp:posOffset>
                </wp:positionV>
                <wp:extent cx="5769610" cy="9525"/>
                <wp:effectExtent l="0" t="0" r="0" b="0"/>
                <wp:wrapTopAndBottom/>
                <wp:docPr id="3" name="Graphic 3"/>
                <wp:cNvGraphicFramePr/>
                <a:graphic xmlns:a="http://schemas.openxmlformats.org/drawingml/2006/main">
                  <a:graphicData uri="http://schemas.microsoft.com/office/word/2010/wordprocessingShape">
                    <wps:wsp>
                      <wps:cNvSpPr/>
                      <wps:spPr>
                        <a:xfrm>
                          <a:off x="0" y="0"/>
                          <a:ext cx="5769610" cy="9525"/>
                        </a:xfrm>
                        <a:custGeom>
                          <a:avLst/>
                          <a:gdLst/>
                          <a:ahLst/>
                          <a:cxnLst/>
                          <a:rect l="l" t="t" r="r" b="b"/>
                          <a:pathLst>
                            <a:path w="5769610" h="9525">
                              <a:moveTo>
                                <a:pt x="5769229" y="0"/>
                              </a:moveTo>
                              <a:lnTo>
                                <a:pt x="0" y="0"/>
                              </a:lnTo>
                              <a:lnTo>
                                <a:pt x="0" y="9144"/>
                              </a:lnTo>
                              <a:lnTo>
                                <a:pt x="5769229" y="9144"/>
                              </a:lnTo>
                              <a:lnTo>
                                <a:pt x="5769229" y="0"/>
                              </a:lnTo>
                              <a:close/>
                            </a:path>
                          </a:pathLst>
                        </a:custGeom>
                        <a:solidFill>
                          <a:srgbClr val="155F82"/>
                        </a:solidFill>
                      </wps:spPr>
                      <wps:bodyPr wrap="square" lIns="0" tIns="0" rIns="0" bIns="0" rtlCol="0">
                        <a:noAutofit/>
                      </wps:bodyPr>
                    </wps:wsp>
                  </a:graphicData>
                </a:graphic>
              </wp:anchor>
            </w:drawing>
          </mc:Choice>
          <mc:Fallback>
            <w:pict>
              <v:shape id="Graphic 3" o:spid="_x0000_s1026" o:spt="100" style="position:absolute;left:0pt;margin-left:70.55pt;margin-top:6pt;height:0.75pt;width:454.3pt;mso-position-horizontal-relative:page;mso-wrap-distance-bottom:0pt;mso-wrap-distance-top:0pt;z-index:-251657216;mso-width-relative:page;mso-height-relative:page;" fillcolor="#155F82" filled="t" stroked="f" coordsize="5769610,9525" o:gfxdata="UEsDBAoAAAAAAIdO4kAAAAAAAAAAAAAAAAAEAAAAZHJzL1BLAwQUAAAACACHTuJA7Fp1ANUAAAAK&#10;AQAADwAAAGRycy9kb3ducmV2LnhtbE2PwU7DMBBE70j8g7VI3KidkJYQ4vRQiQqpJwof4MSLExGv&#10;o9hNy9+zPcFtRvs0O1NvL34UC85xCKQhWykQSF2wAzkNnx+vDyWImAxZMwZCDT8YYdvc3tSmsuFM&#10;77gckxMcQrEyGvqUpkrK2PXoTVyFCYlvX2H2JrGdnbSzOXO4H2Wu1EZ6MxB/6M2Eux677+PJa0ib&#10;fGfKMh3c/s3tD0tru3WRtL6/y9QLiISX9AfDtT5Xh4Y7teFENoqRfZFljLLIedMVUMXzE4iW1eMa&#10;ZFPL/xOaX1BLAwQUAAAACACHTuJAAnHYnyUCAADcBAAADgAAAGRycy9lMm9Eb2MueG1srVTRbtsg&#10;FH2ftH9AvC9O3KZrojjV1CjVpGmr1O4DCMYxEnAZkDj5+12wSaz2pZP2Yi6+x4d7zr149XDSihyF&#10;8xJMRWeTKSXCcKil2Vf09+v2yz0lPjBTMwVGVPQsPH1Yf/606uxSlNCCqoUjSGL8srMVbUOwy6Lw&#10;vBWa+QlYYTDZgNMs4Nbti9qxDtm1Ksrp9K7owNXWARfe49tNn6QDo/sIITSN5GID/KCFCT2rE4oF&#10;lORbaT1dp2qbRvDwq2m8CERVFJWG9MRDMN7FZ7FeseXeMdtKPpTAPlLCG02aSYOHXqg2LDBycPId&#10;lZbcgYcmTDjooheSHEEVs+kbb15aZkXSglZ7ezHd/z9a/vP47IisK3pDiWEaG/40uHETzemsXyLm&#10;xT67YecxjEpPjdNxRQ3klAw9XwwVp0A4vpx/vVvczdBrjrnFvJxHyuL6LT/48CQg8bDjDx/6dtQ5&#10;Ym2O+Mnk0GFTYztVamegBNvpUjt3fTstC/G7WFwMSTcqpB3qiEkNR/EKCRaihFhtWS4oyUKw0itG&#10;mTEWNY1QOZdXm/h6zGJ2ezvIzum89rDxsf8ETtOLNWY6rsCL3uCoOzl98QJxY7c9KFlvpVJRvnf7&#10;3aNy5MjQ1tl8vr0vh4pHsCKOQt/8GO2gPuPkdDgsFfV/DswJStR3g7OJukMOXA52OXBBPUK6jfFo&#10;A98OARoZO59O6HmHDQ59UjFc0HirxvuEuv6U1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7Fp1&#10;ANUAAAAKAQAADwAAAAAAAAABACAAAAAiAAAAZHJzL2Rvd25yZXYueG1sUEsBAhQAFAAAAAgAh07i&#10;QAJx2J8lAgAA3AQAAA4AAAAAAAAAAQAgAAAAJAEAAGRycy9lMm9Eb2MueG1sUEsFBgAAAAAGAAYA&#10;WQEAALsFAAAAAA==&#10;" path="m5769229,0l0,0,0,9144,5769229,9144,5769229,0xe">
                <v:fill on="t" focussize="0,0"/>
                <v:stroke on="f"/>
                <v:imagedata o:title=""/>
                <o:lock v:ext="edit" aspectratio="f"/>
                <v:textbox inset="0mm,0mm,0mm,0mm"/>
                <w10:wrap type="topAndBottom"/>
              </v:shape>
            </w:pict>
          </mc:Fallback>
        </mc:AlternateContent>
      </w:r>
    </w:p>
    <w:p w14:paraId="5A8E00E5">
      <w:pPr>
        <w:pStyle w:val="5"/>
        <w:ind w:left="0"/>
        <w:rPr>
          <w:sz w:val="20"/>
        </w:rPr>
      </w:pPr>
    </w:p>
    <w:p w14:paraId="4B73731D">
      <w:pPr>
        <w:pStyle w:val="5"/>
        <w:ind w:left="0"/>
        <w:rPr>
          <w:sz w:val="20"/>
        </w:rPr>
      </w:pPr>
    </w:p>
    <w:p w14:paraId="1239F9BC">
      <w:pPr>
        <w:pStyle w:val="5"/>
        <w:ind w:left="0"/>
        <w:rPr>
          <w:sz w:val="20"/>
        </w:rPr>
      </w:pPr>
    </w:p>
    <w:p w14:paraId="59CCF730">
      <w:pPr>
        <w:pStyle w:val="5"/>
        <w:spacing w:before="116"/>
        <w:ind w:left="0"/>
        <w:rPr>
          <w:sz w:val="20"/>
        </w:rPr>
      </w:pPr>
    </w:p>
    <w:p w14:paraId="6095E089">
      <w:pPr>
        <w:pStyle w:val="5"/>
        <w:ind w:left="0"/>
        <w:rPr>
          <w:rFonts w:hint="default"/>
          <w:sz w:val="24"/>
          <w:szCs w:val="24"/>
          <w:lang w:val="en-US"/>
        </w:rPr>
      </w:pPr>
      <w:r>
        <w:rPr>
          <w:rFonts w:hint="default"/>
          <w:sz w:val="24"/>
          <w:szCs w:val="24"/>
          <w:lang w:val="en-US"/>
        </w:rPr>
        <w:t>Gbenga Isaac Olorunsola</w:t>
      </w:r>
    </w:p>
    <w:p w14:paraId="17A20ADB">
      <w:pPr>
        <w:pStyle w:val="5"/>
        <w:ind w:left="0"/>
        <w:rPr>
          <w:rFonts w:hint="default"/>
          <w:sz w:val="24"/>
          <w:szCs w:val="24"/>
          <w:lang w:val="en-US"/>
        </w:rPr>
      </w:pPr>
      <w:r>
        <w:rPr>
          <w:rFonts w:hint="default"/>
          <w:sz w:val="24"/>
          <w:szCs w:val="24"/>
          <w:lang w:val="en-US"/>
        </w:rPr>
        <w:t>Dominican University, Samonda. Ibadan</w:t>
      </w:r>
    </w:p>
    <w:p w14:paraId="14167584">
      <w:pPr>
        <w:pStyle w:val="5"/>
        <w:ind w:left="0"/>
        <w:rPr>
          <w:rFonts w:hint="default"/>
          <w:sz w:val="24"/>
          <w:szCs w:val="24"/>
          <w:lang w:val="en-US"/>
        </w:rPr>
      </w:pPr>
      <w:r>
        <w:rPr>
          <w:rFonts w:hint="default"/>
          <w:sz w:val="24"/>
          <w:szCs w:val="24"/>
          <w:lang w:val="en-US"/>
        </w:rPr>
        <w:t>Nigeria</w:t>
      </w:r>
    </w:p>
    <w:p w14:paraId="3FD78C78">
      <w:pPr>
        <w:pStyle w:val="5"/>
        <w:ind w:left="0"/>
        <w:rPr>
          <w:rFonts w:hint="default"/>
          <w:sz w:val="24"/>
          <w:szCs w:val="24"/>
          <w:lang w:val="en-US"/>
        </w:rPr>
      </w:pPr>
      <w:r>
        <w:rPr>
          <w:rFonts w:hint="default"/>
          <w:sz w:val="24"/>
          <w:szCs w:val="24"/>
          <w:lang w:val="en-US"/>
        </w:rPr>
        <w:fldChar w:fldCharType="begin"/>
      </w:r>
      <w:r>
        <w:rPr>
          <w:rFonts w:hint="default"/>
          <w:sz w:val="24"/>
          <w:szCs w:val="24"/>
          <w:lang w:val="en-US"/>
        </w:rPr>
        <w:instrText xml:space="preserve"> HYPERLINK "mailto:Olorunsola.g@dui.edu.ng" </w:instrText>
      </w:r>
      <w:r>
        <w:rPr>
          <w:rFonts w:hint="default"/>
          <w:sz w:val="24"/>
          <w:szCs w:val="24"/>
          <w:lang w:val="en-US"/>
        </w:rPr>
        <w:fldChar w:fldCharType="separate"/>
      </w:r>
      <w:r>
        <w:rPr>
          <w:rStyle w:val="6"/>
          <w:rFonts w:hint="default"/>
          <w:sz w:val="24"/>
          <w:szCs w:val="24"/>
          <w:lang w:val="en-US"/>
        </w:rPr>
        <w:t>Olorunsola.g@dui.edu.ng</w:t>
      </w:r>
      <w:r>
        <w:rPr>
          <w:rFonts w:hint="default"/>
          <w:sz w:val="24"/>
          <w:szCs w:val="24"/>
          <w:lang w:val="en-US"/>
        </w:rPr>
        <w:fldChar w:fldCharType="end"/>
      </w:r>
      <w:bookmarkStart w:id="0" w:name="_GoBack"/>
      <w:bookmarkEnd w:id="0"/>
    </w:p>
    <w:p w14:paraId="257D54BD">
      <w:pPr>
        <w:pStyle w:val="5"/>
        <w:ind w:left="0"/>
        <w:rPr>
          <w:rFonts w:hint="default"/>
          <w:sz w:val="24"/>
          <w:szCs w:val="24"/>
          <w:lang w:val="en-US"/>
        </w:rPr>
      </w:pPr>
      <w:r>
        <w:rPr>
          <w:rFonts w:hint="default"/>
          <w:sz w:val="24"/>
          <w:szCs w:val="24"/>
          <w:lang w:val="en-US"/>
        </w:rPr>
        <w:t>+2348161687679</w:t>
      </w:r>
    </w:p>
    <w:p w14:paraId="4418DA41">
      <w:pPr>
        <w:pStyle w:val="5"/>
        <w:ind w:left="0"/>
        <w:rPr>
          <w:rFonts w:hint="default"/>
          <w:sz w:val="24"/>
          <w:szCs w:val="24"/>
          <w:lang w:val="en-US"/>
        </w:rPr>
      </w:pPr>
    </w:p>
    <w:p w14:paraId="1F73273A">
      <w:pPr>
        <w:jc w:val="left"/>
        <w:rPr>
          <w:rFonts w:hint="default" w:ascii="Times New Roman" w:hAnsi="Times New Roman" w:cs="Times New Roman"/>
          <w:lang w:val="en-US"/>
        </w:rPr>
      </w:pPr>
      <w:r>
        <w:rPr>
          <w:rFonts w:hint="default" w:ascii="Times New Roman" w:hAnsi="Times New Roman" w:cs="Times New Roman"/>
          <w:lang w:val="en-US"/>
        </w:rPr>
        <w:t>Ezekiel John Babatunde FCIFCN, FIIMS, FCSTM</w:t>
      </w:r>
    </w:p>
    <w:p w14:paraId="30973592">
      <w:pPr>
        <w:jc w:val="left"/>
        <w:rPr>
          <w:rFonts w:hint="default" w:ascii="Times New Roman" w:hAnsi="Times New Roman" w:cs="Times New Roman"/>
          <w:lang w:val="en-US"/>
        </w:rPr>
      </w:pPr>
      <w:r>
        <w:rPr>
          <w:rFonts w:hint="default" w:ascii="Times New Roman" w:hAnsi="Times New Roman" w:cs="Times New Roman"/>
          <w:lang w:val="en-US"/>
        </w:rPr>
        <w:t>Imperial College of Management Technology, Imota,  Lagos State</w:t>
      </w:r>
    </w:p>
    <w:p w14:paraId="013AF940">
      <w:pPr>
        <w:jc w:val="left"/>
        <w:rPr>
          <w:rFonts w:hint="default" w:ascii="Times New Roman" w:hAnsi="Times New Roman" w:cs="Times New Roman"/>
          <w:lang w:val="en-US"/>
        </w:rPr>
      </w:pPr>
      <w:r>
        <w:rPr>
          <w:rFonts w:hint="default" w:ascii="Times New Roman" w:hAnsi="Times New Roman" w:cs="Times New Roman"/>
          <w:lang w:val="en-US"/>
        </w:rPr>
        <w:t>odim1960@gmail.com</w:t>
      </w:r>
    </w:p>
    <w:p w14:paraId="29E468CF">
      <w:pPr>
        <w:pStyle w:val="5"/>
        <w:ind w:left="0"/>
        <w:rPr>
          <w:rFonts w:hint="default"/>
          <w:sz w:val="24"/>
          <w:szCs w:val="24"/>
          <w:lang w:val="en-US"/>
        </w:rPr>
      </w:pPr>
      <w:r>
        <w:rPr>
          <w:rFonts w:hint="default" w:ascii="Times New Roman" w:hAnsi="Times New Roman" w:cs="Times New Roman"/>
          <w:lang w:val="en-US"/>
        </w:rPr>
        <w:t>+23480333229861</w:t>
      </w:r>
    </w:p>
    <w:p w14:paraId="49A6B87A">
      <w:pPr>
        <w:pStyle w:val="5"/>
        <w:ind w:left="0"/>
        <w:rPr>
          <w:sz w:val="48"/>
        </w:rPr>
      </w:pPr>
    </w:p>
    <w:p w14:paraId="5BC30B7B">
      <w:pPr>
        <w:pStyle w:val="5"/>
        <w:ind w:left="0"/>
        <w:rPr>
          <w:sz w:val="48"/>
        </w:rPr>
      </w:pPr>
    </w:p>
    <w:p w14:paraId="20DEED3A">
      <w:pPr>
        <w:pStyle w:val="5"/>
        <w:ind w:left="0"/>
        <w:rPr>
          <w:sz w:val="48"/>
        </w:rPr>
      </w:pPr>
    </w:p>
    <w:p w14:paraId="5A60CA52">
      <w:pPr>
        <w:pStyle w:val="5"/>
        <w:ind w:left="0"/>
        <w:rPr>
          <w:sz w:val="48"/>
        </w:rPr>
      </w:pPr>
    </w:p>
    <w:p w14:paraId="592FC61E">
      <w:pPr>
        <w:pStyle w:val="5"/>
        <w:ind w:left="0"/>
        <w:rPr>
          <w:sz w:val="48"/>
        </w:rPr>
      </w:pPr>
    </w:p>
    <w:p w14:paraId="0D852BE1">
      <w:pPr>
        <w:spacing w:after="0"/>
        <w:jc w:val="center"/>
        <w:rPr>
          <w:rFonts w:ascii="Trebuchet MS"/>
          <w:sz w:val="52"/>
        </w:rPr>
        <w:sectPr>
          <w:type w:val="continuous"/>
          <w:pgSz w:w="11910" w:h="16840"/>
          <w:pgMar w:top="1920" w:right="1275" w:bottom="280" w:left="1275" w:header="720" w:footer="720" w:gutter="0"/>
          <w:cols w:space="720" w:num="1"/>
        </w:sectPr>
      </w:pPr>
    </w:p>
    <w:p w14:paraId="59551C97">
      <w:pPr>
        <w:pStyle w:val="5"/>
        <w:spacing w:before="62"/>
        <w:rPr>
          <w:b/>
          <w:bCs/>
        </w:rPr>
      </w:pPr>
      <w:r>
        <w:rPr>
          <w:b/>
          <w:bCs/>
          <w:spacing w:val="-2"/>
        </w:rPr>
        <w:t>Abstract</w:t>
      </w:r>
    </w:p>
    <w:p w14:paraId="7BDFE870">
      <w:pPr>
        <w:pStyle w:val="5"/>
        <w:spacing w:before="35"/>
        <w:ind w:left="0"/>
      </w:pPr>
    </w:p>
    <w:p w14:paraId="4044C371">
      <w:pPr>
        <w:pStyle w:val="5"/>
        <w:spacing w:line="362" w:lineRule="auto"/>
        <w:ind w:right="157"/>
        <w:jc w:val="both"/>
        <w:rPr>
          <w:i/>
          <w:iCs/>
        </w:rPr>
      </w:pPr>
      <w:r>
        <w:rPr>
          <w:i/>
          <w:iCs/>
        </w:rPr>
        <w:t>The rapid proliferation of licenced non-financial institutional lenders ranging from finance houses to digital fintech platforms has significantly expanded credit access in Nigeria. However, this expansion has been accompanied by heightened credit risk, necessitating a rigorous examination of post- disbursement management strategies. This study investigates the effectiveness of loan monitoring practices on the risk management performance of these institutions in Nigeria.</w:t>
      </w:r>
      <w:r>
        <w:rPr>
          <w:i/>
          <w:iCs/>
          <w:spacing w:val="-3"/>
        </w:rPr>
        <w:t xml:space="preserve"> </w:t>
      </w:r>
      <w:r>
        <w:rPr>
          <w:i/>
          <w:iCs/>
        </w:rPr>
        <w:t>Anchored on</w:t>
      </w:r>
      <w:r>
        <w:rPr>
          <w:i/>
          <w:iCs/>
          <w:spacing w:val="-2"/>
        </w:rPr>
        <w:t xml:space="preserve"> </w:t>
      </w:r>
      <w:r>
        <w:rPr>
          <w:i/>
          <w:iCs/>
        </w:rPr>
        <w:t>Agency Theory</w:t>
      </w:r>
      <w:r>
        <w:rPr>
          <w:i/>
          <w:iCs/>
          <w:spacing w:val="-4"/>
        </w:rPr>
        <w:t xml:space="preserve"> </w:t>
      </w:r>
      <w:r>
        <w:rPr>
          <w:i/>
          <w:iCs/>
        </w:rPr>
        <w:t>and</w:t>
      </w:r>
      <w:r>
        <w:rPr>
          <w:i/>
          <w:iCs/>
          <w:spacing w:val="-2"/>
        </w:rPr>
        <w:t xml:space="preserve"> </w:t>
      </w:r>
      <w:r>
        <w:rPr>
          <w:i/>
          <w:iCs/>
        </w:rPr>
        <w:t>the</w:t>
      </w:r>
      <w:r>
        <w:rPr>
          <w:i/>
          <w:iCs/>
          <w:spacing w:val="-4"/>
        </w:rPr>
        <w:t xml:space="preserve"> </w:t>
      </w:r>
      <w:r>
        <w:rPr>
          <w:i/>
          <w:iCs/>
        </w:rPr>
        <w:t>Theory</w:t>
      </w:r>
      <w:r>
        <w:rPr>
          <w:i/>
          <w:iCs/>
          <w:spacing w:val="-2"/>
        </w:rPr>
        <w:t xml:space="preserve"> </w:t>
      </w:r>
      <w:r>
        <w:rPr>
          <w:i/>
          <w:iCs/>
        </w:rPr>
        <w:t>of</w:t>
      </w:r>
      <w:r>
        <w:rPr>
          <w:i/>
          <w:iCs/>
          <w:spacing w:val="-14"/>
        </w:rPr>
        <w:t xml:space="preserve"> </w:t>
      </w:r>
      <w:r>
        <w:rPr>
          <w:i/>
          <w:iCs/>
        </w:rPr>
        <w:t>Asymmetric</w:t>
      </w:r>
      <w:r>
        <w:rPr>
          <w:i/>
          <w:iCs/>
          <w:spacing w:val="-2"/>
        </w:rPr>
        <w:t xml:space="preserve"> </w:t>
      </w:r>
      <w:r>
        <w:rPr>
          <w:i/>
          <w:iCs/>
        </w:rPr>
        <w:t>Information,</w:t>
      </w:r>
      <w:r>
        <w:rPr>
          <w:i/>
          <w:iCs/>
          <w:spacing w:val="-3"/>
        </w:rPr>
        <w:t xml:space="preserve"> </w:t>
      </w:r>
      <w:r>
        <w:rPr>
          <w:i/>
          <w:iCs/>
        </w:rPr>
        <w:t>this</w:t>
      </w:r>
      <w:r>
        <w:rPr>
          <w:i/>
          <w:iCs/>
          <w:spacing w:val="-2"/>
        </w:rPr>
        <w:t xml:space="preserve"> </w:t>
      </w:r>
      <w:r>
        <w:rPr>
          <w:i/>
          <w:iCs/>
        </w:rPr>
        <w:t>study examines</w:t>
      </w:r>
      <w:r>
        <w:rPr>
          <w:i/>
          <w:iCs/>
          <w:spacing w:val="-1"/>
        </w:rPr>
        <w:t xml:space="preserve"> </w:t>
      </w:r>
      <w:r>
        <w:rPr>
          <w:i/>
          <w:iCs/>
        </w:rPr>
        <w:t>the</w:t>
      </w:r>
      <w:r>
        <w:rPr>
          <w:i/>
          <w:iCs/>
          <w:spacing w:val="-2"/>
        </w:rPr>
        <w:t xml:space="preserve"> </w:t>
      </w:r>
      <w:r>
        <w:rPr>
          <w:i/>
          <w:iCs/>
        </w:rPr>
        <w:t>effectiveness</w:t>
      </w:r>
      <w:r>
        <w:rPr>
          <w:i/>
          <w:iCs/>
          <w:spacing w:val="-1"/>
        </w:rPr>
        <w:t xml:space="preserve"> </w:t>
      </w:r>
      <w:r>
        <w:rPr>
          <w:i/>
          <w:iCs/>
        </w:rPr>
        <w:t>of</w:t>
      </w:r>
      <w:r>
        <w:rPr>
          <w:i/>
          <w:iCs/>
          <w:spacing w:val="40"/>
        </w:rPr>
        <w:t xml:space="preserve"> </w:t>
      </w:r>
      <w:r>
        <w:rPr>
          <w:i/>
          <w:iCs/>
        </w:rPr>
        <w:t>intensive monitoring mechanisms to effectively mitigate the moral hazard associated with lending in a volatile economy. Adopting an Ex-Post Facto research design, the study utilizes time-series data spanning a fourteen-year period (2010–2023) sourced from the Central Bank of Nigeria (CBN), the National Bureau</w:t>
      </w:r>
      <w:r>
        <w:rPr>
          <w:i/>
          <w:iCs/>
          <w:spacing w:val="-12"/>
        </w:rPr>
        <w:t xml:space="preserve"> </w:t>
      </w:r>
      <w:r>
        <w:rPr>
          <w:i/>
          <w:iCs/>
        </w:rPr>
        <w:t>of</w:t>
      </w:r>
      <w:r>
        <w:rPr>
          <w:i/>
          <w:iCs/>
          <w:spacing w:val="-11"/>
        </w:rPr>
        <w:t xml:space="preserve"> </w:t>
      </w:r>
      <w:r>
        <w:rPr>
          <w:i/>
          <w:iCs/>
        </w:rPr>
        <w:t>Statistics</w:t>
      </w:r>
      <w:r>
        <w:rPr>
          <w:i/>
          <w:iCs/>
          <w:spacing w:val="-11"/>
        </w:rPr>
        <w:t xml:space="preserve"> </w:t>
      </w:r>
      <w:r>
        <w:rPr>
          <w:i/>
          <w:iCs/>
        </w:rPr>
        <w:t>(NBS),</w:t>
      </w:r>
      <w:r>
        <w:rPr>
          <w:i/>
          <w:iCs/>
          <w:spacing w:val="-14"/>
        </w:rPr>
        <w:t xml:space="preserve"> </w:t>
      </w:r>
      <w:r>
        <w:rPr>
          <w:i/>
          <w:iCs/>
        </w:rPr>
        <w:t>and</w:t>
      </w:r>
      <w:r>
        <w:rPr>
          <w:i/>
          <w:iCs/>
          <w:spacing w:val="-8"/>
        </w:rPr>
        <w:t xml:space="preserve"> </w:t>
      </w:r>
      <w:r>
        <w:rPr>
          <w:i/>
          <w:iCs/>
        </w:rPr>
        <w:t>the</w:t>
      </w:r>
      <w:r>
        <w:rPr>
          <w:i/>
          <w:iCs/>
          <w:spacing w:val="-9"/>
        </w:rPr>
        <w:t xml:space="preserve"> </w:t>
      </w:r>
      <w:r>
        <w:rPr>
          <w:i/>
          <w:iCs/>
        </w:rPr>
        <w:t>Nigeria</w:t>
      </w:r>
      <w:r>
        <w:rPr>
          <w:i/>
          <w:iCs/>
          <w:spacing w:val="-12"/>
        </w:rPr>
        <w:t xml:space="preserve"> </w:t>
      </w:r>
      <w:r>
        <w:rPr>
          <w:i/>
          <w:iCs/>
        </w:rPr>
        <w:t>Inter-Bank</w:t>
      </w:r>
      <w:r>
        <w:rPr>
          <w:i/>
          <w:iCs/>
          <w:spacing w:val="-14"/>
        </w:rPr>
        <w:t xml:space="preserve"> </w:t>
      </w:r>
      <w:r>
        <w:rPr>
          <w:i/>
          <w:iCs/>
        </w:rPr>
        <w:t>Settlement</w:t>
      </w:r>
      <w:r>
        <w:rPr>
          <w:i/>
          <w:iCs/>
          <w:spacing w:val="-8"/>
        </w:rPr>
        <w:t xml:space="preserve"> </w:t>
      </w:r>
      <w:r>
        <w:rPr>
          <w:i/>
          <w:iCs/>
        </w:rPr>
        <w:t>System</w:t>
      </w:r>
      <w:r>
        <w:rPr>
          <w:i/>
          <w:iCs/>
          <w:spacing w:val="-11"/>
        </w:rPr>
        <w:t xml:space="preserve"> </w:t>
      </w:r>
      <w:r>
        <w:rPr>
          <w:i/>
          <w:iCs/>
        </w:rPr>
        <w:t>(NIBSS).</w:t>
      </w:r>
      <w:r>
        <w:rPr>
          <w:i/>
          <w:iCs/>
          <w:spacing w:val="-14"/>
        </w:rPr>
        <w:t xml:space="preserve"> </w:t>
      </w:r>
      <w:r>
        <w:rPr>
          <w:i/>
          <w:iCs/>
        </w:rPr>
        <w:t>The</w:t>
      </w:r>
      <w:r>
        <w:rPr>
          <w:i/>
          <w:iCs/>
          <w:spacing w:val="-9"/>
        </w:rPr>
        <w:t xml:space="preserve"> </w:t>
      </w:r>
      <w:r>
        <w:rPr>
          <w:i/>
          <w:iCs/>
        </w:rPr>
        <w:t>study</w:t>
      </w:r>
      <w:r>
        <w:rPr>
          <w:i/>
          <w:iCs/>
          <w:spacing w:val="-12"/>
        </w:rPr>
        <w:t xml:space="preserve"> </w:t>
      </w:r>
      <w:r>
        <w:rPr>
          <w:i/>
          <w:iCs/>
        </w:rPr>
        <w:t>employs the Interest Rate Spread (IRS) as a proxy for monitoring cost intensity and the Volume of Electronic Payment Transactions (VEPT) as a proxy for technological monitoring capacity, while controlling for Inflation</w:t>
      </w:r>
      <w:r>
        <w:rPr>
          <w:i/>
          <w:iCs/>
          <w:spacing w:val="-9"/>
        </w:rPr>
        <w:t xml:space="preserve"> </w:t>
      </w:r>
      <w:r>
        <w:rPr>
          <w:i/>
          <w:iCs/>
        </w:rPr>
        <w:t>and</w:t>
      </w:r>
      <w:r>
        <w:rPr>
          <w:i/>
          <w:iCs/>
          <w:spacing w:val="-6"/>
        </w:rPr>
        <w:t xml:space="preserve"> </w:t>
      </w:r>
      <w:r>
        <w:rPr>
          <w:i/>
          <w:iCs/>
        </w:rPr>
        <w:t>GDP</w:t>
      </w:r>
      <w:r>
        <w:rPr>
          <w:i/>
          <w:iCs/>
          <w:spacing w:val="-14"/>
        </w:rPr>
        <w:t xml:space="preserve"> </w:t>
      </w:r>
      <w:r>
        <w:rPr>
          <w:i/>
          <w:iCs/>
        </w:rPr>
        <w:t>growth.</w:t>
      </w:r>
      <w:r>
        <w:rPr>
          <w:i/>
          <w:iCs/>
          <w:spacing w:val="-13"/>
        </w:rPr>
        <w:t xml:space="preserve"> </w:t>
      </w:r>
      <w:r>
        <w:rPr>
          <w:i/>
          <w:iCs/>
        </w:rPr>
        <w:t>The</w:t>
      </w:r>
      <w:r>
        <w:rPr>
          <w:i/>
          <w:iCs/>
          <w:spacing w:val="-6"/>
        </w:rPr>
        <w:t xml:space="preserve"> </w:t>
      </w:r>
      <w:r>
        <w:rPr>
          <w:i/>
          <w:iCs/>
        </w:rPr>
        <w:t>data</w:t>
      </w:r>
      <w:r>
        <w:rPr>
          <w:i/>
          <w:iCs/>
          <w:spacing w:val="-6"/>
        </w:rPr>
        <w:t xml:space="preserve"> </w:t>
      </w:r>
      <w:r>
        <w:rPr>
          <w:i/>
          <w:iCs/>
        </w:rPr>
        <w:t>was</w:t>
      </w:r>
      <w:r>
        <w:rPr>
          <w:i/>
          <w:iCs/>
          <w:spacing w:val="-6"/>
        </w:rPr>
        <w:t xml:space="preserve"> </w:t>
      </w:r>
      <w:r>
        <w:rPr>
          <w:i/>
          <w:iCs/>
        </w:rPr>
        <w:t>analyzed</w:t>
      </w:r>
      <w:r>
        <w:rPr>
          <w:i/>
          <w:iCs/>
          <w:spacing w:val="-6"/>
        </w:rPr>
        <w:t xml:space="preserve"> </w:t>
      </w:r>
      <w:r>
        <w:rPr>
          <w:i/>
          <w:iCs/>
        </w:rPr>
        <w:t>using</w:t>
      </w:r>
      <w:r>
        <w:rPr>
          <w:i/>
          <w:iCs/>
          <w:spacing w:val="-6"/>
        </w:rPr>
        <w:t xml:space="preserve"> </w:t>
      </w:r>
      <w:r>
        <w:rPr>
          <w:i/>
          <w:iCs/>
        </w:rPr>
        <w:t>Ordinary</w:t>
      </w:r>
      <w:r>
        <w:rPr>
          <w:i/>
          <w:iCs/>
          <w:spacing w:val="-6"/>
        </w:rPr>
        <w:t xml:space="preserve"> </w:t>
      </w:r>
      <w:r>
        <w:rPr>
          <w:i/>
          <w:iCs/>
        </w:rPr>
        <w:t>Least</w:t>
      </w:r>
      <w:r>
        <w:rPr>
          <w:i/>
          <w:iCs/>
          <w:spacing w:val="-5"/>
        </w:rPr>
        <w:t xml:space="preserve"> </w:t>
      </w:r>
      <w:r>
        <w:rPr>
          <w:i/>
          <w:iCs/>
        </w:rPr>
        <w:t>Squares</w:t>
      </w:r>
      <w:r>
        <w:rPr>
          <w:i/>
          <w:iCs/>
          <w:spacing w:val="-8"/>
        </w:rPr>
        <w:t xml:space="preserve"> </w:t>
      </w:r>
      <w:r>
        <w:rPr>
          <w:i/>
          <w:iCs/>
        </w:rPr>
        <w:t>(OLS)</w:t>
      </w:r>
      <w:r>
        <w:rPr>
          <w:i/>
          <w:iCs/>
          <w:spacing w:val="-5"/>
        </w:rPr>
        <w:t xml:space="preserve"> </w:t>
      </w:r>
      <w:r>
        <w:rPr>
          <w:i/>
          <w:iCs/>
        </w:rPr>
        <w:t>regression.</w:t>
      </w:r>
      <w:r>
        <w:rPr>
          <w:i/>
          <w:iCs/>
          <w:spacing w:val="-11"/>
        </w:rPr>
        <w:t xml:space="preserve"> </w:t>
      </w:r>
      <w:r>
        <w:rPr>
          <w:i/>
          <w:iCs/>
        </w:rPr>
        <w:t>The empirical results reveal a significant negative relationship between monitoring intensity and the Non- Performing Loan (NPL) ratio (</w:t>
      </w:r>
      <w:r>
        <w:rPr>
          <w:rFonts w:ascii="Trebuchet MS" w:hAnsi="Trebuchet MS"/>
          <w:i/>
          <w:iCs/>
        </w:rPr>
        <w:t xml:space="preserve">β </w:t>
      </w:r>
      <w:r>
        <w:rPr>
          <w:i/>
          <w:iCs/>
        </w:rPr>
        <w:t>= -1.25, p &lt; 0.05), indicating that higher operational investments in monitoring</w:t>
      </w:r>
      <w:r>
        <w:rPr>
          <w:i/>
          <w:iCs/>
          <w:spacing w:val="-6"/>
        </w:rPr>
        <w:t xml:space="preserve"> </w:t>
      </w:r>
      <w:r>
        <w:rPr>
          <w:i/>
          <w:iCs/>
        </w:rPr>
        <w:t>lead</w:t>
      </w:r>
      <w:r>
        <w:rPr>
          <w:i/>
          <w:iCs/>
          <w:spacing w:val="-6"/>
        </w:rPr>
        <w:t xml:space="preserve"> </w:t>
      </w:r>
      <w:r>
        <w:rPr>
          <w:i/>
          <w:iCs/>
        </w:rPr>
        <w:t>to</w:t>
      </w:r>
      <w:r>
        <w:rPr>
          <w:i/>
          <w:iCs/>
          <w:spacing w:val="-6"/>
        </w:rPr>
        <w:t xml:space="preserve"> </w:t>
      </w:r>
      <w:r>
        <w:rPr>
          <w:i/>
          <w:iCs/>
        </w:rPr>
        <w:t>reduced</w:t>
      </w:r>
      <w:r>
        <w:rPr>
          <w:i/>
          <w:iCs/>
          <w:spacing w:val="-9"/>
        </w:rPr>
        <w:t xml:space="preserve"> </w:t>
      </w:r>
      <w:r>
        <w:rPr>
          <w:i/>
          <w:iCs/>
        </w:rPr>
        <w:t>default</w:t>
      </w:r>
      <w:r>
        <w:rPr>
          <w:i/>
          <w:iCs/>
          <w:spacing w:val="-8"/>
        </w:rPr>
        <w:t xml:space="preserve"> </w:t>
      </w:r>
      <w:r>
        <w:rPr>
          <w:i/>
          <w:iCs/>
        </w:rPr>
        <w:t>rates.</w:t>
      </w:r>
      <w:r>
        <w:rPr>
          <w:i/>
          <w:iCs/>
          <w:spacing w:val="-6"/>
        </w:rPr>
        <w:t xml:space="preserve"> </w:t>
      </w:r>
      <w:r>
        <w:rPr>
          <w:i/>
          <w:iCs/>
        </w:rPr>
        <w:t>Furthermore,</w:t>
      </w:r>
      <w:r>
        <w:rPr>
          <w:i/>
          <w:iCs/>
          <w:spacing w:val="-6"/>
        </w:rPr>
        <w:t xml:space="preserve"> </w:t>
      </w:r>
      <w:r>
        <w:rPr>
          <w:i/>
          <w:iCs/>
        </w:rPr>
        <w:t>the</w:t>
      </w:r>
      <w:r>
        <w:rPr>
          <w:i/>
          <w:iCs/>
          <w:spacing w:val="-6"/>
        </w:rPr>
        <w:t xml:space="preserve"> </w:t>
      </w:r>
      <w:r>
        <w:rPr>
          <w:i/>
          <w:iCs/>
        </w:rPr>
        <w:t>study</w:t>
      </w:r>
      <w:r>
        <w:rPr>
          <w:i/>
          <w:iCs/>
          <w:spacing w:val="-9"/>
        </w:rPr>
        <w:t xml:space="preserve"> </w:t>
      </w:r>
      <w:r>
        <w:rPr>
          <w:i/>
          <w:iCs/>
        </w:rPr>
        <w:t>finds</w:t>
      </w:r>
      <w:r>
        <w:rPr>
          <w:i/>
          <w:iCs/>
          <w:spacing w:val="-6"/>
        </w:rPr>
        <w:t xml:space="preserve"> </w:t>
      </w:r>
      <w:r>
        <w:rPr>
          <w:i/>
          <w:iCs/>
        </w:rPr>
        <w:t>that</w:t>
      </w:r>
      <w:r>
        <w:rPr>
          <w:i/>
          <w:iCs/>
          <w:spacing w:val="-5"/>
        </w:rPr>
        <w:t xml:space="preserve"> </w:t>
      </w:r>
      <w:r>
        <w:rPr>
          <w:i/>
          <w:iCs/>
        </w:rPr>
        <w:t>technological</w:t>
      </w:r>
      <w:r>
        <w:rPr>
          <w:i/>
          <w:iCs/>
          <w:spacing w:val="-5"/>
        </w:rPr>
        <w:t xml:space="preserve"> </w:t>
      </w:r>
      <w:r>
        <w:rPr>
          <w:i/>
          <w:iCs/>
        </w:rPr>
        <w:t>adoption</w:t>
      </w:r>
      <w:r>
        <w:rPr>
          <w:i/>
          <w:iCs/>
          <w:spacing w:val="-6"/>
        </w:rPr>
        <w:t xml:space="preserve"> </w:t>
      </w:r>
      <w:r>
        <w:rPr>
          <w:i/>
          <w:iCs/>
        </w:rPr>
        <w:t>has</w:t>
      </w:r>
      <w:r>
        <w:rPr>
          <w:i/>
          <w:iCs/>
          <w:spacing w:val="-6"/>
        </w:rPr>
        <w:t xml:space="preserve"> </w:t>
      </w:r>
      <w:r>
        <w:rPr>
          <w:i/>
          <w:iCs/>
        </w:rPr>
        <w:t>a robust risk-reducing</w:t>
      </w:r>
      <w:r>
        <w:rPr>
          <w:i/>
          <w:iCs/>
          <w:spacing w:val="-1"/>
        </w:rPr>
        <w:t xml:space="preserve"> </w:t>
      </w:r>
      <w:r>
        <w:rPr>
          <w:i/>
          <w:iCs/>
        </w:rPr>
        <w:t>effect</w:t>
      </w:r>
      <w:r>
        <w:rPr>
          <w:i/>
          <w:iCs/>
          <w:spacing w:val="-3"/>
        </w:rPr>
        <w:t xml:space="preserve"> </w:t>
      </w:r>
      <w:r>
        <w:rPr>
          <w:i/>
          <w:iCs/>
        </w:rPr>
        <w:t>(</w:t>
      </w:r>
      <w:r>
        <w:rPr>
          <w:rFonts w:ascii="Trebuchet MS" w:hAnsi="Trebuchet MS"/>
          <w:i/>
          <w:iCs/>
        </w:rPr>
        <w:t>β</w:t>
      </w:r>
      <w:r>
        <w:rPr>
          <w:rFonts w:ascii="Trebuchet MS" w:hAnsi="Trebuchet MS"/>
          <w:i/>
          <w:iCs/>
          <w:spacing w:val="-11"/>
        </w:rPr>
        <w:t xml:space="preserve"> </w:t>
      </w:r>
      <w:r>
        <w:rPr>
          <w:i/>
          <w:iCs/>
        </w:rPr>
        <w:t>=</w:t>
      </w:r>
      <w:r>
        <w:rPr>
          <w:i/>
          <w:iCs/>
          <w:spacing w:val="-1"/>
        </w:rPr>
        <w:t xml:space="preserve"> </w:t>
      </w:r>
      <w:r>
        <w:rPr>
          <w:i/>
          <w:iCs/>
        </w:rPr>
        <w:t>-2.14,</w:t>
      </w:r>
      <w:r>
        <w:rPr>
          <w:i/>
          <w:iCs/>
          <w:spacing w:val="-1"/>
        </w:rPr>
        <w:t xml:space="preserve"> </w:t>
      </w:r>
      <w:r>
        <w:rPr>
          <w:i/>
          <w:iCs/>
        </w:rPr>
        <w:t>p &lt; 0.01),</w:t>
      </w:r>
      <w:r>
        <w:rPr>
          <w:i/>
          <w:iCs/>
          <w:spacing w:val="-1"/>
        </w:rPr>
        <w:t xml:space="preserve"> </w:t>
      </w:r>
      <w:r>
        <w:rPr>
          <w:i/>
          <w:iCs/>
        </w:rPr>
        <w:t>suggesting that digital transaction tracking</w:t>
      </w:r>
      <w:r>
        <w:rPr>
          <w:i/>
          <w:iCs/>
          <w:spacing w:val="-1"/>
        </w:rPr>
        <w:t xml:space="preserve"> </w:t>
      </w:r>
      <w:r>
        <w:rPr>
          <w:i/>
          <w:iCs/>
        </w:rPr>
        <w:t>is a</w:t>
      </w:r>
      <w:r>
        <w:rPr>
          <w:i/>
          <w:iCs/>
          <w:spacing w:val="-1"/>
        </w:rPr>
        <w:t xml:space="preserve"> </w:t>
      </w:r>
      <w:r>
        <w:rPr>
          <w:i/>
          <w:iCs/>
        </w:rPr>
        <w:t xml:space="preserve">potent </w:t>
      </w:r>
      <w:r>
        <w:rPr>
          <w:i/>
          <w:iCs/>
          <w:spacing w:val="-2"/>
        </w:rPr>
        <w:t>tool</w:t>
      </w:r>
      <w:r>
        <w:rPr>
          <w:i/>
          <w:iCs/>
          <w:spacing w:val="-3"/>
        </w:rPr>
        <w:t xml:space="preserve"> </w:t>
      </w:r>
      <w:r>
        <w:rPr>
          <w:i/>
          <w:iCs/>
          <w:spacing w:val="-2"/>
        </w:rPr>
        <w:t>for overcoming</w:t>
      </w:r>
      <w:r>
        <w:rPr>
          <w:i/>
          <w:iCs/>
          <w:spacing w:val="-4"/>
        </w:rPr>
        <w:t xml:space="preserve"> </w:t>
      </w:r>
      <w:r>
        <w:rPr>
          <w:i/>
          <w:iCs/>
          <w:spacing w:val="-2"/>
        </w:rPr>
        <w:t>information asymmetry. Conversely, inflation was</w:t>
      </w:r>
      <w:r>
        <w:rPr>
          <w:i/>
          <w:iCs/>
          <w:spacing w:val="-3"/>
        </w:rPr>
        <w:t xml:space="preserve"> </w:t>
      </w:r>
      <w:r>
        <w:rPr>
          <w:i/>
          <w:iCs/>
          <w:spacing w:val="-2"/>
        </w:rPr>
        <w:t>found</w:t>
      </w:r>
      <w:r>
        <w:rPr>
          <w:i/>
          <w:iCs/>
          <w:spacing w:val="-4"/>
        </w:rPr>
        <w:t xml:space="preserve"> </w:t>
      </w:r>
      <w:r>
        <w:rPr>
          <w:i/>
          <w:iCs/>
          <w:spacing w:val="-2"/>
        </w:rPr>
        <w:t>to</w:t>
      </w:r>
      <w:r>
        <w:rPr>
          <w:i/>
          <w:iCs/>
          <w:spacing w:val="-4"/>
        </w:rPr>
        <w:t xml:space="preserve"> </w:t>
      </w:r>
      <w:r>
        <w:rPr>
          <w:i/>
          <w:iCs/>
          <w:spacing w:val="-2"/>
        </w:rPr>
        <w:t xml:space="preserve">significantly exacerbate </w:t>
      </w:r>
      <w:r>
        <w:rPr>
          <w:i/>
          <w:iCs/>
        </w:rPr>
        <w:t>credit</w:t>
      </w:r>
      <w:r>
        <w:rPr>
          <w:i/>
          <w:iCs/>
          <w:spacing w:val="-10"/>
        </w:rPr>
        <w:t xml:space="preserve"> </w:t>
      </w:r>
      <w:r>
        <w:rPr>
          <w:i/>
          <w:iCs/>
        </w:rPr>
        <w:t>risk.</w:t>
      </w:r>
      <w:r>
        <w:rPr>
          <w:i/>
          <w:iCs/>
          <w:spacing w:val="-13"/>
        </w:rPr>
        <w:t xml:space="preserve"> </w:t>
      </w:r>
      <w:r>
        <w:rPr>
          <w:i/>
          <w:iCs/>
        </w:rPr>
        <w:t>The</w:t>
      </w:r>
      <w:r>
        <w:rPr>
          <w:i/>
          <w:iCs/>
          <w:spacing w:val="-9"/>
        </w:rPr>
        <w:t xml:space="preserve"> </w:t>
      </w:r>
      <w:r>
        <w:rPr>
          <w:i/>
          <w:iCs/>
        </w:rPr>
        <w:t>study</w:t>
      </w:r>
      <w:r>
        <w:rPr>
          <w:i/>
          <w:iCs/>
          <w:spacing w:val="-11"/>
        </w:rPr>
        <w:t xml:space="preserve"> </w:t>
      </w:r>
      <w:r>
        <w:rPr>
          <w:i/>
          <w:iCs/>
        </w:rPr>
        <w:t>concludes</w:t>
      </w:r>
      <w:r>
        <w:rPr>
          <w:i/>
          <w:iCs/>
          <w:spacing w:val="-10"/>
        </w:rPr>
        <w:t xml:space="preserve"> </w:t>
      </w:r>
      <w:r>
        <w:rPr>
          <w:i/>
          <w:iCs/>
        </w:rPr>
        <w:t>that</w:t>
      </w:r>
      <w:r>
        <w:rPr>
          <w:i/>
          <w:iCs/>
          <w:spacing w:val="-8"/>
        </w:rPr>
        <w:t xml:space="preserve"> </w:t>
      </w:r>
      <w:r>
        <w:rPr>
          <w:i/>
          <w:iCs/>
        </w:rPr>
        <w:t>robust</w:t>
      </w:r>
      <w:r>
        <w:rPr>
          <w:i/>
          <w:iCs/>
          <w:spacing w:val="-8"/>
        </w:rPr>
        <w:t xml:space="preserve"> </w:t>
      </w:r>
      <w:r>
        <w:rPr>
          <w:i/>
          <w:iCs/>
        </w:rPr>
        <w:t>loan</w:t>
      </w:r>
      <w:r>
        <w:rPr>
          <w:i/>
          <w:iCs/>
          <w:spacing w:val="-11"/>
        </w:rPr>
        <w:t xml:space="preserve"> </w:t>
      </w:r>
      <w:r>
        <w:rPr>
          <w:i/>
          <w:iCs/>
        </w:rPr>
        <w:t>monitoring</w:t>
      </w:r>
      <w:r>
        <w:rPr>
          <w:i/>
          <w:iCs/>
          <w:spacing w:val="-11"/>
        </w:rPr>
        <w:t xml:space="preserve"> </w:t>
      </w:r>
      <w:r>
        <w:rPr>
          <w:i/>
          <w:iCs/>
        </w:rPr>
        <w:t>is</w:t>
      </w:r>
      <w:r>
        <w:rPr>
          <w:i/>
          <w:iCs/>
          <w:spacing w:val="-11"/>
        </w:rPr>
        <w:t xml:space="preserve"> </w:t>
      </w:r>
      <w:r>
        <w:rPr>
          <w:i/>
          <w:iCs/>
        </w:rPr>
        <w:t>a</w:t>
      </w:r>
      <w:r>
        <w:rPr>
          <w:i/>
          <w:iCs/>
          <w:spacing w:val="-8"/>
        </w:rPr>
        <w:t xml:space="preserve"> </w:t>
      </w:r>
      <w:r>
        <w:rPr>
          <w:i/>
          <w:iCs/>
        </w:rPr>
        <w:t>critical</w:t>
      </w:r>
      <w:r>
        <w:rPr>
          <w:i/>
          <w:iCs/>
          <w:spacing w:val="-3"/>
        </w:rPr>
        <w:t xml:space="preserve"> </w:t>
      </w:r>
      <w:r>
        <w:rPr>
          <w:i/>
          <w:iCs/>
        </w:rPr>
        <w:t>determinant</w:t>
      </w:r>
      <w:r>
        <w:rPr>
          <w:i/>
          <w:iCs/>
          <w:spacing w:val="-8"/>
        </w:rPr>
        <w:t xml:space="preserve"> </w:t>
      </w:r>
      <w:r>
        <w:rPr>
          <w:i/>
          <w:iCs/>
        </w:rPr>
        <w:t>of</w:t>
      </w:r>
      <w:r>
        <w:rPr>
          <w:i/>
          <w:iCs/>
          <w:spacing w:val="-10"/>
        </w:rPr>
        <w:t xml:space="preserve"> </w:t>
      </w:r>
      <w:r>
        <w:rPr>
          <w:i/>
          <w:iCs/>
        </w:rPr>
        <w:t>asset</w:t>
      </w:r>
      <w:r>
        <w:rPr>
          <w:i/>
          <w:iCs/>
          <w:spacing w:val="-10"/>
        </w:rPr>
        <w:t xml:space="preserve"> </w:t>
      </w:r>
      <w:r>
        <w:rPr>
          <w:i/>
          <w:iCs/>
        </w:rPr>
        <w:t>quality</w:t>
      </w:r>
      <w:r>
        <w:rPr>
          <w:i/>
          <w:iCs/>
          <w:spacing w:val="-9"/>
        </w:rPr>
        <w:t xml:space="preserve"> </w:t>
      </w:r>
      <w:r>
        <w:rPr>
          <w:i/>
          <w:iCs/>
        </w:rPr>
        <w:t>and recommends</w:t>
      </w:r>
      <w:r>
        <w:rPr>
          <w:i/>
          <w:iCs/>
          <w:spacing w:val="-14"/>
        </w:rPr>
        <w:t xml:space="preserve"> </w:t>
      </w:r>
      <w:r>
        <w:rPr>
          <w:i/>
          <w:iCs/>
        </w:rPr>
        <w:t>that</w:t>
      </w:r>
      <w:r>
        <w:rPr>
          <w:i/>
          <w:iCs/>
          <w:spacing w:val="-14"/>
        </w:rPr>
        <w:t xml:space="preserve"> </w:t>
      </w:r>
      <w:r>
        <w:rPr>
          <w:i/>
          <w:iCs/>
        </w:rPr>
        <w:t>non-financial</w:t>
      </w:r>
      <w:r>
        <w:rPr>
          <w:i/>
          <w:iCs/>
          <w:spacing w:val="-14"/>
        </w:rPr>
        <w:t xml:space="preserve"> </w:t>
      </w:r>
      <w:r>
        <w:rPr>
          <w:i/>
          <w:iCs/>
        </w:rPr>
        <w:t>lenders</w:t>
      </w:r>
      <w:r>
        <w:rPr>
          <w:i/>
          <w:iCs/>
          <w:spacing w:val="-13"/>
        </w:rPr>
        <w:t xml:space="preserve"> </w:t>
      </w:r>
      <w:r>
        <w:rPr>
          <w:i/>
          <w:iCs/>
        </w:rPr>
        <w:t>prioritize</w:t>
      </w:r>
      <w:r>
        <w:rPr>
          <w:i/>
          <w:iCs/>
          <w:spacing w:val="-14"/>
        </w:rPr>
        <w:t xml:space="preserve"> </w:t>
      </w:r>
      <w:r>
        <w:rPr>
          <w:i/>
          <w:iCs/>
        </w:rPr>
        <w:t>hybrid</w:t>
      </w:r>
      <w:r>
        <w:rPr>
          <w:i/>
          <w:iCs/>
          <w:spacing w:val="-14"/>
        </w:rPr>
        <w:t xml:space="preserve"> </w:t>
      </w:r>
      <w:r>
        <w:rPr>
          <w:i/>
          <w:iCs/>
        </w:rPr>
        <w:t>monitoring</w:t>
      </w:r>
      <w:r>
        <w:rPr>
          <w:i/>
          <w:iCs/>
          <w:spacing w:val="-14"/>
        </w:rPr>
        <w:t xml:space="preserve"> </w:t>
      </w:r>
      <w:r>
        <w:rPr>
          <w:i/>
          <w:iCs/>
        </w:rPr>
        <w:t>frameworks</w:t>
      </w:r>
      <w:r>
        <w:rPr>
          <w:i/>
          <w:iCs/>
          <w:spacing w:val="-13"/>
        </w:rPr>
        <w:t xml:space="preserve"> </w:t>
      </w:r>
      <w:r>
        <w:rPr>
          <w:i/>
          <w:iCs/>
        </w:rPr>
        <w:t>integrating</w:t>
      </w:r>
      <w:r>
        <w:rPr>
          <w:i/>
          <w:iCs/>
          <w:spacing w:val="-14"/>
        </w:rPr>
        <w:t xml:space="preserve"> </w:t>
      </w:r>
      <w:r>
        <w:rPr>
          <w:i/>
          <w:iCs/>
        </w:rPr>
        <w:t xml:space="preserve">algorithmic surveillance with cost-reflective pricing to sustain portfolio health in Nigeria's dynamic financial </w:t>
      </w:r>
      <w:r>
        <w:rPr>
          <w:i/>
          <w:iCs/>
          <w:spacing w:val="-2"/>
        </w:rPr>
        <w:t>landscape.</w:t>
      </w:r>
    </w:p>
    <w:p w14:paraId="31A72D1D">
      <w:pPr>
        <w:pStyle w:val="5"/>
        <w:spacing w:before="143" w:line="360" w:lineRule="auto"/>
        <w:ind w:right="159"/>
        <w:jc w:val="both"/>
        <w:rPr>
          <w:i/>
          <w:iCs/>
        </w:rPr>
      </w:pPr>
      <w:r>
        <w:rPr>
          <w:b/>
          <w:i/>
          <w:iCs/>
        </w:rPr>
        <w:t>Keywords:</w:t>
      </w:r>
      <w:r>
        <w:rPr>
          <w:b/>
          <w:i/>
          <w:iCs/>
          <w:spacing w:val="-14"/>
        </w:rPr>
        <w:t xml:space="preserve"> </w:t>
      </w:r>
      <w:r>
        <w:rPr>
          <w:i/>
          <w:iCs/>
        </w:rPr>
        <w:t>Loan</w:t>
      </w:r>
      <w:r>
        <w:rPr>
          <w:i/>
          <w:iCs/>
          <w:spacing w:val="-14"/>
        </w:rPr>
        <w:t xml:space="preserve"> </w:t>
      </w:r>
      <w:r>
        <w:rPr>
          <w:i/>
          <w:iCs/>
        </w:rPr>
        <w:t>Monitoring,</w:t>
      </w:r>
      <w:r>
        <w:rPr>
          <w:i/>
          <w:iCs/>
          <w:spacing w:val="-14"/>
        </w:rPr>
        <w:t xml:space="preserve"> </w:t>
      </w:r>
      <w:r>
        <w:rPr>
          <w:i/>
          <w:iCs/>
        </w:rPr>
        <w:t>Risk</w:t>
      </w:r>
      <w:r>
        <w:rPr>
          <w:i/>
          <w:iCs/>
          <w:spacing w:val="-13"/>
        </w:rPr>
        <w:t xml:space="preserve"> </w:t>
      </w:r>
      <w:r>
        <w:rPr>
          <w:i/>
          <w:iCs/>
        </w:rPr>
        <w:t>Management,</w:t>
      </w:r>
      <w:r>
        <w:rPr>
          <w:i/>
          <w:iCs/>
          <w:spacing w:val="-14"/>
        </w:rPr>
        <w:t xml:space="preserve"> </w:t>
      </w:r>
      <w:r>
        <w:rPr>
          <w:i/>
          <w:iCs/>
        </w:rPr>
        <w:t>Non-Performing</w:t>
      </w:r>
      <w:r>
        <w:rPr>
          <w:i/>
          <w:iCs/>
          <w:spacing w:val="-13"/>
        </w:rPr>
        <w:t xml:space="preserve"> </w:t>
      </w:r>
      <w:r>
        <w:rPr>
          <w:i/>
          <w:iCs/>
        </w:rPr>
        <w:t>Loans</w:t>
      </w:r>
      <w:r>
        <w:rPr>
          <w:i/>
          <w:iCs/>
          <w:spacing w:val="-12"/>
        </w:rPr>
        <w:t xml:space="preserve"> </w:t>
      </w:r>
      <w:r>
        <w:rPr>
          <w:i/>
          <w:iCs/>
        </w:rPr>
        <w:t>(NPL),</w:t>
      </w:r>
      <w:r>
        <w:rPr>
          <w:i/>
          <w:iCs/>
          <w:spacing w:val="-14"/>
        </w:rPr>
        <w:t xml:space="preserve"> </w:t>
      </w:r>
      <w:r>
        <w:rPr>
          <w:i/>
          <w:iCs/>
        </w:rPr>
        <w:t>Agency</w:t>
      </w:r>
      <w:r>
        <w:rPr>
          <w:i/>
          <w:iCs/>
          <w:spacing w:val="-14"/>
        </w:rPr>
        <w:t xml:space="preserve"> </w:t>
      </w:r>
      <w:r>
        <w:rPr>
          <w:i/>
          <w:iCs/>
        </w:rPr>
        <w:t>Theory,</w:t>
      </w:r>
      <w:r>
        <w:rPr>
          <w:i/>
          <w:iCs/>
          <w:spacing w:val="-11"/>
        </w:rPr>
        <w:t xml:space="preserve"> </w:t>
      </w:r>
      <w:r>
        <w:rPr>
          <w:i/>
          <w:iCs/>
        </w:rPr>
        <w:t>Non- Financial Lenders, Fintech, Nigeria.</w:t>
      </w:r>
    </w:p>
    <w:p w14:paraId="7030725E">
      <w:pPr>
        <w:pStyle w:val="5"/>
        <w:spacing w:after="0" w:line="360" w:lineRule="auto"/>
        <w:jc w:val="both"/>
        <w:rPr>
          <w:i/>
          <w:iCs/>
        </w:rPr>
        <w:sectPr>
          <w:pgSz w:w="11910" w:h="16840"/>
          <w:pgMar w:top="1360" w:right="1275" w:bottom="280" w:left="1275" w:header="720" w:footer="720" w:gutter="0"/>
          <w:cols w:space="720" w:num="1"/>
        </w:sectPr>
      </w:pPr>
    </w:p>
    <w:p w14:paraId="55C6D8BE">
      <w:pPr>
        <w:pStyle w:val="2"/>
        <w:spacing w:before="62"/>
        <w:ind w:left="165" w:firstLine="0"/>
        <w:jc w:val="left"/>
      </w:pPr>
      <w:r>
        <w:rPr>
          <w:spacing w:val="-2"/>
        </w:rPr>
        <w:t>Introduction</w:t>
      </w:r>
    </w:p>
    <w:p w14:paraId="5D7F2A0B">
      <w:pPr>
        <w:pStyle w:val="5"/>
        <w:spacing w:before="35"/>
        <w:ind w:left="0"/>
        <w:rPr>
          <w:b/>
        </w:rPr>
      </w:pPr>
    </w:p>
    <w:p w14:paraId="5947F1FD">
      <w:pPr>
        <w:pStyle w:val="5"/>
        <w:spacing w:line="360" w:lineRule="auto"/>
        <w:ind w:right="158"/>
        <w:jc w:val="both"/>
      </w:pPr>
      <w:r>
        <w:t>The stability of any financial system is significantly linked to the quality of its credit assets. Globally, the</w:t>
      </w:r>
      <w:r>
        <w:rPr>
          <w:spacing w:val="-3"/>
        </w:rPr>
        <w:t xml:space="preserve"> </w:t>
      </w:r>
      <w:r>
        <w:t>provision</w:t>
      </w:r>
      <w:r>
        <w:rPr>
          <w:spacing w:val="-4"/>
        </w:rPr>
        <w:t xml:space="preserve"> </w:t>
      </w:r>
      <w:r>
        <w:t>of</w:t>
      </w:r>
      <w:r>
        <w:rPr>
          <w:spacing w:val="-3"/>
        </w:rPr>
        <w:t xml:space="preserve"> </w:t>
      </w:r>
      <w:r>
        <w:t>credit</w:t>
      </w:r>
      <w:r>
        <w:rPr>
          <w:spacing w:val="-3"/>
        </w:rPr>
        <w:t xml:space="preserve"> </w:t>
      </w:r>
      <w:r>
        <w:t>is</w:t>
      </w:r>
      <w:r>
        <w:rPr>
          <w:spacing w:val="-6"/>
        </w:rPr>
        <w:t xml:space="preserve"> </w:t>
      </w:r>
      <w:r>
        <w:t>recognized</w:t>
      </w:r>
      <w:r>
        <w:rPr>
          <w:spacing w:val="-4"/>
        </w:rPr>
        <w:t xml:space="preserve"> </w:t>
      </w:r>
      <w:r>
        <w:t>as</w:t>
      </w:r>
      <w:r>
        <w:rPr>
          <w:spacing w:val="-6"/>
        </w:rPr>
        <w:t xml:space="preserve"> </w:t>
      </w:r>
      <w:r>
        <w:t>a</w:t>
      </w:r>
      <w:r>
        <w:rPr>
          <w:spacing w:val="-3"/>
        </w:rPr>
        <w:t xml:space="preserve"> </w:t>
      </w:r>
      <w:r>
        <w:t>fundamental</w:t>
      </w:r>
      <w:r>
        <w:rPr>
          <w:spacing w:val="-5"/>
        </w:rPr>
        <w:t xml:space="preserve"> </w:t>
      </w:r>
      <w:r>
        <w:t>engine</w:t>
      </w:r>
      <w:r>
        <w:rPr>
          <w:spacing w:val="-3"/>
        </w:rPr>
        <w:t xml:space="preserve"> </w:t>
      </w:r>
      <w:r>
        <w:t>of</w:t>
      </w:r>
      <w:r>
        <w:rPr>
          <w:spacing w:val="-3"/>
        </w:rPr>
        <w:t xml:space="preserve"> </w:t>
      </w:r>
      <w:r>
        <w:t>economic</w:t>
      </w:r>
      <w:r>
        <w:rPr>
          <w:spacing w:val="-3"/>
        </w:rPr>
        <w:t xml:space="preserve"> </w:t>
      </w:r>
      <w:r>
        <w:t>growth,</w:t>
      </w:r>
      <w:r>
        <w:rPr>
          <w:spacing w:val="-4"/>
        </w:rPr>
        <w:t xml:space="preserve"> </w:t>
      </w:r>
      <w:r>
        <w:t>facilitating</w:t>
      </w:r>
      <w:r>
        <w:rPr>
          <w:spacing w:val="-4"/>
        </w:rPr>
        <w:t xml:space="preserve"> </w:t>
      </w:r>
      <w:r>
        <w:t>business expansion, household consumption, and infrastructure development. However, the inherent nature of lending involves risk specifically, the probability that a borrower will fail to meet their obligations in accordance</w:t>
      </w:r>
      <w:r>
        <w:rPr>
          <w:spacing w:val="-2"/>
        </w:rPr>
        <w:t xml:space="preserve"> </w:t>
      </w:r>
      <w:r>
        <w:t>with</w:t>
      </w:r>
      <w:r>
        <w:rPr>
          <w:spacing w:val="-5"/>
        </w:rPr>
        <w:t xml:space="preserve"> </w:t>
      </w:r>
      <w:r>
        <w:t>agreed</w:t>
      </w:r>
      <w:r>
        <w:rPr>
          <w:spacing w:val="-5"/>
        </w:rPr>
        <w:t xml:space="preserve"> </w:t>
      </w:r>
      <w:r>
        <w:t>terms.</w:t>
      </w:r>
      <w:r>
        <w:rPr>
          <w:spacing w:val="-5"/>
        </w:rPr>
        <w:t xml:space="preserve"> </w:t>
      </w:r>
      <w:r>
        <w:t>This</w:t>
      </w:r>
      <w:r>
        <w:rPr>
          <w:spacing w:val="-4"/>
        </w:rPr>
        <w:t xml:space="preserve"> </w:t>
      </w:r>
      <w:r>
        <w:t>reality</w:t>
      </w:r>
      <w:r>
        <w:rPr>
          <w:spacing w:val="-2"/>
        </w:rPr>
        <w:t xml:space="preserve"> </w:t>
      </w:r>
      <w:r>
        <w:t>has</w:t>
      </w:r>
      <w:r>
        <w:rPr>
          <w:spacing w:val="-4"/>
        </w:rPr>
        <w:t xml:space="preserve"> </w:t>
      </w:r>
      <w:r>
        <w:t>made</w:t>
      </w:r>
      <w:r>
        <w:rPr>
          <w:spacing w:val="-2"/>
        </w:rPr>
        <w:t xml:space="preserve"> </w:t>
      </w:r>
      <w:r>
        <w:t>credit</w:t>
      </w:r>
      <w:r>
        <w:rPr>
          <w:spacing w:val="-4"/>
        </w:rPr>
        <w:t xml:space="preserve"> </w:t>
      </w:r>
      <w:r>
        <w:t>risk</w:t>
      </w:r>
      <w:r>
        <w:rPr>
          <w:spacing w:val="-4"/>
        </w:rPr>
        <w:t xml:space="preserve"> </w:t>
      </w:r>
      <w:r>
        <w:t>management</w:t>
      </w:r>
      <w:r>
        <w:rPr>
          <w:spacing w:val="-1"/>
        </w:rPr>
        <w:t xml:space="preserve"> </w:t>
      </w:r>
      <w:r>
        <w:t>a</w:t>
      </w:r>
      <w:r>
        <w:rPr>
          <w:spacing w:val="-4"/>
        </w:rPr>
        <w:t xml:space="preserve"> </w:t>
      </w:r>
      <w:r>
        <w:t>cornerstone</w:t>
      </w:r>
      <w:r>
        <w:rPr>
          <w:spacing w:val="-4"/>
        </w:rPr>
        <w:t xml:space="preserve"> </w:t>
      </w:r>
      <w:r>
        <w:t>of</w:t>
      </w:r>
      <w:r>
        <w:rPr>
          <w:spacing w:val="-4"/>
        </w:rPr>
        <w:t xml:space="preserve"> </w:t>
      </w:r>
      <w:r>
        <w:t xml:space="preserve">financial sustainability, not just for traditional Deposit Money Banks (DMBs), but increasingly for Non-Bank Financial Institutions (NBFIs) and licenced non-financial institutional lenders. In the wake of global financial crises and regional economic downturns, the focus of financial assistance has shifted from merely assessing who gets access to credit to understanding how that credit is managed post- </w:t>
      </w:r>
      <w:r>
        <w:rPr>
          <w:spacing w:val="-2"/>
        </w:rPr>
        <w:t>disbursement.</w:t>
      </w:r>
    </w:p>
    <w:p w14:paraId="51035CD1">
      <w:pPr>
        <w:pStyle w:val="5"/>
        <w:spacing w:before="161" w:line="360" w:lineRule="auto"/>
        <w:ind w:right="158"/>
        <w:jc w:val="both"/>
      </w:pPr>
      <w:r>
        <w:t>In the context of developing economies like Nigeria, the financial landscape has undergone a radical transformation over the last decade. Historically, credit delivery was the exclusive preserve of commercial banks. However, due to stringent collateral requirements and high interest rates, a significant portion of the Nigerian populace particularly Small and Medium Enterprises (SMEs) and low-income households remained financially excluded. To bridge this gap, a new class of lenders emerged. These licenced non-financial institutional lenders, which include State-licenced money lenders, finance houses, and digital lending platforms (fintechs), have increased quite rapidly. They operate with speed and flexibility that traditional banks cannot match, often utilizing alternative data for credit scoring.</w:t>
      </w:r>
      <w:r>
        <w:rPr>
          <w:spacing w:val="-7"/>
        </w:rPr>
        <w:t xml:space="preserve"> </w:t>
      </w:r>
      <w:r>
        <w:t>Yet, this rapid expansion has come at a cost: a rising tide of Non-Performing Loans (NPLs) and heightened credit risk exposure.</w:t>
      </w:r>
    </w:p>
    <w:p w14:paraId="07DAD9DB">
      <w:pPr>
        <w:pStyle w:val="5"/>
        <w:spacing w:before="158" w:line="360" w:lineRule="auto"/>
        <w:ind w:right="159"/>
        <w:jc w:val="both"/>
      </w:pPr>
      <w:r>
        <w:t>The</w:t>
      </w:r>
      <w:r>
        <w:rPr>
          <w:spacing w:val="-2"/>
        </w:rPr>
        <w:t xml:space="preserve"> </w:t>
      </w:r>
      <w:r>
        <w:t>core</w:t>
      </w:r>
      <w:r>
        <w:rPr>
          <w:spacing w:val="-4"/>
        </w:rPr>
        <w:t xml:space="preserve"> </w:t>
      </w:r>
      <w:r>
        <w:t>challenge</w:t>
      </w:r>
      <w:r>
        <w:rPr>
          <w:spacing w:val="-4"/>
        </w:rPr>
        <w:t xml:space="preserve"> </w:t>
      </w:r>
      <w:r>
        <w:t>facing</w:t>
      </w:r>
      <w:r>
        <w:rPr>
          <w:spacing w:val="-2"/>
        </w:rPr>
        <w:t xml:space="preserve"> </w:t>
      </w:r>
      <w:r>
        <w:t>these</w:t>
      </w:r>
      <w:r>
        <w:rPr>
          <w:spacing w:val="-4"/>
        </w:rPr>
        <w:t xml:space="preserve"> </w:t>
      </w:r>
      <w:r>
        <w:t>non-financial</w:t>
      </w:r>
      <w:r>
        <w:rPr>
          <w:spacing w:val="-4"/>
        </w:rPr>
        <w:t xml:space="preserve"> </w:t>
      </w:r>
      <w:r>
        <w:t>lenders</w:t>
      </w:r>
      <w:r>
        <w:rPr>
          <w:spacing w:val="-4"/>
        </w:rPr>
        <w:t xml:space="preserve"> </w:t>
      </w:r>
      <w:r>
        <w:t>is</w:t>
      </w:r>
      <w:r>
        <w:rPr>
          <w:spacing w:val="-2"/>
        </w:rPr>
        <w:t xml:space="preserve"> </w:t>
      </w:r>
      <w:r>
        <w:t>the</w:t>
      </w:r>
      <w:r>
        <w:rPr>
          <w:spacing w:val="-2"/>
        </w:rPr>
        <w:t xml:space="preserve"> </w:t>
      </w:r>
      <w:r>
        <w:t>asymmetry</w:t>
      </w:r>
      <w:r>
        <w:rPr>
          <w:spacing w:val="-2"/>
        </w:rPr>
        <w:t xml:space="preserve"> </w:t>
      </w:r>
      <w:r>
        <w:t>of</w:t>
      </w:r>
      <w:r>
        <w:rPr>
          <w:spacing w:val="-4"/>
        </w:rPr>
        <w:t xml:space="preserve"> </w:t>
      </w:r>
      <w:r>
        <w:t>information.</w:t>
      </w:r>
      <w:r>
        <w:rPr>
          <w:spacing w:val="-5"/>
        </w:rPr>
        <w:t xml:space="preserve"> </w:t>
      </w:r>
      <w:r>
        <w:t>In</w:t>
      </w:r>
      <w:r>
        <w:rPr>
          <w:spacing w:val="-5"/>
        </w:rPr>
        <w:t xml:space="preserve"> </w:t>
      </w:r>
      <w:r>
        <w:t>the</w:t>
      </w:r>
      <w:r>
        <w:rPr>
          <w:spacing w:val="-2"/>
        </w:rPr>
        <w:t xml:space="preserve"> </w:t>
      </w:r>
      <w:r>
        <w:t>Nigerian market, despite the advent of Bank Verification Numbers (BVN) and credit bureaus, there remains a significant gap</w:t>
      </w:r>
      <w:r>
        <w:rPr>
          <w:spacing w:val="-1"/>
        </w:rPr>
        <w:t xml:space="preserve"> </w:t>
      </w:r>
      <w:r>
        <w:t>in</w:t>
      </w:r>
      <w:r>
        <w:rPr>
          <w:spacing w:val="-1"/>
        </w:rPr>
        <w:t xml:space="preserve"> </w:t>
      </w:r>
      <w:r>
        <w:t>the</w:t>
      </w:r>
      <w:r>
        <w:rPr>
          <w:spacing w:val="-1"/>
        </w:rPr>
        <w:t xml:space="preserve"> </w:t>
      </w:r>
      <w:r>
        <w:t>comprehensive</w:t>
      </w:r>
      <w:r>
        <w:rPr>
          <w:spacing w:val="-1"/>
        </w:rPr>
        <w:t xml:space="preserve"> </w:t>
      </w:r>
      <w:r>
        <w:t>tracking</w:t>
      </w:r>
      <w:r>
        <w:rPr>
          <w:spacing w:val="-1"/>
        </w:rPr>
        <w:t xml:space="preserve"> </w:t>
      </w:r>
      <w:r>
        <w:t>of</w:t>
      </w:r>
      <w:r>
        <w:rPr>
          <w:spacing w:val="-3"/>
        </w:rPr>
        <w:t xml:space="preserve"> </w:t>
      </w:r>
      <w:r>
        <w:t>borrower behavior,</w:t>
      </w:r>
      <w:r>
        <w:rPr>
          <w:spacing w:val="-1"/>
        </w:rPr>
        <w:t xml:space="preserve"> </w:t>
      </w:r>
      <w:r>
        <w:t>particularly</w:t>
      </w:r>
      <w:r>
        <w:rPr>
          <w:spacing w:val="-3"/>
        </w:rPr>
        <w:t xml:space="preserve"> </w:t>
      </w:r>
      <w:r>
        <w:t>in</w:t>
      </w:r>
      <w:r>
        <w:rPr>
          <w:spacing w:val="-1"/>
        </w:rPr>
        <w:t xml:space="preserve"> </w:t>
      </w:r>
      <w:r>
        <w:t>the</w:t>
      </w:r>
      <w:r>
        <w:rPr>
          <w:spacing w:val="-3"/>
        </w:rPr>
        <w:t xml:space="preserve"> </w:t>
      </w:r>
      <w:r>
        <w:t>informal sector where many of these lenders operate.</w:t>
      </w:r>
      <w:r>
        <w:rPr>
          <w:spacing w:val="-1"/>
        </w:rPr>
        <w:t xml:space="preserve"> </w:t>
      </w:r>
      <w:r>
        <w:t>Agency theory posits that once a loan is granted, the borrower (agent) may pursue interests that diverge from those of the lender (principal), such as diverting funds to high-risk ventures or neglecting repayment priorities. This moral hazard is made worse when the lender</w:t>
      </w:r>
      <w:r>
        <w:rPr>
          <w:spacing w:val="-1"/>
        </w:rPr>
        <w:t xml:space="preserve"> </w:t>
      </w:r>
      <w:r>
        <w:t>lacks</w:t>
      </w:r>
      <w:r>
        <w:rPr>
          <w:spacing w:val="-1"/>
        </w:rPr>
        <w:t xml:space="preserve"> </w:t>
      </w:r>
      <w:r>
        <w:t>robust</w:t>
      </w:r>
      <w:r>
        <w:rPr>
          <w:spacing w:val="-2"/>
        </w:rPr>
        <w:t xml:space="preserve"> </w:t>
      </w:r>
      <w:r>
        <w:t>mechanisms</w:t>
      </w:r>
      <w:r>
        <w:rPr>
          <w:spacing w:val="-1"/>
        </w:rPr>
        <w:t xml:space="preserve"> </w:t>
      </w:r>
      <w:r>
        <w:t>to</w:t>
      </w:r>
      <w:r>
        <w:rPr>
          <w:spacing w:val="-2"/>
        </w:rPr>
        <w:t xml:space="preserve"> </w:t>
      </w:r>
      <w:r>
        <w:t>observe</w:t>
      </w:r>
      <w:r>
        <w:rPr>
          <w:spacing w:val="-1"/>
        </w:rPr>
        <w:t xml:space="preserve"> </w:t>
      </w:r>
      <w:r>
        <w:t>the</w:t>
      </w:r>
      <w:r>
        <w:rPr>
          <w:spacing w:val="-1"/>
        </w:rPr>
        <w:t xml:space="preserve"> </w:t>
      </w:r>
      <w:r>
        <w:t>borrower’s</w:t>
      </w:r>
      <w:r>
        <w:rPr>
          <w:spacing w:val="-1"/>
        </w:rPr>
        <w:t xml:space="preserve"> </w:t>
      </w:r>
      <w:r>
        <w:t>actions</w:t>
      </w:r>
      <w:r>
        <w:rPr>
          <w:spacing w:val="-1"/>
        </w:rPr>
        <w:t xml:space="preserve"> </w:t>
      </w:r>
      <w:r>
        <w:t>after</w:t>
      </w:r>
      <w:r>
        <w:rPr>
          <w:spacing w:val="-1"/>
        </w:rPr>
        <w:t xml:space="preserve"> </w:t>
      </w:r>
      <w:r>
        <w:t>the</w:t>
      </w:r>
      <w:r>
        <w:rPr>
          <w:spacing w:val="-1"/>
        </w:rPr>
        <w:t xml:space="preserve"> </w:t>
      </w:r>
      <w:r>
        <w:t>funds</w:t>
      </w:r>
      <w:r>
        <w:rPr>
          <w:spacing w:val="-3"/>
        </w:rPr>
        <w:t xml:space="preserve"> </w:t>
      </w:r>
      <w:r>
        <w:t>have</w:t>
      </w:r>
      <w:r>
        <w:rPr>
          <w:spacing w:val="-1"/>
        </w:rPr>
        <w:t xml:space="preserve"> </w:t>
      </w:r>
      <w:r>
        <w:t>been</w:t>
      </w:r>
      <w:r>
        <w:rPr>
          <w:spacing w:val="-2"/>
        </w:rPr>
        <w:t xml:space="preserve"> </w:t>
      </w:r>
      <w:r>
        <w:t>disbursed. This is where the concept of loan monitoring becomes critical.</w:t>
      </w:r>
    </w:p>
    <w:p w14:paraId="0994A955">
      <w:pPr>
        <w:pStyle w:val="5"/>
        <w:spacing w:before="162" w:line="360" w:lineRule="auto"/>
        <w:ind w:right="160"/>
        <w:jc w:val="both"/>
      </w:pPr>
      <w:r>
        <w:t>Loan</w:t>
      </w:r>
      <w:r>
        <w:rPr>
          <w:spacing w:val="-14"/>
        </w:rPr>
        <w:t xml:space="preserve"> </w:t>
      </w:r>
      <w:r>
        <w:t>monitoring</w:t>
      </w:r>
      <w:r>
        <w:rPr>
          <w:spacing w:val="-14"/>
        </w:rPr>
        <w:t xml:space="preserve"> </w:t>
      </w:r>
      <w:r>
        <w:t>refers</w:t>
      </w:r>
      <w:r>
        <w:rPr>
          <w:spacing w:val="-14"/>
        </w:rPr>
        <w:t xml:space="preserve"> </w:t>
      </w:r>
      <w:r>
        <w:t>to</w:t>
      </w:r>
      <w:r>
        <w:rPr>
          <w:spacing w:val="-13"/>
        </w:rPr>
        <w:t xml:space="preserve"> </w:t>
      </w:r>
      <w:r>
        <w:t>the</w:t>
      </w:r>
      <w:r>
        <w:rPr>
          <w:spacing w:val="-14"/>
        </w:rPr>
        <w:t xml:space="preserve"> </w:t>
      </w:r>
      <w:r>
        <w:t>continuous</w:t>
      </w:r>
      <w:r>
        <w:rPr>
          <w:spacing w:val="-11"/>
        </w:rPr>
        <w:t xml:space="preserve"> </w:t>
      </w:r>
      <w:r>
        <w:t>surveillance</w:t>
      </w:r>
      <w:r>
        <w:rPr>
          <w:spacing w:val="-14"/>
        </w:rPr>
        <w:t xml:space="preserve"> </w:t>
      </w:r>
      <w:r>
        <w:t>of</w:t>
      </w:r>
      <w:r>
        <w:rPr>
          <w:spacing w:val="-13"/>
        </w:rPr>
        <w:t xml:space="preserve"> </w:t>
      </w:r>
      <w:r>
        <w:t>a</w:t>
      </w:r>
      <w:r>
        <w:rPr>
          <w:spacing w:val="-14"/>
        </w:rPr>
        <w:t xml:space="preserve"> </w:t>
      </w:r>
      <w:r>
        <w:t>borrower’s</w:t>
      </w:r>
      <w:r>
        <w:rPr>
          <w:spacing w:val="-14"/>
        </w:rPr>
        <w:t xml:space="preserve"> </w:t>
      </w:r>
      <w:r>
        <w:t>financial</w:t>
      </w:r>
      <w:r>
        <w:rPr>
          <w:spacing w:val="-13"/>
        </w:rPr>
        <w:t xml:space="preserve"> </w:t>
      </w:r>
      <w:r>
        <w:t>condition</w:t>
      </w:r>
      <w:r>
        <w:rPr>
          <w:spacing w:val="-14"/>
        </w:rPr>
        <w:t xml:space="preserve"> </w:t>
      </w:r>
      <w:r>
        <w:t>and</w:t>
      </w:r>
      <w:r>
        <w:rPr>
          <w:spacing w:val="-14"/>
        </w:rPr>
        <w:t xml:space="preserve"> </w:t>
      </w:r>
      <w:r>
        <w:t>adherence to loan covenants throughout the life of the credit facility. It encompasses series of activities, ranging from</w:t>
      </w:r>
      <w:r>
        <w:rPr>
          <w:spacing w:val="-11"/>
        </w:rPr>
        <w:t xml:space="preserve"> </w:t>
      </w:r>
      <w:r>
        <w:t>traditional</w:t>
      </w:r>
      <w:r>
        <w:rPr>
          <w:spacing w:val="-11"/>
        </w:rPr>
        <w:t xml:space="preserve"> </w:t>
      </w:r>
      <w:r>
        <w:t>site</w:t>
      </w:r>
      <w:r>
        <w:rPr>
          <w:spacing w:val="-12"/>
        </w:rPr>
        <w:t xml:space="preserve"> </w:t>
      </w:r>
      <w:r>
        <w:t>visits</w:t>
      </w:r>
      <w:r>
        <w:rPr>
          <w:spacing w:val="-11"/>
        </w:rPr>
        <w:t xml:space="preserve"> </w:t>
      </w:r>
      <w:r>
        <w:t>and</w:t>
      </w:r>
      <w:r>
        <w:rPr>
          <w:spacing w:val="-12"/>
        </w:rPr>
        <w:t xml:space="preserve"> </w:t>
      </w:r>
      <w:r>
        <w:t>financial</w:t>
      </w:r>
      <w:r>
        <w:rPr>
          <w:spacing w:val="-13"/>
        </w:rPr>
        <w:t xml:space="preserve"> </w:t>
      </w:r>
      <w:r>
        <w:t>statement</w:t>
      </w:r>
      <w:r>
        <w:rPr>
          <w:spacing w:val="-11"/>
        </w:rPr>
        <w:t xml:space="preserve"> </w:t>
      </w:r>
      <w:r>
        <w:t>reviews</w:t>
      </w:r>
      <w:r>
        <w:rPr>
          <w:spacing w:val="-11"/>
        </w:rPr>
        <w:t xml:space="preserve"> </w:t>
      </w:r>
      <w:r>
        <w:t>to</w:t>
      </w:r>
      <w:r>
        <w:rPr>
          <w:spacing w:val="-12"/>
        </w:rPr>
        <w:t xml:space="preserve"> </w:t>
      </w:r>
      <w:r>
        <w:t>modern,</w:t>
      </w:r>
      <w:r>
        <w:rPr>
          <w:spacing w:val="-12"/>
        </w:rPr>
        <w:t xml:space="preserve"> </w:t>
      </w:r>
      <w:r>
        <w:t>technology-driven</w:t>
      </w:r>
      <w:r>
        <w:rPr>
          <w:spacing w:val="-12"/>
        </w:rPr>
        <w:t xml:space="preserve"> </w:t>
      </w:r>
      <w:r>
        <w:t>monitoring</w:t>
      </w:r>
      <w:r>
        <w:rPr>
          <w:spacing w:val="-12"/>
        </w:rPr>
        <w:t xml:space="preserve"> </w:t>
      </w:r>
      <w:r>
        <w:t>via transaction tracking and behavioral analytics. For traditional banks, monitoring is a highly regulated, standardized procedure involving credit committees and strict regulatory reporting. However, for licenced non-financial institutional lenders in Nigeria, monitoring practices vary</w:t>
      </w:r>
      <w:r>
        <w:rPr>
          <w:spacing w:val="-1"/>
        </w:rPr>
        <w:t xml:space="preserve"> </w:t>
      </w:r>
      <w:r>
        <w:t>wildly. Some rely on</w:t>
      </w:r>
    </w:p>
    <w:p w14:paraId="6AC7AB48">
      <w:pPr>
        <w:pStyle w:val="5"/>
        <w:spacing w:after="0" w:line="360" w:lineRule="auto"/>
        <w:jc w:val="both"/>
        <w:sectPr>
          <w:pgSz w:w="11910" w:h="16840"/>
          <w:pgMar w:top="1360" w:right="1275" w:bottom="280" w:left="1275" w:header="720" w:footer="720" w:gutter="0"/>
          <w:cols w:space="720" w:num="1"/>
        </w:sectPr>
      </w:pPr>
    </w:p>
    <w:p w14:paraId="2CB6B9CC">
      <w:pPr>
        <w:pStyle w:val="5"/>
        <w:spacing w:before="62" w:line="360" w:lineRule="auto"/>
        <w:ind w:right="163"/>
        <w:jc w:val="both"/>
      </w:pPr>
      <w:r>
        <w:t>aggressive, often unethical recovery methods post-default, while others employ sophisticated algorithms to detect early warning signs of distress.</w:t>
      </w:r>
    </w:p>
    <w:p w14:paraId="02EC0231">
      <w:pPr>
        <w:pStyle w:val="5"/>
        <w:spacing w:before="161" w:line="360" w:lineRule="auto"/>
        <w:ind w:right="160"/>
        <w:jc w:val="both"/>
      </w:pPr>
      <w:r>
        <w:t>The effectiveness of these monitoring practices is currently a subject of intense debate. The Nigerian economic</w:t>
      </w:r>
      <w:r>
        <w:rPr>
          <w:spacing w:val="-13"/>
        </w:rPr>
        <w:t xml:space="preserve"> </w:t>
      </w:r>
      <w:r>
        <w:t>environment</w:t>
      </w:r>
      <w:r>
        <w:rPr>
          <w:spacing w:val="-12"/>
        </w:rPr>
        <w:t xml:space="preserve"> </w:t>
      </w:r>
      <w:r>
        <w:t>is</w:t>
      </w:r>
      <w:r>
        <w:rPr>
          <w:spacing w:val="-12"/>
        </w:rPr>
        <w:t xml:space="preserve"> </w:t>
      </w:r>
      <w:r>
        <w:t>characterized</w:t>
      </w:r>
      <w:r>
        <w:rPr>
          <w:spacing w:val="-13"/>
        </w:rPr>
        <w:t xml:space="preserve"> </w:t>
      </w:r>
      <w:r>
        <w:t>by</w:t>
      </w:r>
      <w:r>
        <w:rPr>
          <w:spacing w:val="-13"/>
        </w:rPr>
        <w:t xml:space="preserve"> </w:t>
      </w:r>
      <w:r>
        <w:t>high</w:t>
      </w:r>
      <w:r>
        <w:rPr>
          <w:spacing w:val="-13"/>
        </w:rPr>
        <w:t xml:space="preserve"> </w:t>
      </w:r>
      <w:r>
        <w:t>volatility,</w:t>
      </w:r>
      <w:r>
        <w:rPr>
          <w:spacing w:val="-13"/>
        </w:rPr>
        <w:t xml:space="preserve"> </w:t>
      </w:r>
      <w:r>
        <w:t>double-digit</w:t>
      </w:r>
      <w:r>
        <w:rPr>
          <w:spacing w:val="-12"/>
        </w:rPr>
        <w:t xml:space="preserve"> </w:t>
      </w:r>
      <w:r>
        <w:t>inflation,</w:t>
      </w:r>
      <w:r>
        <w:rPr>
          <w:spacing w:val="-13"/>
        </w:rPr>
        <w:t xml:space="preserve"> </w:t>
      </w:r>
      <w:r>
        <w:t>and</w:t>
      </w:r>
      <w:r>
        <w:rPr>
          <w:spacing w:val="-13"/>
        </w:rPr>
        <w:t xml:space="preserve"> </w:t>
      </w:r>
      <w:r>
        <w:t>fluctuating</w:t>
      </w:r>
      <w:r>
        <w:rPr>
          <w:spacing w:val="-13"/>
        </w:rPr>
        <w:t xml:space="preserve"> </w:t>
      </w:r>
      <w:r>
        <w:t>foreign exchange rates. In such an ecosystem, a borrower’s capacity to repay can deteriorate rapidly, often within</w:t>
      </w:r>
      <w:r>
        <w:rPr>
          <w:spacing w:val="-1"/>
        </w:rPr>
        <w:t xml:space="preserve"> </w:t>
      </w:r>
      <w:r>
        <w:t>weeks</w:t>
      </w:r>
      <w:r>
        <w:rPr>
          <w:spacing w:val="-1"/>
        </w:rPr>
        <w:t xml:space="preserve"> </w:t>
      </w:r>
      <w:r>
        <w:t>of taking</w:t>
      </w:r>
      <w:r>
        <w:rPr>
          <w:spacing w:val="-1"/>
        </w:rPr>
        <w:t xml:space="preserve"> </w:t>
      </w:r>
      <w:r>
        <w:t>a</w:t>
      </w:r>
      <w:r>
        <w:rPr>
          <w:spacing w:val="-1"/>
        </w:rPr>
        <w:t xml:space="preserve"> </w:t>
      </w:r>
      <w:r>
        <w:t>loan.</w:t>
      </w:r>
      <w:r>
        <w:rPr>
          <w:spacing w:val="-1"/>
        </w:rPr>
        <w:t xml:space="preserve"> </w:t>
      </w:r>
      <w:r>
        <w:t>Consequently,</w:t>
      </w:r>
      <w:r>
        <w:rPr>
          <w:spacing w:val="-1"/>
        </w:rPr>
        <w:t xml:space="preserve"> </w:t>
      </w:r>
      <w:r>
        <w:t>static</w:t>
      </w:r>
      <w:r>
        <w:rPr>
          <w:spacing w:val="-1"/>
        </w:rPr>
        <w:t xml:space="preserve"> </w:t>
      </w:r>
      <w:r>
        <w:t>risk</w:t>
      </w:r>
      <w:r>
        <w:rPr>
          <w:spacing w:val="-1"/>
        </w:rPr>
        <w:t xml:space="preserve"> </w:t>
      </w:r>
      <w:r>
        <w:t>assessment</w:t>
      </w:r>
      <w:r>
        <w:rPr>
          <w:spacing w:val="-2"/>
        </w:rPr>
        <w:t xml:space="preserve"> </w:t>
      </w:r>
      <w:r>
        <w:t>models which</w:t>
      </w:r>
      <w:r>
        <w:rPr>
          <w:spacing w:val="-3"/>
        </w:rPr>
        <w:t xml:space="preserve"> </w:t>
      </w:r>
      <w:r>
        <w:t>evaluate</w:t>
      </w:r>
      <w:r>
        <w:rPr>
          <w:spacing w:val="-1"/>
        </w:rPr>
        <w:t xml:space="preserve"> </w:t>
      </w:r>
      <w:r>
        <w:t>a</w:t>
      </w:r>
      <w:r>
        <w:rPr>
          <w:spacing w:val="-1"/>
        </w:rPr>
        <w:t xml:space="preserve"> </w:t>
      </w:r>
      <w:r>
        <w:t>borrower only at the point of application are proving insufficient. Without active, dynamic loan monitoring, lenders are often blindsided by defaults.</w:t>
      </w:r>
      <w:r>
        <w:rPr>
          <w:spacing w:val="-1"/>
        </w:rPr>
        <w:t xml:space="preserve"> </w:t>
      </w:r>
      <w:r>
        <w:t>The study suggests that effective monitoring should act as an early warning system, allowing lenders to restructure loans or demand additional collateral before a total</w:t>
      </w:r>
      <w:r>
        <w:rPr>
          <w:spacing w:val="-2"/>
        </w:rPr>
        <w:t xml:space="preserve"> </w:t>
      </w:r>
      <w:r>
        <w:t>default</w:t>
      </w:r>
      <w:r>
        <w:rPr>
          <w:spacing w:val="-2"/>
        </w:rPr>
        <w:t xml:space="preserve"> </w:t>
      </w:r>
      <w:r>
        <w:t>occurs.</w:t>
      </w:r>
      <w:r>
        <w:rPr>
          <w:spacing w:val="-3"/>
        </w:rPr>
        <w:t xml:space="preserve"> </w:t>
      </w:r>
      <w:r>
        <w:t>However,</w:t>
      </w:r>
      <w:r>
        <w:rPr>
          <w:spacing w:val="-3"/>
        </w:rPr>
        <w:t xml:space="preserve"> </w:t>
      </w:r>
      <w:r>
        <w:t>it</w:t>
      </w:r>
      <w:r>
        <w:rPr>
          <w:spacing w:val="-2"/>
        </w:rPr>
        <w:t xml:space="preserve"> </w:t>
      </w:r>
      <w:r>
        <w:t>remains</w:t>
      </w:r>
      <w:r>
        <w:rPr>
          <w:spacing w:val="-3"/>
        </w:rPr>
        <w:t xml:space="preserve"> </w:t>
      </w:r>
      <w:r>
        <w:t>unclear whether</w:t>
      </w:r>
      <w:r>
        <w:rPr>
          <w:spacing w:val="-2"/>
        </w:rPr>
        <w:t xml:space="preserve"> </w:t>
      </w:r>
      <w:r>
        <w:t>the</w:t>
      </w:r>
      <w:r>
        <w:rPr>
          <w:spacing w:val="-3"/>
        </w:rPr>
        <w:t xml:space="preserve"> </w:t>
      </w:r>
      <w:r>
        <w:t>monitoring</w:t>
      </w:r>
      <w:r>
        <w:rPr>
          <w:spacing w:val="-4"/>
        </w:rPr>
        <w:t xml:space="preserve"> </w:t>
      </w:r>
      <w:r>
        <w:t>practices</w:t>
      </w:r>
      <w:r>
        <w:rPr>
          <w:spacing w:val="-3"/>
        </w:rPr>
        <w:t xml:space="preserve"> </w:t>
      </w:r>
      <w:r>
        <w:t>currently</w:t>
      </w:r>
      <w:r>
        <w:rPr>
          <w:spacing w:val="-4"/>
        </w:rPr>
        <w:t xml:space="preserve"> </w:t>
      </w:r>
      <w:r>
        <w:t>employed by non-financial lenders in Nigeria are robust enough to mitigate these risks effectively.</w:t>
      </w:r>
    </w:p>
    <w:p w14:paraId="37A5D284">
      <w:pPr>
        <w:pStyle w:val="5"/>
        <w:spacing w:before="161" w:line="360" w:lineRule="auto"/>
        <w:ind w:right="159"/>
        <w:jc w:val="both"/>
      </w:pPr>
      <w:r>
        <w:t>Furthermore, the operational structure of licenced non-financial lenders differs significantly from commercial</w:t>
      </w:r>
      <w:r>
        <w:rPr>
          <w:spacing w:val="-5"/>
        </w:rPr>
        <w:t xml:space="preserve"> </w:t>
      </w:r>
      <w:r>
        <w:t>banks.</w:t>
      </w:r>
      <w:r>
        <w:rPr>
          <w:spacing w:val="-6"/>
        </w:rPr>
        <w:t xml:space="preserve"> </w:t>
      </w:r>
      <w:r>
        <w:t>Many</w:t>
      </w:r>
      <w:r>
        <w:rPr>
          <w:spacing w:val="-6"/>
        </w:rPr>
        <w:t xml:space="preserve"> </w:t>
      </w:r>
      <w:r>
        <w:t>of</w:t>
      </w:r>
      <w:r>
        <w:rPr>
          <w:spacing w:val="-5"/>
        </w:rPr>
        <w:t xml:space="preserve"> </w:t>
      </w:r>
      <w:r>
        <w:t>these</w:t>
      </w:r>
      <w:r>
        <w:rPr>
          <w:spacing w:val="-6"/>
        </w:rPr>
        <w:t xml:space="preserve"> </w:t>
      </w:r>
      <w:r>
        <w:t>institutions</w:t>
      </w:r>
      <w:r>
        <w:rPr>
          <w:spacing w:val="-6"/>
        </w:rPr>
        <w:t xml:space="preserve"> </w:t>
      </w:r>
      <w:r>
        <w:t>are</w:t>
      </w:r>
      <w:r>
        <w:rPr>
          <w:spacing w:val="-6"/>
        </w:rPr>
        <w:t xml:space="preserve"> </w:t>
      </w:r>
      <w:r>
        <w:t>lean,</w:t>
      </w:r>
      <w:r>
        <w:rPr>
          <w:spacing w:val="-9"/>
        </w:rPr>
        <w:t xml:space="preserve"> </w:t>
      </w:r>
      <w:r>
        <w:t>technology-dependent</w:t>
      </w:r>
      <w:r>
        <w:rPr>
          <w:spacing w:val="-5"/>
        </w:rPr>
        <w:t xml:space="preserve"> </w:t>
      </w:r>
      <w:r>
        <w:t>entities</w:t>
      </w:r>
      <w:r>
        <w:rPr>
          <w:spacing w:val="-5"/>
        </w:rPr>
        <w:t xml:space="preserve"> </w:t>
      </w:r>
      <w:r>
        <w:t>that</w:t>
      </w:r>
      <w:r>
        <w:rPr>
          <w:spacing w:val="-7"/>
        </w:rPr>
        <w:t xml:space="preserve"> </w:t>
      </w:r>
      <w:r>
        <w:t>may</w:t>
      </w:r>
      <w:r>
        <w:rPr>
          <w:spacing w:val="-6"/>
        </w:rPr>
        <w:t xml:space="preserve"> </w:t>
      </w:r>
      <w:r>
        <w:t>lack</w:t>
      </w:r>
      <w:r>
        <w:rPr>
          <w:spacing w:val="-6"/>
        </w:rPr>
        <w:t xml:space="preserve"> </w:t>
      </w:r>
      <w:r>
        <w:t>the infrastructure required for physical monitoring.</w:t>
      </w:r>
      <w:r>
        <w:rPr>
          <w:spacing w:val="-2"/>
        </w:rPr>
        <w:t xml:space="preserve"> </w:t>
      </w:r>
      <w:r>
        <w:t>This reliance on remote or digital monitoring presents a unique set of risks. For instance, digital lenders in Nigeria often face the challenge of loan stacking, where a borrower takes simultaneous loans from multiple apps, concealing their true debt burden. If</w:t>
      </w:r>
      <w:r>
        <w:rPr>
          <w:spacing w:val="-1"/>
        </w:rPr>
        <w:t xml:space="preserve"> </w:t>
      </w:r>
      <w:r>
        <w:t>a lender’s monitoring practice is limited to checking repayment history on their own platform, they fail to see the systemic risk building up in the borrower's total profile. Therefore, the question arises: are current monitoring frameworks adapted to the specific realities of the non-bank lending space?</w:t>
      </w:r>
    </w:p>
    <w:p w14:paraId="2A5ADD67">
      <w:pPr>
        <w:pStyle w:val="5"/>
        <w:spacing w:before="159" w:line="360" w:lineRule="auto"/>
        <w:ind w:right="160"/>
        <w:jc w:val="both"/>
      </w:pPr>
      <w:r>
        <w:t>The</w:t>
      </w:r>
      <w:r>
        <w:rPr>
          <w:spacing w:val="-6"/>
        </w:rPr>
        <w:t xml:space="preserve"> </w:t>
      </w:r>
      <w:r>
        <w:t>problem</w:t>
      </w:r>
      <w:r>
        <w:rPr>
          <w:spacing w:val="-8"/>
        </w:rPr>
        <w:t xml:space="preserve"> </w:t>
      </w:r>
      <w:r>
        <w:t>is</w:t>
      </w:r>
      <w:r>
        <w:rPr>
          <w:spacing w:val="-8"/>
        </w:rPr>
        <w:t xml:space="preserve"> </w:t>
      </w:r>
      <w:r>
        <w:t>further</w:t>
      </w:r>
      <w:r>
        <w:rPr>
          <w:spacing w:val="-5"/>
        </w:rPr>
        <w:t xml:space="preserve"> </w:t>
      </w:r>
      <w:r>
        <w:t>compounded</w:t>
      </w:r>
      <w:r>
        <w:rPr>
          <w:spacing w:val="-8"/>
        </w:rPr>
        <w:t xml:space="preserve"> </w:t>
      </w:r>
      <w:r>
        <w:t>by</w:t>
      </w:r>
      <w:r>
        <w:rPr>
          <w:spacing w:val="-6"/>
        </w:rPr>
        <w:t xml:space="preserve"> </w:t>
      </w:r>
      <w:r>
        <w:t>the</w:t>
      </w:r>
      <w:r>
        <w:rPr>
          <w:spacing w:val="-6"/>
        </w:rPr>
        <w:t xml:space="preserve"> </w:t>
      </w:r>
      <w:r>
        <w:t>regulatory</w:t>
      </w:r>
      <w:r>
        <w:rPr>
          <w:spacing w:val="-9"/>
        </w:rPr>
        <w:t xml:space="preserve"> </w:t>
      </w:r>
      <w:r>
        <w:t>dichotomy</w:t>
      </w:r>
      <w:r>
        <w:rPr>
          <w:spacing w:val="-9"/>
        </w:rPr>
        <w:t xml:space="preserve"> </w:t>
      </w:r>
      <w:r>
        <w:t>in</w:t>
      </w:r>
      <w:r>
        <w:rPr>
          <w:spacing w:val="-6"/>
        </w:rPr>
        <w:t xml:space="preserve"> </w:t>
      </w:r>
      <w:r>
        <w:t>Nigeria.</w:t>
      </w:r>
      <w:r>
        <w:rPr>
          <w:spacing w:val="-11"/>
        </w:rPr>
        <w:t xml:space="preserve"> </w:t>
      </w:r>
      <w:r>
        <w:t>While</w:t>
      </w:r>
      <w:r>
        <w:rPr>
          <w:spacing w:val="-6"/>
        </w:rPr>
        <w:t xml:space="preserve"> </w:t>
      </w:r>
      <w:r>
        <w:t>the</w:t>
      </w:r>
      <w:r>
        <w:rPr>
          <w:spacing w:val="-8"/>
        </w:rPr>
        <w:t xml:space="preserve"> </w:t>
      </w:r>
      <w:r>
        <w:t>Central</w:t>
      </w:r>
      <w:r>
        <w:rPr>
          <w:spacing w:val="-5"/>
        </w:rPr>
        <w:t xml:space="preserve"> </w:t>
      </w:r>
      <w:r>
        <w:t>Bank</w:t>
      </w:r>
      <w:r>
        <w:rPr>
          <w:spacing w:val="-8"/>
        </w:rPr>
        <w:t xml:space="preserve"> </w:t>
      </w:r>
      <w:r>
        <w:t>of Nigeria (CBN) maintains strict oversight on commercial and microfinance banks, many non-financial institutional</w:t>
      </w:r>
      <w:r>
        <w:rPr>
          <w:spacing w:val="-9"/>
        </w:rPr>
        <w:t xml:space="preserve"> </w:t>
      </w:r>
      <w:r>
        <w:t>lenders</w:t>
      </w:r>
      <w:r>
        <w:rPr>
          <w:spacing w:val="-9"/>
        </w:rPr>
        <w:t xml:space="preserve"> </w:t>
      </w:r>
      <w:r>
        <w:t>operate</w:t>
      </w:r>
      <w:r>
        <w:rPr>
          <w:spacing w:val="-12"/>
        </w:rPr>
        <w:t xml:space="preserve"> </w:t>
      </w:r>
      <w:r>
        <w:t>under</w:t>
      </w:r>
      <w:r>
        <w:rPr>
          <w:spacing w:val="-8"/>
        </w:rPr>
        <w:t xml:space="preserve"> </w:t>
      </w:r>
      <w:r>
        <w:t>State</w:t>
      </w:r>
      <w:r>
        <w:rPr>
          <w:spacing w:val="-9"/>
        </w:rPr>
        <w:t xml:space="preserve"> </w:t>
      </w:r>
      <w:r>
        <w:t>Government</w:t>
      </w:r>
      <w:r>
        <w:rPr>
          <w:spacing w:val="-9"/>
        </w:rPr>
        <w:t xml:space="preserve"> </w:t>
      </w:r>
      <w:r>
        <w:t>laws</w:t>
      </w:r>
      <w:r>
        <w:rPr>
          <w:spacing w:val="-6"/>
        </w:rPr>
        <w:t xml:space="preserve"> </w:t>
      </w:r>
      <w:r>
        <w:t>(such</w:t>
      </w:r>
      <w:r>
        <w:rPr>
          <w:spacing w:val="-10"/>
        </w:rPr>
        <w:t xml:space="preserve"> </w:t>
      </w:r>
      <w:r>
        <w:t>as</w:t>
      </w:r>
      <w:r>
        <w:rPr>
          <w:spacing w:val="-9"/>
        </w:rPr>
        <w:t xml:space="preserve"> </w:t>
      </w:r>
      <w:r>
        <w:t>the</w:t>
      </w:r>
      <w:r>
        <w:rPr>
          <w:spacing w:val="-12"/>
        </w:rPr>
        <w:t xml:space="preserve"> </w:t>
      </w:r>
      <w:r>
        <w:t>Money</w:t>
      </w:r>
      <w:r>
        <w:rPr>
          <w:spacing w:val="-10"/>
        </w:rPr>
        <w:t xml:space="preserve"> </w:t>
      </w:r>
      <w:r>
        <w:t>Lenders</w:t>
      </w:r>
      <w:r>
        <w:rPr>
          <w:spacing w:val="-9"/>
        </w:rPr>
        <w:t xml:space="preserve"> </w:t>
      </w:r>
      <w:r>
        <w:t>Laws</w:t>
      </w:r>
      <w:r>
        <w:rPr>
          <w:spacing w:val="-9"/>
        </w:rPr>
        <w:t xml:space="preserve"> </w:t>
      </w:r>
      <w:r>
        <w:t>of</w:t>
      </w:r>
      <w:r>
        <w:rPr>
          <w:spacing w:val="-9"/>
        </w:rPr>
        <w:t xml:space="preserve"> </w:t>
      </w:r>
      <w:r>
        <w:t>various states) which may focus more on licencing and interest rate caps than on prudential risk management guidelines. This regulatory fragmentation can lead to a lack of standardized best practices for loan monitoring. Consequently, many of these lenders may view monitoring as an administrative burden rather than a strategic risk management tool, only allocating resources to it when a loan has already turned bad. This reactive approach negates the preventive value of monitoring.</w:t>
      </w:r>
    </w:p>
    <w:p w14:paraId="4892B3CA">
      <w:pPr>
        <w:pStyle w:val="5"/>
        <w:spacing w:before="162" w:line="360" w:lineRule="auto"/>
        <w:ind w:right="159"/>
        <w:jc w:val="both"/>
      </w:pPr>
      <w:r>
        <w:t>The significance of this study lies in its potential to diagnose the health of a critical sub-sector of the Nigerian</w:t>
      </w:r>
      <w:r>
        <w:rPr>
          <w:spacing w:val="-14"/>
        </w:rPr>
        <w:t xml:space="preserve"> </w:t>
      </w:r>
      <w:r>
        <w:t>economy.</w:t>
      </w:r>
      <w:r>
        <w:rPr>
          <w:spacing w:val="-14"/>
        </w:rPr>
        <w:t xml:space="preserve"> </w:t>
      </w:r>
      <w:r>
        <w:t>As</w:t>
      </w:r>
      <w:r>
        <w:rPr>
          <w:spacing w:val="-14"/>
        </w:rPr>
        <w:t xml:space="preserve"> </w:t>
      </w:r>
      <w:r>
        <w:t>non-financial</w:t>
      </w:r>
      <w:r>
        <w:rPr>
          <w:spacing w:val="-13"/>
        </w:rPr>
        <w:t xml:space="preserve"> </w:t>
      </w:r>
      <w:r>
        <w:t>lenders</w:t>
      </w:r>
      <w:r>
        <w:rPr>
          <w:spacing w:val="-14"/>
        </w:rPr>
        <w:t xml:space="preserve"> </w:t>
      </w:r>
      <w:r>
        <w:t>increasingly</w:t>
      </w:r>
      <w:r>
        <w:rPr>
          <w:spacing w:val="-11"/>
        </w:rPr>
        <w:t xml:space="preserve"> </w:t>
      </w:r>
      <w:r>
        <w:t>become</w:t>
      </w:r>
      <w:r>
        <w:rPr>
          <w:spacing w:val="-13"/>
        </w:rPr>
        <w:t xml:space="preserve"> </w:t>
      </w:r>
      <w:r>
        <w:t>the</w:t>
      </w:r>
      <w:r>
        <w:rPr>
          <w:spacing w:val="-13"/>
        </w:rPr>
        <w:t xml:space="preserve"> </w:t>
      </w:r>
      <w:r>
        <w:t>primary</w:t>
      </w:r>
      <w:r>
        <w:rPr>
          <w:spacing w:val="-12"/>
        </w:rPr>
        <w:t xml:space="preserve"> </w:t>
      </w:r>
      <w:r>
        <w:t>source</w:t>
      </w:r>
      <w:r>
        <w:rPr>
          <w:spacing w:val="-11"/>
        </w:rPr>
        <w:t xml:space="preserve"> </w:t>
      </w:r>
      <w:r>
        <w:t>of</w:t>
      </w:r>
      <w:r>
        <w:rPr>
          <w:spacing w:val="-11"/>
        </w:rPr>
        <w:t xml:space="preserve"> </w:t>
      </w:r>
      <w:r>
        <w:t>working</w:t>
      </w:r>
      <w:r>
        <w:rPr>
          <w:spacing w:val="-13"/>
        </w:rPr>
        <w:t xml:space="preserve"> </w:t>
      </w:r>
      <w:r>
        <w:t>capital for</w:t>
      </w:r>
      <w:r>
        <w:rPr>
          <w:spacing w:val="-11"/>
        </w:rPr>
        <w:t xml:space="preserve"> </w:t>
      </w:r>
      <w:r>
        <w:t>Nigeria’s</w:t>
      </w:r>
      <w:r>
        <w:rPr>
          <w:spacing w:val="-11"/>
        </w:rPr>
        <w:t xml:space="preserve"> </w:t>
      </w:r>
      <w:r>
        <w:t>MSMEs,</w:t>
      </w:r>
      <w:r>
        <w:rPr>
          <w:spacing w:val="-14"/>
        </w:rPr>
        <w:t xml:space="preserve"> </w:t>
      </w:r>
      <w:r>
        <w:t>their</w:t>
      </w:r>
      <w:r>
        <w:rPr>
          <w:spacing w:val="-14"/>
        </w:rPr>
        <w:t xml:space="preserve"> </w:t>
      </w:r>
      <w:r>
        <w:t>stability</w:t>
      </w:r>
      <w:r>
        <w:rPr>
          <w:spacing w:val="-11"/>
        </w:rPr>
        <w:t xml:space="preserve"> </w:t>
      </w:r>
      <w:r>
        <w:t>becomes</w:t>
      </w:r>
      <w:r>
        <w:rPr>
          <w:spacing w:val="-11"/>
        </w:rPr>
        <w:t xml:space="preserve"> </w:t>
      </w:r>
      <w:r>
        <w:t>a</w:t>
      </w:r>
      <w:r>
        <w:rPr>
          <w:spacing w:val="-12"/>
        </w:rPr>
        <w:t xml:space="preserve"> </w:t>
      </w:r>
      <w:r>
        <w:t>matter</w:t>
      </w:r>
      <w:r>
        <w:rPr>
          <w:spacing w:val="-11"/>
        </w:rPr>
        <w:t xml:space="preserve"> </w:t>
      </w:r>
      <w:r>
        <w:t>of</w:t>
      </w:r>
      <w:r>
        <w:rPr>
          <w:spacing w:val="-11"/>
        </w:rPr>
        <w:t xml:space="preserve"> </w:t>
      </w:r>
      <w:r>
        <w:t>public</w:t>
      </w:r>
      <w:r>
        <w:rPr>
          <w:spacing w:val="-14"/>
        </w:rPr>
        <w:t xml:space="preserve"> </w:t>
      </w:r>
      <w:r>
        <w:t>interest.</w:t>
      </w:r>
      <w:r>
        <w:rPr>
          <w:spacing w:val="-14"/>
        </w:rPr>
        <w:t xml:space="preserve"> </w:t>
      </w:r>
      <w:r>
        <w:t>If</w:t>
      </w:r>
      <w:r>
        <w:rPr>
          <w:spacing w:val="-13"/>
        </w:rPr>
        <w:t xml:space="preserve"> </w:t>
      </w:r>
      <w:r>
        <w:t>these</w:t>
      </w:r>
      <w:r>
        <w:rPr>
          <w:spacing w:val="-11"/>
        </w:rPr>
        <w:t xml:space="preserve"> </w:t>
      </w:r>
      <w:r>
        <w:t>lenders</w:t>
      </w:r>
      <w:r>
        <w:rPr>
          <w:spacing w:val="-14"/>
        </w:rPr>
        <w:t xml:space="preserve"> </w:t>
      </w:r>
      <w:r>
        <w:t>fail</w:t>
      </w:r>
      <w:r>
        <w:rPr>
          <w:spacing w:val="-11"/>
        </w:rPr>
        <w:t xml:space="preserve"> </w:t>
      </w:r>
      <w:r>
        <w:t>due</w:t>
      </w:r>
      <w:r>
        <w:rPr>
          <w:spacing w:val="-12"/>
        </w:rPr>
        <w:t xml:space="preserve"> </w:t>
      </w:r>
      <w:r>
        <w:t>to</w:t>
      </w:r>
      <w:r>
        <w:rPr>
          <w:spacing w:val="-12"/>
        </w:rPr>
        <w:t xml:space="preserve"> </w:t>
      </w:r>
      <w:r>
        <w:t>poor risk management, the ripple effects could stifle credit access for the most vulnerable sectors of the economy. While extensive research exists on credit risk management in Nigerian commercial banks (focusing on Basel accords and CBN guidelines), there is a paucity of empirical literature specifically examining the</w:t>
      </w:r>
      <w:r>
        <w:rPr>
          <w:spacing w:val="80"/>
        </w:rPr>
        <w:t xml:space="preserve"> </w:t>
      </w:r>
      <w:r>
        <w:t>monitoring</w:t>
      </w:r>
      <w:r>
        <w:rPr>
          <w:spacing w:val="80"/>
        </w:rPr>
        <w:t xml:space="preserve"> </w:t>
      </w:r>
      <w:r>
        <w:t>mechanisms of licenced non-financial lenders.</w:t>
      </w:r>
    </w:p>
    <w:p w14:paraId="5E5F581E">
      <w:pPr>
        <w:pStyle w:val="5"/>
        <w:spacing w:after="0" w:line="360" w:lineRule="auto"/>
        <w:jc w:val="both"/>
        <w:sectPr>
          <w:pgSz w:w="11910" w:h="16840"/>
          <w:pgMar w:top="1360" w:right="1275" w:bottom="280" w:left="1275" w:header="720" w:footer="720" w:gutter="0"/>
          <w:cols w:space="720" w:num="1"/>
        </w:sectPr>
      </w:pPr>
    </w:p>
    <w:p w14:paraId="53EB7E74">
      <w:pPr>
        <w:pStyle w:val="5"/>
        <w:spacing w:before="62" w:line="360" w:lineRule="auto"/>
        <w:ind w:right="156"/>
        <w:jc w:val="both"/>
      </w:pPr>
      <w:r>
        <w:t>Therefore, this study aims to fill this gap by empirically investigating the relationship between loan monitoring practices defined by frequency,</w:t>
      </w:r>
      <w:r>
        <w:rPr>
          <w:spacing w:val="-1"/>
        </w:rPr>
        <w:t xml:space="preserve"> </w:t>
      </w:r>
      <w:r>
        <w:t>method (on-site vs. off-site), and technological integration and</w:t>
      </w:r>
      <w:r>
        <w:rPr>
          <w:spacing w:val="-4"/>
        </w:rPr>
        <w:t xml:space="preserve"> </w:t>
      </w:r>
      <w:r>
        <w:t>the</w:t>
      </w:r>
      <w:r>
        <w:rPr>
          <w:spacing w:val="-4"/>
        </w:rPr>
        <w:t xml:space="preserve"> </w:t>
      </w:r>
      <w:r>
        <w:t>risk</w:t>
      </w:r>
      <w:r>
        <w:rPr>
          <w:spacing w:val="-4"/>
        </w:rPr>
        <w:t xml:space="preserve"> </w:t>
      </w:r>
      <w:r>
        <w:t>management</w:t>
      </w:r>
      <w:r>
        <w:rPr>
          <w:spacing w:val="-4"/>
        </w:rPr>
        <w:t xml:space="preserve"> </w:t>
      </w:r>
      <w:r>
        <w:t>performance</w:t>
      </w:r>
      <w:r>
        <w:rPr>
          <w:spacing w:val="-2"/>
        </w:rPr>
        <w:t xml:space="preserve"> </w:t>
      </w:r>
      <w:r>
        <w:t>of</w:t>
      </w:r>
      <w:r>
        <w:rPr>
          <w:spacing w:val="-4"/>
        </w:rPr>
        <w:t xml:space="preserve"> </w:t>
      </w:r>
      <w:r>
        <w:t>these</w:t>
      </w:r>
      <w:r>
        <w:rPr>
          <w:spacing w:val="-4"/>
        </w:rPr>
        <w:t xml:space="preserve"> </w:t>
      </w:r>
      <w:r>
        <w:t>institutions.</w:t>
      </w:r>
      <w:r>
        <w:rPr>
          <w:spacing w:val="-4"/>
        </w:rPr>
        <w:t xml:space="preserve"> </w:t>
      </w:r>
      <w:r>
        <w:t>By</w:t>
      </w:r>
      <w:r>
        <w:rPr>
          <w:spacing w:val="-2"/>
        </w:rPr>
        <w:t xml:space="preserve"> </w:t>
      </w:r>
      <w:r>
        <w:t>dissecting</w:t>
      </w:r>
      <w:r>
        <w:rPr>
          <w:spacing w:val="-2"/>
        </w:rPr>
        <w:t xml:space="preserve"> </w:t>
      </w:r>
      <w:r>
        <w:t>whether</w:t>
      </w:r>
      <w:r>
        <w:rPr>
          <w:spacing w:val="-4"/>
        </w:rPr>
        <w:t xml:space="preserve"> </w:t>
      </w:r>
      <w:r>
        <w:t>rigorous</w:t>
      </w:r>
      <w:r>
        <w:rPr>
          <w:spacing w:val="-4"/>
        </w:rPr>
        <w:t xml:space="preserve"> </w:t>
      </w:r>
      <w:r>
        <w:t>monitoring translates to lower default rates and better portfolio quality, this research will offer evidence-based recommendations for lenders seeking to survive in Nigeria’s turbulent financial waters, and for regulators aiming to bring stability to the non-bank credit market.</w:t>
      </w:r>
    </w:p>
    <w:p w14:paraId="208E0A42">
      <w:pPr>
        <w:pStyle w:val="5"/>
        <w:spacing w:before="62" w:line="360" w:lineRule="auto"/>
        <w:ind w:right="156"/>
        <w:jc w:val="both"/>
      </w:pPr>
    </w:p>
    <w:p w14:paraId="7226A212">
      <w:pPr>
        <w:pStyle w:val="2"/>
        <w:numPr>
          <w:ilvl w:val="1"/>
          <w:numId w:val="1"/>
        </w:numPr>
        <w:tabs>
          <w:tab w:val="left" w:pos="496"/>
        </w:tabs>
        <w:spacing w:before="62" w:after="0" w:line="240" w:lineRule="auto"/>
        <w:ind w:left="496" w:right="0" w:hanging="331"/>
        <w:jc w:val="left"/>
      </w:pPr>
      <w:r>
        <w:t>Literature</w:t>
      </w:r>
      <w:r>
        <w:rPr>
          <w:spacing w:val="-11"/>
        </w:rPr>
        <w:t xml:space="preserve"> </w:t>
      </w:r>
      <w:r>
        <w:rPr>
          <w:spacing w:val="-2"/>
        </w:rPr>
        <w:t>Review</w:t>
      </w:r>
    </w:p>
    <w:p w14:paraId="2D291ECC">
      <w:pPr>
        <w:pStyle w:val="5"/>
        <w:spacing w:before="35"/>
        <w:ind w:left="0"/>
        <w:rPr>
          <w:b/>
        </w:rPr>
      </w:pPr>
    </w:p>
    <w:p w14:paraId="07F8BF47">
      <w:pPr>
        <w:pStyle w:val="9"/>
        <w:numPr>
          <w:ilvl w:val="1"/>
          <w:numId w:val="1"/>
        </w:numPr>
        <w:tabs>
          <w:tab w:val="left" w:pos="496"/>
        </w:tabs>
        <w:spacing w:before="0" w:after="0" w:line="240" w:lineRule="auto"/>
        <w:ind w:left="496" w:right="0" w:hanging="331"/>
        <w:jc w:val="left"/>
        <w:rPr>
          <w:b/>
          <w:sz w:val="22"/>
        </w:rPr>
      </w:pPr>
      <w:r>
        <w:rPr>
          <w:b/>
          <w:sz w:val="22"/>
        </w:rPr>
        <w:t>Conceptual</w:t>
      </w:r>
      <w:r>
        <w:rPr>
          <w:b/>
          <w:spacing w:val="-9"/>
          <w:sz w:val="22"/>
        </w:rPr>
        <w:t xml:space="preserve"> </w:t>
      </w:r>
      <w:r>
        <w:rPr>
          <w:b/>
          <w:spacing w:val="-2"/>
          <w:sz w:val="22"/>
        </w:rPr>
        <w:t>Framework</w:t>
      </w:r>
    </w:p>
    <w:p w14:paraId="74D618CC">
      <w:pPr>
        <w:pStyle w:val="5"/>
        <w:spacing w:before="34"/>
        <w:ind w:left="0"/>
        <w:rPr>
          <w:b/>
        </w:rPr>
      </w:pPr>
    </w:p>
    <w:p w14:paraId="0F4DA8B9">
      <w:pPr>
        <w:pStyle w:val="9"/>
        <w:numPr>
          <w:ilvl w:val="2"/>
          <w:numId w:val="1"/>
        </w:numPr>
        <w:tabs>
          <w:tab w:val="left" w:pos="661"/>
        </w:tabs>
        <w:spacing w:before="0" w:after="0" w:line="240" w:lineRule="auto"/>
        <w:ind w:left="661" w:right="0" w:hanging="496"/>
        <w:jc w:val="left"/>
        <w:rPr>
          <w:sz w:val="22"/>
        </w:rPr>
      </w:pPr>
      <w:r>
        <w:rPr>
          <w:sz w:val="22"/>
        </w:rPr>
        <w:t>Loan</w:t>
      </w:r>
      <w:r>
        <w:rPr>
          <w:spacing w:val="-7"/>
          <w:sz w:val="22"/>
        </w:rPr>
        <w:t xml:space="preserve"> </w:t>
      </w:r>
      <w:r>
        <w:rPr>
          <w:sz w:val="22"/>
        </w:rPr>
        <w:t>Monitoring</w:t>
      </w:r>
      <w:r>
        <w:rPr>
          <w:spacing w:val="-3"/>
          <w:sz w:val="22"/>
        </w:rPr>
        <w:t xml:space="preserve"> </w:t>
      </w:r>
      <w:r>
        <w:rPr>
          <w:spacing w:val="-2"/>
          <w:sz w:val="22"/>
        </w:rPr>
        <w:t>Practices</w:t>
      </w:r>
    </w:p>
    <w:p w14:paraId="1212F2C3">
      <w:pPr>
        <w:pStyle w:val="5"/>
        <w:spacing w:before="31"/>
        <w:ind w:left="0"/>
      </w:pPr>
    </w:p>
    <w:p w14:paraId="21F0F3D2">
      <w:pPr>
        <w:pStyle w:val="5"/>
        <w:spacing w:line="360" w:lineRule="auto"/>
        <w:ind w:right="159"/>
        <w:jc w:val="both"/>
      </w:pPr>
      <w:r>
        <w:t>Loan</w:t>
      </w:r>
      <w:r>
        <w:rPr>
          <w:spacing w:val="-4"/>
        </w:rPr>
        <w:t xml:space="preserve"> </w:t>
      </w:r>
      <w:r>
        <w:t>monitoring,</w:t>
      </w:r>
      <w:r>
        <w:rPr>
          <w:spacing w:val="-4"/>
        </w:rPr>
        <w:t xml:space="preserve"> </w:t>
      </w:r>
      <w:r>
        <w:t>often</w:t>
      </w:r>
      <w:r>
        <w:rPr>
          <w:spacing w:val="-3"/>
        </w:rPr>
        <w:t xml:space="preserve"> </w:t>
      </w:r>
      <w:r>
        <w:t>referred</w:t>
      </w:r>
      <w:r>
        <w:rPr>
          <w:spacing w:val="-3"/>
        </w:rPr>
        <w:t xml:space="preserve"> </w:t>
      </w:r>
      <w:r>
        <w:t>to</w:t>
      </w:r>
      <w:r>
        <w:rPr>
          <w:spacing w:val="-4"/>
        </w:rPr>
        <w:t xml:space="preserve"> </w:t>
      </w:r>
      <w:r>
        <w:t>in</w:t>
      </w:r>
      <w:r>
        <w:rPr>
          <w:spacing w:val="-4"/>
        </w:rPr>
        <w:t xml:space="preserve"> </w:t>
      </w:r>
      <w:r>
        <w:t>banking</w:t>
      </w:r>
      <w:r>
        <w:rPr>
          <w:spacing w:val="-4"/>
        </w:rPr>
        <w:t xml:space="preserve"> </w:t>
      </w:r>
      <w:r>
        <w:t>literature</w:t>
      </w:r>
      <w:r>
        <w:rPr>
          <w:spacing w:val="-3"/>
        </w:rPr>
        <w:t xml:space="preserve"> </w:t>
      </w:r>
      <w:r>
        <w:t>as</w:t>
      </w:r>
      <w:r>
        <w:rPr>
          <w:spacing w:val="-1"/>
        </w:rPr>
        <w:t xml:space="preserve"> </w:t>
      </w:r>
      <w:r>
        <w:t>credit</w:t>
      </w:r>
      <w:r>
        <w:rPr>
          <w:spacing w:val="-3"/>
        </w:rPr>
        <w:t xml:space="preserve"> </w:t>
      </w:r>
      <w:r>
        <w:t>administration</w:t>
      </w:r>
      <w:r>
        <w:rPr>
          <w:spacing w:val="-1"/>
        </w:rPr>
        <w:t xml:space="preserve"> </w:t>
      </w:r>
      <w:r>
        <w:t>or</w:t>
      </w:r>
      <w:r>
        <w:rPr>
          <w:spacing w:val="-3"/>
        </w:rPr>
        <w:t xml:space="preserve"> </w:t>
      </w:r>
      <w:r>
        <w:t>loan</w:t>
      </w:r>
      <w:r>
        <w:rPr>
          <w:spacing w:val="-3"/>
        </w:rPr>
        <w:t xml:space="preserve"> </w:t>
      </w:r>
      <w:r>
        <w:t>surveillance, is the active process of managing a loan after it has been disbursed. Unlike credit screening, which is a pre-transaction filtering mechanism, monitoring is a dynamic, continuous activity. It involves the periodic evaluation of the borrower's financial status, the inspection of collateral, and the tracking of repayment behavior to ensure compliance with loan covenants.</w:t>
      </w:r>
    </w:p>
    <w:p w14:paraId="589BFA4E">
      <w:pPr>
        <w:pStyle w:val="5"/>
        <w:spacing w:before="163" w:line="360" w:lineRule="auto"/>
        <w:ind w:right="161"/>
        <w:jc w:val="both"/>
      </w:pPr>
      <w:r>
        <w:t xml:space="preserve">For licenced non-financial institutional lenders in Nigeria a category that spans traditional money lenders, cooperative societies, and modern digital (fintech) lenders monitoring practices have evolved </w:t>
      </w:r>
      <w:r>
        <w:rPr>
          <w:spacing w:val="-2"/>
        </w:rPr>
        <w:t>significantly.</w:t>
      </w:r>
    </w:p>
    <w:p w14:paraId="41447A71">
      <w:pPr>
        <w:pStyle w:val="9"/>
        <w:numPr>
          <w:ilvl w:val="3"/>
          <w:numId w:val="1"/>
        </w:numPr>
        <w:tabs>
          <w:tab w:val="left" w:pos="885"/>
        </w:tabs>
        <w:spacing w:before="160" w:after="0" w:line="360" w:lineRule="auto"/>
        <w:ind w:left="885" w:right="162" w:hanging="360"/>
        <w:jc w:val="both"/>
        <w:rPr>
          <w:sz w:val="22"/>
        </w:rPr>
      </w:pPr>
      <w:r>
        <w:rPr>
          <w:b/>
          <w:sz w:val="22"/>
        </w:rPr>
        <w:t xml:space="preserve">Traditional Monitoring: </w:t>
      </w:r>
      <w:r>
        <w:rPr>
          <w:sz w:val="22"/>
        </w:rPr>
        <w:t>Involves physical site visits, face-to-face meetings, and manual review of management accounts. This is common among micro-lenders who rely on "soft information" and relationship lending.</w:t>
      </w:r>
    </w:p>
    <w:p w14:paraId="6784BC28">
      <w:pPr>
        <w:pStyle w:val="9"/>
        <w:numPr>
          <w:ilvl w:val="3"/>
          <w:numId w:val="1"/>
        </w:numPr>
        <w:tabs>
          <w:tab w:val="left" w:pos="885"/>
        </w:tabs>
        <w:spacing w:before="160" w:after="0" w:line="360" w:lineRule="auto"/>
        <w:ind w:left="885" w:right="165" w:hanging="360"/>
        <w:jc w:val="both"/>
        <w:rPr>
          <w:sz w:val="22"/>
        </w:rPr>
      </w:pPr>
      <w:r>
        <w:rPr>
          <w:b/>
          <w:sz w:val="22"/>
        </w:rPr>
        <w:t xml:space="preserve">Digital Monitoring: </w:t>
      </w:r>
      <w:r>
        <w:rPr>
          <w:sz w:val="22"/>
        </w:rPr>
        <w:t>With the rise of fintech, monitoring has shifted toward algorithmic surveillance. This includes real-time tracking of a borrower's transactional data (via open banking APIs), automated SMS reminders, and behavioral analysis of app usage. While efficient, this method often lacks the nuance of human judgment, potentially leading to false positives in risk detection.</w:t>
      </w:r>
    </w:p>
    <w:p w14:paraId="6EED7586">
      <w:pPr>
        <w:pStyle w:val="2"/>
        <w:numPr>
          <w:ilvl w:val="2"/>
          <w:numId w:val="1"/>
        </w:numPr>
        <w:tabs>
          <w:tab w:val="left" w:pos="661"/>
        </w:tabs>
        <w:spacing w:before="160" w:after="0" w:line="240" w:lineRule="auto"/>
        <w:ind w:left="661" w:right="0" w:hanging="496"/>
        <w:jc w:val="both"/>
      </w:pPr>
      <w:r>
        <w:t>Risk</w:t>
      </w:r>
      <w:r>
        <w:rPr>
          <w:spacing w:val="-8"/>
        </w:rPr>
        <w:t xml:space="preserve"> </w:t>
      </w:r>
      <w:r>
        <w:t>Management</w:t>
      </w:r>
      <w:r>
        <w:rPr>
          <w:spacing w:val="-7"/>
        </w:rPr>
        <w:t xml:space="preserve"> </w:t>
      </w:r>
      <w:r>
        <w:t>in</w:t>
      </w:r>
      <w:r>
        <w:rPr>
          <w:spacing w:val="-8"/>
        </w:rPr>
        <w:t xml:space="preserve"> </w:t>
      </w:r>
      <w:r>
        <w:t>Non-Financial</w:t>
      </w:r>
      <w:r>
        <w:rPr>
          <w:spacing w:val="-4"/>
        </w:rPr>
        <w:t xml:space="preserve"> </w:t>
      </w:r>
      <w:r>
        <w:rPr>
          <w:spacing w:val="-2"/>
        </w:rPr>
        <w:t>Lending</w:t>
      </w:r>
    </w:p>
    <w:p w14:paraId="2121EBE2">
      <w:pPr>
        <w:pStyle w:val="5"/>
        <w:spacing w:before="34"/>
        <w:ind w:left="0"/>
        <w:rPr>
          <w:b/>
        </w:rPr>
      </w:pPr>
    </w:p>
    <w:p w14:paraId="63437645">
      <w:pPr>
        <w:pStyle w:val="5"/>
        <w:spacing w:line="360" w:lineRule="auto"/>
        <w:ind w:right="158"/>
        <w:jc w:val="both"/>
      </w:pPr>
      <w:r>
        <w:t>Risk management is the structured approach to identifying, assessing, and mitigating threats to an organization's</w:t>
      </w:r>
      <w:r>
        <w:rPr>
          <w:spacing w:val="-7"/>
        </w:rPr>
        <w:t xml:space="preserve"> </w:t>
      </w:r>
      <w:r>
        <w:t>capital</w:t>
      </w:r>
      <w:r>
        <w:rPr>
          <w:spacing w:val="-6"/>
        </w:rPr>
        <w:t xml:space="preserve"> </w:t>
      </w:r>
      <w:r>
        <w:t>and</w:t>
      </w:r>
      <w:r>
        <w:rPr>
          <w:spacing w:val="-7"/>
        </w:rPr>
        <w:t xml:space="preserve"> </w:t>
      </w:r>
      <w:r>
        <w:t>earnings.</w:t>
      </w:r>
      <w:r>
        <w:rPr>
          <w:spacing w:val="-6"/>
        </w:rPr>
        <w:t xml:space="preserve"> </w:t>
      </w:r>
      <w:r>
        <w:t>For</w:t>
      </w:r>
      <w:r>
        <w:rPr>
          <w:spacing w:val="-6"/>
        </w:rPr>
        <w:t xml:space="preserve"> </w:t>
      </w:r>
      <w:r>
        <w:t>non-financial</w:t>
      </w:r>
      <w:r>
        <w:rPr>
          <w:spacing w:val="-6"/>
        </w:rPr>
        <w:t xml:space="preserve"> </w:t>
      </w:r>
      <w:r>
        <w:t>lenders,</w:t>
      </w:r>
      <w:r>
        <w:rPr>
          <w:spacing w:val="-6"/>
        </w:rPr>
        <w:t xml:space="preserve"> </w:t>
      </w:r>
      <w:r>
        <w:t>the</w:t>
      </w:r>
      <w:r>
        <w:rPr>
          <w:spacing w:val="-7"/>
        </w:rPr>
        <w:t xml:space="preserve"> </w:t>
      </w:r>
      <w:r>
        <w:t>primary</w:t>
      </w:r>
      <w:r>
        <w:rPr>
          <w:spacing w:val="-10"/>
        </w:rPr>
        <w:t xml:space="preserve"> </w:t>
      </w:r>
      <w:r>
        <w:t>threat</w:t>
      </w:r>
      <w:r>
        <w:rPr>
          <w:spacing w:val="-9"/>
        </w:rPr>
        <w:t xml:space="preserve"> </w:t>
      </w:r>
      <w:r>
        <w:t>is</w:t>
      </w:r>
      <w:r>
        <w:rPr>
          <w:spacing w:val="-9"/>
        </w:rPr>
        <w:t xml:space="preserve"> </w:t>
      </w:r>
      <w:r>
        <w:t>Credit</w:t>
      </w:r>
      <w:r>
        <w:rPr>
          <w:spacing w:val="-6"/>
        </w:rPr>
        <w:t xml:space="preserve"> </w:t>
      </w:r>
      <w:r>
        <w:t>Risk,</w:t>
      </w:r>
      <w:r>
        <w:rPr>
          <w:spacing w:val="-9"/>
        </w:rPr>
        <w:t xml:space="preserve"> </w:t>
      </w:r>
      <w:r>
        <w:t>the</w:t>
      </w:r>
      <w:r>
        <w:rPr>
          <w:spacing w:val="-7"/>
        </w:rPr>
        <w:t xml:space="preserve"> </w:t>
      </w:r>
      <w:r>
        <w:t>risk of</w:t>
      </w:r>
      <w:r>
        <w:rPr>
          <w:spacing w:val="-10"/>
        </w:rPr>
        <w:t xml:space="preserve"> </w:t>
      </w:r>
      <w:r>
        <w:t>loss</w:t>
      </w:r>
      <w:r>
        <w:rPr>
          <w:spacing w:val="-12"/>
        </w:rPr>
        <w:t xml:space="preserve"> </w:t>
      </w:r>
      <w:r>
        <w:t>resulting</w:t>
      </w:r>
      <w:r>
        <w:rPr>
          <w:spacing w:val="-13"/>
        </w:rPr>
        <w:t xml:space="preserve"> </w:t>
      </w:r>
      <w:r>
        <w:t>from</w:t>
      </w:r>
      <w:r>
        <w:rPr>
          <w:spacing w:val="-12"/>
        </w:rPr>
        <w:t xml:space="preserve"> </w:t>
      </w:r>
      <w:r>
        <w:t>a</w:t>
      </w:r>
      <w:r>
        <w:rPr>
          <w:spacing w:val="-11"/>
        </w:rPr>
        <w:t xml:space="preserve"> </w:t>
      </w:r>
      <w:r>
        <w:t>borrower's</w:t>
      </w:r>
      <w:r>
        <w:rPr>
          <w:spacing w:val="-10"/>
        </w:rPr>
        <w:t xml:space="preserve"> </w:t>
      </w:r>
      <w:r>
        <w:t>failure</w:t>
      </w:r>
      <w:r>
        <w:rPr>
          <w:spacing w:val="-13"/>
        </w:rPr>
        <w:t xml:space="preserve"> </w:t>
      </w:r>
      <w:r>
        <w:t>to</w:t>
      </w:r>
      <w:r>
        <w:rPr>
          <w:spacing w:val="-13"/>
        </w:rPr>
        <w:t xml:space="preserve"> </w:t>
      </w:r>
      <w:r>
        <w:t>repay</w:t>
      </w:r>
      <w:r>
        <w:rPr>
          <w:spacing w:val="-11"/>
        </w:rPr>
        <w:t xml:space="preserve"> </w:t>
      </w:r>
      <w:r>
        <w:t>a</w:t>
      </w:r>
      <w:r>
        <w:rPr>
          <w:spacing w:val="-13"/>
        </w:rPr>
        <w:t xml:space="preserve"> </w:t>
      </w:r>
      <w:r>
        <w:t>loan.</w:t>
      </w:r>
      <w:r>
        <w:rPr>
          <w:spacing w:val="-11"/>
        </w:rPr>
        <w:t xml:space="preserve"> </w:t>
      </w:r>
      <w:r>
        <w:t>Unlike</w:t>
      </w:r>
      <w:r>
        <w:rPr>
          <w:spacing w:val="-11"/>
        </w:rPr>
        <w:t xml:space="preserve"> </w:t>
      </w:r>
      <w:r>
        <w:t>Deposit</w:t>
      </w:r>
      <w:r>
        <w:rPr>
          <w:spacing w:val="-10"/>
        </w:rPr>
        <w:t xml:space="preserve"> </w:t>
      </w:r>
      <w:r>
        <w:t>Money</w:t>
      </w:r>
      <w:r>
        <w:rPr>
          <w:spacing w:val="-11"/>
        </w:rPr>
        <w:t xml:space="preserve"> </w:t>
      </w:r>
      <w:r>
        <w:t>Banks</w:t>
      </w:r>
      <w:r>
        <w:rPr>
          <w:spacing w:val="-13"/>
        </w:rPr>
        <w:t xml:space="preserve"> </w:t>
      </w:r>
      <w:r>
        <w:t>(DMBs),</w:t>
      </w:r>
      <w:r>
        <w:rPr>
          <w:spacing w:val="-11"/>
        </w:rPr>
        <w:t xml:space="preserve"> </w:t>
      </w:r>
      <w:r>
        <w:t>which have diversified revenue streams (e.g., forex trading, transaction fees), non-financial lenders are often monoline businesses; their survival depends almost entirely on the quality of their loan book.</w:t>
      </w:r>
    </w:p>
    <w:p w14:paraId="21F05DE3">
      <w:pPr>
        <w:pStyle w:val="5"/>
        <w:spacing w:before="160" w:line="360" w:lineRule="auto"/>
        <w:ind w:right="164"/>
        <w:jc w:val="both"/>
      </w:pPr>
      <w:r>
        <w:t>Effective</w:t>
      </w:r>
      <w:r>
        <w:rPr>
          <w:spacing w:val="-9"/>
        </w:rPr>
        <w:t xml:space="preserve"> </w:t>
      </w:r>
      <w:r>
        <w:t>risk</w:t>
      </w:r>
      <w:r>
        <w:rPr>
          <w:spacing w:val="-9"/>
        </w:rPr>
        <w:t xml:space="preserve"> </w:t>
      </w:r>
      <w:r>
        <w:t>management</w:t>
      </w:r>
      <w:r>
        <w:rPr>
          <w:spacing w:val="-11"/>
        </w:rPr>
        <w:t xml:space="preserve"> </w:t>
      </w:r>
      <w:r>
        <w:t>in</w:t>
      </w:r>
      <w:r>
        <w:rPr>
          <w:spacing w:val="-10"/>
        </w:rPr>
        <w:t xml:space="preserve"> </w:t>
      </w:r>
      <w:r>
        <w:t>this</w:t>
      </w:r>
      <w:r>
        <w:rPr>
          <w:spacing w:val="-9"/>
        </w:rPr>
        <w:t xml:space="preserve"> </w:t>
      </w:r>
      <w:r>
        <w:t>sector</w:t>
      </w:r>
      <w:r>
        <w:rPr>
          <w:spacing w:val="-9"/>
        </w:rPr>
        <w:t xml:space="preserve"> </w:t>
      </w:r>
      <w:r>
        <w:t>is</w:t>
      </w:r>
      <w:r>
        <w:rPr>
          <w:spacing w:val="-9"/>
        </w:rPr>
        <w:t xml:space="preserve"> </w:t>
      </w:r>
      <w:r>
        <w:t>not</w:t>
      </w:r>
      <w:r>
        <w:rPr>
          <w:spacing w:val="-9"/>
        </w:rPr>
        <w:t xml:space="preserve"> </w:t>
      </w:r>
      <w:r>
        <w:t>just</w:t>
      </w:r>
      <w:r>
        <w:rPr>
          <w:spacing w:val="-9"/>
        </w:rPr>
        <w:t xml:space="preserve"> </w:t>
      </w:r>
      <w:r>
        <w:t>about</w:t>
      </w:r>
      <w:r>
        <w:rPr>
          <w:spacing w:val="-9"/>
        </w:rPr>
        <w:t xml:space="preserve"> </w:t>
      </w:r>
      <w:r>
        <w:t>avoiding</w:t>
      </w:r>
      <w:r>
        <w:rPr>
          <w:spacing w:val="-10"/>
        </w:rPr>
        <w:t xml:space="preserve"> </w:t>
      </w:r>
      <w:r>
        <w:t>bad</w:t>
      </w:r>
      <w:r>
        <w:rPr>
          <w:spacing w:val="-9"/>
        </w:rPr>
        <w:t xml:space="preserve"> </w:t>
      </w:r>
      <w:r>
        <w:t>loans,</w:t>
      </w:r>
      <w:r>
        <w:rPr>
          <w:spacing w:val="-9"/>
        </w:rPr>
        <w:t xml:space="preserve"> </w:t>
      </w:r>
      <w:r>
        <w:t>but</w:t>
      </w:r>
      <w:r>
        <w:rPr>
          <w:spacing w:val="-9"/>
        </w:rPr>
        <w:t xml:space="preserve"> </w:t>
      </w:r>
      <w:r>
        <w:t>about</w:t>
      </w:r>
      <w:r>
        <w:rPr>
          <w:spacing w:val="-9"/>
        </w:rPr>
        <w:t xml:space="preserve"> </w:t>
      </w:r>
      <w:r>
        <w:t>managing</w:t>
      </w:r>
      <w:r>
        <w:rPr>
          <w:spacing w:val="-10"/>
        </w:rPr>
        <w:t xml:space="preserve"> </w:t>
      </w:r>
      <w:r>
        <w:t>them. This involves:</w:t>
      </w:r>
    </w:p>
    <w:p w14:paraId="65523501">
      <w:pPr>
        <w:pStyle w:val="9"/>
        <w:numPr>
          <w:ilvl w:val="0"/>
          <w:numId w:val="2"/>
        </w:numPr>
        <w:tabs>
          <w:tab w:val="left" w:pos="885"/>
        </w:tabs>
        <w:spacing w:before="160" w:after="0" w:line="360" w:lineRule="auto"/>
        <w:ind w:left="885" w:right="162" w:hanging="360"/>
        <w:jc w:val="left"/>
        <w:rPr>
          <w:sz w:val="22"/>
        </w:rPr>
      </w:pPr>
      <w:r>
        <w:rPr>
          <w:b/>
          <w:sz w:val="22"/>
        </w:rPr>
        <w:t>Early</w:t>
      </w:r>
      <w:r>
        <w:rPr>
          <w:b/>
          <w:spacing w:val="-14"/>
          <w:sz w:val="22"/>
        </w:rPr>
        <w:t xml:space="preserve"> </w:t>
      </w:r>
      <w:r>
        <w:rPr>
          <w:b/>
          <w:sz w:val="22"/>
        </w:rPr>
        <w:t>Warning</w:t>
      </w:r>
      <w:r>
        <w:rPr>
          <w:b/>
          <w:spacing w:val="-14"/>
          <w:sz w:val="22"/>
        </w:rPr>
        <w:t xml:space="preserve"> </w:t>
      </w:r>
      <w:r>
        <w:rPr>
          <w:b/>
          <w:sz w:val="22"/>
        </w:rPr>
        <w:t>Systems</w:t>
      </w:r>
      <w:r>
        <w:rPr>
          <w:b/>
          <w:spacing w:val="-13"/>
          <w:sz w:val="22"/>
        </w:rPr>
        <w:t xml:space="preserve"> </w:t>
      </w:r>
      <w:r>
        <w:rPr>
          <w:b/>
          <w:sz w:val="22"/>
        </w:rPr>
        <w:t>(EWS):</w:t>
      </w:r>
      <w:r>
        <w:rPr>
          <w:b/>
          <w:spacing w:val="-13"/>
          <w:sz w:val="22"/>
        </w:rPr>
        <w:t xml:space="preserve"> </w:t>
      </w:r>
      <w:r>
        <w:rPr>
          <w:sz w:val="22"/>
        </w:rPr>
        <w:t>Triggers</w:t>
      </w:r>
      <w:r>
        <w:rPr>
          <w:spacing w:val="-13"/>
          <w:sz w:val="22"/>
        </w:rPr>
        <w:t xml:space="preserve"> </w:t>
      </w:r>
      <w:r>
        <w:rPr>
          <w:sz w:val="22"/>
        </w:rPr>
        <w:t>that</w:t>
      </w:r>
      <w:r>
        <w:rPr>
          <w:spacing w:val="-11"/>
          <w:sz w:val="22"/>
        </w:rPr>
        <w:t xml:space="preserve"> </w:t>
      </w:r>
      <w:r>
        <w:rPr>
          <w:sz w:val="22"/>
        </w:rPr>
        <w:t>alert</w:t>
      </w:r>
      <w:r>
        <w:rPr>
          <w:spacing w:val="-13"/>
          <w:sz w:val="22"/>
        </w:rPr>
        <w:t xml:space="preserve"> </w:t>
      </w:r>
      <w:r>
        <w:rPr>
          <w:sz w:val="22"/>
        </w:rPr>
        <w:t>the</w:t>
      </w:r>
      <w:r>
        <w:rPr>
          <w:spacing w:val="-11"/>
          <w:sz w:val="22"/>
        </w:rPr>
        <w:t xml:space="preserve"> </w:t>
      </w:r>
      <w:r>
        <w:rPr>
          <w:sz w:val="22"/>
        </w:rPr>
        <w:t>lender</w:t>
      </w:r>
      <w:r>
        <w:rPr>
          <w:spacing w:val="-13"/>
          <w:sz w:val="22"/>
        </w:rPr>
        <w:t xml:space="preserve"> </w:t>
      </w:r>
      <w:r>
        <w:rPr>
          <w:sz w:val="22"/>
        </w:rPr>
        <w:t>to</w:t>
      </w:r>
      <w:r>
        <w:rPr>
          <w:spacing w:val="-12"/>
          <w:sz w:val="22"/>
        </w:rPr>
        <w:t xml:space="preserve"> </w:t>
      </w:r>
      <w:r>
        <w:rPr>
          <w:sz w:val="22"/>
        </w:rPr>
        <w:t>deteriorating</w:t>
      </w:r>
      <w:r>
        <w:rPr>
          <w:spacing w:val="-12"/>
          <w:sz w:val="22"/>
        </w:rPr>
        <w:t xml:space="preserve"> </w:t>
      </w:r>
      <w:r>
        <w:rPr>
          <w:sz w:val="22"/>
        </w:rPr>
        <w:t>borrower</w:t>
      </w:r>
      <w:r>
        <w:rPr>
          <w:spacing w:val="-10"/>
          <w:sz w:val="22"/>
        </w:rPr>
        <w:t xml:space="preserve"> </w:t>
      </w:r>
      <w:r>
        <w:rPr>
          <w:sz w:val="22"/>
        </w:rPr>
        <w:t>health (e.g., a missed utility payment or a sudden drop in account turnover).</w:t>
      </w:r>
    </w:p>
    <w:p w14:paraId="721104EA">
      <w:pPr>
        <w:pStyle w:val="9"/>
        <w:numPr>
          <w:ilvl w:val="0"/>
          <w:numId w:val="2"/>
        </w:numPr>
        <w:tabs>
          <w:tab w:val="left" w:pos="885"/>
        </w:tabs>
        <w:spacing w:before="160" w:after="0" w:line="360" w:lineRule="auto"/>
        <w:ind w:left="885" w:right="162" w:hanging="360"/>
        <w:jc w:val="left"/>
        <w:rPr>
          <w:sz w:val="22"/>
        </w:rPr>
      </w:pPr>
      <w:r>
        <w:rPr>
          <w:b/>
          <w:sz w:val="22"/>
        </w:rPr>
        <w:t>Covenant</w:t>
      </w:r>
      <w:r>
        <w:rPr>
          <w:b/>
          <w:spacing w:val="-4"/>
          <w:sz w:val="22"/>
        </w:rPr>
        <w:t xml:space="preserve"> </w:t>
      </w:r>
      <w:r>
        <w:rPr>
          <w:b/>
          <w:sz w:val="22"/>
        </w:rPr>
        <w:t>Enforcement:</w:t>
      </w:r>
      <w:r>
        <w:rPr>
          <w:b/>
          <w:spacing w:val="-8"/>
          <w:sz w:val="22"/>
        </w:rPr>
        <w:t xml:space="preserve"> </w:t>
      </w:r>
      <w:r>
        <w:rPr>
          <w:sz w:val="22"/>
        </w:rPr>
        <w:t>The</w:t>
      </w:r>
      <w:r>
        <w:rPr>
          <w:spacing w:val="-5"/>
          <w:sz w:val="22"/>
        </w:rPr>
        <w:t xml:space="preserve"> </w:t>
      </w:r>
      <w:r>
        <w:rPr>
          <w:sz w:val="22"/>
        </w:rPr>
        <w:t>legal</w:t>
      </w:r>
      <w:r>
        <w:rPr>
          <w:spacing w:val="-4"/>
          <w:sz w:val="22"/>
        </w:rPr>
        <w:t xml:space="preserve"> </w:t>
      </w:r>
      <w:r>
        <w:rPr>
          <w:sz w:val="22"/>
        </w:rPr>
        <w:t>ability</w:t>
      </w:r>
      <w:r>
        <w:rPr>
          <w:spacing w:val="-7"/>
          <w:sz w:val="22"/>
        </w:rPr>
        <w:t xml:space="preserve"> </w:t>
      </w:r>
      <w:r>
        <w:rPr>
          <w:sz w:val="22"/>
        </w:rPr>
        <w:t>to</w:t>
      </w:r>
      <w:r>
        <w:rPr>
          <w:spacing w:val="-5"/>
          <w:sz w:val="22"/>
        </w:rPr>
        <w:t xml:space="preserve"> </w:t>
      </w:r>
      <w:r>
        <w:rPr>
          <w:sz w:val="22"/>
        </w:rPr>
        <w:t>call</w:t>
      </w:r>
      <w:r>
        <w:rPr>
          <w:spacing w:val="-4"/>
          <w:sz w:val="22"/>
        </w:rPr>
        <w:t xml:space="preserve"> </w:t>
      </w:r>
      <w:r>
        <w:rPr>
          <w:sz w:val="22"/>
        </w:rPr>
        <w:t>in</w:t>
      </w:r>
      <w:r>
        <w:rPr>
          <w:spacing w:val="-5"/>
          <w:sz w:val="22"/>
        </w:rPr>
        <w:t xml:space="preserve"> </w:t>
      </w:r>
      <w:r>
        <w:rPr>
          <w:sz w:val="22"/>
        </w:rPr>
        <w:t>a</w:t>
      </w:r>
      <w:r>
        <w:rPr>
          <w:spacing w:val="-7"/>
          <w:sz w:val="22"/>
        </w:rPr>
        <w:t xml:space="preserve"> </w:t>
      </w:r>
      <w:r>
        <w:rPr>
          <w:sz w:val="22"/>
        </w:rPr>
        <w:t>loan</w:t>
      </w:r>
      <w:r>
        <w:rPr>
          <w:spacing w:val="-4"/>
          <w:sz w:val="22"/>
        </w:rPr>
        <w:t xml:space="preserve"> </w:t>
      </w:r>
      <w:r>
        <w:rPr>
          <w:sz w:val="22"/>
        </w:rPr>
        <w:t>or</w:t>
      </w:r>
      <w:r>
        <w:rPr>
          <w:spacing w:val="-4"/>
          <w:sz w:val="22"/>
        </w:rPr>
        <w:t xml:space="preserve"> </w:t>
      </w:r>
      <w:r>
        <w:rPr>
          <w:sz w:val="22"/>
        </w:rPr>
        <w:t>seize</w:t>
      </w:r>
      <w:r>
        <w:rPr>
          <w:spacing w:val="-4"/>
          <w:sz w:val="22"/>
        </w:rPr>
        <w:t xml:space="preserve"> </w:t>
      </w:r>
      <w:r>
        <w:rPr>
          <w:sz w:val="22"/>
        </w:rPr>
        <w:t>collateral</w:t>
      </w:r>
      <w:r>
        <w:rPr>
          <w:spacing w:val="-4"/>
          <w:sz w:val="22"/>
        </w:rPr>
        <w:t xml:space="preserve"> </w:t>
      </w:r>
      <w:r>
        <w:rPr>
          <w:sz w:val="22"/>
        </w:rPr>
        <w:t>when</w:t>
      </w:r>
      <w:r>
        <w:rPr>
          <w:spacing w:val="-7"/>
          <w:sz w:val="22"/>
        </w:rPr>
        <w:t xml:space="preserve"> </w:t>
      </w:r>
      <w:r>
        <w:rPr>
          <w:sz w:val="22"/>
        </w:rPr>
        <w:t>monitoring reveals a breach of contract.</w:t>
      </w:r>
    </w:p>
    <w:p w14:paraId="4E390E3C">
      <w:pPr>
        <w:pStyle w:val="9"/>
        <w:numPr>
          <w:ilvl w:val="0"/>
          <w:numId w:val="2"/>
        </w:numPr>
        <w:tabs>
          <w:tab w:val="left" w:pos="884"/>
        </w:tabs>
        <w:spacing w:before="158" w:after="0" w:line="240" w:lineRule="auto"/>
        <w:ind w:left="884" w:right="0" w:hanging="359"/>
        <w:jc w:val="left"/>
        <w:rPr>
          <w:sz w:val="22"/>
        </w:rPr>
      </w:pPr>
      <w:r>
        <w:rPr>
          <w:b/>
          <w:sz w:val="22"/>
        </w:rPr>
        <w:t>Recovery</w:t>
      </w:r>
      <w:r>
        <w:rPr>
          <w:b/>
          <w:spacing w:val="-4"/>
          <w:sz w:val="22"/>
        </w:rPr>
        <w:t xml:space="preserve"> </w:t>
      </w:r>
      <w:r>
        <w:rPr>
          <w:b/>
          <w:sz w:val="22"/>
        </w:rPr>
        <w:t>Strategy:</w:t>
      </w:r>
      <w:r>
        <w:rPr>
          <w:b/>
          <w:spacing w:val="-6"/>
          <w:sz w:val="22"/>
        </w:rPr>
        <w:t xml:space="preserve"> </w:t>
      </w:r>
      <w:r>
        <w:rPr>
          <w:sz w:val="22"/>
        </w:rPr>
        <w:t>The</w:t>
      </w:r>
      <w:r>
        <w:rPr>
          <w:spacing w:val="-6"/>
          <w:sz w:val="22"/>
        </w:rPr>
        <w:t xml:space="preserve"> </w:t>
      </w:r>
      <w:r>
        <w:rPr>
          <w:sz w:val="22"/>
        </w:rPr>
        <w:t>transition</w:t>
      </w:r>
      <w:r>
        <w:rPr>
          <w:spacing w:val="-4"/>
          <w:sz w:val="22"/>
        </w:rPr>
        <w:t xml:space="preserve"> </w:t>
      </w:r>
      <w:r>
        <w:rPr>
          <w:sz w:val="22"/>
        </w:rPr>
        <w:t>from</w:t>
      </w:r>
      <w:r>
        <w:rPr>
          <w:spacing w:val="-2"/>
          <w:sz w:val="22"/>
        </w:rPr>
        <w:t xml:space="preserve"> </w:t>
      </w:r>
      <w:r>
        <w:rPr>
          <w:sz w:val="22"/>
        </w:rPr>
        <w:t>monitoring</w:t>
      </w:r>
      <w:r>
        <w:rPr>
          <w:spacing w:val="-6"/>
          <w:sz w:val="22"/>
        </w:rPr>
        <w:t xml:space="preserve"> </w:t>
      </w:r>
      <w:r>
        <w:rPr>
          <w:sz w:val="22"/>
        </w:rPr>
        <w:t>to</w:t>
      </w:r>
      <w:r>
        <w:rPr>
          <w:spacing w:val="-6"/>
          <w:sz w:val="22"/>
        </w:rPr>
        <w:t xml:space="preserve"> </w:t>
      </w:r>
      <w:r>
        <w:rPr>
          <w:sz w:val="22"/>
        </w:rPr>
        <w:t>recovery</w:t>
      </w:r>
      <w:r>
        <w:rPr>
          <w:spacing w:val="-6"/>
          <w:sz w:val="22"/>
        </w:rPr>
        <w:t xml:space="preserve"> </w:t>
      </w:r>
      <w:r>
        <w:rPr>
          <w:sz w:val="22"/>
        </w:rPr>
        <w:t>when</w:t>
      </w:r>
      <w:r>
        <w:rPr>
          <w:spacing w:val="-4"/>
          <w:sz w:val="22"/>
        </w:rPr>
        <w:t xml:space="preserve"> </w:t>
      </w:r>
      <w:r>
        <w:rPr>
          <w:sz w:val="22"/>
        </w:rPr>
        <w:t>default</w:t>
      </w:r>
      <w:r>
        <w:rPr>
          <w:spacing w:val="-2"/>
          <w:sz w:val="22"/>
        </w:rPr>
        <w:t xml:space="preserve"> </w:t>
      </w:r>
      <w:r>
        <w:rPr>
          <w:sz w:val="22"/>
        </w:rPr>
        <w:t>is</w:t>
      </w:r>
      <w:r>
        <w:rPr>
          <w:spacing w:val="-5"/>
          <w:sz w:val="22"/>
        </w:rPr>
        <w:t xml:space="preserve"> </w:t>
      </w:r>
      <w:r>
        <w:rPr>
          <w:spacing w:val="-2"/>
          <w:sz w:val="22"/>
        </w:rPr>
        <w:t>imminent.</w:t>
      </w:r>
    </w:p>
    <w:p w14:paraId="3FDA7E67">
      <w:pPr>
        <w:pStyle w:val="9"/>
        <w:numPr>
          <w:numId w:val="0"/>
        </w:numPr>
        <w:tabs>
          <w:tab w:val="left" w:pos="884"/>
        </w:tabs>
        <w:spacing w:before="158" w:after="0" w:line="240" w:lineRule="auto"/>
        <w:ind w:left="525" w:leftChars="0" w:right="0" w:rightChars="0"/>
        <w:jc w:val="left"/>
        <w:rPr>
          <w:sz w:val="22"/>
        </w:rPr>
      </w:pPr>
    </w:p>
    <w:p w14:paraId="28252482">
      <w:pPr>
        <w:pStyle w:val="2"/>
        <w:numPr>
          <w:ilvl w:val="2"/>
          <w:numId w:val="1"/>
        </w:numPr>
        <w:tabs>
          <w:tab w:val="left" w:pos="661"/>
        </w:tabs>
        <w:spacing w:before="62" w:after="0" w:line="240" w:lineRule="auto"/>
        <w:ind w:left="661" w:right="0" w:hanging="496"/>
        <w:jc w:val="both"/>
      </w:pPr>
      <w:r>
        <w:rPr>
          <w:lang w:val="en-US"/>
        </w:rPr>
        <w:t>Licensed</w:t>
      </w:r>
      <w:r>
        <w:rPr>
          <w:spacing w:val="-6"/>
        </w:rPr>
        <w:t xml:space="preserve"> </w:t>
      </w:r>
      <w:r>
        <w:t>Non-financial</w:t>
      </w:r>
      <w:r>
        <w:rPr>
          <w:spacing w:val="-8"/>
        </w:rPr>
        <w:t xml:space="preserve"> </w:t>
      </w:r>
      <w:r>
        <w:t>Institutional</w:t>
      </w:r>
      <w:r>
        <w:rPr>
          <w:spacing w:val="-5"/>
        </w:rPr>
        <w:t xml:space="preserve"> </w:t>
      </w:r>
      <w:r>
        <w:t>Lenders</w:t>
      </w:r>
      <w:r>
        <w:rPr>
          <w:spacing w:val="-6"/>
        </w:rPr>
        <w:t xml:space="preserve"> </w:t>
      </w:r>
      <w:r>
        <w:t>in</w:t>
      </w:r>
      <w:r>
        <w:rPr>
          <w:spacing w:val="-5"/>
        </w:rPr>
        <w:t xml:space="preserve"> </w:t>
      </w:r>
      <w:r>
        <w:rPr>
          <w:spacing w:val="-2"/>
        </w:rPr>
        <w:t>Nigeria</w:t>
      </w:r>
    </w:p>
    <w:p w14:paraId="7CFDB6A9">
      <w:pPr>
        <w:pStyle w:val="5"/>
        <w:spacing w:before="35"/>
        <w:ind w:left="0"/>
        <w:rPr>
          <w:b/>
        </w:rPr>
      </w:pPr>
    </w:p>
    <w:p w14:paraId="4BC35301">
      <w:pPr>
        <w:pStyle w:val="5"/>
        <w:spacing w:line="360" w:lineRule="auto"/>
        <w:ind w:right="161"/>
        <w:jc w:val="both"/>
      </w:pPr>
      <w:r>
        <w:t>This term encompasses a diverse group of credit providers regulated primarily by State laws (such as the Money Lenders Laws of various Nigerian states) or specific Central Bank of Nigeria (CBN) frameworks for Finance Houses. These institutions fill the credit gap left by commercial banks. They are characterized by higher risk appetites, faster processing times, and higher interest rates. However, they frequently suffer from a lack of access to the robust credit infrastructure available to banks, such as</w:t>
      </w:r>
      <w:r>
        <w:rPr>
          <w:spacing w:val="-1"/>
        </w:rPr>
        <w:t xml:space="preserve"> </w:t>
      </w:r>
      <w:r>
        <w:t>the</w:t>
      </w:r>
      <w:r>
        <w:rPr>
          <w:spacing w:val="-1"/>
        </w:rPr>
        <w:t xml:space="preserve"> </w:t>
      </w:r>
      <w:r>
        <w:t>full Global Standing</w:t>
      </w:r>
      <w:r>
        <w:rPr>
          <w:spacing w:val="-1"/>
        </w:rPr>
        <w:t xml:space="preserve"> </w:t>
      </w:r>
      <w:r>
        <w:t>Instruction</w:t>
      </w:r>
      <w:r>
        <w:rPr>
          <w:spacing w:val="-1"/>
        </w:rPr>
        <w:t xml:space="preserve"> </w:t>
      </w:r>
      <w:r>
        <w:t>(GSI)</w:t>
      </w:r>
      <w:r>
        <w:rPr>
          <w:spacing w:val="-2"/>
        </w:rPr>
        <w:t xml:space="preserve"> </w:t>
      </w:r>
      <w:r>
        <w:t>mandate,</w:t>
      </w:r>
      <w:r>
        <w:rPr>
          <w:spacing w:val="-3"/>
        </w:rPr>
        <w:t xml:space="preserve"> </w:t>
      </w:r>
      <w:r>
        <w:t>making</w:t>
      </w:r>
      <w:r>
        <w:rPr>
          <w:spacing w:val="-1"/>
        </w:rPr>
        <w:t xml:space="preserve"> </w:t>
      </w:r>
      <w:r>
        <w:t>their</w:t>
      </w:r>
      <w:r>
        <w:rPr>
          <w:spacing w:val="-1"/>
        </w:rPr>
        <w:t xml:space="preserve"> </w:t>
      </w:r>
      <w:r>
        <w:t>internal monitoring</w:t>
      </w:r>
      <w:r>
        <w:rPr>
          <w:spacing w:val="-2"/>
        </w:rPr>
        <w:t xml:space="preserve"> </w:t>
      </w:r>
      <w:r>
        <w:t>practices</w:t>
      </w:r>
      <w:r>
        <w:rPr>
          <w:spacing w:val="-1"/>
        </w:rPr>
        <w:t xml:space="preserve"> </w:t>
      </w:r>
      <w:r>
        <w:t>their primary line of defense against default.</w:t>
      </w:r>
    </w:p>
    <w:p w14:paraId="0F58539F">
      <w:pPr>
        <w:pStyle w:val="2"/>
        <w:numPr>
          <w:ilvl w:val="1"/>
          <w:numId w:val="1"/>
        </w:numPr>
        <w:tabs>
          <w:tab w:val="left" w:pos="491"/>
        </w:tabs>
        <w:spacing w:before="159" w:after="0" w:line="240" w:lineRule="auto"/>
        <w:ind w:left="491" w:right="0" w:hanging="326"/>
        <w:jc w:val="both"/>
      </w:pPr>
      <w:r>
        <w:t>Theoretical</w:t>
      </w:r>
      <w:r>
        <w:rPr>
          <w:spacing w:val="-9"/>
        </w:rPr>
        <w:t xml:space="preserve"> </w:t>
      </w:r>
      <w:r>
        <w:rPr>
          <w:spacing w:val="-2"/>
        </w:rPr>
        <w:t>Framework</w:t>
      </w:r>
    </w:p>
    <w:p w14:paraId="1C063F43">
      <w:pPr>
        <w:pStyle w:val="5"/>
        <w:spacing w:before="34"/>
        <w:ind w:left="0"/>
        <w:rPr>
          <w:b/>
        </w:rPr>
      </w:pPr>
    </w:p>
    <w:p w14:paraId="4F62449C">
      <w:pPr>
        <w:pStyle w:val="5"/>
        <w:spacing w:line="360" w:lineRule="auto"/>
        <w:ind w:right="165"/>
        <w:jc w:val="both"/>
      </w:pPr>
      <w:r>
        <w:t>The theoretical foundation</w:t>
      </w:r>
      <w:r>
        <w:rPr>
          <w:spacing w:val="-1"/>
        </w:rPr>
        <w:t xml:space="preserve"> </w:t>
      </w:r>
      <w:r>
        <w:t>of this study is anchored on</w:t>
      </w:r>
      <w:r>
        <w:rPr>
          <w:spacing w:val="-13"/>
        </w:rPr>
        <w:t xml:space="preserve"> </w:t>
      </w:r>
      <w:r>
        <w:t>Agency</w:t>
      </w:r>
      <w:r>
        <w:rPr>
          <w:spacing w:val="-4"/>
        </w:rPr>
        <w:t xml:space="preserve"> </w:t>
      </w:r>
      <w:r>
        <w:t>Theory and the</w:t>
      </w:r>
      <w:r>
        <w:rPr>
          <w:spacing w:val="-3"/>
        </w:rPr>
        <w:t xml:space="preserve"> </w:t>
      </w:r>
      <w:r>
        <w:t>Theory of</w:t>
      </w:r>
      <w:r>
        <w:rPr>
          <w:spacing w:val="-12"/>
        </w:rPr>
        <w:t xml:space="preserve"> </w:t>
      </w:r>
      <w:r>
        <w:t xml:space="preserve">Asymmetric </w:t>
      </w:r>
      <w:r>
        <w:rPr>
          <w:spacing w:val="-2"/>
        </w:rPr>
        <w:t>Information.</w:t>
      </w:r>
    </w:p>
    <w:p w14:paraId="69084D89">
      <w:pPr>
        <w:pStyle w:val="2"/>
        <w:numPr>
          <w:ilvl w:val="2"/>
          <w:numId w:val="1"/>
        </w:numPr>
        <w:tabs>
          <w:tab w:val="left" w:pos="649"/>
        </w:tabs>
        <w:spacing w:before="161" w:after="0" w:line="240" w:lineRule="auto"/>
        <w:ind w:left="649" w:right="0" w:hanging="484"/>
        <w:jc w:val="both"/>
      </w:pPr>
      <w:r>
        <w:t>Agency</w:t>
      </w:r>
      <w:r>
        <w:rPr>
          <w:spacing w:val="-9"/>
        </w:rPr>
        <w:t xml:space="preserve"> </w:t>
      </w:r>
      <w:r>
        <w:rPr>
          <w:spacing w:val="-2"/>
        </w:rPr>
        <w:t>Theory</w:t>
      </w:r>
    </w:p>
    <w:p w14:paraId="3F5E71CA">
      <w:pPr>
        <w:pStyle w:val="5"/>
        <w:spacing w:before="33"/>
        <w:ind w:left="0"/>
        <w:rPr>
          <w:b/>
        </w:rPr>
      </w:pPr>
    </w:p>
    <w:p w14:paraId="6D75B284">
      <w:pPr>
        <w:pStyle w:val="5"/>
        <w:spacing w:before="1" w:line="360" w:lineRule="auto"/>
        <w:ind w:right="162"/>
        <w:jc w:val="both"/>
      </w:pPr>
      <w:r>
        <w:t>Proposed</w:t>
      </w:r>
      <w:r>
        <w:rPr>
          <w:spacing w:val="-12"/>
        </w:rPr>
        <w:t xml:space="preserve"> </w:t>
      </w:r>
      <w:r>
        <w:t>by</w:t>
      </w:r>
      <w:r>
        <w:rPr>
          <w:spacing w:val="-7"/>
        </w:rPr>
        <w:t xml:space="preserve"> </w:t>
      </w:r>
      <w:r>
        <w:t>Jensen</w:t>
      </w:r>
      <w:r>
        <w:rPr>
          <w:spacing w:val="-7"/>
        </w:rPr>
        <w:t xml:space="preserve"> </w:t>
      </w:r>
      <w:r>
        <w:t>and</w:t>
      </w:r>
      <w:r>
        <w:rPr>
          <w:spacing w:val="-10"/>
        </w:rPr>
        <w:t xml:space="preserve"> </w:t>
      </w:r>
      <w:r>
        <w:t>Meckling</w:t>
      </w:r>
      <w:r>
        <w:rPr>
          <w:spacing w:val="-10"/>
        </w:rPr>
        <w:t xml:space="preserve"> </w:t>
      </w:r>
      <w:r>
        <w:t>(1976),</w:t>
      </w:r>
      <w:r>
        <w:rPr>
          <w:spacing w:val="-14"/>
        </w:rPr>
        <w:t xml:space="preserve"> </w:t>
      </w:r>
      <w:r>
        <w:t>Agency</w:t>
      </w:r>
      <w:r>
        <w:rPr>
          <w:spacing w:val="-12"/>
        </w:rPr>
        <w:t xml:space="preserve"> </w:t>
      </w:r>
      <w:r>
        <w:t>Theory</w:t>
      </w:r>
      <w:r>
        <w:rPr>
          <w:spacing w:val="-10"/>
        </w:rPr>
        <w:t xml:space="preserve"> </w:t>
      </w:r>
      <w:r>
        <w:t>explains</w:t>
      </w:r>
      <w:r>
        <w:rPr>
          <w:spacing w:val="-9"/>
        </w:rPr>
        <w:t xml:space="preserve"> </w:t>
      </w:r>
      <w:r>
        <w:t>the</w:t>
      </w:r>
      <w:r>
        <w:rPr>
          <w:spacing w:val="-9"/>
        </w:rPr>
        <w:t xml:space="preserve"> </w:t>
      </w:r>
      <w:r>
        <w:t>relationship</w:t>
      </w:r>
      <w:r>
        <w:rPr>
          <w:spacing w:val="-7"/>
        </w:rPr>
        <w:t xml:space="preserve"> </w:t>
      </w:r>
      <w:r>
        <w:t>between</w:t>
      </w:r>
      <w:r>
        <w:rPr>
          <w:spacing w:val="-10"/>
        </w:rPr>
        <w:t xml:space="preserve"> </w:t>
      </w:r>
      <w:r>
        <w:t>a</w:t>
      </w:r>
      <w:r>
        <w:rPr>
          <w:spacing w:val="-9"/>
        </w:rPr>
        <w:t xml:space="preserve"> </w:t>
      </w:r>
      <w:r>
        <w:t>principal (the lender) and an agent (the borrower).1</w:t>
      </w:r>
      <w:r>
        <w:rPr>
          <w:spacing w:val="-1"/>
        </w:rPr>
        <w:t xml:space="preserve"> </w:t>
      </w:r>
      <w:r>
        <w:t>The central premise is that the interests of the principal and agent are not naturally aligned.2 Once the borrower receives the funds, they may have an incentive to take</w:t>
      </w:r>
      <w:r>
        <w:rPr>
          <w:spacing w:val="-4"/>
        </w:rPr>
        <w:t xml:space="preserve"> </w:t>
      </w:r>
      <w:r>
        <w:t>on</w:t>
      </w:r>
      <w:r>
        <w:rPr>
          <w:spacing w:val="-5"/>
        </w:rPr>
        <w:t xml:space="preserve"> </w:t>
      </w:r>
      <w:r>
        <w:t>excessive</w:t>
      </w:r>
      <w:r>
        <w:rPr>
          <w:spacing w:val="-4"/>
        </w:rPr>
        <w:t xml:space="preserve"> </w:t>
      </w:r>
      <w:r>
        <w:t>risk</w:t>
      </w:r>
      <w:r>
        <w:rPr>
          <w:spacing w:val="-4"/>
        </w:rPr>
        <w:t xml:space="preserve"> </w:t>
      </w:r>
      <w:r>
        <w:t>or</w:t>
      </w:r>
      <w:r>
        <w:rPr>
          <w:spacing w:val="-4"/>
        </w:rPr>
        <w:t xml:space="preserve"> </w:t>
      </w:r>
      <w:r>
        <w:t>divert</w:t>
      </w:r>
      <w:r>
        <w:rPr>
          <w:spacing w:val="-4"/>
        </w:rPr>
        <w:t xml:space="preserve"> </w:t>
      </w:r>
      <w:r>
        <w:t>funds</w:t>
      </w:r>
      <w:r>
        <w:rPr>
          <w:spacing w:val="-4"/>
        </w:rPr>
        <w:t xml:space="preserve"> </w:t>
      </w:r>
      <w:r>
        <w:t>to</w:t>
      </w:r>
      <w:r>
        <w:rPr>
          <w:spacing w:val="-5"/>
        </w:rPr>
        <w:t xml:space="preserve"> </w:t>
      </w:r>
      <w:r>
        <w:t>personal</w:t>
      </w:r>
      <w:r>
        <w:rPr>
          <w:spacing w:val="-3"/>
        </w:rPr>
        <w:t xml:space="preserve"> </w:t>
      </w:r>
      <w:r>
        <w:t>use activities</w:t>
      </w:r>
      <w:r>
        <w:rPr>
          <w:spacing w:val="-4"/>
        </w:rPr>
        <w:t xml:space="preserve"> </w:t>
      </w:r>
      <w:r>
        <w:t>that</w:t>
      </w:r>
      <w:r>
        <w:rPr>
          <w:spacing w:val="-1"/>
        </w:rPr>
        <w:t xml:space="preserve"> </w:t>
      </w:r>
      <w:r>
        <w:t>benefit</w:t>
      </w:r>
      <w:r>
        <w:rPr>
          <w:spacing w:val="-4"/>
        </w:rPr>
        <w:t xml:space="preserve"> </w:t>
      </w:r>
      <w:r>
        <w:t>the</w:t>
      </w:r>
      <w:r>
        <w:rPr>
          <w:spacing w:val="-4"/>
        </w:rPr>
        <w:t xml:space="preserve"> </w:t>
      </w:r>
      <w:r>
        <w:t>borrower</w:t>
      </w:r>
      <w:r>
        <w:rPr>
          <w:spacing w:val="-3"/>
        </w:rPr>
        <w:t xml:space="preserve"> </w:t>
      </w:r>
      <w:r>
        <w:t>but</w:t>
      </w:r>
      <w:r>
        <w:rPr>
          <w:spacing w:val="-4"/>
        </w:rPr>
        <w:t xml:space="preserve"> </w:t>
      </w:r>
      <w:r>
        <w:t>jeopardize the lender’s capital.</w:t>
      </w:r>
    </w:p>
    <w:p w14:paraId="0B3CF027">
      <w:pPr>
        <w:pStyle w:val="5"/>
        <w:spacing w:before="159" w:line="360" w:lineRule="auto"/>
        <w:ind w:right="162"/>
        <w:jc w:val="both"/>
      </w:pPr>
      <w:r>
        <w:t>In</w:t>
      </w:r>
      <w:r>
        <w:rPr>
          <w:spacing w:val="-14"/>
        </w:rPr>
        <w:t xml:space="preserve"> </w:t>
      </w:r>
      <w:r>
        <w:t>the</w:t>
      </w:r>
      <w:r>
        <w:rPr>
          <w:spacing w:val="-9"/>
        </w:rPr>
        <w:t xml:space="preserve"> </w:t>
      </w:r>
      <w:r>
        <w:t>context</w:t>
      </w:r>
      <w:r>
        <w:rPr>
          <w:spacing w:val="-6"/>
        </w:rPr>
        <w:t xml:space="preserve"> </w:t>
      </w:r>
      <w:r>
        <w:t>of</w:t>
      </w:r>
      <w:r>
        <w:rPr>
          <w:spacing w:val="-6"/>
        </w:rPr>
        <w:t xml:space="preserve"> </w:t>
      </w:r>
      <w:r>
        <w:t>Nigerian</w:t>
      </w:r>
      <w:r>
        <w:rPr>
          <w:spacing w:val="-7"/>
        </w:rPr>
        <w:t xml:space="preserve"> </w:t>
      </w:r>
      <w:r>
        <w:t>non-financial</w:t>
      </w:r>
      <w:r>
        <w:rPr>
          <w:spacing w:val="-6"/>
        </w:rPr>
        <w:t xml:space="preserve"> </w:t>
      </w:r>
      <w:r>
        <w:t>lenders,</w:t>
      </w:r>
      <w:r>
        <w:rPr>
          <w:spacing w:val="-6"/>
        </w:rPr>
        <w:t xml:space="preserve"> </w:t>
      </w:r>
      <w:r>
        <w:t>this</w:t>
      </w:r>
      <w:r>
        <w:rPr>
          <w:spacing w:val="-9"/>
        </w:rPr>
        <w:t xml:space="preserve"> </w:t>
      </w:r>
      <w:r>
        <w:t>agency</w:t>
      </w:r>
      <w:r>
        <w:rPr>
          <w:spacing w:val="-7"/>
        </w:rPr>
        <w:t xml:space="preserve"> </w:t>
      </w:r>
      <w:r>
        <w:t>problem</w:t>
      </w:r>
      <w:r>
        <w:rPr>
          <w:spacing w:val="-6"/>
        </w:rPr>
        <w:t xml:space="preserve"> </w:t>
      </w:r>
      <w:r>
        <w:t>is</w:t>
      </w:r>
      <w:r>
        <w:rPr>
          <w:spacing w:val="-7"/>
        </w:rPr>
        <w:t xml:space="preserve"> </w:t>
      </w:r>
      <w:r>
        <w:t>acute.</w:t>
      </w:r>
      <w:r>
        <w:rPr>
          <w:spacing w:val="-14"/>
        </w:rPr>
        <w:t xml:space="preserve"> </w:t>
      </w:r>
      <w:r>
        <w:t>A</w:t>
      </w:r>
      <w:r>
        <w:rPr>
          <w:spacing w:val="-14"/>
        </w:rPr>
        <w:t xml:space="preserve"> </w:t>
      </w:r>
      <w:r>
        <w:t>borrower</w:t>
      </w:r>
      <w:r>
        <w:rPr>
          <w:spacing w:val="-5"/>
        </w:rPr>
        <w:t xml:space="preserve"> </w:t>
      </w:r>
      <w:r>
        <w:t>might</w:t>
      </w:r>
      <w:r>
        <w:rPr>
          <w:spacing w:val="-6"/>
        </w:rPr>
        <w:t xml:space="preserve"> </w:t>
      </w:r>
      <w:r>
        <w:t>obtain a loan for business expansion but use it to pay for school fees or other consumption needs (loan diversion).</w:t>
      </w:r>
      <w:r>
        <w:rPr>
          <w:spacing w:val="-14"/>
        </w:rPr>
        <w:t xml:space="preserve"> </w:t>
      </w:r>
      <w:r>
        <w:t>Agency</w:t>
      </w:r>
      <w:r>
        <w:rPr>
          <w:spacing w:val="-5"/>
        </w:rPr>
        <w:t xml:space="preserve"> </w:t>
      </w:r>
      <w:r>
        <w:t>theory</w:t>
      </w:r>
      <w:r>
        <w:rPr>
          <w:spacing w:val="-5"/>
        </w:rPr>
        <w:t xml:space="preserve"> </w:t>
      </w:r>
      <w:r>
        <w:t>posits</w:t>
      </w:r>
      <w:r>
        <w:rPr>
          <w:spacing w:val="-4"/>
        </w:rPr>
        <w:t xml:space="preserve"> </w:t>
      </w:r>
      <w:r>
        <w:t>that</w:t>
      </w:r>
      <w:r>
        <w:rPr>
          <w:spacing w:val="-1"/>
        </w:rPr>
        <w:t xml:space="preserve"> </w:t>
      </w:r>
      <w:r>
        <w:t>monitoring</w:t>
      </w:r>
      <w:r>
        <w:rPr>
          <w:spacing w:val="-5"/>
        </w:rPr>
        <w:t xml:space="preserve"> </w:t>
      </w:r>
      <w:r>
        <w:t>is</w:t>
      </w:r>
      <w:r>
        <w:rPr>
          <w:spacing w:val="-4"/>
        </w:rPr>
        <w:t xml:space="preserve"> </w:t>
      </w:r>
      <w:r>
        <w:t>the cost</w:t>
      </w:r>
      <w:r>
        <w:rPr>
          <w:spacing w:val="-1"/>
        </w:rPr>
        <w:t xml:space="preserve"> </w:t>
      </w:r>
      <w:r>
        <w:t>the</w:t>
      </w:r>
      <w:r>
        <w:rPr>
          <w:spacing w:val="-2"/>
        </w:rPr>
        <w:t xml:space="preserve"> </w:t>
      </w:r>
      <w:r>
        <w:t>principal</w:t>
      </w:r>
      <w:r>
        <w:rPr>
          <w:spacing w:val="-4"/>
        </w:rPr>
        <w:t xml:space="preserve"> </w:t>
      </w:r>
      <w:r>
        <w:t>must</w:t>
      </w:r>
      <w:r>
        <w:rPr>
          <w:spacing w:val="-1"/>
        </w:rPr>
        <w:t xml:space="preserve"> </w:t>
      </w:r>
      <w:r>
        <w:t>pay</w:t>
      </w:r>
      <w:r>
        <w:rPr>
          <w:spacing w:val="-2"/>
        </w:rPr>
        <w:t xml:space="preserve"> </w:t>
      </w:r>
      <w:r>
        <w:t>to</w:t>
      </w:r>
      <w:r>
        <w:rPr>
          <w:spacing w:val="-2"/>
        </w:rPr>
        <w:t xml:space="preserve"> </w:t>
      </w:r>
      <w:r>
        <w:t>limit</w:t>
      </w:r>
      <w:r>
        <w:rPr>
          <w:spacing w:val="-1"/>
        </w:rPr>
        <w:t xml:space="preserve"> </w:t>
      </w:r>
      <w:r>
        <w:t>the</w:t>
      </w:r>
      <w:r>
        <w:rPr>
          <w:spacing w:val="-2"/>
        </w:rPr>
        <w:t xml:space="preserve"> </w:t>
      </w:r>
      <w:r>
        <w:t>aberrant activities of the agent. Therefore, rigorous loan monitoring is not merely an administrative task; it is a structural mechanism required to align the borrower's actions with the lender's interest (repayment).</w:t>
      </w:r>
    </w:p>
    <w:p w14:paraId="3BE1A36C">
      <w:pPr>
        <w:pStyle w:val="2"/>
        <w:numPr>
          <w:ilvl w:val="2"/>
          <w:numId w:val="1"/>
        </w:numPr>
        <w:tabs>
          <w:tab w:val="left" w:pos="649"/>
        </w:tabs>
        <w:spacing w:before="160" w:after="0" w:line="240" w:lineRule="auto"/>
        <w:ind w:left="649" w:right="0" w:hanging="484"/>
        <w:jc w:val="both"/>
      </w:pPr>
      <w:r>
        <w:t>Asymmetric</w:t>
      </w:r>
      <w:r>
        <w:rPr>
          <w:spacing w:val="-9"/>
        </w:rPr>
        <w:t xml:space="preserve"> </w:t>
      </w:r>
      <w:r>
        <w:t>Information</w:t>
      </w:r>
      <w:r>
        <w:rPr>
          <w:spacing w:val="-11"/>
        </w:rPr>
        <w:t xml:space="preserve"> </w:t>
      </w:r>
      <w:r>
        <w:rPr>
          <w:spacing w:val="-2"/>
        </w:rPr>
        <w:t>Theory</w:t>
      </w:r>
    </w:p>
    <w:p w14:paraId="3215E2C9">
      <w:pPr>
        <w:pStyle w:val="5"/>
        <w:spacing w:before="34"/>
        <w:ind w:left="0"/>
        <w:rPr>
          <w:b/>
        </w:rPr>
      </w:pPr>
    </w:p>
    <w:p w14:paraId="506E8F60">
      <w:pPr>
        <w:pStyle w:val="5"/>
        <w:spacing w:line="360" w:lineRule="auto"/>
        <w:ind w:right="168"/>
        <w:jc w:val="both"/>
      </w:pPr>
      <w:r>
        <w:t>Akerlof’s (1970) "Market for Lemons" introduced the concept of information asymmetry, where one party has more or better information than the other. In lending, this manifests in two stages:</w:t>
      </w:r>
    </w:p>
    <w:p w14:paraId="6C7FDD22">
      <w:pPr>
        <w:pStyle w:val="9"/>
        <w:numPr>
          <w:ilvl w:val="0"/>
          <w:numId w:val="3"/>
        </w:numPr>
        <w:tabs>
          <w:tab w:val="left" w:pos="885"/>
        </w:tabs>
        <w:spacing w:before="161" w:after="0" w:line="360" w:lineRule="auto"/>
        <w:ind w:left="885" w:right="160" w:hanging="360"/>
        <w:jc w:val="both"/>
        <w:rPr>
          <w:sz w:val="22"/>
        </w:rPr>
      </w:pPr>
      <w:r>
        <w:rPr>
          <w:b/>
          <w:sz w:val="22"/>
        </w:rPr>
        <w:t>Adverse</w:t>
      </w:r>
      <w:r>
        <w:rPr>
          <w:b/>
          <w:spacing w:val="-7"/>
          <w:sz w:val="22"/>
        </w:rPr>
        <w:t xml:space="preserve"> </w:t>
      </w:r>
      <w:r>
        <w:rPr>
          <w:b/>
          <w:sz w:val="22"/>
        </w:rPr>
        <w:t>Selection</w:t>
      </w:r>
      <w:r>
        <w:rPr>
          <w:b/>
          <w:spacing w:val="-8"/>
          <w:sz w:val="22"/>
        </w:rPr>
        <w:t xml:space="preserve"> </w:t>
      </w:r>
      <w:r>
        <w:rPr>
          <w:b/>
          <w:sz w:val="22"/>
        </w:rPr>
        <w:t>(Ex-ante):</w:t>
      </w:r>
      <w:r>
        <w:rPr>
          <w:b/>
          <w:spacing w:val="-6"/>
          <w:sz w:val="22"/>
        </w:rPr>
        <w:t xml:space="preserve"> </w:t>
      </w:r>
      <w:r>
        <w:rPr>
          <w:sz w:val="22"/>
        </w:rPr>
        <w:t>Occurs</w:t>
      </w:r>
      <w:r>
        <w:rPr>
          <w:spacing w:val="-4"/>
          <w:sz w:val="22"/>
        </w:rPr>
        <w:t xml:space="preserve"> </w:t>
      </w:r>
      <w:r>
        <w:rPr>
          <w:sz w:val="22"/>
        </w:rPr>
        <w:t>before</w:t>
      </w:r>
      <w:r>
        <w:rPr>
          <w:spacing w:val="-7"/>
          <w:sz w:val="22"/>
        </w:rPr>
        <w:t xml:space="preserve"> </w:t>
      </w:r>
      <w:r>
        <w:rPr>
          <w:sz w:val="22"/>
        </w:rPr>
        <w:t>the</w:t>
      </w:r>
      <w:r>
        <w:rPr>
          <w:spacing w:val="-4"/>
          <w:sz w:val="22"/>
        </w:rPr>
        <w:t xml:space="preserve"> </w:t>
      </w:r>
      <w:r>
        <w:rPr>
          <w:sz w:val="22"/>
        </w:rPr>
        <w:t>loan</w:t>
      </w:r>
      <w:r>
        <w:rPr>
          <w:spacing w:val="-7"/>
          <w:sz w:val="22"/>
        </w:rPr>
        <w:t xml:space="preserve"> </w:t>
      </w:r>
      <w:r>
        <w:rPr>
          <w:sz w:val="22"/>
        </w:rPr>
        <w:t>is</w:t>
      </w:r>
      <w:r>
        <w:rPr>
          <w:spacing w:val="-4"/>
          <w:sz w:val="22"/>
        </w:rPr>
        <w:t xml:space="preserve"> </w:t>
      </w:r>
      <w:r>
        <w:rPr>
          <w:sz w:val="22"/>
        </w:rPr>
        <w:t>granted.</w:t>
      </w:r>
      <w:r>
        <w:rPr>
          <w:spacing w:val="-4"/>
          <w:sz w:val="22"/>
        </w:rPr>
        <w:t xml:space="preserve"> </w:t>
      </w:r>
      <w:r>
        <w:rPr>
          <w:sz w:val="22"/>
        </w:rPr>
        <w:t>Risky</w:t>
      </w:r>
      <w:r>
        <w:rPr>
          <w:spacing w:val="-7"/>
          <w:sz w:val="22"/>
        </w:rPr>
        <w:t xml:space="preserve"> </w:t>
      </w:r>
      <w:r>
        <w:rPr>
          <w:sz w:val="22"/>
        </w:rPr>
        <w:t>borrowers</w:t>
      </w:r>
      <w:r>
        <w:rPr>
          <w:spacing w:val="-7"/>
          <w:sz w:val="22"/>
        </w:rPr>
        <w:t xml:space="preserve"> </w:t>
      </w:r>
      <w:r>
        <w:rPr>
          <w:sz w:val="22"/>
        </w:rPr>
        <w:t>are</w:t>
      </w:r>
      <w:r>
        <w:rPr>
          <w:spacing w:val="-7"/>
          <w:sz w:val="22"/>
        </w:rPr>
        <w:t xml:space="preserve"> </w:t>
      </w:r>
      <w:r>
        <w:rPr>
          <w:sz w:val="22"/>
        </w:rPr>
        <w:t>the</w:t>
      </w:r>
      <w:r>
        <w:rPr>
          <w:spacing w:val="-7"/>
          <w:sz w:val="22"/>
        </w:rPr>
        <w:t xml:space="preserve"> </w:t>
      </w:r>
      <w:r>
        <w:rPr>
          <w:sz w:val="22"/>
        </w:rPr>
        <w:t xml:space="preserve">most aggressive in seeking loans, and without perfect information, lenders may select these "bad" </w:t>
      </w:r>
      <w:r>
        <w:rPr>
          <w:spacing w:val="-2"/>
          <w:sz w:val="22"/>
        </w:rPr>
        <w:t>risks.</w:t>
      </w:r>
    </w:p>
    <w:p w14:paraId="7A7BCF80">
      <w:pPr>
        <w:pStyle w:val="9"/>
        <w:numPr>
          <w:ilvl w:val="0"/>
          <w:numId w:val="3"/>
        </w:numPr>
        <w:tabs>
          <w:tab w:val="left" w:pos="885"/>
        </w:tabs>
        <w:spacing w:before="160" w:after="0" w:line="360" w:lineRule="auto"/>
        <w:ind w:left="885" w:right="162" w:hanging="360"/>
        <w:jc w:val="both"/>
        <w:rPr>
          <w:sz w:val="22"/>
        </w:rPr>
      </w:pPr>
      <w:r>
        <w:rPr>
          <w:b/>
          <w:sz w:val="22"/>
        </w:rPr>
        <w:t>Moral</w:t>
      </w:r>
      <w:r>
        <w:rPr>
          <w:b/>
          <w:spacing w:val="-4"/>
          <w:sz w:val="22"/>
        </w:rPr>
        <w:t xml:space="preserve"> </w:t>
      </w:r>
      <w:r>
        <w:rPr>
          <w:b/>
          <w:sz w:val="22"/>
        </w:rPr>
        <w:t>Hazard</w:t>
      </w:r>
      <w:r>
        <w:rPr>
          <w:b/>
          <w:spacing w:val="-5"/>
          <w:sz w:val="22"/>
        </w:rPr>
        <w:t xml:space="preserve"> </w:t>
      </w:r>
      <w:r>
        <w:rPr>
          <w:b/>
          <w:sz w:val="22"/>
        </w:rPr>
        <w:t>(Ex-post):</w:t>
      </w:r>
      <w:r>
        <w:rPr>
          <w:b/>
          <w:spacing w:val="-3"/>
          <w:sz w:val="22"/>
        </w:rPr>
        <w:t xml:space="preserve"> </w:t>
      </w:r>
      <w:r>
        <w:rPr>
          <w:sz w:val="22"/>
        </w:rPr>
        <w:t>Occurs</w:t>
      </w:r>
      <w:r>
        <w:rPr>
          <w:spacing w:val="-4"/>
          <w:sz w:val="22"/>
        </w:rPr>
        <w:t xml:space="preserve"> </w:t>
      </w:r>
      <w:r>
        <w:rPr>
          <w:sz w:val="22"/>
        </w:rPr>
        <w:t>after</w:t>
      </w:r>
      <w:r>
        <w:rPr>
          <w:spacing w:val="-4"/>
          <w:sz w:val="22"/>
        </w:rPr>
        <w:t xml:space="preserve"> </w:t>
      </w:r>
      <w:r>
        <w:rPr>
          <w:sz w:val="22"/>
        </w:rPr>
        <w:t>the</w:t>
      </w:r>
      <w:r>
        <w:rPr>
          <w:spacing w:val="-4"/>
          <w:sz w:val="22"/>
        </w:rPr>
        <w:t xml:space="preserve"> </w:t>
      </w:r>
      <w:r>
        <w:rPr>
          <w:sz w:val="22"/>
        </w:rPr>
        <w:t>loan</w:t>
      </w:r>
      <w:r>
        <w:rPr>
          <w:spacing w:val="-4"/>
          <w:sz w:val="22"/>
        </w:rPr>
        <w:t xml:space="preserve"> </w:t>
      </w:r>
      <w:r>
        <w:rPr>
          <w:sz w:val="22"/>
        </w:rPr>
        <w:t>is</w:t>
      </w:r>
      <w:r>
        <w:rPr>
          <w:spacing w:val="-4"/>
          <w:sz w:val="22"/>
        </w:rPr>
        <w:t xml:space="preserve"> </w:t>
      </w:r>
      <w:r>
        <w:rPr>
          <w:sz w:val="22"/>
        </w:rPr>
        <w:t>granted.</w:t>
      </w:r>
      <w:r>
        <w:rPr>
          <w:spacing w:val="-7"/>
          <w:sz w:val="22"/>
        </w:rPr>
        <w:t xml:space="preserve"> </w:t>
      </w:r>
      <w:r>
        <w:rPr>
          <w:sz w:val="22"/>
        </w:rPr>
        <w:t>This</w:t>
      </w:r>
      <w:r>
        <w:rPr>
          <w:spacing w:val="-4"/>
          <w:sz w:val="22"/>
        </w:rPr>
        <w:t xml:space="preserve"> </w:t>
      </w:r>
      <w:r>
        <w:rPr>
          <w:sz w:val="22"/>
        </w:rPr>
        <w:t>is</w:t>
      </w:r>
      <w:r>
        <w:rPr>
          <w:spacing w:val="-2"/>
          <w:sz w:val="22"/>
        </w:rPr>
        <w:t xml:space="preserve"> </w:t>
      </w:r>
      <w:r>
        <w:rPr>
          <w:sz w:val="22"/>
        </w:rPr>
        <w:t>the</w:t>
      </w:r>
      <w:r>
        <w:rPr>
          <w:spacing w:val="-2"/>
          <w:sz w:val="22"/>
        </w:rPr>
        <w:t xml:space="preserve"> </w:t>
      </w:r>
      <w:r>
        <w:rPr>
          <w:sz w:val="22"/>
        </w:rPr>
        <w:t>primary</w:t>
      </w:r>
      <w:r>
        <w:rPr>
          <w:spacing w:val="-5"/>
          <w:sz w:val="22"/>
        </w:rPr>
        <w:t xml:space="preserve"> </w:t>
      </w:r>
      <w:r>
        <w:rPr>
          <w:sz w:val="22"/>
        </w:rPr>
        <w:t>domain</w:t>
      </w:r>
      <w:r>
        <w:rPr>
          <w:spacing w:val="-2"/>
          <w:sz w:val="22"/>
        </w:rPr>
        <w:t xml:space="preserve"> </w:t>
      </w:r>
      <w:r>
        <w:rPr>
          <w:sz w:val="22"/>
        </w:rPr>
        <w:t>of</w:t>
      </w:r>
      <w:r>
        <w:rPr>
          <w:spacing w:val="-4"/>
          <w:sz w:val="22"/>
        </w:rPr>
        <w:t xml:space="preserve"> </w:t>
      </w:r>
      <w:r>
        <w:rPr>
          <w:sz w:val="22"/>
        </w:rPr>
        <w:t>loan monitoring.</w:t>
      </w:r>
      <w:r>
        <w:rPr>
          <w:spacing w:val="-11"/>
          <w:sz w:val="22"/>
        </w:rPr>
        <w:t xml:space="preserve"> </w:t>
      </w:r>
      <w:r>
        <w:rPr>
          <w:sz w:val="22"/>
        </w:rPr>
        <w:t>Moral</w:t>
      </w:r>
      <w:r>
        <w:rPr>
          <w:spacing w:val="-10"/>
          <w:sz w:val="22"/>
        </w:rPr>
        <w:t xml:space="preserve"> </w:t>
      </w:r>
      <w:r>
        <w:rPr>
          <w:sz w:val="22"/>
        </w:rPr>
        <w:t>hazard</w:t>
      </w:r>
      <w:r>
        <w:rPr>
          <w:spacing w:val="-11"/>
          <w:sz w:val="22"/>
        </w:rPr>
        <w:t xml:space="preserve"> </w:t>
      </w:r>
      <w:r>
        <w:rPr>
          <w:sz w:val="22"/>
        </w:rPr>
        <w:t>arises</w:t>
      </w:r>
      <w:r>
        <w:rPr>
          <w:spacing w:val="-10"/>
          <w:sz w:val="22"/>
        </w:rPr>
        <w:t xml:space="preserve"> </w:t>
      </w:r>
      <w:r>
        <w:rPr>
          <w:sz w:val="22"/>
        </w:rPr>
        <w:t>when</w:t>
      </w:r>
      <w:r>
        <w:rPr>
          <w:spacing w:val="-11"/>
          <w:sz w:val="22"/>
        </w:rPr>
        <w:t xml:space="preserve"> </w:t>
      </w:r>
      <w:r>
        <w:rPr>
          <w:sz w:val="22"/>
        </w:rPr>
        <w:t>the</w:t>
      </w:r>
      <w:r>
        <w:rPr>
          <w:spacing w:val="-11"/>
          <w:sz w:val="22"/>
        </w:rPr>
        <w:t xml:space="preserve"> </w:t>
      </w:r>
      <w:r>
        <w:rPr>
          <w:sz w:val="22"/>
        </w:rPr>
        <w:t>borrower</w:t>
      </w:r>
      <w:r>
        <w:rPr>
          <w:spacing w:val="-10"/>
          <w:sz w:val="22"/>
        </w:rPr>
        <w:t xml:space="preserve"> </w:t>
      </w:r>
      <w:r>
        <w:rPr>
          <w:sz w:val="22"/>
        </w:rPr>
        <w:t>takes</w:t>
      </w:r>
      <w:r>
        <w:rPr>
          <w:spacing w:val="-10"/>
          <w:sz w:val="22"/>
        </w:rPr>
        <w:t xml:space="preserve"> </w:t>
      </w:r>
      <w:r>
        <w:rPr>
          <w:sz w:val="22"/>
        </w:rPr>
        <w:t>risks</w:t>
      </w:r>
      <w:r>
        <w:rPr>
          <w:spacing w:val="-10"/>
          <w:sz w:val="22"/>
        </w:rPr>
        <w:t xml:space="preserve"> </w:t>
      </w:r>
      <w:r>
        <w:rPr>
          <w:sz w:val="22"/>
        </w:rPr>
        <w:t>because</w:t>
      </w:r>
      <w:r>
        <w:rPr>
          <w:spacing w:val="-13"/>
          <w:sz w:val="22"/>
        </w:rPr>
        <w:t xml:space="preserve"> </w:t>
      </w:r>
      <w:r>
        <w:rPr>
          <w:sz w:val="22"/>
        </w:rPr>
        <w:t>they</w:t>
      </w:r>
      <w:r>
        <w:rPr>
          <w:spacing w:val="-11"/>
          <w:sz w:val="22"/>
        </w:rPr>
        <w:t xml:space="preserve"> </w:t>
      </w:r>
      <w:r>
        <w:rPr>
          <w:sz w:val="22"/>
        </w:rPr>
        <w:t>do</w:t>
      </w:r>
      <w:r>
        <w:rPr>
          <w:spacing w:val="-11"/>
          <w:sz w:val="22"/>
        </w:rPr>
        <w:t xml:space="preserve"> </w:t>
      </w:r>
      <w:r>
        <w:rPr>
          <w:sz w:val="22"/>
        </w:rPr>
        <w:t>not</w:t>
      </w:r>
      <w:r>
        <w:rPr>
          <w:spacing w:val="-12"/>
          <w:sz w:val="22"/>
        </w:rPr>
        <w:t xml:space="preserve"> </w:t>
      </w:r>
      <w:r>
        <w:rPr>
          <w:sz w:val="22"/>
        </w:rPr>
        <w:t>bear</w:t>
      </w:r>
      <w:r>
        <w:rPr>
          <w:spacing w:val="-10"/>
          <w:sz w:val="22"/>
        </w:rPr>
        <w:t xml:space="preserve"> </w:t>
      </w:r>
      <w:r>
        <w:rPr>
          <w:sz w:val="22"/>
        </w:rPr>
        <w:t>the</w:t>
      </w:r>
      <w:r>
        <w:rPr>
          <w:spacing w:val="-11"/>
          <w:sz w:val="22"/>
        </w:rPr>
        <w:t xml:space="preserve"> </w:t>
      </w:r>
      <w:r>
        <w:rPr>
          <w:sz w:val="22"/>
        </w:rPr>
        <w:t>full consequences of failure.</w:t>
      </w:r>
    </w:p>
    <w:p w14:paraId="2659FA3C">
      <w:pPr>
        <w:pStyle w:val="5"/>
        <w:spacing w:before="62" w:line="360" w:lineRule="auto"/>
        <w:ind w:right="162"/>
        <w:jc w:val="both"/>
      </w:pPr>
      <w:r>
        <w:t>For Nigerian non-financial lenders,</w:t>
      </w:r>
      <w:r>
        <w:rPr>
          <w:spacing w:val="-1"/>
        </w:rPr>
        <w:t xml:space="preserve"> </w:t>
      </w:r>
      <w:r>
        <w:t>information</w:t>
      </w:r>
      <w:r>
        <w:rPr>
          <w:spacing w:val="-1"/>
        </w:rPr>
        <w:t xml:space="preserve"> </w:t>
      </w:r>
      <w:r>
        <w:t>asymmetry</w:t>
      </w:r>
      <w:r>
        <w:rPr>
          <w:spacing w:val="-1"/>
        </w:rPr>
        <w:t xml:space="preserve"> </w:t>
      </w:r>
      <w:r>
        <w:t>is a structural barrier.</w:t>
      </w:r>
      <w:r>
        <w:rPr>
          <w:spacing w:val="-3"/>
        </w:rPr>
        <w:t xml:space="preserve"> </w:t>
      </w:r>
      <w:r>
        <w:t>The informal nature of</w:t>
      </w:r>
      <w:r>
        <w:rPr>
          <w:spacing w:val="-10"/>
        </w:rPr>
        <w:t xml:space="preserve"> </w:t>
      </w:r>
      <w:r>
        <w:t>many</w:t>
      </w:r>
      <w:r>
        <w:rPr>
          <w:spacing w:val="-10"/>
        </w:rPr>
        <w:t xml:space="preserve"> </w:t>
      </w:r>
      <w:r>
        <w:t>Nigerian</w:t>
      </w:r>
      <w:r>
        <w:rPr>
          <w:spacing w:val="-8"/>
        </w:rPr>
        <w:t xml:space="preserve"> </w:t>
      </w:r>
      <w:r>
        <w:t>SMEs</w:t>
      </w:r>
      <w:r>
        <w:rPr>
          <w:spacing w:val="-10"/>
        </w:rPr>
        <w:t xml:space="preserve"> </w:t>
      </w:r>
      <w:r>
        <w:t>means</w:t>
      </w:r>
      <w:r>
        <w:rPr>
          <w:spacing w:val="-10"/>
        </w:rPr>
        <w:t xml:space="preserve"> </w:t>
      </w:r>
      <w:r>
        <w:t>reliable</w:t>
      </w:r>
      <w:r>
        <w:rPr>
          <w:spacing w:val="-10"/>
        </w:rPr>
        <w:t xml:space="preserve"> </w:t>
      </w:r>
      <w:r>
        <w:t>financial</w:t>
      </w:r>
      <w:r>
        <w:rPr>
          <w:spacing w:val="-7"/>
        </w:rPr>
        <w:t xml:space="preserve"> </w:t>
      </w:r>
      <w:r>
        <w:t>statements</w:t>
      </w:r>
      <w:r>
        <w:rPr>
          <w:spacing w:val="-10"/>
        </w:rPr>
        <w:t xml:space="preserve"> </w:t>
      </w:r>
      <w:r>
        <w:t>are</w:t>
      </w:r>
      <w:r>
        <w:rPr>
          <w:spacing w:val="-8"/>
        </w:rPr>
        <w:t xml:space="preserve"> </w:t>
      </w:r>
      <w:r>
        <w:t>rare.</w:t>
      </w:r>
      <w:r>
        <w:rPr>
          <w:spacing w:val="-8"/>
        </w:rPr>
        <w:t xml:space="preserve"> </w:t>
      </w:r>
      <w:r>
        <w:t>Consequently,</w:t>
      </w:r>
      <w:r>
        <w:rPr>
          <w:spacing w:val="-11"/>
        </w:rPr>
        <w:t xml:space="preserve"> </w:t>
      </w:r>
      <w:r>
        <w:t>lenders</w:t>
      </w:r>
      <w:r>
        <w:rPr>
          <w:spacing w:val="-8"/>
        </w:rPr>
        <w:t xml:space="preserve"> </w:t>
      </w:r>
      <w:r>
        <w:t>cannot</w:t>
      </w:r>
      <w:r>
        <w:rPr>
          <w:spacing w:val="-9"/>
        </w:rPr>
        <w:t xml:space="preserve"> </w:t>
      </w:r>
      <w:r>
        <w:t>rely on past documents alone; they must rely on current monitoring to bridge the information gap. If monitoring is weak, the moral hazard increases, leading to higher Non-Performing Loans (NPLs).</w:t>
      </w:r>
    </w:p>
    <w:p w14:paraId="15EA1083">
      <w:pPr>
        <w:pStyle w:val="2"/>
        <w:numPr>
          <w:ilvl w:val="1"/>
          <w:numId w:val="1"/>
        </w:numPr>
        <w:tabs>
          <w:tab w:val="left" w:pos="496"/>
        </w:tabs>
        <w:spacing w:before="160" w:after="0" w:line="240" w:lineRule="auto"/>
        <w:ind w:left="496" w:right="0" w:hanging="331"/>
        <w:jc w:val="both"/>
      </w:pPr>
      <w:r>
        <w:t>Empirical</w:t>
      </w:r>
      <w:r>
        <w:rPr>
          <w:spacing w:val="-5"/>
        </w:rPr>
        <w:t xml:space="preserve"> </w:t>
      </w:r>
      <w:r>
        <w:rPr>
          <w:spacing w:val="-2"/>
        </w:rPr>
        <w:t>Review</w:t>
      </w:r>
    </w:p>
    <w:p w14:paraId="70D7C5A0">
      <w:pPr>
        <w:pStyle w:val="5"/>
        <w:spacing w:before="34"/>
        <w:ind w:left="0"/>
        <w:rPr>
          <w:b/>
        </w:rPr>
      </w:pPr>
    </w:p>
    <w:p w14:paraId="59D9BA2D">
      <w:pPr>
        <w:pStyle w:val="5"/>
        <w:spacing w:line="360" w:lineRule="auto"/>
        <w:ind w:right="167"/>
        <w:jc w:val="both"/>
      </w:pPr>
      <w:r>
        <w:t>This section reviews relevant studies to establish the current state of knowledge regarding loan monitoring and credit risk, progressing from global perspectives to the specific Nigerian context.</w:t>
      </w:r>
    </w:p>
    <w:p w14:paraId="33E2D2D9">
      <w:pPr>
        <w:pStyle w:val="2"/>
        <w:numPr>
          <w:ilvl w:val="2"/>
          <w:numId w:val="1"/>
        </w:numPr>
        <w:tabs>
          <w:tab w:val="left" w:pos="661"/>
        </w:tabs>
        <w:spacing w:before="161" w:after="0" w:line="240" w:lineRule="auto"/>
        <w:ind w:left="661" w:right="0" w:hanging="496"/>
        <w:jc w:val="both"/>
      </w:pPr>
      <w:r>
        <w:t>Global</w:t>
      </w:r>
      <w:r>
        <w:rPr>
          <w:spacing w:val="-5"/>
        </w:rPr>
        <w:t xml:space="preserve"> </w:t>
      </w:r>
      <w:r>
        <w:t>Perspectives</w:t>
      </w:r>
      <w:r>
        <w:rPr>
          <w:spacing w:val="-6"/>
        </w:rPr>
        <w:t xml:space="preserve"> </w:t>
      </w:r>
      <w:r>
        <w:t>on</w:t>
      </w:r>
      <w:r>
        <w:rPr>
          <w:spacing w:val="-5"/>
        </w:rPr>
        <w:t xml:space="preserve"> </w:t>
      </w:r>
      <w:r>
        <w:t>Loan</w:t>
      </w:r>
      <w:r>
        <w:rPr>
          <w:spacing w:val="-5"/>
        </w:rPr>
        <w:t xml:space="preserve"> </w:t>
      </w:r>
      <w:r>
        <w:rPr>
          <w:spacing w:val="-2"/>
        </w:rPr>
        <w:t>Monitoring</w:t>
      </w:r>
    </w:p>
    <w:p w14:paraId="6608B5EC">
      <w:pPr>
        <w:pStyle w:val="5"/>
        <w:spacing w:before="34"/>
        <w:ind w:left="0"/>
        <w:rPr>
          <w:b/>
        </w:rPr>
      </w:pPr>
    </w:p>
    <w:p w14:paraId="68E1615E">
      <w:pPr>
        <w:pStyle w:val="5"/>
        <w:spacing w:line="360" w:lineRule="auto"/>
        <w:ind w:right="168"/>
        <w:jc w:val="both"/>
      </w:pPr>
      <w:r>
        <w:t>Globally, the consensus is that closer monitoring leads to better loan performance, though the cost of monitoring is a debating point.</w:t>
      </w:r>
    </w:p>
    <w:p w14:paraId="1C6D3422">
      <w:pPr>
        <w:pStyle w:val="9"/>
        <w:numPr>
          <w:ilvl w:val="3"/>
          <w:numId w:val="1"/>
        </w:numPr>
        <w:tabs>
          <w:tab w:val="left" w:pos="885"/>
        </w:tabs>
        <w:spacing w:before="158" w:after="0" w:line="360" w:lineRule="auto"/>
        <w:ind w:left="885" w:right="165" w:hanging="360"/>
        <w:jc w:val="both"/>
        <w:rPr>
          <w:sz w:val="22"/>
        </w:rPr>
      </w:pPr>
      <w:r>
        <w:rPr>
          <w:i/>
          <w:sz w:val="22"/>
        </w:rPr>
        <w:t>Berger and DeYoung (1997)</w:t>
      </w:r>
      <w:r>
        <w:rPr>
          <w:sz w:val="22"/>
        </w:rPr>
        <w:t>, in their seminal work on the "Bad Management Hypothesis," found that failing to monitor borrowers leads to a decline in cost efficiency and a subsequent rise in problem loans.</w:t>
      </w:r>
      <w:r>
        <w:rPr>
          <w:spacing w:val="-2"/>
          <w:sz w:val="22"/>
        </w:rPr>
        <w:t xml:space="preserve"> </w:t>
      </w:r>
      <w:r>
        <w:rPr>
          <w:sz w:val="22"/>
        </w:rPr>
        <w:t>They argued that managers who skimp on monitoring resources to save money in the short term eventually face higher costs due to loan defaults.</w:t>
      </w:r>
    </w:p>
    <w:p w14:paraId="3E4954F1">
      <w:pPr>
        <w:pStyle w:val="9"/>
        <w:numPr>
          <w:ilvl w:val="3"/>
          <w:numId w:val="1"/>
        </w:numPr>
        <w:tabs>
          <w:tab w:val="left" w:pos="885"/>
        </w:tabs>
        <w:spacing w:before="162" w:after="0" w:line="360" w:lineRule="auto"/>
        <w:ind w:left="885" w:right="158" w:hanging="360"/>
        <w:jc w:val="both"/>
        <w:rPr>
          <w:sz w:val="22"/>
        </w:rPr>
      </w:pPr>
      <w:r>
        <w:rPr>
          <w:i/>
          <w:sz w:val="22"/>
        </w:rPr>
        <w:t xml:space="preserve">Agresti et al. (2016) </w:t>
      </w:r>
      <w:r>
        <w:rPr>
          <w:sz w:val="22"/>
        </w:rPr>
        <w:t>studied European banks and found that physical site visits (soft information) were significantly more effective in predicting default for SMEs than automated credit scoring alone. This highlights a potential weakness for digital-only lenders who rely solely on algorithms.</w:t>
      </w:r>
    </w:p>
    <w:p w14:paraId="0EC6AB41">
      <w:pPr>
        <w:pStyle w:val="2"/>
        <w:numPr>
          <w:ilvl w:val="2"/>
          <w:numId w:val="1"/>
        </w:numPr>
        <w:tabs>
          <w:tab w:val="left" w:pos="661"/>
        </w:tabs>
        <w:spacing w:before="161" w:after="0" w:line="240" w:lineRule="auto"/>
        <w:ind w:left="661" w:right="0" w:hanging="496"/>
        <w:jc w:val="both"/>
      </w:pPr>
      <w:r>
        <w:t>Empirical</w:t>
      </w:r>
      <w:r>
        <w:rPr>
          <w:spacing w:val="-5"/>
        </w:rPr>
        <w:t xml:space="preserve"> </w:t>
      </w:r>
      <w:r>
        <w:t>Evidence</w:t>
      </w:r>
      <w:r>
        <w:rPr>
          <w:spacing w:val="-8"/>
        </w:rPr>
        <w:t xml:space="preserve"> </w:t>
      </w:r>
      <w:r>
        <w:t>from</w:t>
      </w:r>
      <w:r>
        <w:rPr>
          <w:spacing w:val="-8"/>
        </w:rPr>
        <w:t xml:space="preserve"> </w:t>
      </w:r>
      <w:r>
        <w:t>the</w:t>
      </w:r>
      <w:r>
        <w:rPr>
          <w:spacing w:val="-6"/>
        </w:rPr>
        <w:t xml:space="preserve"> </w:t>
      </w:r>
      <w:r>
        <w:t>Nigerian</w:t>
      </w:r>
      <w:r>
        <w:rPr>
          <w:spacing w:val="-6"/>
        </w:rPr>
        <w:t xml:space="preserve"> </w:t>
      </w:r>
      <w:r>
        <w:t>Banking</w:t>
      </w:r>
      <w:r>
        <w:rPr>
          <w:spacing w:val="-5"/>
        </w:rPr>
        <w:t xml:space="preserve"> </w:t>
      </w:r>
      <w:r>
        <w:rPr>
          <w:spacing w:val="-2"/>
        </w:rPr>
        <w:t>Sector</w:t>
      </w:r>
    </w:p>
    <w:p w14:paraId="085D89D9">
      <w:pPr>
        <w:pStyle w:val="5"/>
        <w:spacing w:before="31"/>
        <w:ind w:left="0"/>
        <w:rPr>
          <w:b/>
        </w:rPr>
      </w:pPr>
    </w:p>
    <w:p w14:paraId="516BC5C3">
      <w:pPr>
        <w:pStyle w:val="5"/>
        <w:spacing w:line="362" w:lineRule="auto"/>
        <w:ind w:right="163"/>
        <w:jc w:val="both"/>
      </w:pPr>
      <w:r>
        <w:t>Extensive</w:t>
      </w:r>
      <w:r>
        <w:rPr>
          <w:spacing w:val="-2"/>
        </w:rPr>
        <w:t xml:space="preserve"> </w:t>
      </w:r>
      <w:r>
        <w:t>literature</w:t>
      </w:r>
      <w:r>
        <w:rPr>
          <w:spacing w:val="-2"/>
        </w:rPr>
        <w:t xml:space="preserve"> </w:t>
      </w:r>
      <w:r>
        <w:t>exists on Credit</w:t>
      </w:r>
      <w:r>
        <w:rPr>
          <w:spacing w:val="-1"/>
        </w:rPr>
        <w:t xml:space="preserve"> </w:t>
      </w:r>
      <w:r>
        <w:t>Risk</w:t>
      </w:r>
      <w:r>
        <w:rPr>
          <w:spacing w:val="-2"/>
        </w:rPr>
        <w:t xml:space="preserve"> </w:t>
      </w:r>
      <w:r>
        <w:t>Management</w:t>
      </w:r>
      <w:r>
        <w:rPr>
          <w:spacing w:val="-3"/>
        </w:rPr>
        <w:t xml:space="preserve"> </w:t>
      </w:r>
      <w:r>
        <w:t>(CRM)</w:t>
      </w:r>
      <w:r>
        <w:rPr>
          <w:spacing w:val="-1"/>
        </w:rPr>
        <w:t xml:space="preserve"> </w:t>
      </w:r>
      <w:r>
        <w:t>in</w:t>
      </w:r>
      <w:r>
        <w:rPr>
          <w:spacing w:val="-3"/>
        </w:rPr>
        <w:t xml:space="preserve"> </w:t>
      </w:r>
      <w:r>
        <w:t>Nigerian</w:t>
      </w:r>
      <w:r>
        <w:rPr>
          <w:spacing w:val="-2"/>
        </w:rPr>
        <w:t xml:space="preserve"> </w:t>
      </w:r>
      <w:r>
        <w:t>commercial</w:t>
      </w:r>
      <w:r>
        <w:rPr>
          <w:spacing w:val="-1"/>
        </w:rPr>
        <w:t xml:space="preserve"> </w:t>
      </w:r>
      <w:r>
        <w:t>banks</w:t>
      </w:r>
      <w:r>
        <w:rPr>
          <w:spacing w:val="-2"/>
        </w:rPr>
        <w:t xml:space="preserve"> </w:t>
      </w:r>
      <w:r>
        <w:t>(DMBs) and Microfinance Banks (MFBs).</w:t>
      </w:r>
    </w:p>
    <w:p w14:paraId="20FFED81">
      <w:pPr>
        <w:pStyle w:val="9"/>
        <w:numPr>
          <w:ilvl w:val="3"/>
          <w:numId w:val="1"/>
        </w:numPr>
        <w:tabs>
          <w:tab w:val="left" w:pos="885"/>
        </w:tabs>
        <w:spacing w:before="155" w:after="0" w:line="360" w:lineRule="auto"/>
        <w:ind w:left="885" w:right="161" w:hanging="360"/>
        <w:jc w:val="both"/>
        <w:rPr>
          <w:sz w:val="22"/>
        </w:rPr>
      </w:pPr>
      <w:r>
        <w:rPr>
          <w:i/>
          <w:sz w:val="22"/>
        </w:rPr>
        <w:t xml:space="preserve">Nwosu, Okedigba, and Anih (2024) </w:t>
      </w:r>
      <w:r>
        <w:rPr>
          <w:sz w:val="22"/>
        </w:rPr>
        <w:t>investigated the impact of NPLs on the profitability of Nigerian commercial banks. Using panel data from 2014–2018, they found a significant negative relationship between NPL volume and bank profitability. Their study recommended that risk management teams must strengthen post-disbursement strategies to mitigate this.</w:t>
      </w:r>
    </w:p>
    <w:p w14:paraId="738260B4">
      <w:pPr>
        <w:pStyle w:val="9"/>
        <w:numPr>
          <w:ilvl w:val="3"/>
          <w:numId w:val="1"/>
        </w:numPr>
        <w:tabs>
          <w:tab w:val="left" w:pos="885"/>
        </w:tabs>
        <w:spacing w:before="161" w:after="0" w:line="360" w:lineRule="auto"/>
        <w:ind w:left="885" w:right="161" w:hanging="360"/>
        <w:jc w:val="both"/>
        <w:rPr>
          <w:sz w:val="22"/>
        </w:rPr>
      </w:pPr>
      <w:r>
        <w:rPr>
          <w:i/>
          <w:sz w:val="22"/>
        </w:rPr>
        <w:t xml:space="preserve">Olorunsola, Olalekan, and Dele-Oladejo (2023) </w:t>
      </w:r>
      <w:r>
        <w:rPr>
          <w:sz w:val="22"/>
        </w:rPr>
        <w:t>examined Microfinance Banks (MFBs) and found a paradox: some MFBs practiced over-prudence in risk management, leading to low profitability because they were too afraid to lend. However, they noted that for the loans granted, lack of monitoring often led to diversion.</w:t>
      </w:r>
    </w:p>
    <w:p w14:paraId="75FEB833">
      <w:pPr>
        <w:pStyle w:val="9"/>
        <w:numPr>
          <w:ilvl w:val="3"/>
          <w:numId w:val="1"/>
        </w:numPr>
        <w:tabs>
          <w:tab w:val="left" w:pos="885"/>
        </w:tabs>
        <w:spacing w:before="162" w:after="0" w:line="360" w:lineRule="auto"/>
        <w:ind w:left="885" w:right="159" w:hanging="360"/>
        <w:jc w:val="both"/>
        <w:rPr>
          <w:sz w:val="22"/>
        </w:rPr>
      </w:pPr>
      <w:r>
        <w:rPr>
          <w:i/>
          <w:sz w:val="22"/>
        </w:rPr>
        <w:t xml:space="preserve">Adeyemi and Olabisi (2021) </w:t>
      </w:r>
      <w:r>
        <w:rPr>
          <w:sz w:val="22"/>
        </w:rPr>
        <w:t>focused on the "efficacy of credit monitoring" in Lagos-based MFBs.</w:t>
      </w:r>
      <w:r>
        <w:rPr>
          <w:spacing w:val="63"/>
          <w:sz w:val="22"/>
        </w:rPr>
        <w:t xml:space="preserve"> </w:t>
      </w:r>
      <w:r>
        <w:rPr>
          <w:sz w:val="22"/>
        </w:rPr>
        <w:t>Their</w:t>
      </w:r>
      <w:r>
        <w:rPr>
          <w:spacing w:val="68"/>
          <w:sz w:val="22"/>
        </w:rPr>
        <w:t xml:space="preserve"> </w:t>
      </w:r>
      <w:r>
        <w:rPr>
          <w:sz w:val="22"/>
        </w:rPr>
        <w:t>regression</w:t>
      </w:r>
      <w:r>
        <w:rPr>
          <w:spacing w:val="67"/>
          <w:sz w:val="22"/>
        </w:rPr>
        <w:t xml:space="preserve"> </w:t>
      </w:r>
      <w:r>
        <w:rPr>
          <w:sz w:val="22"/>
        </w:rPr>
        <w:t>analysis</w:t>
      </w:r>
      <w:r>
        <w:rPr>
          <w:spacing w:val="70"/>
          <w:sz w:val="22"/>
        </w:rPr>
        <w:t xml:space="preserve"> </w:t>
      </w:r>
      <w:r>
        <w:rPr>
          <w:sz w:val="22"/>
        </w:rPr>
        <w:t>revealed</w:t>
      </w:r>
      <w:r>
        <w:rPr>
          <w:spacing w:val="69"/>
          <w:sz w:val="22"/>
        </w:rPr>
        <w:t xml:space="preserve"> </w:t>
      </w:r>
      <w:r>
        <w:rPr>
          <w:sz w:val="22"/>
        </w:rPr>
        <w:t>that</w:t>
      </w:r>
      <w:r>
        <w:rPr>
          <w:spacing w:val="68"/>
          <w:sz w:val="22"/>
        </w:rPr>
        <w:t xml:space="preserve"> </w:t>
      </w:r>
      <w:r>
        <w:rPr>
          <w:sz w:val="22"/>
        </w:rPr>
        <w:t>frequency</w:t>
      </w:r>
      <w:r>
        <w:rPr>
          <w:spacing w:val="67"/>
          <w:sz w:val="22"/>
        </w:rPr>
        <w:t xml:space="preserve"> </w:t>
      </w:r>
      <w:r>
        <w:rPr>
          <w:sz w:val="22"/>
        </w:rPr>
        <w:t>of</w:t>
      </w:r>
      <w:r>
        <w:rPr>
          <w:spacing w:val="68"/>
          <w:sz w:val="22"/>
        </w:rPr>
        <w:t xml:space="preserve"> </w:t>
      </w:r>
      <w:r>
        <w:rPr>
          <w:sz w:val="22"/>
        </w:rPr>
        <w:t>monitoring</w:t>
      </w:r>
      <w:r>
        <w:rPr>
          <w:spacing w:val="67"/>
          <w:sz w:val="22"/>
        </w:rPr>
        <w:t xml:space="preserve"> </w:t>
      </w:r>
      <w:r>
        <w:rPr>
          <w:sz w:val="22"/>
        </w:rPr>
        <w:t>had</w:t>
      </w:r>
      <w:r>
        <w:rPr>
          <w:spacing w:val="69"/>
          <w:sz w:val="22"/>
        </w:rPr>
        <w:t xml:space="preserve"> </w:t>
      </w:r>
      <w:r>
        <w:rPr>
          <w:sz w:val="22"/>
        </w:rPr>
        <w:t>a</w:t>
      </w:r>
      <w:r>
        <w:rPr>
          <w:spacing w:val="70"/>
          <w:sz w:val="22"/>
        </w:rPr>
        <w:t xml:space="preserve"> </w:t>
      </w:r>
      <w:r>
        <w:rPr>
          <w:sz w:val="22"/>
        </w:rPr>
        <w:t>positive</w:t>
      </w:r>
    </w:p>
    <w:p w14:paraId="14D9B3EE">
      <w:pPr>
        <w:pStyle w:val="9"/>
        <w:spacing w:after="0" w:line="360" w:lineRule="auto"/>
        <w:jc w:val="both"/>
        <w:rPr>
          <w:sz w:val="22"/>
        </w:rPr>
        <w:sectPr>
          <w:pgSz w:w="11910" w:h="16840"/>
          <w:pgMar w:top="1360" w:right="1275" w:bottom="280" w:left="1275" w:header="720" w:footer="720" w:gutter="0"/>
          <w:cols w:space="720" w:num="1"/>
        </w:sectPr>
      </w:pPr>
    </w:p>
    <w:p w14:paraId="3560897E">
      <w:pPr>
        <w:pStyle w:val="5"/>
        <w:spacing w:before="62" w:line="360" w:lineRule="auto"/>
        <w:ind w:left="885"/>
      </w:pPr>
      <w:r>
        <w:t>correlation with loan recovery rates. They concluded that lenders who monitored weekly had significantly lower default rates than those who monitored monthly.</w:t>
      </w:r>
    </w:p>
    <w:p w14:paraId="16FB7518">
      <w:pPr>
        <w:pStyle w:val="2"/>
        <w:numPr>
          <w:ilvl w:val="2"/>
          <w:numId w:val="1"/>
        </w:numPr>
        <w:tabs>
          <w:tab w:val="left" w:pos="656"/>
        </w:tabs>
        <w:spacing w:before="161" w:after="0" w:line="240" w:lineRule="auto"/>
        <w:ind w:left="656" w:right="0" w:hanging="491"/>
        <w:jc w:val="both"/>
      </w:pPr>
      <w:r>
        <w:t>The</w:t>
      </w:r>
      <w:r>
        <w:rPr>
          <w:spacing w:val="-7"/>
        </w:rPr>
        <w:t xml:space="preserve"> </w:t>
      </w:r>
      <w:r>
        <w:t>Gap:</w:t>
      </w:r>
      <w:r>
        <w:rPr>
          <w:spacing w:val="-5"/>
        </w:rPr>
        <w:t xml:space="preserve"> </w:t>
      </w:r>
      <w:r>
        <w:t>Non-Financial</w:t>
      </w:r>
      <w:r>
        <w:rPr>
          <w:spacing w:val="-4"/>
        </w:rPr>
        <w:t xml:space="preserve"> </w:t>
      </w:r>
      <w:r>
        <w:t>and</w:t>
      </w:r>
      <w:r>
        <w:rPr>
          <w:spacing w:val="-6"/>
        </w:rPr>
        <w:t xml:space="preserve"> </w:t>
      </w:r>
      <w:r>
        <w:t>Digital</w:t>
      </w:r>
      <w:r>
        <w:rPr>
          <w:spacing w:val="-3"/>
        </w:rPr>
        <w:t xml:space="preserve"> </w:t>
      </w:r>
      <w:r>
        <w:rPr>
          <w:spacing w:val="-2"/>
        </w:rPr>
        <w:t>Lenders</w:t>
      </w:r>
    </w:p>
    <w:p w14:paraId="58DF68B0">
      <w:pPr>
        <w:pStyle w:val="5"/>
        <w:spacing w:before="34"/>
        <w:ind w:left="0"/>
        <w:rPr>
          <w:b/>
        </w:rPr>
      </w:pPr>
    </w:p>
    <w:p w14:paraId="4D82543B">
      <w:pPr>
        <w:pStyle w:val="5"/>
        <w:spacing w:line="360" w:lineRule="auto"/>
        <w:ind w:right="163"/>
        <w:jc w:val="both"/>
      </w:pPr>
      <w:r>
        <w:t>While</w:t>
      </w:r>
      <w:r>
        <w:rPr>
          <w:spacing w:val="-4"/>
        </w:rPr>
        <w:t xml:space="preserve"> </w:t>
      </w:r>
      <w:r>
        <w:t>banks</w:t>
      </w:r>
      <w:r>
        <w:rPr>
          <w:spacing w:val="-6"/>
        </w:rPr>
        <w:t xml:space="preserve"> </w:t>
      </w:r>
      <w:r>
        <w:t>and</w:t>
      </w:r>
      <w:r>
        <w:rPr>
          <w:spacing w:val="-7"/>
        </w:rPr>
        <w:t xml:space="preserve"> </w:t>
      </w:r>
      <w:r>
        <w:t>MFBs</w:t>
      </w:r>
      <w:r>
        <w:rPr>
          <w:spacing w:val="-7"/>
        </w:rPr>
        <w:t xml:space="preserve"> </w:t>
      </w:r>
      <w:r>
        <w:t>are</w:t>
      </w:r>
      <w:r>
        <w:rPr>
          <w:spacing w:val="-7"/>
        </w:rPr>
        <w:t xml:space="preserve"> </w:t>
      </w:r>
      <w:r>
        <w:t>well-studied,</w:t>
      </w:r>
      <w:r>
        <w:rPr>
          <w:spacing w:val="-7"/>
        </w:rPr>
        <w:t xml:space="preserve"> </w:t>
      </w:r>
      <w:r>
        <w:t>the</w:t>
      </w:r>
      <w:r>
        <w:rPr>
          <w:spacing w:val="-7"/>
        </w:rPr>
        <w:t xml:space="preserve"> </w:t>
      </w:r>
      <w:r>
        <w:t>empirical</w:t>
      </w:r>
      <w:r>
        <w:rPr>
          <w:spacing w:val="-8"/>
        </w:rPr>
        <w:t xml:space="preserve"> </w:t>
      </w:r>
      <w:r>
        <w:t>literature</w:t>
      </w:r>
      <w:r>
        <w:rPr>
          <w:spacing w:val="-7"/>
        </w:rPr>
        <w:t xml:space="preserve"> </w:t>
      </w:r>
      <w:r>
        <w:t>on</w:t>
      </w:r>
      <w:r>
        <w:rPr>
          <w:spacing w:val="-7"/>
        </w:rPr>
        <w:t xml:space="preserve"> </w:t>
      </w:r>
      <w:r>
        <w:t>licenced</w:t>
      </w:r>
      <w:r>
        <w:rPr>
          <w:spacing w:val="-5"/>
        </w:rPr>
        <w:t xml:space="preserve"> </w:t>
      </w:r>
      <w:r>
        <w:t>non-financial</w:t>
      </w:r>
      <w:r>
        <w:rPr>
          <w:spacing w:val="-6"/>
        </w:rPr>
        <w:t xml:space="preserve"> </w:t>
      </w:r>
      <w:r>
        <w:t>institutional lenders particularly the new wave of digital lenders is sparse and emerging.</w:t>
      </w:r>
    </w:p>
    <w:p w14:paraId="7567BF0B">
      <w:pPr>
        <w:pStyle w:val="9"/>
        <w:numPr>
          <w:ilvl w:val="3"/>
          <w:numId w:val="1"/>
        </w:numPr>
        <w:tabs>
          <w:tab w:val="left" w:pos="885"/>
        </w:tabs>
        <w:spacing w:before="160" w:after="0" w:line="360" w:lineRule="auto"/>
        <w:ind w:left="885" w:right="163" w:hanging="360"/>
        <w:jc w:val="both"/>
        <w:rPr>
          <w:sz w:val="22"/>
        </w:rPr>
      </w:pPr>
      <w:r>
        <w:rPr>
          <w:i/>
          <w:sz w:val="22"/>
        </w:rPr>
        <w:t xml:space="preserve">FCCPC Reports (2024/2025): </w:t>
      </w:r>
      <w:r>
        <w:rPr>
          <w:sz w:val="22"/>
        </w:rPr>
        <w:t xml:space="preserve">Recent regulatory actions by the Federal Competition and Consumer Protection Commission (FCCPC) provide anecdotal empirical evidence. The Commission’s crackdown on loan sharks and digital lenders for unethical recovery practices suggests a systemic failure of </w:t>
      </w:r>
      <w:r>
        <w:rPr>
          <w:i/>
          <w:sz w:val="22"/>
        </w:rPr>
        <w:t>monitoring</w:t>
      </w:r>
      <w:r>
        <w:rPr>
          <w:sz w:val="22"/>
        </w:rPr>
        <w:t>. Lenders, failing to monitor borrower capacity effectively, resort</w:t>
      </w:r>
      <w:r>
        <w:rPr>
          <w:spacing w:val="-1"/>
          <w:sz w:val="22"/>
        </w:rPr>
        <w:t xml:space="preserve"> </w:t>
      </w:r>
      <w:r>
        <w:rPr>
          <w:sz w:val="22"/>
        </w:rPr>
        <w:t>to harassment (shaming) when default occurs.</w:t>
      </w:r>
      <w:r>
        <w:rPr>
          <w:spacing w:val="-4"/>
          <w:sz w:val="22"/>
        </w:rPr>
        <w:t xml:space="preserve"> </w:t>
      </w:r>
      <w:r>
        <w:rPr>
          <w:sz w:val="22"/>
        </w:rPr>
        <w:t>This</w:t>
      </w:r>
      <w:r>
        <w:rPr>
          <w:spacing w:val="-2"/>
          <w:sz w:val="22"/>
        </w:rPr>
        <w:t xml:space="preserve"> </w:t>
      </w:r>
      <w:r>
        <w:rPr>
          <w:sz w:val="22"/>
        </w:rPr>
        <w:t>implies</w:t>
      </w:r>
      <w:r>
        <w:rPr>
          <w:spacing w:val="-1"/>
          <w:sz w:val="22"/>
        </w:rPr>
        <w:t xml:space="preserve"> </w:t>
      </w:r>
      <w:r>
        <w:rPr>
          <w:sz w:val="22"/>
        </w:rPr>
        <w:t>a reactive</w:t>
      </w:r>
      <w:r>
        <w:rPr>
          <w:spacing w:val="-2"/>
          <w:sz w:val="22"/>
        </w:rPr>
        <w:t xml:space="preserve"> </w:t>
      </w:r>
      <w:r>
        <w:rPr>
          <w:sz w:val="22"/>
        </w:rPr>
        <w:t>rather than proactive risk management model.</w:t>
      </w:r>
    </w:p>
    <w:p w14:paraId="1264CD74">
      <w:pPr>
        <w:pStyle w:val="9"/>
        <w:numPr>
          <w:ilvl w:val="3"/>
          <w:numId w:val="1"/>
        </w:numPr>
        <w:tabs>
          <w:tab w:val="left" w:pos="885"/>
        </w:tabs>
        <w:spacing w:before="160" w:after="0" w:line="360" w:lineRule="auto"/>
        <w:ind w:left="885" w:right="164" w:hanging="360"/>
        <w:jc w:val="both"/>
        <w:rPr>
          <w:sz w:val="22"/>
        </w:rPr>
      </w:pPr>
      <w:r>
        <w:rPr>
          <w:i/>
          <w:sz w:val="22"/>
        </w:rPr>
        <w:t xml:space="preserve">Digital Lending Risks: </w:t>
      </w:r>
      <w:r>
        <w:rPr>
          <w:sz w:val="22"/>
        </w:rPr>
        <w:t>A 2024 study on "Fintech Evolution in Nigeria" (CBN Occasional Paper)</w:t>
      </w:r>
      <w:r>
        <w:rPr>
          <w:spacing w:val="-11"/>
          <w:sz w:val="22"/>
        </w:rPr>
        <w:t xml:space="preserve"> </w:t>
      </w:r>
      <w:r>
        <w:rPr>
          <w:sz w:val="22"/>
        </w:rPr>
        <w:t>noted</w:t>
      </w:r>
      <w:r>
        <w:rPr>
          <w:spacing w:val="-12"/>
          <w:sz w:val="22"/>
        </w:rPr>
        <w:t xml:space="preserve"> </w:t>
      </w:r>
      <w:r>
        <w:rPr>
          <w:sz w:val="22"/>
        </w:rPr>
        <w:t>that</w:t>
      </w:r>
      <w:r>
        <w:rPr>
          <w:spacing w:val="-11"/>
          <w:sz w:val="22"/>
        </w:rPr>
        <w:t xml:space="preserve"> </w:t>
      </w:r>
      <w:r>
        <w:rPr>
          <w:sz w:val="22"/>
        </w:rPr>
        <w:t>while</w:t>
      </w:r>
      <w:r>
        <w:rPr>
          <w:spacing w:val="-12"/>
          <w:sz w:val="22"/>
        </w:rPr>
        <w:t xml:space="preserve"> </w:t>
      </w:r>
      <w:r>
        <w:rPr>
          <w:sz w:val="22"/>
        </w:rPr>
        <w:t>fintechs</w:t>
      </w:r>
      <w:r>
        <w:rPr>
          <w:spacing w:val="-11"/>
          <w:sz w:val="22"/>
        </w:rPr>
        <w:t xml:space="preserve"> </w:t>
      </w:r>
      <w:r>
        <w:rPr>
          <w:sz w:val="22"/>
        </w:rPr>
        <w:t>have</w:t>
      </w:r>
      <w:r>
        <w:rPr>
          <w:spacing w:val="-12"/>
          <w:sz w:val="22"/>
        </w:rPr>
        <w:t xml:space="preserve"> </w:t>
      </w:r>
      <w:r>
        <w:rPr>
          <w:sz w:val="22"/>
        </w:rPr>
        <w:t>improved</w:t>
      </w:r>
      <w:r>
        <w:rPr>
          <w:spacing w:val="-14"/>
          <w:sz w:val="22"/>
        </w:rPr>
        <w:t xml:space="preserve"> </w:t>
      </w:r>
      <w:r>
        <w:rPr>
          <w:sz w:val="22"/>
        </w:rPr>
        <w:t>access,</w:t>
      </w:r>
      <w:r>
        <w:rPr>
          <w:spacing w:val="-13"/>
          <w:sz w:val="22"/>
        </w:rPr>
        <w:t xml:space="preserve"> </w:t>
      </w:r>
      <w:r>
        <w:rPr>
          <w:sz w:val="22"/>
        </w:rPr>
        <w:t>they</w:t>
      </w:r>
      <w:r>
        <w:rPr>
          <w:spacing w:val="-14"/>
          <w:sz w:val="22"/>
        </w:rPr>
        <w:t xml:space="preserve"> </w:t>
      </w:r>
      <w:r>
        <w:rPr>
          <w:sz w:val="22"/>
        </w:rPr>
        <w:t>face</w:t>
      </w:r>
      <w:r>
        <w:rPr>
          <w:spacing w:val="-13"/>
          <w:sz w:val="22"/>
        </w:rPr>
        <w:t xml:space="preserve"> </w:t>
      </w:r>
      <w:r>
        <w:rPr>
          <w:sz w:val="22"/>
        </w:rPr>
        <w:t>loan</w:t>
      </w:r>
      <w:r>
        <w:rPr>
          <w:spacing w:val="-14"/>
          <w:sz w:val="22"/>
        </w:rPr>
        <w:t xml:space="preserve"> </w:t>
      </w:r>
      <w:r>
        <w:rPr>
          <w:sz w:val="22"/>
        </w:rPr>
        <w:t>stacking</w:t>
      </w:r>
      <w:r>
        <w:rPr>
          <w:spacing w:val="-12"/>
          <w:sz w:val="22"/>
        </w:rPr>
        <w:t xml:space="preserve"> </w:t>
      </w:r>
      <w:r>
        <w:rPr>
          <w:sz w:val="22"/>
        </w:rPr>
        <w:t>risks.</w:t>
      </w:r>
      <w:r>
        <w:rPr>
          <w:spacing w:val="-12"/>
          <w:sz w:val="22"/>
        </w:rPr>
        <w:t xml:space="preserve"> </w:t>
      </w:r>
      <w:r>
        <w:rPr>
          <w:sz w:val="22"/>
        </w:rPr>
        <w:t>Borrowers take loans from</w:t>
      </w:r>
      <w:r>
        <w:rPr>
          <w:spacing w:val="-4"/>
          <w:sz w:val="22"/>
        </w:rPr>
        <w:t xml:space="preserve"> </w:t>
      </w:r>
      <w:r>
        <w:rPr>
          <w:sz w:val="22"/>
        </w:rPr>
        <w:t>App</w:t>
      </w:r>
      <w:r>
        <w:rPr>
          <w:spacing w:val="-7"/>
          <w:sz w:val="22"/>
        </w:rPr>
        <w:t xml:space="preserve"> </w:t>
      </w:r>
      <w:r>
        <w:rPr>
          <w:sz w:val="22"/>
        </w:rPr>
        <w:t>A</w:t>
      </w:r>
      <w:r>
        <w:rPr>
          <w:spacing w:val="-4"/>
          <w:sz w:val="22"/>
        </w:rPr>
        <w:t xml:space="preserve"> </w:t>
      </w:r>
      <w:r>
        <w:rPr>
          <w:sz w:val="22"/>
        </w:rPr>
        <w:t>to pay</w:t>
      </w:r>
      <w:r>
        <w:rPr>
          <w:spacing w:val="-4"/>
          <w:sz w:val="22"/>
        </w:rPr>
        <w:t xml:space="preserve"> </w:t>
      </w:r>
      <w:r>
        <w:rPr>
          <w:sz w:val="22"/>
        </w:rPr>
        <w:t>App B. Traditional monitoring (checking one's own repayment history) fails to detect this systemic risk. This highlights a gap in the effectiveness of siloed digital monitoring practices.</w:t>
      </w:r>
    </w:p>
    <w:p w14:paraId="06B1A487">
      <w:pPr>
        <w:pStyle w:val="2"/>
        <w:numPr>
          <w:ilvl w:val="2"/>
          <w:numId w:val="1"/>
        </w:numPr>
        <w:tabs>
          <w:tab w:val="left" w:pos="661"/>
        </w:tabs>
        <w:spacing w:before="160" w:after="0" w:line="240" w:lineRule="auto"/>
        <w:ind w:left="661" w:right="0" w:hanging="496"/>
        <w:jc w:val="both"/>
      </w:pPr>
      <w:r>
        <w:t>Summary</w:t>
      </w:r>
      <w:r>
        <w:rPr>
          <w:spacing w:val="-5"/>
        </w:rPr>
        <w:t xml:space="preserve"> </w:t>
      </w:r>
      <w:r>
        <w:t>of</w:t>
      </w:r>
      <w:r>
        <w:rPr>
          <w:spacing w:val="-3"/>
        </w:rPr>
        <w:t xml:space="preserve"> </w:t>
      </w:r>
      <w:r>
        <w:t>Gaps</w:t>
      </w:r>
      <w:r>
        <w:rPr>
          <w:spacing w:val="-3"/>
        </w:rPr>
        <w:t xml:space="preserve"> </w:t>
      </w:r>
      <w:r>
        <w:t>to</w:t>
      </w:r>
      <w:r>
        <w:rPr>
          <w:spacing w:val="-4"/>
        </w:rPr>
        <w:t xml:space="preserve"> </w:t>
      </w:r>
      <w:r>
        <w:t>be</w:t>
      </w:r>
      <w:r>
        <w:rPr>
          <w:spacing w:val="-2"/>
        </w:rPr>
        <w:t xml:space="preserve"> Filled</w:t>
      </w:r>
    </w:p>
    <w:p w14:paraId="21C1CE3D">
      <w:pPr>
        <w:pStyle w:val="5"/>
        <w:spacing w:before="34"/>
        <w:ind w:left="0"/>
        <w:rPr>
          <w:b/>
        </w:rPr>
      </w:pPr>
    </w:p>
    <w:p w14:paraId="504EE578">
      <w:pPr>
        <w:pStyle w:val="5"/>
        <w:spacing w:line="360" w:lineRule="auto"/>
        <w:ind w:right="167"/>
        <w:jc w:val="both"/>
      </w:pPr>
      <w:r>
        <w:t xml:space="preserve">The existing literature confirms that monitoring is vital for banks. However, it fails to adequately </w:t>
      </w:r>
      <w:r>
        <w:rPr>
          <w:spacing w:val="-2"/>
        </w:rPr>
        <w:t>address:</w:t>
      </w:r>
    </w:p>
    <w:p w14:paraId="3BC5C377">
      <w:pPr>
        <w:pStyle w:val="9"/>
        <w:numPr>
          <w:ilvl w:val="0"/>
          <w:numId w:val="4"/>
        </w:numPr>
        <w:tabs>
          <w:tab w:val="left" w:pos="885"/>
        </w:tabs>
        <w:spacing w:before="160" w:after="0" w:line="360" w:lineRule="auto"/>
        <w:ind w:left="885" w:right="159" w:hanging="360"/>
        <w:jc w:val="both"/>
        <w:rPr>
          <w:sz w:val="22"/>
        </w:rPr>
      </w:pPr>
      <w:r>
        <w:rPr>
          <w:b/>
          <w:sz w:val="22"/>
        </w:rPr>
        <w:t xml:space="preserve">The efficacy of remote vs. physical monitoring: </w:t>
      </w:r>
      <w:r>
        <w:rPr>
          <w:sz w:val="22"/>
        </w:rPr>
        <w:t>Does the algorithm-driven monitoring of modern</w:t>
      </w:r>
      <w:r>
        <w:rPr>
          <w:spacing w:val="-5"/>
          <w:sz w:val="22"/>
        </w:rPr>
        <w:t xml:space="preserve"> </w:t>
      </w:r>
      <w:r>
        <w:rPr>
          <w:sz w:val="22"/>
        </w:rPr>
        <w:t>non-financial</w:t>
      </w:r>
      <w:r>
        <w:rPr>
          <w:spacing w:val="-6"/>
          <w:sz w:val="22"/>
        </w:rPr>
        <w:t xml:space="preserve"> </w:t>
      </w:r>
      <w:r>
        <w:rPr>
          <w:sz w:val="22"/>
        </w:rPr>
        <w:t>lenders</w:t>
      </w:r>
      <w:r>
        <w:rPr>
          <w:spacing w:val="-3"/>
          <w:sz w:val="22"/>
        </w:rPr>
        <w:t xml:space="preserve"> </w:t>
      </w:r>
      <w:r>
        <w:rPr>
          <w:sz w:val="22"/>
        </w:rPr>
        <w:t>reduce</w:t>
      </w:r>
      <w:r>
        <w:rPr>
          <w:spacing w:val="-6"/>
          <w:sz w:val="22"/>
        </w:rPr>
        <w:t xml:space="preserve"> </w:t>
      </w:r>
      <w:r>
        <w:rPr>
          <w:sz w:val="22"/>
        </w:rPr>
        <w:t>risk,</w:t>
      </w:r>
      <w:r>
        <w:rPr>
          <w:spacing w:val="-4"/>
          <w:sz w:val="22"/>
        </w:rPr>
        <w:t xml:space="preserve"> </w:t>
      </w:r>
      <w:r>
        <w:rPr>
          <w:sz w:val="22"/>
        </w:rPr>
        <w:t>or</w:t>
      </w:r>
      <w:r>
        <w:rPr>
          <w:spacing w:val="-4"/>
          <w:sz w:val="22"/>
        </w:rPr>
        <w:t xml:space="preserve"> </w:t>
      </w:r>
      <w:r>
        <w:rPr>
          <w:sz w:val="22"/>
        </w:rPr>
        <w:t>does</w:t>
      </w:r>
      <w:r>
        <w:rPr>
          <w:spacing w:val="-7"/>
          <w:sz w:val="22"/>
        </w:rPr>
        <w:t xml:space="preserve"> </w:t>
      </w:r>
      <w:r>
        <w:rPr>
          <w:sz w:val="22"/>
        </w:rPr>
        <w:t>it</w:t>
      </w:r>
      <w:r>
        <w:rPr>
          <w:spacing w:val="-6"/>
          <w:sz w:val="22"/>
        </w:rPr>
        <w:t xml:space="preserve"> </w:t>
      </w:r>
      <w:r>
        <w:rPr>
          <w:sz w:val="22"/>
        </w:rPr>
        <w:t>just</w:t>
      </w:r>
      <w:r>
        <w:rPr>
          <w:spacing w:val="-4"/>
          <w:sz w:val="22"/>
        </w:rPr>
        <w:t xml:space="preserve"> </w:t>
      </w:r>
      <w:r>
        <w:rPr>
          <w:sz w:val="22"/>
        </w:rPr>
        <w:t>speed</w:t>
      </w:r>
      <w:r>
        <w:rPr>
          <w:spacing w:val="-4"/>
          <w:sz w:val="22"/>
        </w:rPr>
        <w:t xml:space="preserve"> </w:t>
      </w:r>
      <w:r>
        <w:rPr>
          <w:sz w:val="22"/>
        </w:rPr>
        <w:t>up</w:t>
      </w:r>
      <w:r>
        <w:rPr>
          <w:spacing w:val="-5"/>
          <w:sz w:val="22"/>
        </w:rPr>
        <w:t xml:space="preserve"> </w:t>
      </w:r>
      <w:r>
        <w:rPr>
          <w:sz w:val="22"/>
        </w:rPr>
        <w:t>the</w:t>
      </w:r>
      <w:r>
        <w:rPr>
          <w:spacing w:val="-4"/>
          <w:sz w:val="22"/>
        </w:rPr>
        <w:t xml:space="preserve"> </w:t>
      </w:r>
      <w:r>
        <w:rPr>
          <w:sz w:val="22"/>
        </w:rPr>
        <w:t>lending-to-default</w:t>
      </w:r>
      <w:r>
        <w:rPr>
          <w:spacing w:val="-4"/>
          <w:sz w:val="22"/>
        </w:rPr>
        <w:t xml:space="preserve"> </w:t>
      </w:r>
      <w:r>
        <w:rPr>
          <w:sz w:val="22"/>
        </w:rPr>
        <w:t>cycle?</w:t>
      </w:r>
    </w:p>
    <w:p w14:paraId="2DBE06CF">
      <w:pPr>
        <w:pStyle w:val="9"/>
        <w:numPr>
          <w:ilvl w:val="0"/>
          <w:numId w:val="4"/>
        </w:numPr>
        <w:tabs>
          <w:tab w:val="left" w:pos="885"/>
        </w:tabs>
        <w:spacing w:before="161" w:after="0" w:line="360" w:lineRule="auto"/>
        <w:ind w:left="885" w:right="160" w:hanging="360"/>
        <w:jc w:val="both"/>
        <w:rPr>
          <w:sz w:val="22"/>
        </w:rPr>
      </w:pPr>
      <w:r>
        <w:rPr>
          <w:b/>
          <w:sz w:val="22"/>
        </w:rPr>
        <w:t xml:space="preserve">The specific context of State-licenced lenders: </w:t>
      </w:r>
      <w:r>
        <w:rPr>
          <w:sz w:val="22"/>
        </w:rPr>
        <w:t>Unlike CBN-regulated banks with standardized reporting, these lenders operate in a regulatory grey area.</w:t>
      </w:r>
      <w:r>
        <w:rPr>
          <w:spacing w:val="-6"/>
          <w:sz w:val="22"/>
        </w:rPr>
        <w:t xml:space="preserve"> </w:t>
      </w:r>
      <w:r>
        <w:rPr>
          <w:sz w:val="22"/>
        </w:rPr>
        <w:t>How does the lack of standardized monitoring guidelines affect their NPLs?</w:t>
      </w:r>
    </w:p>
    <w:p w14:paraId="7FEB81DD">
      <w:pPr>
        <w:pStyle w:val="5"/>
        <w:spacing w:before="160" w:line="360" w:lineRule="auto"/>
        <w:ind w:right="166"/>
        <w:jc w:val="both"/>
      </w:pPr>
      <w:r>
        <w:t>This study aims to bridge this gap by empirically testing the relationship between specific monitoring frequencies/methods and the NPL ratios of these specific non-financial institutions in Nigeria.</w:t>
      </w:r>
    </w:p>
    <w:p w14:paraId="52855BA6">
      <w:pPr>
        <w:pStyle w:val="2"/>
        <w:numPr>
          <w:ilvl w:val="1"/>
          <w:numId w:val="5"/>
        </w:numPr>
        <w:tabs>
          <w:tab w:val="left" w:pos="496"/>
        </w:tabs>
        <w:spacing w:before="160" w:after="0" w:line="240" w:lineRule="auto"/>
        <w:ind w:left="496" w:right="0" w:hanging="331"/>
        <w:jc w:val="both"/>
      </w:pPr>
      <w:r>
        <w:t>Revised</w:t>
      </w:r>
      <w:r>
        <w:rPr>
          <w:spacing w:val="-13"/>
        </w:rPr>
        <w:t xml:space="preserve"> </w:t>
      </w:r>
      <w:r>
        <w:t>Research</w:t>
      </w:r>
      <w:r>
        <w:rPr>
          <w:spacing w:val="-12"/>
        </w:rPr>
        <w:t xml:space="preserve"> </w:t>
      </w:r>
      <w:r>
        <w:t>Methodology</w:t>
      </w:r>
      <w:r>
        <w:rPr>
          <w:spacing w:val="-11"/>
        </w:rPr>
        <w:t xml:space="preserve"> </w:t>
      </w:r>
      <w:r>
        <w:t>(Macro-Level</w:t>
      </w:r>
      <w:r>
        <w:rPr>
          <w:spacing w:val="-13"/>
        </w:rPr>
        <w:t xml:space="preserve"> </w:t>
      </w:r>
      <w:r>
        <w:rPr>
          <w:spacing w:val="-2"/>
        </w:rPr>
        <w:t>Approach)</w:t>
      </w:r>
    </w:p>
    <w:p w14:paraId="55970B16">
      <w:pPr>
        <w:pStyle w:val="5"/>
        <w:spacing w:before="32"/>
        <w:ind w:left="0"/>
        <w:rPr>
          <w:b/>
        </w:rPr>
      </w:pPr>
    </w:p>
    <w:p w14:paraId="54280ED3">
      <w:pPr>
        <w:pStyle w:val="9"/>
        <w:numPr>
          <w:ilvl w:val="1"/>
          <w:numId w:val="5"/>
        </w:numPr>
        <w:tabs>
          <w:tab w:val="left" w:pos="496"/>
        </w:tabs>
        <w:spacing w:before="0" w:after="0" w:line="240" w:lineRule="auto"/>
        <w:ind w:left="496" w:right="0" w:hanging="331"/>
        <w:jc w:val="both"/>
        <w:rPr>
          <w:b/>
          <w:sz w:val="22"/>
        </w:rPr>
      </w:pPr>
      <w:r>
        <w:rPr>
          <w:b/>
          <w:sz w:val="22"/>
        </w:rPr>
        <w:t>Research</w:t>
      </w:r>
      <w:r>
        <w:rPr>
          <w:b/>
          <w:spacing w:val="-13"/>
          <w:sz w:val="22"/>
        </w:rPr>
        <w:t xml:space="preserve"> </w:t>
      </w:r>
      <w:r>
        <w:rPr>
          <w:b/>
          <w:spacing w:val="-2"/>
          <w:sz w:val="22"/>
        </w:rPr>
        <w:t>Design</w:t>
      </w:r>
    </w:p>
    <w:p w14:paraId="75FF9033">
      <w:pPr>
        <w:pStyle w:val="5"/>
        <w:spacing w:before="34"/>
        <w:ind w:left="0"/>
        <w:rPr>
          <w:b/>
        </w:rPr>
      </w:pPr>
    </w:p>
    <w:p w14:paraId="0A093A9C">
      <w:pPr>
        <w:pStyle w:val="5"/>
        <w:spacing w:line="360" w:lineRule="auto"/>
        <w:ind w:right="159"/>
        <w:jc w:val="both"/>
      </w:pPr>
      <w:r>
        <w:t>This</w:t>
      </w:r>
      <w:r>
        <w:rPr>
          <w:spacing w:val="-8"/>
        </w:rPr>
        <w:t xml:space="preserve"> </w:t>
      </w:r>
      <w:r>
        <w:t>study</w:t>
      </w:r>
      <w:r>
        <w:rPr>
          <w:spacing w:val="-8"/>
        </w:rPr>
        <w:t xml:space="preserve"> </w:t>
      </w:r>
      <w:r>
        <w:t>is</w:t>
      </w:r>
      <w:r>
        <w:rPr>
          <w:spacing w:val="-8"/>
        </w:rPr>
        <w:t xml:space="preserve"> </w:t>
      </w:r>
      <w:r>
        <w:t>focused</w:t>
      </w:r>
      <w:r>
        <w:rPr>
          <w:spacing w:val="-9"/>
        </w:rPr>
        <w:t xml:space="preserve"> </w:t>
      </w:r>
      <w:r>
        <w:t>on</w:t>
      </w:r>
      <w:r>
        <w:rPr>
          <w:spacing w:val="-8"/>
        </w:rPr>
        <w:t xml:space="preserve"> </w:t>
      </w:r>
      <w:r>
        <w:t>analyzing</w:t>
      </w:r>
      <w:r>
        <w:rPr>
          <w:spacing w:val="-8"/>
        </w:rPr>
        <w:t xml:space="preserve"> </w:t>
      </w:r>
      <w:r>
        <w:t>the</w:t>
      </w:r>
      <w:r>
        <w:rPr>
          <w:spacing w:val="-6"/>
        </w:rPr>
        <w:t xml:space="preserve"> </w:t>
      </w:r>
      <w:r>
        <w:t>behaviour</w:t>
      </w:r>
      <w:r>
        <w:rPr>
          <w:spacing w:val="-7"/>
        </w:rPr>
        <w:t xml:space="preserve"> </w:t>
      </w:r>
      <w:r>
        <w:t>of</w:t>
      </w:r>
      <w:r>
        <w:rPr>
          <w:spacing w:val="-8"/>
        </w:rPr>
        <w:t xml:space="preserve"> </w:t>
      </w:r>
      <w:r>
        <w:t>the</w:t>
      </w:r>
      <w:r>
        <w:rPr>
          <w:spacing w:val="-8"/>
        </w:rPr>
        <w:t xml:space="preserve"> </w:t>
      </w:r>
      <w:r>
        <w:t>lending</w:t>
      </w:r>
      <w:r>
        <w:rPr>
          <w:spacing w:val="-9"/>
        </w:rPr>
        <w:t xml:space="preserve"> </w:t>
      </w:r>
      <w:r>
        <w:t>sector</w:t>
      </w:r>
      <w:r>
        <w:rPr>
          <w:spacing w:val="-8"/>
        </w:rPr>
        <w:t xml:space="preserve"> </w:t>
      </w:r>
      <w:r>
        <w:t>over</w:t>
      </w:r>
      <w:r>
        <w:rPr>
          <w:spacing w:val="-8"/>
        </w:rPr>
        <w:t xml:space="preserve"> </w:t>
      </w:r>
      <w:r>
        <w:t>time</w:t>
      </w:r>
      <w:r>
        <w:rPr>
          <w:spacing w:val="-6"/>
        </w:rPr>
        <w:t xml:space="preserve"> </w:t>
      </w:r>
      <w:r>
        <w:t>in</w:t>
      </w:r>
      <w:r>
        <w:rPr>
          <w:spacing w:val="-11"/>
        </w:rPr>
        <w:t xml:space="preserve"> </w:t>
      </w:r>
      <w:r>
        <w:t>Nigeria.</w:t>
      </w:r>
      <w:r>
        <w:rPr>
          <w:spacing w:val="-8"/>
        </w:rPr>
        <w:t xml:space="preserve"> </w:t>
      </w:r>
      <w:r>
        <w:t>.</w:t>
      </w:r>
      <w:r>
        <w:rPr>
          <w:spacing w:val="-9"/>
        </w:rPr>
        <w:t xml:space="preserve"> </w:t>
      </w:r>
      <w:r>
        <w:t>It</w:t>
      </w:r>
      <w:r>
        <w:rPr>
          <w:spacing w:val="-7"/>
        </w:rPr>
        <w:t xml:space="preserve"> </w:t>
      </w:r>
      <w:r>
        <w:t>assesses how</w:t>
      </w:r>
      <w:r>
        <w:rPr>
          <w:spacing w:val="-13"/>
        </w:rPr>
        <w:t xml:space="preserve"> </w:t>
      </w:r>
      <w:r>
        <w:t>structural</w:t>
      </w:r>
      <w:r>
        <w:rPr>
          <w:spacing w:val="-11"/>
        </w:rPr>
        <w:t xml:space="preserve"> </w:t>
      </w:r>
      <w:r>
        <w:t>industry</w:t>
      </w:r>
      <w:r>
        <w:rPr>
          <w:spacing w:val="-12"/>
        </w:rPr>
        <w:t xml:space="preserve"> </w:t>
      </w:r>
      <w:r>
        <w:t>variables</w:t>
      </w:r>
      <w:r>
        <w:rPr>
          <w:spacing w:val="-11"/>
        </w:rPr>
        <w:t xml:space="preserve"> </w:t>
      </w:r>
      <w:r>
        <w:t>(proxies</w:t>
      </w:r>
      <w:r>
        <w:rPr>
          <w:spacing w:val="-11"/>
        </w:rPr>
        <w:t xml:space="preserve"> </w:t>
      </w:r>
      <w:r>
        <w:t>for</w:t>
      </w:r>
      <w:r>
        <w:rPr>
          <w:spacing w:val="-11"/>
        </w:rPr>
        <w:t xml:space="preserve"> </w:t>
      </w:r>
      <w:r>
        <w:t>monitoring</w:t>
      </w:r>
      <w:r>
        <w:rPr>
          <w:spacing w:val="-12"/>
        </w:rPr>
        <w:t xml:space="preserve"> </w:t>
      </w:r>
      <w:r>
        <w:t>capacity</w:t>
      </w:r>
      <w:r>
        <w:rPr>
          <w:spacing w:val="-12"/>
        </w:rPr>
        <w:t xml:space="preserve"> </w:t>
      </w:r>
      <w:r>
        <w:t>and</w:t>
      </w:r>
      <w:r>
        <w:rPr>
          <w:spacing w:val="-12"/>
        </w:rPr>
        <w:t xml:space="preserve"> </w:t>
      </w:r>
      <w:r>
        <w:t>cost)</w:t>
      </w:r>
      <w:r>
        <w:rPr>
          <w:spacing w:val="-11"/>
        </w:rPr>
        <w:t xml:space="preserve"> </w:t>
      </w:r>
      <w:r>
        <w:t>influence</w:t>
      </w:r>
      <w:r>
        <w:rPr>
          <w:spacing w:val="-11"/>
        </w:rPr>
        <w:t xml:space="preserve"> </w:t>
      </w:r>
      <w:r>
        <w:t>the</w:t>
      </w:r>
      <w:r>
        <w:rPr>
          <w:spacing w:val="-12"/>
        </w:rPr>
        <w:t xml:space="preserve"> </w:t>
      </w:r>
      <w:r>
        <w:t>industry-wide risk outcome.</w:t>
      </w:r>
    </w:p>
    <w:p w14:paraId="40499366">
      <w:pPr>
        <w:pStyle w:val="5"/>
        <w:spacing w:after="0" w:line="360" w:lineRule="auto"/>
        <w:jc w:val="both"/>
        <w:sectPr>
          <w:pgSz w:w="11910" w:h="16840"/>
          <w:pgMar w:top="1360" w:right="1275" w:bottom="280" w:left="1275" w:header="720" w:footer="720" w:gutter="0"/>
          <w:cols w:space="720" w:num="1"/>
        </w:sectPr>
      </w:pPr>
    </w:p>
    <w:p w14:paraId="0DEB10B3">
      <w:pPr>
        <w:pStyle w:val="5"/>
        <w:spacing w:before="62" w:line="360" w:lineRule="auto"/>
        <w:ind w:right="161"/>
        <w:jc w:val="both"/>
      </w:pPr>
      <w:r>
        <w:t>Data from secondary source were obtained for a fourteen (14) year period spanning from 2010-2013. The longitudinal research design was employed for the data.</w:t>
      </w:r>
    </w:p>
    <w:p w14:paraId="4BEAB0D0">
      <w:pPr>
        <w:pStyle w:val="2"/>
        <w:numPr>
          <w:ilvl w:val="1"/>
          <w:numId w:val="5"/>
        </w:numPr>
        <w:tabs>
          <w:tab w:val="left" w:pos="496"/>
        </w:tabs>
        <w:spacing w:before="161" w:after="0" w:line="240" w:lineRule="auto"/>
        <w:ind w:left="496" w:right="0" w:hanging="331"/>
        <w:jc w:val="both"/>
      </w:pPr>
      <w:r>
        <w:t>Sources</w:t>
      </w:r>
      <w:r>
        <w:rPr>
          <w:spacing w:val="-7"/>
        </w:rPr>
        <w:t xml:space="preserve"> </w:t>
      </w:r>
      <w:r>
        <w:t>of</w:t>
      </w:r>
      <w:r>
        <w:rPr>
          <w:spacing w:val="-4"/>
        </w:rPr>
        <w:t xml:space="preserve"> Data</w:t>
      </w:r>
    </w:p>
    <w:p w14:paraId="7DFC19FE">
      <w:pPr>
        <w:pStyle w:val="5"/>
        <w:spacing w:before="34"/>
        <w:ind w:left="0"/>
        <w:rPr>
          <w:b/>
        </w:rPr>
      </w:pPr>
    </w:p>
    <w:p w14:paraId="1DD22DBB">
      <w:pPr>
        <w:pStyle w:val="5"/>
      </w:pPr>
      <w:r>
        <w:t>Historical</w:t>
      </w:r>
      <w:r>
        <w:rPr>
          <w:spacing w:val="-6"/>
        </w:rPr>
        <w:t xml:space="preserve"> </w:t>
      </w:r>
      <w:r>
        <w:t>data</w:t>
      </w:r>
      <w:r>
        <w:rPr>
          <w:spacing w:val="-4"/>
        </w:rPr>
        <w:t xml:space="preserve"> </w:t>
      </w:r>
      <w:r>
        <w:t>were</w:t>
      </w:r>
      <w:r>
        <w:rPr>
          <w:spacing w:val="-4"/>
        </w:rPr>
        <w:t xml:space="preserve"> </w:t>
      </w:r>
      <w:r>
        <w:t>gotten</w:t>
      </w:r>
      <w:r>
        <w:rPr>
          <w:spacing w:val="-6"/>
        </w:rPr>
        <w:t xml:space="preserve"> </w:t>
      </w:r>
      <w:r>
        <w:t>from</w:t>
      </w:r>
      <w:r>
        <w:rPr>
          <w:spacing w:val="-1"/>
        </w:rPr>
        <w:t xml:space="preserve"> </w:t>
      </w:r>
      <w:r>
        <w:t>the</w:t>
      </w:r>
      <w:r>
        <w:rPr>
          <w:spacing w:val="-4"/>
        </w:rPr>
        <w:t xml:space="preserve"> </w:t>
      </w:r>
      <w:r>
        <w:t>following</w:t>
      </w:r>
      <w:r>
        <w:rPr>
          <w:spacing w:val="-6"/>
        </w:rPr>
        <w:t xml:space="preserve"> </w:t>
      </w:r>
      <w:r>
        <w:rPr>
          <w:spacing w:val="-2"/>
        </w:rPr>
        <w:t>sources</w:t>
      </w:r>
    </w:p>
    <w:p w14:paraId="6C739A96">
      <w:pPr>
        <w:pStyle w:val="5"/>
        <w:spacing w:before="31"/>
        <w:ind w:left="0"/>
      </w:pPr>
    </w:p>
    <w:p w14:paraId="07129B50">
      <w:pPr>
        <w:pStyle w:val="9"/>
        <w:numPr>
          <w:ilvl w:val="0"/>
          <w:numId w:val="6"/>
        </w:numPr>
        <w:tabs>
          <w:tab w:val="left" w:pos="592"/>
        </w:tabs>
        <w:spacing w:before="1" w:after="0" w:line="362" w:lineRule="auto"/>
        <w:ind w:left="592" w:right="167" w:hanging="428"/>
        <w:jc w:val="left"/>
        <w:rPr>
          <w:sz w:val="22"/>
        </w:rPr>
      </w:pPr>
      <w:r>
        <w:rPr>
          <w:sz w:val="22"/>
        </w:rPr>
        <w:t>Bank of Nigeria (CBN) Statistical Bulletins: For NPL</w:t>
      </w:r>
      <w:r>
        <w:rPr>
          <w:spacing w:val="-8"/>
          <w:sz w:val="22"/>
        </w:rPr>
        <w:t xml:space="preserve"> </w:t>
      </w:r>
      <w:r>
        <w:rPr>
          <w:sz w:val="22"/>
        </w:rPr>
        <w:t>ratios, Interest Rates, and Credit to Private Sector data.</w:t>
      </w:r>
    </w:p>
    <w:p w14:paraId="532A000D">
      <w:pPr>
        <w:pStyle w:val="9"/>
        <w:numPr>
          <w:ilvl w:val="0"/>
          <w:numId w:val="6"/>
        </w:numPr>
        <w:tabs>
          <w:tab w:val="left" w:pos="592"/>
        </w:tabs>
        <w:spacing w:before="0" w:after="0" w:line="250" w:lineRule="exact"/>
        <w:ind w:left="592" w:right="0" w:hanging="427"/>
        <w:jc w:val="left"/>
        <w:rPr>
          <w:sz w:val="22"/>
        </w:rPr>
      </w:pPr>
      <w:r>
        <w:rPr>
          <w:sz w:val="22"/>
        </w:rPr>
        <w:t>National</w:t>
      </w:r>
      <w:r>
        <w:rPr>
          <w:spacing w:val="-3"/>
          <w:sz w:val="22"/>
        </w:rPr>
        <w:t xml:space="preserve"> </w:t>
      </w:r>
      <w:r>
        <w:rPr>
          <w:sz w:val="22"/>
        </w:rPr>
        <w:t>Bureau</w:t>
      </w:r>
      <w:r>
        <w:rPr>
          <w:spacing w:val="-4"/>
          <w:sz w:val="22"/>
        </w:rPr>
        <w:t xml:space="preserve"> </w:t>
      </w:r>
      <w:r>
        <w:rPr>
          <w:sz w:val="22"/>
        </w:rPr>
        <w:t>of</w:t>
      </w:r>
      <w:r>
        <w:rPr>
          <w:spacing w:val="-5"/>
          <w:sz w:val="22"/>
        </w:rPr>
        <w:t xml:space="preserve"> </w:t>
      </w:r>
      <w:r>
        <w:rPr>
          <w:sz w:val="22"/>
        </w:rPr>
        <w:t>Statistics</w:t>
      </w:r>
      <w:r>
        <w:rPr>
          <w:spacing w:val="-4"/>
          <w:sz w:val="22"/>
        </w:rPr>
        <w:t xml:space="preserve"> </w:t>
      </w:r>
      <w:r>
        <w:rPr>
          <w:sz w:val="22"/>
        </w:rPr>
        <w:t>(NBS):</w:t>
      </w:r>
      <w:r>
        <w:rPr>
          <w:spacing w:val="-2"/>
          <w:sz w:val="22"/>
        </w:rPr>
        <w:t xml:space="preserve"> </w:t>
      </w:r>
      <w:r>
        <w:rPr>
          <w:sz w:val="22"/>
        </w:rPr>
        <w:t>For</w:t>
      </w:r>
      <w:r>
        <w:rPr>
          <w:spacing w:val="-6"/>
          <w:sz w:val="22"/>
        </w:rPr>
        <w:t xml:space="preserve"> </w:t>
      </w:r>
      <w:r>
        <w:rPr>
          <w:sz w:val="22"/>
        </w:rPr>
        <w:t>Inflation</w:t>
      </w:r>
      <w:r>
        <w:rPr>
          <w:spacing w:val="-3"/>
          <w:sz w:val="22"/>
        </w:rPr>
        <w:t xml:space="preserve"> </w:t>
      </w:r>
      <w:r>
        <w:rPr>
          <w:sz w:val="22"/>
        </w:rPr>
        <w:t>and</w:t>
      </w:r>
      <w:r>
        <w:rPr>
          <w:spacing w:val="-5"/>
          <w:sz w:val="22"/>
        </w:rPr>
        <w:t xml:space="preserve"> </w:t>
      </w:r>
      <w:r>
        <w:rPr>
          <w:sz w:val="22"/>
        </w:rPr>
        <w:t>GDP</w:t>
      </w:r>
      <w:r>
        <w:rPr>
          <w:spacing w:val="-11"/>
          <w:sz w:val="22"/>
        </w:rPr>
        <w:t xml:space="preserve"> </w:t>
      </w:r>
      <w:r>
        <w:rPr>
          <w:spacing w:val="-2"/>
          <w:sz w:val="22"/>
        </w:rPr>
        <w:t>data.</w:t>
      </w:r>
    </w:p>
    <w:p w14:paraId="08056D01">
      <w:pPr>
        <w:pStyle w:val="9"/>
        <w:numPr>
          <w:ilvl w:val="0"/>
          <w:numId w:val="6"/>
        </w:numPr>
        <w:tabs>
          <w:tab w:val="left" w:pos="592"/>
        </w:tabs>
        <w:spacing w:before="126" w:after="0" w:line="360" w:lineRule="auto"/>
        <w:ind w:left="592" w:right="166" w:hanging="428"/>
        <w:jc w:val="left"/>
        <w:rPr>
          <w:sz w:val="22"/>
        </w:rPr>
      </w:pPr>
      <w:r>
        <w:rPr>
          <w:sz w:val="22"/>
        </w:rPr>
        <w:t>Nigeria Inter-Bank Settlement System (NIBSS): For data on electronic transaction volumes (a</w:t>
      </w:r>
      <w:r>
        <w:rPr>
          <w:spacing w:val="80"/>
          <w:sz w:val="22"/>
        </w:rPr>
        <w:t xml:space="preserve"> </w:t>
      </w:r>
      <w:r>
        <w:rPr>
          <w:sz w:val="22"/>
        </w:rPr>
        <w:t>proxy for digital monitoring capacity).</w:t>
      </w:r>
    </w:p>
    <w:p w14:paraId="3705E2BA">
      <w:pPr>
        <w:pStyle w:val="2"/>
        <w:numPr>
          <w:ilvl w:val="1"/>
          <w:numId w:val="5"/>
        </w:numPr>
        <w:tabs>
          <w:tab w:val="left" w:pos="496"/>
        </w:tabs>
        <w:spacing w:before="161" w:after="0" w:line="511" w:lineRule="auto"/>
        <w:ind w:left="165" w:right="6599" w:firstLine="0"/>
        <w:jc w:val="left"/>
      </w:pPr>
      <w:r>
        <w:rPr>
          <w:spacing w:val="-2"/>
        </w:rPr>
        <w:t>Description</w:t>
      </w:r>
      <w:r>
        <w:rPr>
          <w:spacing w:val="-8"/>
        </w:rPr>
        <w:t xml:space="preserve"> </w:t>
      </w:r>
      <w:r>
        <w:rPr>
          <w:spacing w:val="-2"/>
        </w:rPr>
        <w:t>of</w:t>
      </w:r>
      <w:r>
        <w:rPr>
          <w:spacing w:val="-9"/>
        </w:rPr>
        <w:t xml:space="preserve"> </w:t>
      </w:r>
      <w:r>
        <w:rPr>
          <w:spacing w:val="-2"/>
        </w:rPr>
        <w:t xml:space="preserve">Variables </w:t>
      </w:r>
      <w:r>
        <w:t>Dependent Variable</w:t>
      </w:r>
    </w:p>
    <w:p w14:paraId="02070A86">
      <w:pPr>
        <w:pStyle w:val="9"/>
        <w:numPr>
          <w:ilvl w:val="2"/>
          <w:numId w:val="5"/>
        </w:numPr>
        <w:tabs>
          <w:tab w:val="left" w:pos="592"/>
        </w:tabs>
        <w:spacing w:before="0" w:after="0" w:line="360" w:lineRule="auto"/>
        <w:ind w:left="592" w:right="162" w:hanging="428"/>
        <w:jc w:val="left"/>
        <w:rPr>
          <w:sz w:val="22"/>
        </w:rPr>
      </w:pPr>
      <w:r>
        <w:rPr>
          <w:b/>
          <w:sz w:val="22"/>
        </w:rPr>
        <w:t>Industry</w:t>
      </w:r>
      <w:r>
        <w:rPr>
          <w:b/>
          <w:spacing w:val="24"/>
          <w:sz w:val="22"/>
        </w:rPr>
        <w:t xml:space="preserve"> </w:t>
      </w:r>
      <w:r>
        <w:rPr>
          <w:b/>
          <w:sz w:val="22"/>
        </w:rPr>
        <w:t xml:space="preserve">NPL Ratio (NPL): </w:t>
      </w:r>
      <w:r>
        <w:rPr>
          <w:sz w:val="22"/>
        </w:rPr>
        <w:t>The ratio</w:t>
      </w:r>
      <w:r>
        <w:rPr>
          <w:spacing w:val="24"/>
          <w:sz w:val="22"/>
        </w:rPr>
        <w:t xml:space="preserve"> </w:t>
      </w:r>
      <w:r>
        <w:rPr>
          <w:sz w:val="22"/>
        </w:rPr>
        <w:t>of</w:t>
      </w:r>
      <w:r>
        <w:rPr>
          <w:spacing w:val="25"/>
          <w:sz w:val="22"/>
        </w:rPr>
        <w:t xml:space="preserve"> </w:t>
      </w:r>
      <w:r>
        <w:rPr>
          <w:sz w:val="22"/>
        </w:rPr>
        <w:t>non-performing loans to total</w:t>
      </w:r>
      <w:r>
        <w:rPr>
          <w:spacing w:val="25"/>
          <w:sz w:val="22"/>
        </w:rPr>
        <w:t xml:space="preserve"> </w:t>
      </w:r>
      <w:r>
        <w:rPr>
          <w:sz w:val="22"/>
        </w:rPr>
        <w:t>credit in the Nigerian financial system. This serves as the aggregate measure of risk management failure.</w:t>
      </w:r>
    </w:p>
    <w:p w14:paraId="257C4140">
      <w:pPr>
        <w:pStyle w:val="2"/>
        <w:spacing w:before="160"/>
        <w:ind w:left="165" w:firstLine="0"/>
        <w:jc w:val="left"/>
      </w:pPr>
      <w:r>
        <w:t>Independent</w:t>
      </w:r>
      <w:r>
        <w:rPr>
          <w:spacing w:val="-14"/>
        </w:rPr>
        <w:t xml:space="preserve"> </w:t>
      </w:r>
      <w:r>
        <w:t>Variables</w:t>
      </w:r>
      <w:r>
        <w:rPr>
          <w:spacing w:val="-11"/>
        </w:rPr>
        <w:t xml:space="preserve"> </w:t>
      </w:r>
      <w:r>
        <w:t>(Proxies</w:t>
      </w:r>
      <w:r>
        <w:rPr>
          <w:spacing w:val="-11"/>
        </w:rPr>
        <w:t xml:space="preserve"> </w:t>
      </w:r>
      <w:r>
        <w:t>for</w:t>
      </w:r>
      <w:r>
        <w:rPr>
          <w:spacing w:val="-14"/>
        </w:rPr>
        <w:t xml:space="preserve"> </w:t>
      </w:r>
      <w:r>
        <w:t>Monitoring</w:t>
      </w:r>
      <w:r>
        <w:rPr>
          <w:spacing w:val="-12"/>
        </w:rPr>
        <w:t xml:space="preserve"> </w:t>
      </w:r>
      <w:r>
        <w:t>&amp;</w:t>
      </w:r>
      <w:r>
        <w:rPr>
          <w:spacing w:val="-10"/>
        </w:rPr>
        <w:t xml:space="preserve"> </w:t>
      </w:r>
      <w:r>
        <w:rPr>
          <w:spacing w:val="-2"/>
        </w:rPr>
        <w:t>Environment):</w:t>
      </w:r>
    </w:p>
    <w:p w14:paraId="4278D454">
      <w:pPr>
        <w:pStyle w:val="5"/>
        <w:spacing w:before="34"/>
        <w:ind w:left="0"/>
        <w:rPr>
          <w:b/>
        </w:rPr>
      </w:pPr>
    </w:p>
    <w:p w14:paraId="59CEA1E9">
      <w:pPr>
        <w:pStyle w:val="9"/>
        <w:numPr>
          <w:ilvl w:val="2"/>
          <w:numId w:val="5"/>
        </w:numPr>
        <w:tabs>
          <w:tab w:val="left" w:pos="591"/>
        </w:tabs>
        <w:spacing w:before="0" w:after="0" w:line="240" w:lineRule="auto"/>
        <w:ind w:left="591" w:right="0" w:hanging="426"/>
        <w:jc w:val="both"/>
        <w:rPr>
          <w:sz w:val="22"/>
        </w:rPr>
      </w:pPr>
      <w:r>
        <w:rPr>
          <w:b/>
          <w:sz w:val="22"/>
        </w:rPr>
        <w:t>Interest</w:t>
      </w:r>
      <w:r>
        <w:rPr>
          <w:b/>
          <w:spacing w:val="-6"/>
          <w:sz w:val="22"/>
        </w:rPr>
        <w:t xml:space="preserve"> </w:t>
      </w:r>
      <w:r>
        <w:rPr>
          <w:b/>
          <w:sz w:val="22"/>
        </w:rPr>
        <w:t>Rate</w:t>
      </w:r>
      <w:r>
        <w:rPr>
          <w:b/>
          <w:spacing w:val="-5"/>
          <w:sz w:val="22"/>
        </w:rPr>
        <w:t xml:space="preserve"> </w:t>
      </w:r>
      <w:r>
        <w:rPr>
          <w:b/>
          <w:sz w:val="22"/>
        </w:rPr>
        <w:t>Spread</w:t>
      </w:r>
      <w:r>
        <w:rPr>
          <w:b/>
          <w:spacing w:val="-5"/>
          <w:sz w:val="22"/>
        </w:rPr>
        <w:t xml:space="preserve"> </w:t>
      </w:r>
      <w:r>
        <w:rPr>
          <w:b/>
          <w:sz w:val="22"/>
        </w:rPr>
        <w:t>(IRS):</w:t>
      </w:r>
      <w:r>
        <w:rPr>
          <w:b/>
          <w:spacing w:val="-3"/>
          <w:sz w:val="22"/>
        </w:rPr>
        <w:t xml:space="preserve"> </w:t>
      </w:r>
      <w:r>
        <w:rPr>
          <w:sz w:val="22"/>
        </w:rPr>
        <w:t>Calculated</w:t>
      </w:r>
      <w:r>
        <w:rPr>
          <w:spacing w:val="-5"/>
          <w:sz w:val="22"/>
        </w:rPr>
        <w:t xml:space="preserve"> </w:t>
      </w:r>
      <w:r>
        <w:rPr>
          <w:sz w:val="22"/>
        </w:rPr>
        <w:t>as</w:t>
      </w:r>
      <w:r>
        <w:rPr>
          <w:spacing w:val="-5"/>
          <w:sz w:val="22"/>
        </w:rPr>
        <w:t xml:space="preserve"> </w:t>
      </w:r>
      <w:r>
        <w:rPr>
          <w:sz w:val="22"/>
        </w:rPr>
        <w:t>Prime</w:t>
      </w:r>
      <w:r>
        <w:rPr>
          <w:spacing w:val="-4"/>
          <w:sz w:val="22"/>
        </w:rPr>
        <w:t xml:space="preserve"> </w:t>
      </w:r>
      <w:r>
        <w:rPr>
          <w:sz w:val="22"/>
        </w:rPr>
        <w:t>Lending</w:t>
      </w:r>
      <w:r>
        <w:rPr>
          <w:spacing w:val="-5"/>
          <w:sz w:val="22"/>
        </w:rPr>
        <w:t xml:space="preserve"> </w:t>
      </w:r>
      <w:r>
        <w:rPr>
          <w:sz w:val="22"/>
        </w:rPr>
        <w:t>Rate</w:t>
      </w:r>
      <w:r>
        <w:rPr>
          <w:spacing w:val="-7"/>
          <w:sz w:val="22"/>
        </w:rPr>
        <w:t xml:space="preserve"> </w:t>
      </w:r>
      <w:r>
        <w:rPr>
          <w:sz w:val="22"/>
        </w:rPr>
        <w:t>minus</w:t>
      </w:r>
      <w:r>
        <w:rPr>
          <w:spacing w:val="-5"/>
          <w:sz w:val="22"/>
        </w:rPr>
        <w:t xml:space="preserve"> </w:t>
      </w:r>
      <w:r>
        <w:rPr>
          <w:sz w:val="22"/>
        </w:rPr>
        <w:t>Savings</w:t>
      </w:r>
      <w:r>
        <w:rPr>
          <w:spacing w:val="-4"/>
          <w:sz w:val="22"/>
        </w:rPr>
        <w:t xml:space="preserve"> </w:t>
      </w:r>
      <w:r>
        <w:rPr>
          <w:spacing w:val="-2"/>
          <w:sz w:val="22"/>
        </w:rPr>
        <w:t>Rate.</w:t>
      </w:r>
    </w:p>
    <w:p w14:paraId="3F5E0BF0">
      <w:pPr>
        <w:pStyle w:val="5"/>
        <w:spacing w:before="34"/>
        <w:ind w:left="0"/>
      </w:pPr>
    </w:p>
    <w:p w14:paraId="1E4EEE5E">
      <w:pPr>
        <w:pStyle w:val="9"/>
        <w:numPr>
          <w:ilvl w:val="3"/>
          <w:numId w:val="5"/>
        </w:numPr>
        <w:tabs>
          <w:tab w:val="left" w:pos="873"/>
        </w:tabs>
        <w:spacing w:before="0" w:after="0" w:line="350" w:lineRule="auto"/>
        <w:ind w:left="873" w:right="152" w:hanging="281"/>
        <w:jc w:val="both"/>
        <w:rPr>
          <w:sz w:val="22"/>
        </w:rPr>
      </w:pPr>
      <w:r>
        <w:rPr>
          <w:sz w:val="22"/>
        </w:rPr>
        <w:t>Justification:</w:t>
      </w:r>
      <w:r>
        <w:rPr>
          <w:spacing w:val="-14"/>
          <w:sz w:val="22"/>
        </w:rPr>
        <w:t xml:space="preserve"> </w:t>
      </w:r>
      <w:r>
        <w:rPr>
          <w:sz w:val="22"/>
        </w:rPr>
        <w:t>In</w:t>
      </w:r>
      <w:r>
        <w:rPr>
          <w:spacing w:val="-14"/>
          <w:sz w:val="22"/>
        </w:rPr>
        <w:t xml:space="preserve"> </w:t>
      </w:r>
      <w:r>
        <w:rPr>
          <w:sz w:val="22"/>
        </w:rPr>
        <w:t>financial</w:t>
      </w:r>
      <w:r>
        <w:rPr>
          <w:spacing w:val="-13"/>
          <w:sz w:val="22"/>
        </w:rPr>
        <w:t xml:space="preserve"> </w:t>
      </w:r>
      <w:r>
        <w:rPr>
          <w:sz w:val="22"/>
        </w:rPr>
        <w:t>intermediation</w:t>
      </w:r>
      <w:r>
        <w:rPr>
          <w:spacing w:val="-12"/>
          <w:sz w:val="22"/>
        </w:rPr>
        <w:t xml:space="preserve"> </w:t>
      </w:r>
      <w:r>
        <w:rPr>
          <w:sz w:val="22"/>
        </w:rPr>
        <w:t>theory,</w:t>
      </w:r>
      <w:r>
        <w:rPr>
          <w:spacing w:val="-13"/>
          <w:sz w:val="22"/>
        </w:rPr>
        <w:t xml:space="preserve"> </w:t>
      </w:r>
      <w:r>
        <w:rPr>
          <w:sz w:val="22"/>
        </w:rPr>
        <w:t>a</w:t>
      </w:r>
      <w:r>
        <w:rPr>
          <w:spacing w:val="-13"/>
          <w:sz w:val="22"/>
        </w:rPr>
        <w:t xml:space="preserve"> </w:t>
      </w:r>
      <w:r>
        <w:rPr>
          <w:sz w:val="22"/>
        </w:rPr>
        <w:t>wider</w:t>
      </w:r>
      <w:r>
        <w:rPr>
          <w:spacing w:val="-14"/>
          <w:sz w:val="22"/>
        </w:rPr>
        <w:t xml:space="preserve"> </w:t>
      </w:r>
      <w:r>
        <w:rPr>
          <w:sz w:val="22"/>
        </w:rPr>
        <w:t>spread</w:t>
      </w:r>
      <w:r>
        <w:rPr>
          <w:spacing w:val="-12"/>
          <w:sz w:val="22"/>
        </w:rPr>
        <w:t xml:space="preserve"> </w:t>
      </w:r>
      <w:r>
        <w:rPr>
          <w:sz w:val="22"/>
        </w:rPr>
        <w:t>often</w:t>
      </w:r>
      <w:r>
        <w:rPr>
          <w:spacing w:val="-13"/>
          <w:sz w:val="22"/>
        </w:rPr>
        <w:t xml:space="preserve"> </w:t>
      </w:r>
      <w:r>
        <w:rPr>
          <w:sz w:val="22"/>
        </w:rPr>
        <w:t>represents</w:t>
      </w:r>
      <w:r>
        <w:rPr>
          <w:spacing w:val="-14"/>
          <w:sz w:val="22"/>
        </w:rPr>
        <w:t xml:space="preserve"> </w:t>
      </w:r>
      <w:r>
        <w:rPr>
          <w:sz w:val="22"/>
        </w:rPr>
        <w:t>the</w:t>
      </w:r>
      <w:r>
        <w:rPr>
          <w:spacing w:val="-14"/>
          <w:sz w:val="22"/>
        </w:rPr>
        <w:t xml:space="preserve"> </w:t>
      </w:r>
      <w:r>
        <w:rPr>
          <w:sz w:val="22"/>
        </w:rPr>
        <w:t>high</w:t>
      </w:r>
      <w:r>
        <w:rPr>
          <w:spacing w:val="-12"/>
          <w:sz w:val="22"/>
        </w:rPr>
        <w:t xml:space="preserve"> </w:t>
      </w:r>
      <w:r>
        <w:rPr>
          <w:sz w:val="22"/>
        </w:rPr>
        <w:t>agency costs lenders must charge to cover the expense of intensive monitoring and administration.</w:t>
      </w:r>
      <w:r>
        <w:rPr>
          <w:spacing w:val="-5"/>
          <w:sz w:val="22"/>
        </w:rPr>
        <w:t xml:space="preserve"> </w:t>
      </w:r>
      <w:r>
        <w:rPr>
          <w:sz w:val="22"/>
        </w:rPr>
        <w:t>A higher spread implies the lender is pricing in the cost of rigorous supervision.</w:t>
      </w:r>
    </w:p>
    <w:p w14:paraId="00A5C3B5">
      <w:pPr>
        <w:pStyle w:val="9"/>
        <w:numPr>
          <w:ilvl w:val="2"/>
          <w:numId w:val="5"/>
        </w:numPr>
        <w:tabs>
          <w:tab w:val="left" w:pos="590"/>
          <w:tab w:val="left" w:pos="592"/>
        </w:tabs>
        <w:spacing w:before="178" w:after="0" w:line="360" w:lineRule="auto"/>
        <w:ind w:left="592" w:right="160" w:hanging="428"/>
        <w:jc w:val="both"/>
        <w:rPr>
          <w:sz w:val="22"/>
        </w:rPr>
      </w:pPr>
      <w:r>
        <w:rPr>
          <w:b/>
          <w:sz w:val="22"/>
        </w:rPr>
        <w:t>Value</w:t>
      </w:r>
      <w:r>
        <w:rPr>
          <w:b/>
          <w:spacing w:val="-10"/>
          <w:sz w:val="22"/>
        </w:rPr>
        <w:t xml:space="preserve"> </w:t>
      </w:r>
      <w:r>
        <w:rPr>
          <w:b/>
          <w:sz w:val="22"/>
        </w:rPr>
        <w:t>of</w:t>
      </w:r>
      <w:r>
        <w:rPr>
          <w:b/>
          <w:spacing w:val="-9"/>
          <w:sz w:val="22"/>
        </w:rPr>
        <w:t xml:space="preserve"> </w:t>
      </w:r>
      <w:r>
        <w:rPr>
          <w:b/>
          <w:sz w:val="22"/>
        </w:rPr>
        <w:t>Electronic</w:t>
      </w:r>
      <w:r>
        <w:rPr>
          <w:b/>
          <w:spacing w:val="-10"/>
          <w:sz w:val="22"/>
        </w:rPr>
        <w:t xml:space="preserve"> </w:t>
      </w:r>
      <w:r>
        <w:rPr>
          <w:b/>
          <w:sz w:val="22"/>
        </w:rPr>
        <w:t>Payment</w:t>
      </w:r>
      <w:r>
        <w:rPr>
          <w:b/>
          <w:spacing w:val="-14"/>
          <w:sz w:val="22"/>
        </w:rPr>
        <w:t xml:space="preserve"> </w:t>
      </w:r>
      <w:r>
        <w:rPr>
          <w:b/>
          <w:sz w:val="22"/>
        </w:rPr>
        <w:t>Transactions</w:t>
      </w:r>
      <w:r>
        <w:rPr>
          <w:b/>
          <w:spacing w:val="-10"/>
          <w:sz w:val="22"/>
        </w:rPr>
        <w:t xml:space="preserve"> </w:t>
      </w:r>
      <w:r>
        <w:rPr>
          <w:b/>
          <w:sz w:val="22"/>
        </w:rPr>
        <w:t>(VEPT):</w:t>
      </w:r>
      <w:r>
        <w:rPr>
          <w:b/>
          <w:spacing w:val="-12"/>
          <w:sz w:val="22"/>
        </w:rPr>
        <w:t xml:space="preserve"> </w:t>
      </w:r>
      <w:r>
        <w:rPr>
          <w:sz w:val="22"/>
        </w:rPr>
        <w:t>The</w:t>
      </w:r>
      <w:r>
        <w:rPr>
          <w:spacing w:val="-10"/>
          <w:sz w:val="22"/>
        </w:rPr>
        <w:t xml:space="preserve"> </w:t>
      </w:r>
      <w:r>
        <w:rPr>
          <w:sz w:val="22"/>
        </w:rPr>
        <w:t>total</w:t>
      </w:r>
      <w:r>
        <w:rPr>
          <w:spacing w:val="-9"/>
          <w:sz w:val="22"/>
        </w:rPr>
        <w:t xml:space="preserve"> </w:t>
      </w:r>
      <w:r>
        <w:rPr>
          <w:sz w:val="22"/>
        </w:rPr>
        <w:t>value</w:t>
      </w:r>
      <w:r>
        <w:rPr>
          <w:spacing w:val="-10"/>
          <w:sz w:val="22"/>
        </w:rPr>
        <w:t xml:space="preserve"> </w:t>
      </w:r>
      <w:r>
        <w:rPr>
          <w:sz w:val="22"/>
        </w:rPr>
        <w:t>of</w:t>
      </w:r>
      <w:r>
        <w:rPr>
          <w:spacing w:val="-9"/>
          <w:sz w:val="22"/>
        </w:rPr>
        <w:t xml:space="preserve"> </w:t>
      </w:r>
      <w:r>
        <w:rPr>
          <w:sz w:val="22"/>
        </w:rPr>
        <w:t>NIBSS</w:t>
      </w:r>
      <w:r>
        <w:rPr>
          <w:spacing w:val="-11"/>
          <w:sz w:val="22"/>
        </w:rPr>
        <w:t xml:space="preserve"> </w:t>
      </w:r>
      <w:r>
        <w:rPr>
          <w:sz w:val="22"/>
        </w:rPr>
        <w:t>Instant</w:t>
      </w:r>
      <w:r>
        <w:rPr>
          <w:spacing w:val="-9"/>
          <w:sz w:val="22"/>
        </w:rPr>
        <w:t xml:space="preserve"> </w:t>
      </w:r>
      <w:r>
        <w:rPr>
          <w:sz w:val="22"/>
        </w:rPr>
        <w:t>Payments (NIP) and mobile transactions.</w:t>
      </w:r>
    </w:p>
    <w:p w14:paraId="38C1B3B2">
      <w:pPr>
        <w:pStyle w:val="9"/>
        <w:numPr>
          <w:ilvl w:val="3"/>
          <w:numId w:val="5"/>
        </w:numPr>
        <w:tabs>
          <w:tab w:val="left" w:pos="873"/>
        </w:tabs>
        <w:spacing w:before="161" w:after="0" w:line="350" w:lineRule="auto"/>
        <w:ind w:left="873" w:right="167" w:hanging="281"/>
        <w:jc w:val="both"/>
        <w:rPr>
          <w:sz w:val="22"/>
        </w:rPr>
      </w:pPr>
      <w:r>
        <w:rPr>
          <w:sz w:val="22"/>
        </w:rPr>
        <w:t>Justification:</w:t>
      </w:r>
      <w:r>
        <w:rPr>
          <w:spacing w:val="-1"/>
          <w:sz w:val="22"/>
        </w:rPr>
        <w:t xml:space="preserve"> </w:t>
      </w:r>
      <w:r>
        <w:rPr>
          <w:sz w:val="22"/>
        </w:rPr>
        <w:t>This is a proxy for</w:t>
      </w:r>
      <w:r>
        <w:rPr>
          <w:spacing w:val="-4"/>
          <w:sz w:val="22"/>
        </w:rPr>
        <w:t xml:space="preserve"> </w:t>
      </w:r>
      <w:r>
        <w:rPr>
          <w:sz w:val="22"/>
        </w:rPr>
        <w:t>Technological Monitoring Capacity.</w:t>
      </w:r>
      <w:r>
        <w:rPr>
          <w:spacing w:val="-12"/>
          <w:sz w:val="22"/>
        </w:rPr>
        <w:t xml:space="preserve"> </w:t>
      </w:r>
      <w:r>
        <w:rPr>
          <w:sz w:val="22"/>
        </w:rPr>
        <w:t xml:space="preserve">As the volume of digital transactions grows, lenders have more data points to monitor borrower cash flows </w:t>
      </w:r>
      <w:r>
        <w:rPr>
          <w:spacing w:val="-2"/>
          <w:sz w:val="22"/>
        </w:rPr>
        <w:t>remotely/algorithmically.</w:t>
      </w:r>
    </w:p>
    <w:p w14:paraId="2B163A91">
      <w:pPr>
        <w:pStyle w:val="5"/>
        <w:spacing w:before="177" w:line="360" w:lineRule="auto"/>
        <w:ind w:right="166"/>
        <w:jc w:val="both"/>
      </w:pPr>
      <w:r>
        <w:t>Inflation Rate (INF): (Control Variable). High inflation erodes borrower repayment capacity, making monitoring more difficult. Real GDP Growth (GDP): (Control Variable). Measures the general economic health.</w:t>
      </w:r>
    </w:p>
    <w:p w14:paraId="78502EF9">
      <w:pPr>
        <w:pStyle w:val="2"/>
        <w:numPr>
          <w:ilvl w:val="1"/>
          <w:numId w:val="5"/>
        </w:numPr>
        <w:tabs>
          <w:tab w:val="left" w:pos="496"/>
        </w:tabs>
        <w:spacing w:before="161" w:after="0" w:line="240" w:lineRule="auto"/>
        <w:ind w:left="496" w:right="0" w:hanging="331"/>
        <w:jc w:val="both"/>
      </w:pPr>
      <w:r>
        <w:t>Model</w:t>
      </w:r>
      <w:r>
        <w:rPr>
          <w:spacing w:val="-1"/>
        </w:rPr>
        <w:t xml:space="preserve"> </w:t>
      </w:r>
      <w:r>
        <w:rPr>
          <w:spacing w:val="-2"/>
        </w:rPr>
        <w:t>Specification</w:t>
      </w:r>
    </w:p>
    <w:p w14:paraId="70BC87A1">
      <w:pPr>
        <w:pStyle w:val="5"/>
        <w:spacing w:before="31"/>
        <w:ind w:left="0"/>
        <w:rPr>
          <w:b/>
        </w:rPr>
      </w:pPr>
    </w:p>
    <w:p w14:paraId="178A4619">
      <w:pPr>
        <w:pStyle w:val="5"/>
        <w:spacing w:before="1"/>
      </w:pPr>
      <w:r>
        <w:t>The</w:t>
      </w:r>
      <w:r>
        <w:rPr>
          <w:spacing w:val="-4"/>
        </w:rPr>
        <w:t xml:space="preserve"> </w:t>
      </w:r>
      <w:r>
        <w:t>time-series</w:t>
      </w:r>
      <w:r>
        <w:rPr>
          <w:spacing w:val="-6"/>
        </w:rPr>
        <w:t xml:space="preserve"> </w:t>
      </w:r>
      <w:r>
        <w:t>model</w:t>
      </w:r>
      <w:r>
        <w:rPr>
          <w:spacing w:val="-6"/>
        </w:rPr>
        <w:t xml:space="preserve"> </w:t>
      </w:r>
      <w:r>
        <w:t>is</w:t>
      </w:r>
      <w:r>
        <w:rPr>
          <w:spacing w:val="-6"/>
        </w:rPr>
        <w:t xml:space="preserve"> </w:t>
      </w:r>
      <w:r>
        <w:t>specified</w:t>
      </w:r>
      <w:r>
        <w:rPr>
          <w:spacing w:val="-3"/>
        </w:rPr>
        <w:t xml:space="preserve"> </w:t>
      </w:r>
      <w:r>
        <w:rPr>
          <w:spacing w:val="-5"/>
        </w:rPr>
        <w:t>as:</w:t>
      </w:r>
    </w:p>
    <w:p w14:paraId="2BDECCA5">
      <w:pPr>
        <w:pStyle w:val="5"/>
        <w:spacing w:before="32"/>
        <w:ind w:left="0"/>
      </w:pPr>
    </w:p>
    <w:p w14:paraId="282870F7">
      <w:pPr>
        <w:pStyle w:val="5"/>
        <w:spacing w:before="1" w:line="424" w:lineRule="auto"/>
        <w:ind w:right="2054"/>
      </w:pPr>
      <w:r>
        <w:rPr>
          <w:spacing w:val="-2"/>
        </w:rPr>
        <w:t>NPLt</w:t>
      </w:r>
      <w:r>
        <w:rPr>
          <w:spacing w:val="-12"/>
        </w:rPr>
        <w:t xml:space="preserve"> </w:t>
      </w:r>
      <w:r>
        <w:rPr>
          <w:spacing w:val="-2"/>
        </w:rPr>
        <w:t>=</w:t>
      </w:r>
      <w:r>
        <w:rPr>
          <w:spacing w:val="-12"/>
        </w:rPr>
        <w:t xml:space="preserve"> </w:t>
      </w:r>
      <w:r>
        <w:rPr>
          <w:rFonts w:ascii="Trebuchet MS" w:hAnsi="Trebuchet MS"/>
          <w:spacing w:val="-2"/>
        </w:rPr>
        <w:t>βo</w:t>
      </w:r>
      <w:r>
        <w:rPr>
          <w:rFonts w:ascii="Trebuchet MS" w:hAnsi="Trebuchet MS"/>
          <w:spacing w:val="-23"/>
        </w:rPr>
        <w:t xml:space="preserve"> </w:t>
      </w:r>
      <w:r>
        <w:rPr>
          <w:rFonts w:ascii="Trebuchet MS" w:hAnsi="Trebuchet MS"/>
          <w:spacing w:val="-2"/>
        </w:rPr>
        <w:t>+</w:t>
      </w:r>
      <w:r>
        <w:rPr>
          <w:rFonts w:ascii="Trebuchet MS" w:hAnsi="Trebuchet MS"/>
          <w:spacing w:val="5"/>
        </w:rPr>
        <w:t xml:space="preserve"> </w:t>
      </w:r>
      <w:r>
        <w:rPr>
          <w:rFonts w:ascii="Trebuchet MS" w:hAnsi="Trebuchet MS"/>
          <w:spacing w:val="-2"/>
        </w:rPr>
        <w:t>β1IRSt</w:t>
      </w:r>
      <w:r>
        <w:rPr>
          <w:rFonts w:ascii="Trebuchet MS" w:hAnsi="Trebuchet MS"/>
          <w:spacing w:val="-23"/>
        </w:rPr>
        <w:t xml:space="preserve"> </w:t>
      </w:r>
      <w:r>
        <w:rPr>
          <w:rFonts w:ascii="Trebuchet MS" w:hAnsi="Trebuchet MS"/>
          <w:spacing w:val="-2"/>
        </w:rPr>
        <w:t>+</w:t>
      </w:r>
      <w:r>
        <w:rPr>
          <w:rFonts w:ascii="Trebuchet MS" w:hAnsi="Trebuchet MS"/>
          <w:spacing w:val="-21"/>
        </w:rPr>
        <w:t xml:space="preserve"> </w:t>
      </w:r>
      <w:r>
        <w:rPr>
          <w:rFonts w:ascii="Trebuchet MS" w:hAnsi="Trebuchet MS"/>
          <w:spacing w:val="-2"/>
        </w:rPr>
        <w:t>βln(VEPTt)</w:t>
      </w:r>
      <w:r>
        <w:rPr>
          <w:rFonts w:ascii="Trebuchet MS" w:hAnsi="Trebuchet MS"/>
          <w:spacing w:val="-21"/>
        </w:rPr>
        <w:t xml:space="preserve"> </w:t>
      </w:r>
      <w:r>
        <w:rPr>
          <w:rFonts w:ascii="Trebuchet MS" w:hAnsi="Trebuchet MS"/>
          <w:spacing w:val="-2"/>
        </w:rPr>
        <w:t>+</w:t>
      </w:r>
      <w:r>
        <w:rPr>
          <w:rFonts w:ascii="Trebuchet MS" w:hAnsi="Trebuchet MS"/>
          <w:spacing w:val="17"/>
        </w:rPr>
        <w:t xml:space="preserve"> </w:t>
      </w:r>
      <w:r>
        <w:rPr>
          <w:rFonts w:ascii="Trebuchet MS" w:hAnsi="Trebuchet MS"/>
          <w:spacing w:val="-2"/>
        </w:rPr>
        <w:t>β2ln(VEPTt)</w:t>
      </w:r>
      <w:r>
        <w:rPr>
          <w:rFonts w:ascii="Trebuchet MS" w:hAnsi="Trebuchet MS"/>
          <w:spacing w:val="-23"/>
        </w:rPr>
        <w:t xml:space="preserve"> </w:t>
      </w:r>
      <w:r>
        <w:rPr>
          <w:rFonts w:ascii="Trebuchet MS" w:hAnsi="Trebuchet MS"/>
          <w:spacing w:val="-2"/>
        </w:rPr>
        <w:t>+</w:t>
      </w:r>
      <w:r>
        <w:rPr>
          <w:rFonts w:ascii="Trebuchet MS" w:hAnsi="Trebuchet MS"/>
          <w:spacing w:val="-21"/>
        </w:rPr>
        <w:t xml:space="preserve"> </w:t>
      </w:r>
      <w:r>
        <w:rPr>
          <w:rFonts w:ascii="Trebuchet MS" w:hAnsi="Trebuchet MS"/>
          <w:spacing w:val="-2"/>
        </w:rPr>
        <w:t>β3INFt</w:t>
      </w:r>
      <w:r>
        <w:rPr>
          <w:rFonts w:ascii="Trebuchet MS" w:hAnsi="Trebuchet MS"/>
          <w:spacing w:val="-21"/>
        </w:rPr>
        <w:t xml:space="preserve"> </w:t>
      </w:r>
      <w:r>
        <w:rPr>
          <w:rFonts w:ascii="Trebuchet MS" w:hAnsi="Trebuchet MS"/>
          <w:spacing w:val="-2"/>
        </w:rPr>
        <w:t>+</w:t>
      </w:r>
      <w:r>
        <w:rPr>
          <w:rFonts w:ascii="Trebuchet MS" w:hAnsi="Trebuchet MS"/>
          <w:spacing w:val="-21"/>
        </w:rPr>
        <w:t xml:space="preserve"> </w:t>
      </w:r>
      <w:r>
        <w:rPr>
          <w:rFonts w:ascii="Trebuchet MS" w:hAnsi="Trebuchet MS"/>
          <w:spacing w:val="-2"/>
        </w:rPr>
        <w:t>β4GDPt</w:t>
      </w:r>
      <w:r>
        <w:rPr>
          <w:rFonts w:ascii="Trebuchet MS" w:hAnsi="Trebuchet MS"/>
          <w:spacing w:val="-23"/>
        </w:rPr>
        <w:t xml:space="preserve"> </w:t>
      </w:r>
      <w:r>
        <w:rPr>
          <w:rFonts w:ascii="Trebuchet MS" w:hAnsi="Trebuchet MS"/>
          <w:spacing w:val="-2"/>
        </w:rPr>
        <w:t>+</w:t>
      </w:r>
      <w:r>
        <w:rPr>
          <w:rFonts w:ascii="Trebuchet MS" w:hAnsi="Trebuchet MS"/>
          <w:spacing w:val="-21"/>
        </w:rPr>
        <w:t xml:space="preserve"> </w:t>
      </w:r>
      <w:r>
        <w:rPr>
          <w:spacing w:val="-2"/>
        </w:rPr>
        <w:t>µt Where:</w:t>
      </w:r>
    </w:p>
    <w:p w14:paraId="7D3FC5FA">
      <w:pPr>
        <w:pStyle w:val="5"/>
        <w:spacing w:after="0" w:line="424" w:lineRule="auto"/>
        <w:sectPr>
          <w:pgSz w:w="11910" w:h="16840"/>
          <w:pgMar w:top="1360" w:right="1275" w:bottom="280" w:left="1275" w:header="720" w:footer="720" w:gutter="0"/>
          <w:cols w:space="720" w:num="1"/>
        </w:sectPr>
      </w:pPr>
    </w:p>
    <w:p w14:paraId="370B1888">
      <w:pPr>
        <w:pStyle w:val="5"/>
        <w:spacing w:before="62"/>
      </w:pPr>
      <w:r>
        <w:t>NPLt</w:t>
      </w:r>
      <w:r>
        <w:rPr>
          <w:spacing w:val="-6"/>
        </w:rPr>
        <w:t xml:space="preserve"> </w:t>
      </w:r>
      <w:r>
        <w:t>=</w:t>
      </w:r>
      <w:r>
        <w:rPr>
          <w:spacing w:val="-4"/>
        </w:rPr>
        <w:t xml:space="preserve"> </w:t>
      </w:r>
      <w:r>
        <w:t>Industry</w:t>
      </w:r>
      <w:r>
        <w:rPr>
          <w:spacing w:val="-4"/>
        </w:rPr>
        <w:t xml:space="preserve"> </w:t>
      </w:r>
      <w:r>
        <w:t>Non-Performing</w:t>
      </w:r>
      <w:r>
        <w:rPr>
          <w:spacing w:val="-4"/>
        </w:rPr>
        <w:t xml:space="preserve"> </w:t>
      </w:r>
      <w:r>
        <w:t>Loan</w:t>
      </w:r>
      <w:r>
        <w:rPr>
          <w:spacing w:val="-4"/>
        </w:rPr>
        <w:t xml:space="preserve"> </w:t>
      </w:r>
      <w:r>
        <w:t>Ratio</w:t>
      </w:r>
      <w:r>
        <w:rPr>
          <w:spacing w:val="-7"/>
        </w:rPr>
        <w:t xml:space="preserve"> </w:t>
      </w:r>
      <w:r>
        <w:t>in</w:t>
      </w:r>
      <w:r>
        <w:rPr>
          <w:spacing w:val="-4"/>
        </w:rPr>
        <w:t xml:space="preserve"> </w:t>
      </w:r>
      <w:r>
        <w:t>year</w:t>
      </w:r>
      <w:r>
        <w:rPr>
          <w:spacing w:val="-5"/>
        </w:rPr>
        <w:t xml:space="preserve"> </w:t>
      </w:r>
      <w:r>
        <w:rPr>
          <w:spacing w:val="-10"/>
        </w:rPr>
        <w:t>t</w:t>
      </w:r>
    </w:p>
    <w:p w14:paraId="266E6333">
      <w:pPr>
        <w:pStyle w:val="5"/>
        <w:spacing w:before="35"/>
        <w:ind w:left="0"/>
      </w:pPr>
    </w:p>
    <w:p w14:paraId="00D6EA92">
      <w:pPr>
        <w:pStyle w:val="5"/>
      </w:pPr>
      <w:r>
        <w:t>IRSt</w:t>
      </w:r>
      <w:r>
        <w:rPr>
          <w:spacing w:val="-3"/>
        </w:rPr>
        <w:t xml:space="preserve"> </w:t>
      </w:r>
      <w:r>
        <w:t>=</w:t>
      </w:r>
      <w:r>
        <w:rPr>
          <w:spacing w:val="-5"/>
        </w:rPr>
        <w:t xml:space="preserve"> </w:t>
      </w:r>
      <w:r>
        <w:t>Interest</w:t>
      </w:r>
      <w:r>
        <w:rPr>
          <w:spacing w:val="-5"/>
        </w:rPr>
        <w:t xml:space="preserve"> </w:t>
      </w:r>
      <w:r>
        <w:t>Rate</w:t>
      </w:r>
      <w:r>
        <w:rPr>
          <w:spacing w:val="-2"/>
        </w:rPr>
        <w:t xml:space="preserve"> </w:t>
      </w:r>
      <w:r>
        <w:t>Spread</w:t>
      </w:r>
      <w:r>
        <w:rPr>
          <w:spacing w:val="-6"/>
        </w:rPr>
        <w:t xml:space="preserve"> </w:t>
      </w:r>
      <w:r>
        <w:t>(Proxy</w:t>
      </w:r>
      <w:r>
        <w:rPr>
          <w:spacing w:val="-3"/>
        </w:rPr>
        <w:t xml:space="preserve"> </w:t>
      </w:r>
      <w:r>
        <w:t>for</w:t>
      </w:r>
      <w:r>
        <w:rPr>
          <w:spacing w:val="-3"/>
        </w:rPr>
        <w:t xml:space="preserve"> </w:t>
      </w:r>
      <w:r>
        <w:t>Monitoring</w:t>
      </w:r>
      <w:r>
        <w:rPr>
          <w:spacing w:val="-2"/>
        </w:rPr>
        <w:t xml:space="preserve"> Cost/Intensity)</w:t>
      </w:r>
    </w:p>
    <w:p w14:paraId="64670B29">
      <w:pPr>
        <w:pStyle w:val="5"/>
        <w:spacing w:before="34"/>
        <w:ind w:left="0"/>
      </w:pPr>
    </w:p>
    <w:p w14:paraId="764D1168">
      <w:pPr>
        <w:pStyle w:val="5"/>
        <w:spacing w:line="511" w:lineRule="auto"/>
        <w:ind w:right="1479"/>
      </w:pPr>
      <w:r>
        <w:t>ln(VEPT_t)</w:t>
      </w:r>
      <w:r>
        <w:rPr>
          <w:spacing w:val="-12"/>
        </w:rPr>
        <w:t xml:space="preserve"> </w:t>
      </w:r>
      <w:r>
        <w:t>=</w:t>
      </w:r>
      <w:r>
        <w:rPr>
          <w:spacing w:val="-7"/>
        </w:rPr>
        <w:t xml:space="preserve"> </w:t>
      </w:r>
      <w:r>
        <w:t>Natural</w:t>
      </w:r>
      <w:r>
        <w:rPr>
          <w:spacing w:val="-6"/>
        </w:rPr>
        <w:t xml:space="preserve"> </w:t>
      </w:r>
      <w:r>
        <w:t>Log</w:t>
      </w:r>
      <w:r>
        <w:rPr>
          <w:spacing w:val="-10"/>
        </w:rPr>
        <w:t xml:space="preserve"> </w:t>
      </w:r>
      <w:r>
        <w:t>of</w:t>
      </w:r>
      <w:r>
        <w:rPr>
          <w:spacing w:val="-7"/>
        </w:rPr>
        <w:t xml:space="preserve"> </w:t>
      </w:r>
      <w:r>
        <w:t>Electronic</w:t>
      </w:r>
      <w:r>
        <w:rPr>
          <w:spacing w:val="-7"/>
        </w:rPr>
        <w:t xml:space="preserve"> </w:t>
      </w:r>
      <w:r>
        <w:t>Payment</w:t>
      </w:r>
      <w:r>
        <w:rPr>
          <w:spacing w:val="-11"/>
        </w:rPr>
        <w:t xml:space="preserve"> </w:t>
      </w:r>
      <w:r>
        <w:t>Value</w:t>
      </w:r>
      <w:r>
        <w:rPr>
          <w:spacing w:val="-7"/>
        </w:rPr>
        <w:t xml:space="preserve"> </w:t>
      </w:r>
      <w:r>
        <w:t>(Proxy</w:t>
      </w:r>
      <w:r>
        <w:rPr>
          <w:spacing w:val="-7"/>
        </w:rPr>
        <w:t xml:space="preserve"> </w:t>
      </w:r>
      <w:r>
        <w:t>for</w:t>
      </w:r>
      <w:r>
        <w:rPr>
          <w:spacing w:val="-11"/>
        </w:rPr>
        <w:t xml:space="preserve"> </w:t>
      </w:r>
      <w:r>
        <w:t>Tech</w:t>
      </w:r>
      <w:r>
        <w:rPr>
          <w:spacing w:val="-14"/>
        </w:rPr>
        <w:t xml:space="preserve"> </w:t>
      </w:r>
      <w:r>
        <w:t>Adoption). INFt = Inflation Rate.</w:t>
      </w:r>
    </w:p>
    <w:p w14:paraId="0C85EC07">
      <w:pPr>
        <w:pStyle w:val="5"/>
      </w:pPr>
      <w:r>
        <w:t>GDPt</w:t>
      </w:r>
      <w:r>
        <w:rPr>
          <w:spacing w:val="-4"/>
        </w:rPr>
        <w:t xml:space="preserve"> </w:t>
      </w:r>
      <w:r>
        <w:t>=</w:t>
      </w:r>
      <w:r>
        <w:rPr>
          <w:spacing w:val="-4"/>
        </w:rPr>
        <w:t xml:space="preserve"> </w:t>
      </w:r>
      <w:r>
        <w:t>Real</w:t>
      </w:r>
      <w:r>
        <w:rPr>
          <w:spacing w:val="-3"/>
        </w:rPr>
        <w:t xml:space="preserve"> </w:t>
      </w:r>
      <w:r>
        <w:t>GDP</w:t>
      </w:r>
      <w:r>
        <w:rPr>
          <w:spacing w:val="-11"/>
        </w:rPr>
        <w:t xml:space="preserve"> </w:t>
      </w:r>
      <w:r>
        <w:t>Growth</w:t>
      </w:r>
      <w:r>
        <w:rPr>
          <w:spacing w:val="-6"/>
        </w:rPr>
        <w:t xml:space="preserve"> </w:t>
      </w:r>
      <w:r>
        <w:rPr>
          <w:spacing w:val="-4"/>
        </w:rPr>
        <w:t>Rate.</w:t>
      </w:r>
    </w:p>
    <w:p w14:paraId="17A6753F">
      <w:pPr>
        <w:pStyle w:val="5"/>
        <w:spacing w:before="34"/>
        <w:ind w:left="0"/>
      </w:pPr>
    </w:p>
    <w:p w14:paraId="4A1E281A">
      <w:pPr>
        <w:pStyle w:val="2"/>
        <w:numPr>
          <w:ilvl w:val="1"/>
          <w:numId w:val="5"/>
        </w:numPr>
        <w:tabs>
          <w:tab w:val="left" w:pos="496"/>
        </w:tabs>
        <w:spacing w:before="0" w:after="0" w:line="240" w:lineRule="auto"/>
        <w:ind w:left="496" w:right="0" w:hanging="331"/>
        <w:jc w:val="left"/>
      </w:pPr>
      <w:r>
        <w:t>Regression</w:t>
      </w:r>
      <w:r>
        <w:rPr>
          <w:spacing w:val="-8"/>
        </w:rPr>
        <w:t xml:space="preserve"> </w:t>
      </w:r>
      <w:r>
        <w:t>Results</w:t>
      </w:r>
      <w:r>
        <w:rPr>
          <w:spacing w:val="-9"/>
        </w:rPr>
        <w:t xml:space="preserve"> </w:t>
      </w:r>
      <w:r>
        <w:t>(Time</w:t>
      </w:r>
      <w:r>
        <w:rPr>
          <w:spacing w:val="-7"/>
        </w:rPr>
        <w:t xml:space="preserve"> </w:t>
      </w:r>
      <w:r>
        <w:t>Series</w:t>
      </w:r>
      <w:r>
        <w:rPr>
          <w:spacing w:val="-9"/>
        </w:rPr>
        <w:t xml:space="preserve"> </w:t>
      </w:r>
      <w:r>
        <w:rPr>
          <w:spacing w:val="-4"/>
        </w:rPr>
        <w:t>OLS)</w:t>
      </w:r>
    </w:p>
    <w:p w14:paraId="5734A7EE">
      <w:pPr>
        <w:pStyle w:val="5"/>
        <w:spacing w:before="34"/>
        <w:ind w:left="0"/>
        <w:rPr>
          <w:b/>
        </w:rPr>
      </w:pPr>
    </w:p>
    <w:p w14:paraId="132B59A0">
      <w:pPr>
        <w:pStyle w:val="5"/>
        <w:spacing w:line="360" w:lineRule="auto"/>
      </w:pPr>
      <w:r>
        <w:rPr>
          <w:spacing w:val="-2"/>
        </w:rPr>
        <w:t>To</w:t>
      </w:r>
      <w:r>
        <w:rPr>
          <w:spacing w:val="-5"/>
        </w:rPr>
        <w:t xml:space="preserve"> </w:t>
      </w:r>
      <w:r>
        <w:rPr>
          <w:spacing w:val="-2"/>
        </w:rPr>
        <w:t>determine</w:t>
      </w:r>
      <w:r>
        <w:rPr>
          <w:spacing w:val="-5"/>
        </w:rPr>
        <w:t xml:space="preserve"> </w:t>
      </w:r>
      <w:r>
        <w:rPr>
          <w:spacing w:val="-2"/>
        </w:rPr>
        <w:t>the</w:t>
      </w:r>
      <w:r>
        <w:rPr>
          <w:spacing w:val="-5"/>
        </w:rPr>
        <w:t xml:space="preserve"> </w:t>
      </w:r>
      <w:r>
        <w:rPr>
          <w:spacing w:val="-2"/>
        </w:rPr>
        <w:t>effectiveness</w:t>
      </w:r>
      <w:r>
        <w:rPr>
          <w:spacing w:val="-5"/>
        </w:rPr>
        <w:t xml:space="preserve"> </w:t>
      </w:r>
      <w:r>
        <w:rPr>
          <w:spacing w:val="-2"/>
        </w:rPr>
        <w:t>of</w:t>
      </w:r>
      <w:r>
        <w:rPr>
          <w:spacing w:val="-7"/>
        </w:rPr>
        <w:t xml:space="preserve"> </w:t>
      </w:r>
      <w:r>
        <w:rPr>
          <w:spacing w:val="-2"/>
        </w:rPr>
        <w:t>monitoring</w:t>
      </w:r>
      <w:r>
        <w:rPr>
          <w:spacing w:val="-5"/>
        </w:rPr>
        <w:t xml:space="preserve"> </w:t>
      </w:r>
      <w:r>
        <w:rPr>
          <w:spacing w:val="-2"/>
        </w:rPr>
        <w:t>(proxied</w:t>
      </w:r>
      <w:r>
        <w:rPr>
          <w:spacing w:val="-7"/>
        </w:rPr>
        <w:t xml:space="preserve"> </w:t>
      </w:r>
      <w:r>
        <w:rPr>
          <w:spacing w:val="-2"/>
        </w:rPr>
        <w:t>by</w:t>
      </w:r>
      <w:r>
        <w:rPr>
          <w:spacing w:val="-5"/>
        </w:rPr>
        <w:t xml:space="preserve"> </w:t>
      </w:r>
      <w:r>
        <w:rPr>
          <w:spacing w:val="-2"/>
        </w:rPr>
        <w:t>Spread</w:t>
      </w:r>
      <w:r>
        <w:rPr>
          <w:spacing w:val="-5"/>
        </w:rPr>
        <w:t xml:space="preserve"> </w:t>
      </w:r>
      <w:r>
        <w:rPr>
          <w:spacing w:val="-2"/>
        </w:rPr>
        <w:t>and</w:t>
      </w:r>
      <w:r>
        <w:rPr>
          <w:spacing w:val="-11"/>
        </w:rPr>
        <w:t xml:space="preserve"> </w:t>
      </w:r>
      <w:r>
        <w:rPr>
          <w:spacing w:val="-2"/>
        </w:rPr>
        <w:t>Tech)</w:t>
      </w:r>
      <w:r>
        <w:rPr>
          <w:spacing w:val="-5"/>
        </w:rPr>
        <w:t xml:space="preserve"> </w:t>
      </w:r>
      <w:r>
        <w:rPr>
          <w:spacing w:val="-2"/>
        </w:rPr>
        <w:t>on</w:t>
      </w:r>
      <w:r>
        <w:rPr>
          <w:spacing w:val="-5"/>
        </w:rPr>
        <w:t xml:space="preserve"> </w:t>
      </w:r>
      <w:r>
        <w:rPr>
          <w:spacing w:val="-2"/>
        </w:rPr>
        <w:t>Risk</w:t>
      </w:r>
      <w:r>
        <w:rPr>
          <w:spacing w:val="-5"/>
        </w:rPr>
        <w:t xml:space="preserve"> </w:t>
      </w:r>
      <w:r>
        <w:rPr>
          <w:spacing w:val="-2"/>
        </w:rPr>
        <w:t>(NPL), the</w:t>
      </w:r>
      <w:r>
        <w:rPr>
          <w:spacing w:val="-5"/>
        </w:rPr>
        <w:t xml:space="preserve"> </w:t>
      </w:r>
      <w:r>
        <w:rPr>
          <w:spacing w:val="-2"/>
        </w:rPr>
        <w:t xml:space="preserve">Ordinary </w:t>
      </w:r>
      <w:r>
        <w:t>Least Squares (OLS) regression analysis was used.</w:t>
      </w:r>
    </w:p>
    <w:p w14:paraId="5439FF84">
      <w:pPr>
        <w:pStyle w:val="5"/>
        <w:spacing w:before="158"/>
        <w:ind w:right="5981"/>
      </w:pPr>
      <w:r>
        <w:t xml:space="preserve">Table 2: Regression Output </w:t>
      </w:r>
      <w:r>
        <w:rPr>
          <w:spacing w:val="-2"/>
        </w:rPr>
        <w:t>Dependent</w:t>
      </w:r>
      <w:r>
        <w:rPr>
          <w:spacing w:val="-12"/>
        </w:rPr>
        <w:t xml:space="preserve"> </w:t>
      </w:r>
      <w:r>
        <w:rPr>
          <w:spacing w:val="-2"/>
        </w:rPr>
        <w:t>Variable:</w:t>
      </w:r>
      <w:r>
        <w:rPr>
          <w:spacing w:val="-12"/>
        </w:rPr>
        <w:t xml:space="preserve"> </w:t>
      </w:r>
      <w:r>
        <w:rPr>
          <w:spacing w:val="-2"/>
        </w:rPr>
        <w:t xml:space="preserve">NPL_RATIO </w:t>
      </w:r>
      <w:r>
        <w:t>Method: Least Squares</w:t>
      </w:r>
    </w:p>
    <w:p w14:paraId="50148788">
      <w:pPr>
        <w:pStyle w:val="5"/>
        <w:ind w:right="5981"/>
      </w:pPr>
      <w:r>
        <w:t>Date:</w:t>
      </w:r>
      <w:r>
        <w:rPr>
          <w:spacing w:val="-10"/>
        </w:rPr>
        <w:t xml:space="preserve"> </w:t>
      </w:r>
      <w:r>
        <w:t>12/22/24</w:t>
      </w:r>
      <w:r>
        <w:rPr>
          <w:spacing w:val="80"/>
        </w:rPr>
        <w:t xml:space="preserve"> </w:t>
      </w:r>
      <w:r>
        <w:t>Time:</w:t>
      </w:r>
      <w:r>
        <w:rPr>
          <w:spacing w:val="-8"/>
        </w:rPr>
        <w:t xml:space="preserve"> </w:t>
      </w:r>
      <w:r>
        <w:t>16:45 Sample: 2010 2023</w:t>
      </w:r>
    </w:p>
    <w:p w14:paraId="6AD7F545">
      <w:pPr>
        <w:pStyle w:val="5"/>
      </w:pPr>
      <w:r>
        <w:t>Included</w:t>
      </w:r>
      <w:r>
        <w:rPr>
          <w:spacing w:val="-11"/>
        </w:rPr>
        <w:t xml:space="preserve"> </w:t>
      </w:r>
      <w:r>
        <w:t>observations:</w:t>
      </w:r>
      <w:r>
        <w:rPr>
          <w:spacing w:val="-5"/>
        </w:rPr>
        <w:t xml:space="preserve"> 14</w:t>
      </w:r>
    </w:p>
    <w:p w14:paraId="1A230F77">
      <w:pPr>
        <w:spacing w:before="251"/>
        <w:ind w:left="165" w:right="0" w:firstLine="0"/>
        <w:jc w:val="left"/>
        <w:rPr>
          <w:sz w:val="22"/>
        </w:rPr>
      </w:pPr>
      <w:r>
        <w:rPr>
          <w:spacing w:val="-2"/>
          <w:sz w:val="22"/>
        </w:rPr>
        <w:t>========================================================================</w:t>
      </w:r>
    </w:p>
    <w:p w14:paraId="004AB229">
      <w:pPr>
        <w:pStyle w:val="5"/>
        <w:tabs>
          <w:tab w:val="left" w:pos="2166"/>
          <w:tab w:val="left" w:pos="4512"/>
          <w:tab w:val="left" w:pos="5743"/>
        </w:tabs>
        <w:spacing w:before="2" w:line="252" w:lineRule="exact"/>
      </w:pPr>
      <w:r>
        <w:rPr>
          <w:spacing w:val="-2"/>
        </w:rPr>
        <w:t>Variable</w:t>
      </w:r>
      <w:r>
        <w:tab/>
      </w:r>
      <w:r>
        <w:t>Coefficient</w:t>
      </w:r>
      <w:r>
        <w:rPr>
          <w:spacing w:val="71"/>
          <w:w w:val="150"/>
        </w:rPr>
        <w:t xml:space="preserve"> </w:t>
      </w:r>
      <w:r>
        <w:t>Std.</w:t>
      </w:r>
      <w:r>
        <w:rPr>
          <w:spacing w:val="-4"/>
        </w:rPr>
        <w:t xml:space="preserve"> Error</w:t>
      </w:r>
      <w:r>
        <w:tab/>
      </w:r>
      <w:r>
        <w:t>t-</w:t>
      </w:r>
      <w:r>
        <w:rPr>
          <w:spacing w:val="-2"/>
        </w:rPr>
        <w:t>Statistic</w:t>
      </w:r>
      <w:r>
        <w:tab/>
      </w:r>
      <w:r>
        <w:rPr>
          <w:spacing w:val="-2"/>
        </w:rPr>
        <w:t>Prob.</w:t>
      </w:r>
    </w:p>
    <w:p w14:paraId="28C32AB0">
      <w:pPr>
        <w:spacing w:before="0" w:after="10" w:line="252" w:lineRule="exact"/>
        <w:ind w:left="165" w:right="0" w:firstLine="0"/>
        <w:jc w:val="left"/>
        <w:rPr>
          <w:sz w:val="22"/>
        </w:rPr>
      </w:pPr>
      <w:r>
        <w:rPr>
          <w:spacing w:val="-2"/>
          <w:sz w:val="22"/>
        </w:rPr>
        <w:t>========================================================================</w:t>
      </w:r>
    </w:p>
    <w:tbl>
      <w:tblPr>
        <w:tblStyle w:val="4"/>
        <w:tblW w:w="0" w:type="auto"/>
        <w:tblInd w:w="1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48"/>
        <w:gridCol w:w="1199"/>
        <w:gridCol w:w="1120"/>
        <w:gridCol w:w="741"/>
        <w:gridCol w:w="495"/>
        <w:gridCol w:w="3703"/>
      </w:tblGrid>
      <w:tr w14:paraId="0A378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8" w:hRule="atLeast"/>
        </w:trPr>
        <w:tc>
          <w:tcPr>
            <w:tcW w:w="1848" w:type="dxa"/>
          </w:tcPr>
          <w:p w14:paraId="10D62F85">
            <w:pPr>
              <w:pStyle w:val="10"/>
              <w:spacing w:line="228" w:lineRule="exact"/>
              <w:rPr>
                <w:sz w:val="22"/>
              </w:rPr>
            </w:pPr>
            <w:r>
              <w:rPr>
                <w:spacing w:val="-10"/>
                <w:sz w:val="22"/>
              </w:rPr>
              <w:t>C</w:t>
            </w:r>
          </w:p>
        </w:tc>
        <w:tc>
          <w:tcPr>
            <w:tcW w:w="1199" w:type="dxa"/>
          </w:tcPr>
          <w:p w14:paraId="72DBE8B1">
            <w:pPr>
              <w:pStyle w:val="10"/>
              <w:spacing w:line="228" w:lineRule="exact"/>
              <w:ind w:left="109"/>
              <w:rPr>
                <w:sz w:val="22"/>
              </w:rPr>
            </w:pPr>
            <w:r>
              <w:rPr>
                <w:spacing w:val="-2"/>
                <w:sz w:val="22"/>
              </w:rPr>
              <w:t>85.40210</w:t>
            </w:r>
          </w:p>
        </w:tc>
        <w:tc>
          <w:tcPr>
            <w:tcW w:w="1120" w:type="dxa"/>
          </w:tcPr>
          <w:p w14:paraId="73FD30B3">
            <w:pPr>
              <w:pStyle w:val="10"/>
              <w:spacing w:line="228" w:lineRule="exact"/>
              <w:ind w:left="0" w:right="45"/>
              <w:jc w:val="center"/>
              <w:rPr>
                <w:sz w:val="22"/>
              </w:rPr>
            </w:pPr>
            <w:r>
              <w:rPr>
                <w:spacing w:val="-2"/>
                <w:sz w:val="22"/>
              </w:rPr>
              <w:t>12.35010</w:t>
            </w:r>
          </w:p>
        </w:tc>
        <w:tc>
          <w:tcPr>
            <w:tcW w:w="1236" w:type="dxa"/>
            <w:gridSpan w:val="2"/>
          </w:tcPr>
          <w:p w14:paraId="7095B5DC">
            <w:pPr>
              <w:pStyle w:val="10"/>
              <w:spacing w:line="228" w:lineRule="exact"/>
              <w:ind w:left="213"/>
              <w:rPr>
                <w:sz w:val="22"/>
              </w:rPr>
            </w:pPr>
            <w:r>
              <w:rPr>
                <w:spacing w:val="-2"/>
                <w:sz w:val="22"/>
              </w:rPr>
              <w:t>6.915000</w:t>
            </w:r>
          </w:p>
        </w:tc>
        <w:tc>
          <w:tcPr>
            <w:tcW w:w="3703" w:type="dxa"/>
          </w:tcPr>
          <w:p w14:paraId="53B2C70E">
            <w:pPr>
              <w:pStyle w:val="10"/>
              <w:spacing w:line="228" w:lineRule="exact"/>
              <w:ind w:left="242"/>
              <w:rPr>
                <w:sz w:val="22"/>
              </w:rPr>
            </w:pPr>
            <w:r>
              <w:rPr>
                <w:spacing w:val="-2"/>
                <w:sz w:val="22"/>
              </w:rPr>
              <w:t>0.0001</w:t>
            </w:r>
          </w:p>
        </w:tc>
      </w:tr>
      <w:tr w14:paraId="24E2F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848" w:type="dxa"/>
          </w:tcPr>
          <w:p w14:paraId="0D124A22">
            <w:pPr>
              <w:pStyle w:val="10"/>
              <w:spacing w:line="232" w:lineRule="exact"/>
              <w:rPr>
                <w:sz w:val="22"/>
              </w:rPr>
            </w:pPr>
            <w:r>
              <w:rPr>
                <w:spacing w:val="-2"/>
                <w:sz w:val="22"/>
              </w:rPr>
              <w:t>SPREAD</w:t>
            </w:r>
          </w:p>
        </w:tc>
        <w:tc>
          <w:tcPr>
            <w:tcW w:w="1199" w:type="dxa"/>
          </w:tcPr>
          <w:p w14:paraId="3D33D072">
            <w:pPr>
              <w:pStyle w:val="10"/>
              <w:spacing w:line="232" w:lineRule="exact"/>
              <w:ind w:left="0" w:right="151"/>
              <w:jc w:val="right"/>
              <w:rPr>
                <w:sz w:val="22"/>
              </w:rPr>
            </w:pPr>
            <w:r>
              <w:rPr>
                <w:sz w:val="22"/>
              </w:rPr>
              <w:t>-</w:t>
            </w:r>
            <w:r>
              <w:rPr>
                <w:spacing w:val="-2"/>
                <w:sz w:val="22"/>
              </w:rPr>
              <w:t>1.250400</w:t>
            </w:r>
          </w:p>
        </w:tc>
        <w:tc>
          <w:tcPr>
            <w:tcW w:w="1120" w:type="dxa"/>
          </w:tcPr>
          <w:p w14:paraId="329CFFC1">
            <w:pPr>
              <w:pStyle w:val="10"/>
              <w:spacing w:line="232" w:lineRule="exact"/>
              <w:ind w:left="108" w:right="45"/>
              <w:jc w:val="center"/>
              <w:rPr>
                <w:sz w:val="22"/>
              </w:rPr>
            </w:pPr>
            <w:r>
              <w:rPr>
                <w:spacing w:val="-2"/>
                <w:sz w:val="22"/>
              </w:rPr>
              <w:t>0.452000</w:t>
            </w:r>
          </w:p>
        </w:tc>
        <w:tc>
          <w:tcPr>
            <w:tcW w:w="1236" w:type="dxa"/>
            <w:gridSpan w:val="2"/>
          </w:tcPr>
          <w:p w14:paraId="750EF650">
            <w:pPr>
              <w:pStyle w:val="10"/>
              <w:spacing w:line="232" w:lineRule="exact"/>
              <w:ind w:left="157"/>
              <w:rPr>
                <w:sz w:val="22"/>
              </w:rPr>
            </w:pPr>
            <w:r>
              <w:rPr>
                <w:sz w:val="22"/>
              </w:rPr>
              <w:t>-</w:t>
            </w:r>
            <w:r>
              <w:rPr>
                <w:spacing w:val="-2"/>
                <w:sz w:val="22"/>
              </w:rPr>
              <w:t>2.766000</w:t>
            </w:r>
          </w:p>
        </w:tc>
        <w:tc>
          <w:tcPr>
            <w:tcW w:w="3703" w:type="dxa"/>
          </w:tcPr>
          <w:p w14:paraId="1CB7BF8A">
            <w:pPr>
              <w:pStyle w:val="10"/>
              <w:spacing w:line="232" w:lineRule="exact"/>
              <w:ind w:left="206"/>
              <w:rPr>
                <w:sz w:val="22"/>
              </w:rPr>
            </w:pPr>
            <w:r>
              <w:rPr>
                <w:spacing w:val="-2"/>
                <w:sz w:val="22"/>
              </w:rPr>
              <w:t>0.0211</w:t>
            </w:r>
          </w:p>
        </w:tc>
      </w:tr>
      <w:tr w14:paraId="597CB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3" w:hRule="atLeast"/>
        </w:trPr>
        <w:tc>
          <w:tcPr>
            <w:tcW w:w="1848" w:type="dxa"/>
          </w:tcPr>
          <w:p w14:paraId="28404399">
            <w:pPr>
              <w:pStyle w:val="10"/>
              <w:rPr>
                <w:sz w:val="22"/>
              </w:rPr>
            </w:pPr>
            <w:r>
              <w:rPr>
                <w:spacing w:val="-2"/>
                <w:sz w:val="22"/>
              </w:rPr>
              <w:t>LOG_E_PAY</w:t>
            </w:r>
          </w:p>
        </w:tc>
        <w:tc>
          <w:tcPr>
            <w:tcW w:w="1199" w:type="dxa"/>
          </w:tcPr>
          <w:p w14:paraId="387BD48C">
            <w:pPr>
              <w:pStyle w:val="10"/>
              <w:ind w:left="0" w:right="119"/>
              <w:jc w:val="right"/>
              <w:rPr>
                <w:sz w:val="22"/>
              </w:rPr>
            </w:pPr>
            <w:r>
              <w:rPr>
                <w:sz w:val="22"/>
              </w:rPr>
              <w:t>-</w:t>
            </w:r>
            <w:r>
              <w:rPr>
                <w:spacing w:val="-2"/>
                <w:sz w:val="22"/>
              </w:rPr>
              <w:t>2.140500</w:t>
            </w:r>
          </w:p>
        </w:tc>
        <w:tc>
          <w:tcPr>
            <w:tcW w:w="1120" w:type="dxa"/>
          </w:tcPr>
          <w:p w14:paraId="06BFB482">
            <w:pPr>
              <w:pStyle w:val="10"/>
              <w:ind w:left="77" w:right="62"/>
              <w:jc w:val="center"/>
              <w:rPr>
                <w:sz w:val="22"/>
              </w:rPr>
            </w:pPr>
            <w:r>
              <w:rPr>
                <w:spacing w:val="-2"/>
                <w:sz w:val="22"/>
              </w:rPr>
              <w:t>0.610200</w:t>
            </w:r>
          </w:p>
        </w:tc>
        <w:tc>
          <w:tcPr>
            <w:tcW w:w="1236" w:type="dxa"/>
            <w:gridSpan w:val="2"/>
          </w:tcPr>
          <w:p w14:paraId="462935F1">
            <w:pPr>
              <w:pStyle w:val="10"/>
              <w:ind w:left="133"/>
              <w:rPr>
                <w:sz w:val="22"/>
              </w:rPr>
            </w:pPr>
            <w:r>
              <w:rPr>
                <w:sz w:val="22"/>
              </w:rPr>
              <w:t>-</w:t>
            </w:r>
            <w:r>
              <w:rPr>
                <w:spacing w:val="-2"/>
                <w:sz w:val="22"/>
              </w:rPr>
              <w:t>3.507000</w:t>
            </w:r>
          </w:p>
        </w:tc>
        <w:tc>
          <w:tcPr>
            <w:tcW w:w="3703" w:type="dxa"/>
          </w:tcPr>
          <w:p w14:paraId="70D68D6D">
            <w:pPr>
              <w:pStyle w:val="10"/>
              <w:ind w:left="182"/>
              <w:rPr>
                <w:sz w:val="22"/>
              </w:rPr>
            </w:pPr>
            <w:r>
              <w:rPr>
                <w:spacing w:val="-2"/>
                <w:sz w:val="22"/>
              </w:rPr>
              <w:t>0.0066</w:t>
            </w:r>
          </w:p>
        </w:tc>
      </w:tr>
      <w:tr w14:paraId="48686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3" w:hRule="atLeast"/>
        </w:trPr>
        <w:tc>
          <w:tcPr>
            <w:tcW w:w="1848" w:type="dxa"/>
          </w:tcPr>
          <w:p w14:paraId="73020E0E">
            <w:pPr>
              <w:pStyle w:val="10"/>
              <w:rPr>
                <w:sz w:val="22"/>
              </w:rPr>
            </w:pPr>
            <w:r>
              <w:rPr>
                <w:spacing w:val="-2"/>
                <w:sz w:val="22"/>
              </w:rPr>
              <w:t>INFLATION</w:t>
            </w:r>
          </w:p>
        </w:tc>
        <w:tc>
          <w:tcPr>
            <w:tcW w:w="1199" w:type="dxa"/>
          </w:tcPr>
          <w:p w14:paraId="79AE0057">
            <w:pPr>
              <w:pStyle w:val="10"/>
              <w:ind w:left="0" w:right="139"/>
              <w:jc w:val="right"/>
              <w:rPr>
                <w:sz w:val="22"/>
              </w:rPr>
            </w:pPr>
            <w:r>
              <w:rPr>
                <w:spacing w:val="-2"/>
                <w:sz w:val="22"/>
              </w:rPr>
              <w:t>0.310200</w:t>
            </w:r>
          </w:p>
        </w:tc>
        <w:tc>
          <w:tcPr>
            <w:tcW w:w="1120" w:type="dxa"/>
          </w:tcPr>
          <w:p w14:paraId="2FCA6FB5">
            <w:pPr>
              <w:pStyle w:val="10"/>
              <w:ind w:left="77"/>
              <w:jc w:val="center"/>
              <w:rPr>
                <w:sz w:val="22"/>
              </w:rPr>
            </w:pPr>
            <w:r>
              <w:rPr>
                <w:spacing w:val="-2"/>
                <w:sz w:val="22"/>
              </w:rPr>
              <w:t>0.115000</w:t>
            </w:r>
          </w:p>
        </w:tc>
        <w:tc>
          <w:tcPr>
            <w:tcW w:w="1236" w:type="dxa"/>
            <w:gridSpan w:val="2"/>
          </w:tcPr>
          <w:p w14:paraId="2BF5E5DC">
            <w:pPr>
              <w:pStyle w:val="10"/>
              <w:ind w:left="217"/>
              <w:rPr>
                <w:sz w:val="22"/>
              </w:rPr>
            </w:pPr>
            <w:r>
              <w:rPr>
                <w:spacing w:val="-2"/>
                <w:sz w:val="22"/>
              </w:rPr>
              <w:t>2.697000</w:t>
            </w:r>
          </w:p>
        </w:tc>
        <w:tc>
          <w:tcPr>
            <w:tcW w:w="3703" w:type="dxa"/>
          </w:tcPr>
          <w:p w14:paraId="74FC47C5">
            <w:pPr>
              <w:pStyle w:val="10"/>
              <w:ind w:left="247"/>
              <w:rPr>
                <w:sz w:val="22"/>
              </w:rPr>
            </w:pPr>
            <w:r>
              <w:rPr>
                <w:spacing w:val="-2"/>
                <w:sz w:val="22"/>
              </w:rPr>
              <w:t>0.0245</w:t>
            </w:r>
          </w:p>
        </w:tc>
      </w:tr>
      <w:tr w14:paraId="2BF56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8" w:hRule="atLeast"/>
        </w:trPr>
        <w:tc>
          <w:tcPr>
            <w:tcW w:w="1848" w:type="dxa"/>
          </w:tcPr>
          <w:p w14:paraId="6EAFD75C">
            <w:pPr>
              <w:pStyle w:val="10"/>
              <w:spacing w:line="228" w:lineRule="exact"/>
              <w:rPr>
                <w:sz w:val="22"/>
              </w:rPr>
            </w:pPr>
            <w:r>
              <w:rPr>
                <w:spacing w:val="-2"/>
                <w:sz w:val="22"/>
              </w:rPr>
              <w:t>GDP_GROWTH</w:t>
            </w:r>
          </w:p>
        </w:tc>
        <w:tc>
          <w:tcPr>
            <w:tcW w:w="1199" w:type="dxa"/>
          </w:tcPr>
          <w:p w14:paraId="0A0057EB">
            <w:pPr>
              <w:pStyle w:val="10"/>
              <w:spacing w:line="228" w:lineRule="exact"/>
              <w:ind w:left="0" w:right="139"/>
              <w:jc w:val="right"/>
              <w:rPr>
                <w:sz w:val="22"/>
              </w:rPr>
            </w:pPr>
            <w:r>
              <w:rPr>
                <w:sz w:val="22"/>
              </w:rPr>
              <w:t>-</w:t>
            </w:r>
            <w:r>
              <w:rPr>
                <w:spacing w:val="-2"/>
                <w:sz w:val="22"/>
              </w:rPr>
              <w:t>0.520100</w:t>
            </w:r>
          </w:p>
        </w:tc>
        <w:tc>
          <w:tcPr>
            <w:tcW w:w="1120" w:type="dxa"/>
          </w:tcPr>
          <w:p w14:paraId="4C66DBE6">
            <w:pPr>
              <w:pStyle w:val="10"/>
              <w:spacing w:line="228" w:lineRule="exact"/>
              <w:ind w:left="0" w:right="21"/>
              <w:jc w:val="center"/>
              <w:rPr>
                <w:sz w:val="22"/>
              </w:rPr>
            </w:pPr>
            <w:r>
              <w:rPr>
                <w:spacing w:val="-2"/>
                <w:sz w:val="22"/>
              </w:rPr>
              <w:t>0.205000</w:t>
            </w:r>
          </w:p>
        </w:tc>
        <w:tc>
          <w:tcPr>
            <w:tcW w:w="1236" w:type="dxa"/>
            <w:gridSpan w:val="2"/>
          </w:tcPr>
          <w:p w14:paraId="34B4F24F">
            <w:pPr>
              <w:pStyle w:val="10"/>
              <w:spacing w:line="228" w:lineRule="exact"/>
              <w:ind w:left="114"/>
              <w:rPr>
                <w:sz w:val="22"/>
              </w:rPr>
            </w:pPr>
            <w:r>
              <w:rPr>
                <w:sz w:val="22"/>
              </w:rPr>
              <w:t>-</w:t>
            </w:r>
            <w:r>
              <w:rPr>
                <w:spacing w:val="-2"/>
                <w:sz w:val="22"/>
              </w:rPr>
              <w:t>2.537000</w:t>
            </w:r>
          </w:p>
        </w:tc>
        <w:tc>
          <w:tcPr>
            <w:tcW w:w="3703" w:type="dxa"/>
          </w:tcPr>
          <w:p w14:paraId="304ADA0F">
            <w:pPr>
              <w:pStyle w:val="10"/>
              <w:spacing w:line="228" w:lineRule="exact"/>
              <w:ind w:left="218"/>
              <w:rPr>
                <w:sz w:val="22"/>
              </w:rPr>
            </w:pPr>
            <w:r>
              <w:rPr>
                <w:spacing w:val="-2"/>
                <w:sz w:val="22"/>
              </w:rPr>
              <w:t>0.0315</w:t>
            </w:r>
          </w:p>
        </w:tc>
      </w:tr>
      <w:tr w14:paraId="30169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9106" w:type="dxa"/>
            <w:gridSpan w:val="6"/>
          </w:tcPr>
          <w:p w14:paraId="5686EB89">
            <w:pPr>
              <w:pStyle w:val="10"/>
              <w:spacing w:before="1" w:line="252" w:lineRule="exact"/>
              <w:rPr>
                <w:sz w:val="22"/>
              </w:rPr>
            </w:pPr>
            <w:r>
              <w:rPr>
                <w:spacing w:val="-2"/>
                <w:sz w:val="22"/>
              </w:rPr>
              <w:t>========================================================================</w:t>
            </w:r>
          </w:p>
          <w:p w14:paraId="038B9380">
            <w:pPr>
              <w:pStyle w:val="10"/>
              <w:tabs>
                <w:tab w:val="left" w:pos="1890"/>
                <w:tab w:val="left" w:pos="2935"/>
                <w:tab w:val="left" w:pos="5170"/>
              </w:tabs>
              <w:spacing w:line="236" w:lineRule="exact"/>
              <w:rPr>
                <w:sz w:val="22"/>
              </w:rPr>
            </w:pPr>
            <w:r>
              <w:rPr>
                <w:spacing w:val="-2"/>
                <w:sz w:val="22"/>
              </w:rPr>
              <w:t>R-squared</w:t>
            </w:r>
            <w:r>
              <w:rPr>
                <w:sz w:val="22"/>
              </w:rPr>
              <w:tab/>
            </w:r>
            <w:r>
              <w:rPr>
                <w:spacing w:val="-2"/>
                <w:sz w:val="22"/>
              </w:rPr>
              <w:t>0.784500</w:t>
            </w:r>
            <w:r>
              <w:rPr>
                <w:sz w:val="22"/>
              </w:rPr>
              <w:tab/>
            </w:r>
            <w:r>
              <w:rPr>
                <w:sz w:val="22"/>
              </w:rPr>
              <w:t>Mean</w:t>
            </w:r>
            <w:r>
              <w:rPr>
                <w:spacing w:val="-4"/>
                <w:sz w:val="22"/>
              </w:rPr>
              <w:t xml:space="preserve"> </w:t>
            </w:r>
            <w:r>
              <w:rPr>
                <w:sz w:val="22"/>
              </w:rPr>
              <w:t>dependent</w:t>
            </w:r>
            <w:r>
              <w:rPr>
                <w:spacing w:val="-4"/>
                <w:sz w:val="22"/>
              </w:rPr>
              <w:t xml:space="preserve"> </w:t>
            </w:r>
            <w:r>
              <w:rPr>
                <w:spacing w:val="-5"/>
                <w:sz w:val="22"/>
              </w:rPr>
              <w:t>var</w:t>
            </w:r>
            <w:r>
              <w:rPr>
                <w:sz w:val="22"/>
              </w:rPr>
              <w:tab/>
            </w:r>
            <w:r>
              <w:rPr>
                <w:spacing w:val="-2"/>
                <w:sz w:val="22"/>
              </w:rPr>
              <w:t>7.519286</w:t>
            </w:r>
          </w:p>
        </w:tc>
      </w:tr>
      <w:tr w14:paraId="63E33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3" w:hRule="atLeast"/>
        </w:trPr>
        <w:tc>
          <w:tcPr>
            <w:tcW w:w="1848" w:type="dxa"/>
          </w:tcPr>
          <w:p w14:paraId="57C3101F">
            <w:pPr>
              <w:pStyle w:val="10"/>
              <w:rPr>
                <w:sz w:val="22"/>
              </w:rPr>
            </w:pPr>
            <w:r>
              <w:rPr>
                <w:sz w:val="22"/>
              </w:rPr>
              <w:t>Adjusted</w:t>
            </w:r>
            <w:r>
              <w:rPr>
                <w:spacing w:val="-9"/>
                <w:sz w:val="22"/>
              </w:rPr>
              <w:t xml:space="preserve"> </w:t>
            </w:r>
            <w:r>
              <w:rPr>
                <w:sz w:val="22"/>
              </w:rPr>
              <w:t>R-</w:t>
            </w:r>
            <w:r>
              <w:rPr>
                <w:spacing w:val="-2"/>
                <w:sz w:val="22"/>
              </w:rPr>
              <w:t>squared</w:t>
            </w:r>
          </w:p>
        </w:tc>
        <w:tc>
          <w:tcPr>
            <w:tcW w:w="3060" w:type="dxa"/>
            <w:gridSpan w:val="3"/>
          </w:tcPr>
          <w:p w14:paraId="79686864">
            <w:pPr>
              <w:pStyle w:val="10"/>
              <w:tabs>
                <w:tab w:val="left" w:pos="1113"/>
              </w:tabs>
              <w:ind w:left="66"/>
              <w:rPr>
                <w:sz w:val="22"/>
              </w:rPr>
            </w:pPr>
            <w:r>
              <w:rPr>
                <w:spacing w:val="-2"/>
                <w:sz w:val="22"/>
              </w:rPr>
              <w:t>0.729600</w:t>
            </w:r>
            <w:r>
              <w:rPr>
                <w:sz w:val="22"/>
              </w:rPr>
              <w:tab/>
            </w:r>
            <w:r>
              <w:rPr>
                <w:sz w:val="22"/>
              </w:rPr>
              <w:t>S.D.</w:t>
            </w:r>
            <w:r>
              <w:rPr>
                <w:spacing w:val="-4"/>
                <w:sz w:val="22"/>
              </w:rPr>
              <w:t xml:space="preserve"> </w:t>
            </w:r>
            <w:r>
              <w:rPr>
                <w:sz w:val="22"/>
              </w:rPr>
              <w:t>dependent</w:t>
            </w:r>
            <w:r>
              <w:rPr>
                <w:spacing w:val="-3"/>
                <w:sz w:val="22"/>
              </w:rPr>
              <w:t xml:space="preserve"> </w:t>
            </w:r>
            <w:r>
              <w:rPr>
                <w:spacing w:val="-5"/>
                <w:sz w:val="22"/>
              </w:rPr>
              <w:t>var</w:t>
            </w:r>
          </w:p>
        </w:tc>
        <w:tc>
          <w:tcPr>
            <w:tcW w:w="4198" w:type="dxa"/>
            <w:gridSpan w:val="2"/>
          </w:tcPr>
          <w:p w14:paraId="49356593">
            <w:pPr>
              <w:pStyle w:val="10"/>
              <w:ind w:left="178"/>
              <w:rPr>
                <w:sz w:val="22"/>
              </w:rPr>
            </w:pPr>
            <w:r>
              <w:rPr>
                <w:spacing w:val="-2"/>
                <w:sz w:val="22"/>
              </w:rPr>
              <w:t>4.387550</w:t>
            </w:r>
          </w:p>
        </w:tc>
      </w:tr>
      <w:tr w14:paraId="45654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4" w:hRule="atLeast"/>
        </w:trPr>
        <w:tc>
          <w:tcPr>
            <w:tcW w:w="1848" w:type="dxa"/>
            <w:tcBorders>
              <w:bottom w:val="double" w:color="000000" w:sz="6" w:space="0"/>
            </w:tcBorders>
          </w:tcPr>
          <w:p w14:paraId="38B04C91">
            <w:pPr>
              <w:pStyle w:val="10"/>
              <w:spacing w:line="249" w:lineRule="exact"/>
              <w:rPr>
                <w:sz w:val="22"/>
              </w:rPr>
            </w:pPr>
            <w:r>
              <w:rPr>
                <w:spacing w:val="-2"/>
                <w:sz w:val="22"/>
              </w:rPr>
              <w:t>F-statistic</w:t>
            </w:r>
          </w:p>
          <w:p w14:paraId="4BD2D6CD">
            <w:pPr>
              <w:pStyle w:val="10"/>
              <w:spacing w:before="1" w:line="240" w:lineRule="auto"/>
              <w:rPr>
                <w:sz w:val="22"/>
              </w:rPr>
            </w:pPr>
            <w:r>
              <w:rPr>
                <w:spacing w:val="-2"/>
                <w:sz w:val="22"/>
              </w:rPr>
              <w:t>Prob(F-statistic)</w:t>
            </w:r>
          </w:p>
        </w:tc>
        <w:tc>
          <w:tcPr>
            <w:tcW w:w="3060" w:type="dxa"/>
            <w:gridSpan w:val="3"/>
            <w:tcBorders>
              <w:bottom w:val="double" w:color="000000" w:sz="6" w:space="0"/>
            </w:tcBorders>
          </w:tcPr>
          <w:p w14:paraId="1654EE47">
            <w:pPr>
              <w:pStyle w:val="10"/>
              <w:tabs>
                <w:tab w:val="left" w:pos="1106"/>
              </w:tabs>
              <w:spacing w:line="249" w:lineRule="exact"/>
              <w:ind w:left="61"/>
              <w:rPr>
                <w:sz w:val="22"/>
              </w:rPr>
            </w:pPr>
            <w:r>
              <w:rPr>
                <w:spacing w:val="-2"/>
                <w:sz w:val="22"/>
              </w:rPr>
              <w:t>12.35000</w:t>
            </w:r>
            <w:r>
              <w:rPr>
                <w:sz w:val="22"/>
              </w:rPr>
              <w:tab/>
            </w:r>
            <w:r>
              <w:rPr>
                <w:spacing w:val="-2"/>
                <w:sz w:val="22"/>
              </w:rPr>
              <w:t xml:space="preserve">Durbin-Watson </w:t>
            </w:r>
            <w:r>
              <w:rPr>
                <w:spacing w:val="-4"/>
                <w:sz w:val="22"/>
              </w:rPr>
              <w:t>stat</w:t>
            </w:r>
          </w:p>
          <w:p w14:paraId="07E3F381">
            <w:pPr>
              <w:pStyle w:val="10"/>
              <w:spacing w:before="1" w:line="240" w:lineRule="auto"/>
              <w:ind w:left="73"/>
              <w:rPr>
                <w:sz w:val="22"/>
              </w:rPr>
            </w:pPr>
            <w:r>
              <w:rPr>
                <w:spacing w:val="-2"/>
                <w:sz w:val="22"/>
              </w:rPr>
              <w:t>0.001200</w:t>
            </w:r>
          </w:p>
        </w:tc>
        <w:tc>
          <w:tcPr>
            <w:tcW w:w="4198" w:type="dxa"/>
            <w:gridSpan w:val="2"/>
            <w:tcBorders>
              <w:bottom w:val="double" w:color="000000" w:sz="6" w:space="0"/>
            </w:tcBorders>
          </w:tcPr>
          <w:p w14:paraId="187212DE">
            <w:pPr>
              <w:pStyle w:val="10"/>
              <w:spacing w:line="249" w:lineRule="exact"/>
              <w:ind w:left="197"/>
              <w:rPr>
                <w:sz w:val="22"/>
              </w:rPr>
            </w:pPr>
            <w:r>
              <w:rPr>
                <w:spacing w:val="-2"/>
                <w:sz w:val="22"/>
              </w:rPr>
              <w:t>1.850200</w:t>
            </w:r>
          </w:p>
        </w:tc>
      </w:tr>
    </w:tbl>
    <w:p w14:paraId="2D8ABC85">
      <w:pPr>
        <w:pStyle w:val="5"/>
        <w:ind w:left="0"/>
      </w:pPr>
    </w:p>
    <w:p w14:paraId="71160266">
      <w:pPr>
        <w:pStyle w:val="5"/>
        <w:ind w:left="0"/>
      </w:pPr>
    </w:p>
    <w:p w14:paraId="13C19E5E">
      <w:pPr>
        <w:pStyle w:val="5"/>
        <w:ind w:left="0"/>
      </w:pPr>
    </w:p>
    <w:p w14:paraId="11E6B37E">
      <w:pPr>
        <w:pStyle w:val="5"/>
        <w:spacing w:before="68"/>
        <w:ind w:left="0"/>
      </w:pPr>
    </w:p>
    <w:p w14:paraId="4428B71F">
      <w:pPr>
        <w:pStyle w:val="2"/>
        <w:numPr>
          <w:ilvl w:val="1"/>
          <w:numId w:val="5"/>
        </w:numPr>
        <w:tabs>
          <w:tab w:val="left" w:pos="496"/>
        </w:tabs>
        <w:spacing w:before="0" w:after="0" w:line="240" w:lineRule="auto"/>
        <w:ind w:left="496" w:right="0" w:hanging="331"/>
        <w:jc w:val="left"/>
      </w:pPr>
      <w:r>
        <w:t>Interpretation</w:t>
      </w:r>
      <w:r>
        <w:rPr>
          <w:spacing w:val="-8"/>
        </w:rPr>
        <w:t xml:space="preserve"> </w:t>
      </w:r>
      <w:r>
        <w:t>of</w:t>
      </w:r>
      <w:r>
        <w:rPr>
          <w:spacing w:val="-7"/>
        </w:rPr>
        <w:t xml:space="preserve"> </w:t>
      </w:r>
      <w:r>
        <w:rPr>
          <w:spacing w:val="-2"/>
        </w:rPr>
        <w:t>Results</w:t>
      </w:r>
    </w:p>
    <w:p w14:paraId="2968C449">
      <w:pPr>
        <w:pStyle w:val="5"/>
        <w:spacing w:before="34"/>
        <w:ind w:left="0"/>
        <w:rPr>
          <w:b/>
        </w:rPr>
      </w:pPr>
    </w:p>
    <w:p w14:paraId="78A4DF11">
      <w:pPr>
        <w:spacing w:before="1" w:line="360" w:lineRule="auto"/>
        <w:ind w:left="165" w:right="164" w:firstLine="0"/>
        <w:jc w:val="both"/>
        <w:rPr>
          <w:sz w:val="22"/>
        </w:rPr>
      </w:pPr>
      <w:r>
        <w:rPr>
          <w:b/>
          <w:sz w:val="22"/>
        </w:rPr>
        <w:t xml:space="preserve">Effect of Interest Rate Spread (Monitoring Cost): </w:t>
      </w:r>
      <w:r>
        <w:rPr>
          <w:sz w:val="22"/>
        </w:rPr>
        <w:t>The coefficient for SPREAD is negative and significant (-1.25, p &lt; 0.05).</w:t>
      </w:r>
    </w:p>
    <w:p w14:paraId="7BAD8C5A">
      <w:pPr>
        <w:pStyle w:val="5"/>
        <w:spacing w:before="160" w:line="360" w:lineRule="auto"/>
        <w:ind w:right="162"/>
        <w:jc w:val="both"/>
      </w:pPr>
      <w:r>
        <w:t>Interpretation:</w:t>
      </w:r>
      <w:r>
        <w:rPr>
          <w:spacing w:val="-11"/>
        </w:rPr>
        <w:t xml:space="preserve"> </w:t>
      </w:r>
      <w:r>
        <w:t>This</w:t>
      </w:r>
      <w:r>
        <w:rPr>
          <w:spacing w:val="-7"/>
        </w:rPr>
        <w:t xml:space="preserve"> </w:t>
      </w:r>
      <w:r>
        <w:t>validates</w:t>
      </w:r>
      <w:r>
        <w:rPr>
          <w:spacing w:val="-7"/>
        </w:rPr>
        <w:t xml:space="preserve"> </w:t>
      </w:r>
      <w:r>
        <w:t>the</w:t>
      </w:r>
      <w:r>
        <w:rPr>
          <w:spacing w:val="-7"/>
        </w:rPr>
        <w:t xml:space="preserve"> </w:t>
      </w:r>
      <w:r>
        <w:t>hypothesis,</w:t>
      </w:r>
      <w:r>
        <w:rPr>
          <w:spacing w:val="-10"/>
        </w:rPr>
        <w:t xml:space="preserve"> </w:t>
      </w:r>
      <w:r>
        <w:t>thus</w:t>
      </w:r>
      <w:r>
        <w:rPr>
          <w:spacing w:val="-9"/>
        </w:rPr>
        <w:t xml:space="preserve"> </w:t>
      </w:r>
      <w:r>
        <w:t>a</w:t>
      </w:r>
      <w:r>
        <w:rPr>
          <w:spacing w:val="-7"/>
        </w:rPr>
        <w:t xml:space="preserve"> </w:t>
      </w:r>
      <w:r>
        <w:t>higher</w:t>
      </w:r>
      <w:r>
        <w:rPr>
          <w:spacing w:val="-8"/>
        </w:rPr>
        <w:t xml:space="preserve"> </w:t>
      </w:r>
      <w:r>
        <w:t>spread</w:t>
      </w:r>
      <w:r>
        <w:rPr>
          <w:spacing w:val="-9"/>
        </w:rPr>
        <w:t xml:space="preserve"> </w:t>
      </w:r>
      <w:r>
        <w:t>indicates</w:t>
      </w:r>
      <w:r>
        <w:rPr>
          <w:spacing w:val="-9"/>
        </w:rPr>
        <w:t xml:space="preserve"> </w:t>
      </w:r>
      <w:r>
        <w:t>lenders</w:t>
      </w:r>
      <w:r>
        <w:rPr>
          <w:spacing w:val="-12"/>
        </w:rPr>
        <w:t xml:space="preserve"> </w:t>
      </w:r>
      <w:r>
        <w:t>are</w:t>
      </w:r>
      <w:r>
        <w:rPr>
          <w:spacing w:val="-9"/>
        </w:rPr>
        <w:t xml:space="preserve"> </w:t>
      </w:r>
      <w:r>
        <w:t>pricing</w:t>
      </w:r>
      <w:r>
        <w:rPr>
          <w:spacing w:val="-10"/>
        </w:rPr>
        <w:t xml:space="preserve"> </w:t>
      </w:r>
      <w:r>
        <w:t>in</w:t>
      </w:r>
      <w:r>
        <w:rPr>
          <w:spacing w:val="-10"/>
        </w:rPr>
        <w:t xml:space="preserve"> </w:t>
      </w:r>
      <w:r>
        <w:t>higher operational</w:t>
      </w:r>
      <w:r>
        <w:rPr>
          <w:spacing w:val="-1"/>
        </w:rPr>
        <w:t xml:space="preserve"> </w:t>
      </w:r>
      <w:r>
        <w:t>costs</w:t>
      </w:r>
      <w:r>
        <w:rPr>
          <w:spacing w:val="-4"/>
        </w:rPr>
        <w:t xml:space="preserve"> </w:t>
      </w:r>
      <w:r>
        <w:t>(monitoring).</w:t>
      </w:r>
      <w:r>
        <w:rPr>
          <w:spacing w:val="-13"/>
        </w:rPr>
        <w:t xml:space="preserve"> </w:t>
      </w:r>
      <w:r>
        <w:t>Also,</w:t>
      </w:r>
      <w:r>
        <w:rPr>
          <w:spacing w:val="-2"/>
        </w:rPr>
        <w:t xml:space="preserve"> </w:t>
      </w:r>
      <w:r>
        <w:t>the</w:t>
      </w:r>
      <w:r>
        <w:rPr>
          <w:spacing w:val="-2"/>
        </w:rPr>
        <w:t xml:space="preserve"> </w:t>
      </w:r>
      <w:r>
        <w:t>result</w:t>
      </w:r>
      <w:r>
        <w:rPr>
          <w:spacing w:val="-4"/>
        </w:rPr>
        <w:t xml:space="preserve"> </w:t>
      </w:r>
      <w:r>
        <w:t>shows</w:t>
      </w:r>
      <w:r>
        <w:rPr>
          <w:spacing w:val="-5"/>
        </w:rPr>
        <w:t xml:space="preserve"> </w:t>
      </w:r>
      <w:r>
        <w:t>that</w:t>
      </w:r>
      <w:r>
        <w:rPr>
          <w:spacing w:val="-1"/>
        </w:rPr>
        <w:t xml:space="preserve"> </w:t>
      </w:r>
      <w:r>
        <w:t>when</w:t>
      </w:r>
      <w:r>
        <w:rPr>
          <w:spacing w:val="-4"/>
        </w:rPr>
        <w:t xml:space="preserve"> </w:t>
      </w:r>
      <w:r>
        <w:t>the</w:t>
      </w:r>
      <w:r>
        <w:rPr>
          <w:spacing w:val="-4"/>
        </w:rPr>
        <w:t xml:space="preserve"> </w:t>
      </w:r>
      <w:r>
        <w:t>industry</w:t>
      </w:r>
      <w:r>
        <w:rPr>
          <w:spacing w:val="-2"/>
        </w:rPr>
        <w:t xml:space="preserve"> </w:t>
      </w:r>
      <w:r>
        <w:t>spends</w:t>
      </w:r>
      <w:r>
        <w:rPr>
          <w:spacing w:val="-2"/>
        </w:rPr>
        <w:t xml:space="preserve"> </w:t>
      </w:r>
      <w:r>
        <w:t>more</w:t>
      </w:r>
      <w:r>
        <w:rPr>
          <w:spacing w:val="-4"/>
        </w:rPr>
        <w:t xml:space="preserve"> </w:t>
      </w:r>
      <w:r>
        <w:t>(represented by the spread charged) on administration and risk premiums, the NPL</w:t>
      </w:r>
      <w:r>
        <w:rPr>
          <w:spacing w:val="-1"/>
        </w:rPr>
        <w:t xml:space="preserve"> </w:t>
      </w:r>
      <w:r>
        <w:t>ratio decreases.</w:t>
      </w:r>
    </w:p>
    <w:p w14:paraId="7F64C2EE">
      <w:pPr>
        <w:spacing w:before="160" w:line="360" w:lineRule="auto"/>
        <w:ind w:left="165" w:right="163" w:firstLine="0"/>
        <w:jc w:val="both"/>
        <w:rPr>
          <w:sz w:val="22"/>
        </w:rPr>
      </w:pPr>
      <w:r>
        <w:rPr>
          <w:b/>
          <w:sz w:val="22"/>
        </w:rPr>
        <w:t>Effect</w:t>
      </w:r>
      <w:r>
        <w:rPr>
          <w:b/>
          <w:spacing w:val="-4"/>
          <w:sz w:val="22"/>
        </w:rPr>
        <w:t xml:space="preserve"> </w:t>
      </w:r>
      <w:r>
        <w:rPr>
          <w:b/>
          <w:sz w:val="22"/>
        </w:rPr>
        <w:t>of</w:t>
      </w:r>
      <w:r>
        <w:rPr>
          <w:b/>
          <w:spacing w:val="-4"/>
          <w:sz w:val="22"/>
        </w:rPr>
        <w:t xml:space="preserve"> </w:t>
      </w:r>
      <w:r>
        <w:rPr>
          <w:b/>
          <w:sz w:val="22"/>
        </w:rPr>
        <w:t>Electronic</w:t>
      </w:r>
      <w:r>
        <w:rPr>
          <w:b/>
          <w:spacing w:val="-4"/>
          <w:sz w:val="22"/>
        </w:rPr>
        <w:t xml:space="preserve"> </w:t>
      </w:r>
      <w:r>
        <w:rPr>
          <w:b/>
          <w:sz w:val="22"/>
        </w:rPr>
        <w:t>Payments</w:t>
      </w:r>
      <w:r>
        <w:rPr>
          <w:b/>
          <w:spacing w:val="-4"/>
          <w:sz w:val="22"/>
        </w:rPr>
        <w:t xml:space="preserve"> </w:t>
      </w:r>
      <w:r>
        <w:rPr>
          <w:b/>
          <w:sz w:val="22"/>
        </w:rPr>
        <w:t>(Tech</w:t>
      </w:r>
      <w:r>
        <w:rPr>
          <w:b/>
          <w:spacing w:val="-7"/>
          <w:sz w:val="22"/>
        </w:rPr>
        <w:t xml:space="preserve"> </w:t>
      </w:r>
      <w:r>
        <w:rPr>
          <w:b/>
          <w:sz w:val="22"/>
        </w:rPr>
        <w:t>Monitoring):</w:t>
      </w:r>
      <w:r>
        <w:rPr>
          <w:b/>
          <w:spacing w:val="-5"/>
          <w:sz w:val="22"/>
        </w:rPr>
        <w:t xml:space="preserve"> </w:t>
      </w:r>
      <w:r>
        <w:rPr>
          <w:sz w:val="22"/>
        </w:rPr>
        <w:t>The</w:t>
      </w:r>
      <w:r>
        <w:rPr>
          <w:spacing w:val="-4"/>
          <w:sz w:val="22"/>
        </w:rPr>
        <w:t xml:space="preserve"> </w:t>
      </w:r>
      <w:r>
        <w:rPr>
          <w:sz w:val="22"/>
        </w:rPr>
        <w:t>coefficient</w:t>
      </w:r>
      <w:r>
        <w:rPr>
          <w:spacing w:val="-4"/>
          <w:sz w:val="22"/>
        </w:rPr>
        <w:t xml:space="preserve"> </w:t>
      </w:r>
      <w:r>
        <w:rPr>
          <w:sz w:val="22"/>
        </w:rPr>
        <w:t>for</w:t>
      </w:r>
      <w:r>
        <w:rPr>
          <w:spacing w:val="-4"/>
          <w:sz w:val="22"/>
        </w:rPr>
        <w:t xml:space="preserve"> </w:t>
      </w:r>
      <w:r>
        <w:rPr>
          <w:sz w:val="22"/>
        </w:rPr>
        <w:t>LOG_E_PAY</w:t>
      </w:r>
      <w:r>
        <w:rPr>
          <w:spacing w:val="-11"/>
          <w:sz w:val="22"/>
        </w:rPr>
        <w:t xml:space="preserve"> </w:t>
      </w:r>
      <w:r>
        <w:rPr>
          <w:sz w:val="22"/>
        </w:rPr>
        <w:t>is</w:t>
      </w:r>
      <w:r>
        <w:rPr>
          <w:spacing w:val="-4"/>
          <w:sz w:val="22"/>
        </w:rPr>
        <w:t xml:space="preserve"> </w:t>
      </w:r>
      <w:r>
        <w:rPr>
          <w:sz w:val="22"/>
        </w:rPr>
        <w:t>negative</w:t>
      </w:r>
      <w:r>
        <w:rPr>
          <w:spacing w:val="-4"/>
          <w:sz w:val="22"/>
        </w:rPr>
        <w:t xml:space="preserve"> </w:t>
      </w:r>
      <w:r>
        <w:rPr>
          <w:sz w:val="22"/>
        </w:rPr>
        <w:t>and significant (-2.14, p &lt; 0.01).</w:t>
      </w:r>
    </w:p>
    <w:p w14:paraId="581013A3">
      <w:pPr>
        <w:spacing w:after="0" w:line="360" w:lineRule="auto"/>
        <w:jc w:val="both"/>
        <w:rPr>
          <w:sz w:val="22"/>
        </w:rPr>
        <w:sectPr>
          <w:pgSz w:w="11910" w:h="16840"/>
          <w:pgMar w:top="1360" w:right="1275" w:bottom="280" w:left="1275" w:header="720" w:footer="720" w:gutter="0"/>
          <w:cols w:space="720" w:num="1"/>
        </w:sectPr>
      </w:pPr>
    </w:p>
    <w:p w14:paraId="27C61331">
      <w:pPr>
        <w:pStyle w:val="5"/>
        <w:spacing w:before="62" w:line="360" w:lineRule="auto"/>
        <w:ind w:right="163"/>
        <w:jc w:val="both"/>
      </w:pPr>
      <w:r>
        <w:t>Interpretation: This is a crucial finding. The explosive growth of electronic payments in Nigeria (NIP/Mobile money) has a strong risk-reducing effect.</w:t>
      </w:r>
      <w:r>
        <w:rPr>
          <w:spacing w:val="-10"/>
        </w:rPr>
        <w:t xml:space="preserve"> </w:t>
      </w:r>
      <w:r>
        <w:t>As the financial system becomes more digital, remote monitoring becomes more effective because lenders have transparent data on borrower cash flows, reducing the information asymmetry that causes defaults.</w:t>
      </w:r>
    </w:p>
    <w:p w14:paraId="36AF002F">
      <w:pPr>
        <w:pStyle w:val="5"/>
        <w:spacing w:before="160"/>
        <w:jc w:val="both"/>
      </w:pPr>
      <w:r>
        <w:t>Control</w:t>
      </w:r>
      <w:r>
        <w:rPr>
          <w:spacing w:val="-8"/>
        </w:rPr>
        <w:t xml:space="preserve"> </w:t>
      </w:r>
      <w:r>
        <w:rPr>
          <w:spacing w:val="-2"/>
        </w:rPr>
        <w:t>Variables:</w:t>
      </w:r>
    </w:p>
    <w:p w14:paraId="71147096">
      <w:pPr>
        <w:pStyle w:val="5"/>
        <w:spacing w:before="34"/>
        <w:ind w:left="0"/>
      </w:pPr>
    </w:p>
    <w:p w14:paraId="0771C7AD">
      <w:pPr>
        <w:pStyle w:val="5"/>
        <w:spacing w:line="511" w:lineRule="auto"/>
        <w:ind w:right="326"/>
      </w:pPr>
      <w:r>
        <w:t>Inflation</w:t>
      </w:r>
      <w:r>
        <w:rPr>
          <w:spacing w:val="-5"/>
        </w:rPr>
        <w:t xml:space="preserve"> </w:t>
      </w:r>
      <w:r>
        <w:t>(Positive):</w:t>
      </w:r>
      <w:r>
        <w:rPr>
          <w:spacing w:val="-4"/>
        </w:rPr>
        <w:t xml:space="preserve"> </w:t>
      </w:r>
      <w:r>
        <w:t>Higher</w:t>
      </w:r>
      <w:r>
        <w:rPr>
          <w:spacing w:val="-4"/>
        </w:rPr>
        <w:t xml:space="preserve"> </w:t>
      </w:r>
      <w:r>
        <w:t>inflation</w:t>
      </w:r>
      <w:r>
        <w:rPr>
          <w:spacing w:val="-5"/>
        </w:rPr>
        <w:t xml:space="preserve"> </w:t>
      </w:r>
      <w:r>
        <w:t>significantly</w:t>
      </w:r>
      <w:r>
        <w:rPr>
          <w:spacing w:val="-5"/>
        </w:rPr>
        <w:t xml:space="preserve"> </w:t>
      </w:r>
      <w:r>
        <w:t>increases</w:t>
      </w:r>
      <w:r>
        <w:rPr>
          <w:spacing w:val="-2"/>
        </w:rPr>
        <w:t xml:space="preserve"> </w:t>
      </w:r>
      <w:r>
        <w:t>NPLs,</w:t>
      </w:r>
      <w:r>
        <w:rPr>
          <w:spacing w:val="-2"/>
        </w:rPr>
        <w:t xml:space="preserve"> </w:t>
      </w:r>
      <w:r>
        <w:t>as</w:t>
      </w:r>
      <w:r>
        <w:rPr>
          <w:spacing w:val="-4"/>
        </w:rPr>
        <w:t xml:space="preserve"> </w:t>
      </w:r>
      <w:r>
        <w:t>it</w:t>
      </w:r>
      <w:r>
        <w:rPr>
          <w:spacing w:val="-4"/>
        </w:rPr>
        <w:t xml:space="preserve"> </w:t>
      </w:r>
      <w:r>
        <w:t>erodes</w:t>
      </w:r>
      <w:r>
        <w:rPr>
          <w:spacing w:val="-2"/>
        </w:rPr>
        <w:t xml:space="preserve"> </w:t>
      </w:r>
      <w:r>
        <w:t>borrower</w:t>
      </w:r>
      <w:r>
        <w:rPr>
          <w:spacing w:val="-1"/>
        </w:rPr>
        <w:t xml:space="preserve"> </w:t>
      </w:r>
      <w:r>
        <w:t>income. GDP Growth (Negative): Economic growth helps borrowers repay, lowering NPLs.</w:t>
      </w:r>
    </w:p>
    <w:p w14:paraId="5A69885A">
      <w:pPr>
        <w:pStyle w:val="2"/>
        <w:spacing w:before="62"/>
        <w:ind w:left="165" w:firstLine="0"/>
      </w:pPr>
      <w:r>
        <w:t xml:space="preserve">4 </w:t>
      </w:r>
      <w:r>
        <w:rPr>
          <w:spacing w:val="-2"/>
        </w:rPr>
        <w:t>Conclusion</w:t>
      </w:r>
    </w:p>
    <w:p w14:paraId="19C1ECD9">
      <w:pPr>
        <w:pStyle w:val="5"/>
        <w:spacing w:before="35"/>
        <w:ind w:left="0"/>
        <w:rPr>
          <w:b/>
        </w:rPr>
      </w:pPr>
    </w:p>
    <w:p w14:paraId="16B49985">
      <w:pPr>
        <w:pStyle w:val="5"/>
        <w:spacing w:line="360" w:lineRule="auto"/>
        <w:ind w:right="162"/>
        <w:jc w:val="both"/>
      </w:pPr>
      <w:r>
        <w:t>Based on the analysis of time-series data from 2010 to 2023, the</w:t>
      </w:r>
      <w:r>
        <w:rPr>
          <w:spacing w:val="-1"/>
        </w:rPr>
        <w:t xml:space="preserve"> </w:t>
      </w:r>
      <w:r>
        <w:t>study concludes that loan monitoring is not merely a procedural formality but a critical determinant of asset quality. The empirical results validate</w:t>
      </w:r>
      <w:r>
        <w:rPr>
          <w:spacing w:val="-13"/>
        </w:rPr>
        <w:t xml:space="preserve"> </w:t>
      </w:r>
      <w:r>
        <w:t>the</w:t>
      </w:r>
      <w:r>
        <w:rPr>
          <w:spacing w:val="-14"/>
        </w:rPr>
        <w:t xml:space="preserve"> </w:t>
      </w:r>
      <w:r>
        <w:t>Agency</w:t>
      </w:r>
      <w:r>
        <w:rPr>
          <w:spacing w:val="-11"/>
        </w:rPr>
        <w:t xml:space="preserve"> </w:t>
      </w:r>
      <w:r>
        <w:t>Theory,</w:t>
      </w:r>
      <w:r>
        <w:rPr>
          <w:spacing w:val="-8"/>
        </w:rPr>
        <w:t xml:space="preserve"> </w:t>
      </w:r>
      <w:r>
        <w:t>confirming</w:t>
      </w:r>
      <w:r>
        <w:rPr>
          <w:spacing w:val="-8"/>
        </w:rPr>
        <w:t xml:space="preserve"> </w:t>
      </w:r>
      <w:r>
        <w:t>that</w:t>
      </w:r>
      <w:r>
        <w:rPr>
          <w:spacing w:val="-7"/>
        </w:rPr>
        <w:t xml:space="preserve"> </w:t>
      </w:r>
      <w:r>
        <w:t>agency</w:t>
      </w:r>
      <w:r>
        <w:rPr>
          <w:spacing w:val="-6"/>
        </w:rPr>
        <w:t xml:space="preserve"> </w:t>
      </w:r>
      <w:r>
        <w:t>costs</w:t>
      </w:r>
      <w:r>
        <w:rPr>
          <w:spacing w:val="-8"/>
        </w:rPr>
        <w:t xml:space="preserve"> </w:t>
      </w:r>
      <w:r>
        <w:t>(expenditure</w:t>
      </w:r>
      <w:r>
        <w:rPr>
          <w:spacing w:val="-8"/>
        </w:rPr>
        <w:t xml:space="preserve"> </w:t>
      </w:r>
      <w:r>
        <w:t>on</w:t>
      </w:r>
      <w:r>
        <w:rPr>
          <w:spacing w:val="-8"/>
        </w:rPr>
        <w:t xml:space="preserve"> </w:t>
      </w:r>
      <w:r>
        <w:t>monitoring)</w:t>
      </w:r>
      <w:r>
        <w:rPr>
          <w:spacing w:val="-7"/>
        </w:rPr>
        <w:t xml:space="preserve"> </w:t>
      </w:r>
      <w:r>
        <w:t>are</w:t>
      </w:r>
      <w:r>
        <w:rPr>
          <w:spacing w:val="-8"/>
        </w:rPr>
        <w:t xml:space="preserve"> </w:t>
      </w:r>
      <w:r>
        <w:t>necessary</w:t>
      </w:r>
      <w:r>
        <w:rPr>
          <w:spacing w:val="-8"/>
        </w:rPr>
        <w:t xml:space="preserve"> </w:t>
      </w:r>
      <w:r>
        <w:t>to align borrower behavior with lender expectations. Specifically, the study found a significant negative relationship between the Interest Rate Spread and the Non-Performing Loan (NPL) ratio.</w:t>
      </w:r>
      <w:r>
        <w:rPr>
          <w:spacing w:val="-5"/>
        </w:rPr>
        <w:t xml:space="preserve"> </w:t>
      </w:r>
      <w:r>
        <w:t>This implies that lenders who maintain a healthy spread sufficient to cover the high operational costs of rigorous supervision</w:t>
      </w:r>
      <w:r>
        <w:rPr>
          <w:spacing w:val="-7"/>
        </w:rPr>
        <w:t xml:space="preserve"> </w:t>
      </w:r>
      <w:r>
        <w:t>achieve</w:t>
      </w:r>
      <w:r>
        <w:rPr>
          <w:spacing w:val="-4"/>
        </w:rPr>
        <w:t xml:space="preserve"> </w:t>
      </w:r>
      <w:r>
        <w:t>significantly</w:t>
      </w:r>
      <w:r>
        <w:rPr>
          <w:spacing w:val="-7"/>
        </w:rPr>
        <w:t xml:space="preserve"> </w:t>
      </w:r>
      <w:r>
        <w:t>lower</w:t>
      </w:r>
      <w:r>
        <w:rPr>
          <w:spacing w:val="-6"/>
        </w:rPr>
        <w:t xml:space="preserve"> </w:t>
      </w:r>
      <w:r>
        <w:t>default</w:t>
      </w:r>
      <w:r>
        <w:rPr>
          <w:spacing w:val="-6"/>
        </w:rPr>
        <w:t xml:space="preserve"> </w:t>
      </w:r>
      <w:r>
        <w:t>rates</w:t>
      </w:r>
      <w:r>
        <w:rPr>
          <w:spacing w:val="-6"/>
        </w:rPr>
        <w:t xml:space="preserve"> </w:t>
      </w:r>
      <w:r>
        <w:t>than</w:t>
      </w:r>
      <w:r>
        <w:rPr>
          <w:spacing w:val="-5"/>
        </w:rPr>
        <w:t xml:space="preserve"> </w:t>
      </w:r>
      <w:r>
        <w:t>those</w:t>
      </w:r>
      <w:r>
        <w:rPr>
          <w:spacing w:val="-4"/>
        </w:rPr>
        <w:t xml:space="preserve"> </w:t>
      </w:r>
      <w:r>
        <w:t>who</w:t>
      </w:r>
      <w:r>
        <w:rPr>
          <w:spacing w:val="-7"/>
        </w:rPr>
        <w:t xml:space="preserve"> </w:t>
      </w:r>
      <w:r>
        <w:t>attempt</w:t>
      </w:r>
      <w:r>
        <w:rPr>
          <w:spacing w:val="-4"/>
        </w:rPr>
        <w:t xml:space="preserve"> </w:t>
      </w:r>
      <w:r>
        <w:t>to</w:t>
      </w:r>
      <w:r>
        <w:rPr>
          <w:spacing w:val="-5"/>
        </w:rPr>
        <w:t xml:space="preserve"> </w:t>
      </w:r>
      <w:r>
        <w:t>compete</w:t>
      </w:r>
      <w:r>
        <w:rPr>
          <w:spacing w:val="-7"/>
        </w:rPr>
        <w:t xml:space="preserve"> </w:t>
      </w:r>
      <w:r>
        <w:t>solely</w:t>
      </w:r>
      <w:r>
        <w:rPr>
          <w:spacing w:val="-5"/>
        </w:rPr>
        <w:t xml:space="preserve"> </w:t>
      </w:r>
      <w:r>
        <w:t>on</w:t>
      </w:r>
      <w:r>
        <w:rPr>
          <w:spacing w:val="-7"/>
        </w:rPr>
        <w:t xml:space="preserve"> </w:t>
      </w:r>
      <w:r>
        <w:t>price by cutting back on monitoring infrastructure.</w:t>
      </w:r>
    </w:p>
    <w:p w14:paraId="7A581845">
      <w:pPr>
        <w:pStyle w:val="5"/>
        <w:spacing w:before="159" w:line="360" w:lineRule="auto"/>
        <w:ind w:right="159"/>
        <w:jc w:val="both"/>
      </w:pPr>
      <w:r>
        <w:t>Furthermore, the study establishes that the digital revolution in Nigeria’s payment system is a potent risk mitigation tool. The strong negative correlation between the volume of electronic payments and NPLs suggests that the digital footprint left by borrowers allows lenders to monitor financial behavior with high</w:t>
      </w:r>
      <w:r>
        <w:rPr>
          <w:spacing w:val="-2"/>
        </w:rPr>
        <w:t xml:space="preserve"> </w:t>
      </w:r>
      <w:r>
        <w:t>level precision.</w:t>
      </w:r>
      <w:r>
        <w:rPr>
          <w:spacing w:val="-5"/>
        </w:rPr>
        <w:t xml:space="preserve"> </w:t>
      </w:r>
      <w:r>
        <w:t>This</w:t>
      </w:r>
      <w:r>
        <w:rPr>
          <w:spacing w:val="-2"/>
        </w:rPr>
        <w:t xml:space="preserve"> </w:t>
      </w:r>
      <w:r>
        <w:t>transition from manual,</w:t>
      </w:r>
      <w:r>
        <w:rPr>
          <w:spacing w:val="-2"/>
        </w:rPr>
        <w:t xml:space="preserve"> </w:t>
      </w:r>
      <w:r>
        <w:t>sporadic</w:t>
      </w:r>
      <w:r>
        <w:rPr>
          <w:spacing w:val="-2"/>
        </w:rPr>
        <w:t xml:space="preserve"> </w:t>
      </w:r>
      <w:r>
        <w:t>monitoring</w:t>
      </w:r>
      <w:r>
        <w:rPr>
          <w:spacing w:val="-2"/>
        </w:rPr>
        <w:t xml:space="preserve"> </w:t>
      </w:r>
      <w:r>
        <w:t>to continuous, data-driven surveillance has significantly reduced the information asymmetry that historically plagued the sector. However, the study also notes that macroeconomic volatility, particularly inflation, remains a potent threat that can erode the benefits of even the most robust monitoring systems.</w:t>
      </w:r>
    </w:p>
    <w:p w14:paraId="07B4CFD1">
      <w:pPr>
        <w:pStyle w:val="5"/>
        <w:spacing w:before="161"/>
        <w:jc w:val="both"/>
      </w:pPr>
      <w:r>
        <w:t>In</w:t>
      </w:r>
      <w:r>
        <w:rPr>
          <w:spacing w:val="-6"/>
        </w:rPr>
        <w:t xml:space="preserve"> </w:t>
      </w:r>
      <w:r>
        <w:t>light</w:t>
      </w:r>
      <w:r>
        <w:rPr>
          <w:spacing w:val="-2"/>
        </w:rPr>
        <w:t xml:space="preserve"> </w:t>
      </w:r>
      <w:r>
        <w:t>of</w:t>
      </w:r>
      <w:r>
        <w:rPr>
          <w:spacing w:val="-5"/>
        </w:rPr>
        <w:t xml:space="preserve"> </w:t>
      </w:r>
      <w:r>
        <w:t>the</w:t>
      </w:r>
      <w:r>
        <w:rPr>
          <w:spacing w:val="-6"/>
        </w:rPr>
        <w:t xml:space="preserve"> </w:t>
      </w:r>
      <w:r>
        <w:t>findings,</w:t>
      </w:r>
      <w:r>
        <w:rPr>
          <w:spacing w:val="-5"/>
        </w:rPr>
        <w:t xml:space="preserve"> </w:t>
      </w:r>
      <w:r>
        <w:t>the</w:t>
      </w:r>
      <w:r>
        <w:rPr>
          <w:spacing w:val="-5"/>
        </w:rPr>
        <w:t xml:space="preserve"> </w:t>
      </w:r>
      <w:r>
        <w:t>following</w:t>
      </w:r>
      <w:r>
        <w:rPr>
          <w:spacing w:val="-3"/>
        </w:rPr>
        <w:t xml:space="preserve"> </w:t>
      </w:r>
      <w:r>
        <w:t>recommendations</w:t>
      </w:r>
      <w:r>
        <w:rPr>
          <w:spacing w:val="-1"/>
        </w:rPr>
        <w:t xml:space="preserve"> </w:t>
      </w:r>
      <w:r>
        <w:t>could</w:t>
      </w:r>
      <w:r>
        <w:rPr>
          <w:spacing w:val="-3"/>
        </w:rPr>
        <w:t xml:space="preserve"> </w:t>
      </w:r>
      <w:r>
        <w:t>be</w:t>
      </w:r>
      <w:r>
        <w:rPr>
          <w:spacing w:val="-5"/>
        </w:rPr>
        <w:t xml:space="preserve"> </w:t>
      </w:r>
      <w:r>
        <w:rPr>
          <w:spacing w:val="-2"/>
        </w:rPr>
        <w:t>adopted:</w:t>
      </w:r>
    </w:p>
    <w:p w14:paraId="174AD41C">
      <w:pPr>
        <w:pStyle w:val="5"/>
        <w:spacing w:before="34"/>
        <w:ind w:left="0"/>
      </w:pPr>
    </w:p>
    <w:p w14:paraId="7C8D4EDE">
      <w:pPr>
        <w:pStyle w:val="2"/>
        <w:spacing w:before="0"/>
        <w:ind w:left="165" w:firstLine="0"/>
        <w:jc w:val="left"/>
      </w:pPr>
      <w:r>
        <w:t>1.</w:t>
      </w:r>
      <w:r>
        <w:rPr>
          <w:spacing w:val="-13"/>
        </w:rPr>
        <w:t xml:space="preserve"> </w:t>
      </w:r>
      <w:r>
        <w:t>Institutionalization</w:t>
      </w:r>
      <w:r>
        <w:rPr>
          <w:spacing w:val="-10"/>
        </w:rPr>
        <w:t xml:space="preserve"> </w:t>
      </w:r>
      <w:r>
        <w:t>of</w:t>
      </w:r>
      <w:r>
        <w:rPr>
          <w:spacing w:val="-12"/>
        </w:rPr>
        <w:t xml:space="preserve"> </w:t>
      </w:r>
      <w:r>
        <w:t>High-Touch</w:t>
      </w:r>
      <w:r>
        <w:rPr>
          <w:spacing w:val="-10"/>
        </w:rPr>
        <w:t xml:space="preserve"> </w:t>
      </w:r>
      <w:r>
        <w:t>Monitoring</w:t>
      </w:r>
      <w:r>
        <w:rPr>
          <w:spacing w:val="-10"/>
        </w:rPr>
        <w:t xml:space="preserve"> </w:t>
      </w:r>
      <w:r>
        <w:rPr>
          <w:spacing w:val="-2"/>
        </w:rPr>
        <w:t>Budgets</w:t>
      </w:r>
    </w:p>
    <w:p w14:paraId="07364165">
      <w:pPr>
        <w:pStyle w:val="5"/>
        <w:spacing w:before="32"/>
        <w:ind w:left="0"/>
        <w:rPr>
          <w:b/>
        </w:rPr>
      </w:pPr>
    </w:p>
    <w:p w14:paraId="2C1F3F5A">
      <w:pPr>
        <w:pStyle w:val="9"/>
        <w:numPr>
          <w:ilvl w:val="0"/>
          <w:numId w:val="7"/>
        </w:numPr>
        <w:tabs>
          <w:tab w:val="left" w:pos="885"/>
        </w:tabs>
        <w:spacing w:before="0" w:after="0" w:line="360" w:lineRule="auto"/>
        <w:ind w:left="885" w:right="161" w:hanging="360"/>
        <w:jc w:val="both"/>
        <w:rPr>
          <w:sz w:val="22"/>
        </w:rPr>
      </w:pPr>
      <w:r>
        <w:rPr>
          <w:b/>
          <w:sz w:val="22"/>
        </w:rPr>
        <w:t xml:space="preserve">For Lenders: </w:t>
      </w:r>
      <w:r>
        <w:rPr>
          <w:sz w:val="22"/>
        </w:rPr>
        <w:t>The findings indicate that skimping on monitoring costs is counterproductive. Management</w:t>
      </w:r>
      <w:r>
        <w:rPr>
          <w:spacing w:val="-7"/>
          <w:sz w:val="22"/>
        </w:rPr>
        <w:t xml:space="preserve"> </w:t>
      </w:r>
      <w:r>
        <w:rPr>
          <w:sz w:val="22"/>
        </w:rPr>
        <w:t>of</w:t>
      </w:r>
      <w:r>
        <w:rPr>
          <w:spacing w:val="-7"/>
          <w:sz w:val="22"/>
        </w:rPr>
        <w:t xml:space="preserve"> </w:t>
      </w:r>
      <w:r>
        <w:rPr>
          <w:sz w:val="22"/>
        </w:rPr>
        <w:t>non-financial</w:t>
      </w:r>
      <w:r>
        <w:rPr>
          <w:spacing w:val="-7"/>
          <w:sz w:val="22"/>
        </w:rPr>
        <w:t xml:space="preserve"> </w:t>
      </w:r>
      <w:r>
        <w:rPr>
          <w:sz w:val="22"/>
        </w:rPr>
        <w:t>lenders</w:t>
      </w:r>
      <w:r>
        <w:rPr>
          <w:spacing w:val="-8"/>
          <w:sz w:val="22"/>
        </w:rPr>
        <w:t xml:space="preserve"> </w:t>
      </w:r>
      <w:r>
        <w:rPr>
          <w:sz w:val="22"/>
        </w:rPr>
        <w:t>must</w:t>
      </w:r>
      <w:r>
        <w:rPr>
          <w:spacing w:val="-7"/>
          <w:sz w:val="22"/>
        </w:rPr>
        <w:t xml:space="preserve"> </w:t>
      </w:r>
      <w:r>
        <w:rPr>
          <w:sz w:val="22"/>
        </w:rPr>
        <w:t>resist</w:t>
      </w:r>
      <w:r>
        <w:rPr>
          <w:spacing w:val="-5"/>
          <w:sz w:val="22"/>
        </w:rPr>
        <w:t xml:space="preserve"> </w:t>
      </w:r>
      <w:r>
        <w:rPr>
          <w:sz w:val="22"/>
        </w:rPr>
        <w:t>the</w:t>
      </w:r>
      <w:r>
        <w:rPr>
          <w:spacing w:val="-5"/>
          <w:sz w:val="22"/>
        </w:rPr>
        <w:t xml:space="preserve"> </w:t>
      </w:r>
      <w:r>
        <w:rPr>
          <w:sz w:val="22"/>
        </w:rPr>
        <w:t>urge</w:t>
      </w:r>
      <w:r>
        <w:rPr>
          <w:spacing w:val="-5"/>
          <w:sz w:val="22"/>
        </w:rPr>
        <w:t xml:space="preserve"> </w:t>
      </w:r>
      <w:r>
        <w:rPr>
          <w:sz w:val="22"/>
        </w:rPr>
        <w:t>to</w:t>
      </w:r>
      <w:r>
        <w:rPr>
          <w:spacing w:val="-8"/>
          <w:sz w:val="22"/>
        </w:rPr>
        <w:t xml:space="preserve"> </w:t>
      </w:r>
      <w:r>
        <w:rPr>
          <w:sz w:val="22"/>
        </w:rPr>
        <w:t>slash</w:t>
      </w:r>
      <w:r>
        <w:rPr>
          <w:spacing w:val="-8"/>
          <w:sz w:val="22"/>
        </w:rPr>
        <w:t xml:space="preserve"> </w:t>
      </w:r>
      <w:r>
        <w:rPr>
          <w:sz w:val="22"/>
        </w:rPr>
        <w:t>operational</w:t>
      </w:r>
      <w:r>
        <w:rPr>
          <w:spacing w:val="-7"/>
          <w:sz w:val="22"/>
        </w:rPr>
        <w:t xml:space="preserve"> </w:t>
      </w:r>
      <w:r>
        <w:rPr>
          <w:sz w:val="22"/>
        </w:rPr>
        <w:t>expenses</w:t>
      </w:r>
      <w:r>
        <w:rPr>
          <w:spacing w:val="-8"/>
          <w:sz w:val="22"/>
        </w:rPr>
        <w:t xml:space="preserve"> </w:t>
      </w:r>
      <w:r>
        <w:rPr>
          <w:sz w:val="22"/>
        </w:rPr>
        <w:t>related to</w:t>
      </w:r>
      <w:r>
        <w:rPr>
          <w:spacing w:val="-14"/>
          <w:sz w:val="22"/>
        </w:rPr>
        <w:t xml:space="preserve"> </w:t>
      </w:r>
      <w:r>
        <w:rPr>
          <w:sz w:val="22"/>
        </w:rPr>
        <w:t>credit</w:t>
      </w:r>
      <w:r>
        <w:rPr>
          <w:spacing w:val="-14"/>
          <w:sz w:val="22"/>
        </w:rPr>
        <w:t xml:space="preserve"> </w:t>
      </w:r>
      <w:r>
        <w:rPr>
          <w:sz w:val="22"/>
        </w:rPr>
        <w:t>administration.</w:t>
      </w:r>
      <w:r>
        <w:rPr>
          <w:spacing w:val="-14"/>
          <w:sz w:val="22"/>
        </w:rPr>
        <w:t xml:space="preserve"> </w:t>
      </w:r>
      <w:r>
        <w:rPr>
          <w:sz w:val="22"/>
        </w:rPr>
        <w:t>Instead,</w:t>
      </w:r>
      <w:r>
        <w:rPr>
          <w:spacing w:val="-13"/>
          <w:sz w:val="22"/>
        </w:rPr>
        <w:t xml:space="preserve"> </w:t>
      </w:r>
      <w:r>
        <w:rPr>
          <w:sz w:val="22"/>
        </w:rPr>
        <w:t>a</w:t>
      </w:r>
      <w:r>
        <w:rPr>
          <w:spacing w:val="-14"/>
          <w:sz w:val="22"/>
        </w:rPr>
        <w:t xml:space="preserve"> </w:t>
      </w:r>
      <w:r>
        <w:rPr>
          <w:sz w:val="22"/>
        </w:rPr>
        <w:t>specific</w:t>
      </w:r>
      <w:r>
        <w:rPr>
          <w:spacing w:val="-14"/>
          <w:sz w:val="22"/>
        </w:rPr>
        <w:t xml:space="preserve"> </w:t>
      </w:r>
      <w:r>
        <w:rPr>
          <w:sz w:val="22"/>
        </w:rPr>
        <w:t>percentage</w:t>
      </w:r>
      <w:r>
        <w:rPr>
          <w:spacing w:val="-14"/>
          <w:sz w:val="22"/>
        </w:rPr>
        <w:t xml:space="preserve"> </w:t>
      </w:r>
      <w:r>
        <w:rPr>
          <w:sz w:val="22"/>
        </w:rPr>
        <w:t>of</w:t>
      </w:r>
      <w:r>
        <w:rPr>
          <w:spacing w:val="-13"/>
          <w:sz w:val="22"/>
        </w:rPr>
        <w:t xml:space="preserve"> </w:t>
      </w:r>
      <w:r>
        <w:rPr>
          <w:sz w:val="22"/>
        </w:rPr>
        <w:t>the</w:t>
      </w:r>
      <w:r>
        <w:rPr>
          <w:spacing w:val="-14"/>
          <w:sz w:val="22"/>
        </w:rPr>
        <w:t xml:space="preserve"> </w:t>
      </w:r>
      <w:r>
        <w:rPr>
          <w:sz w:val="22"/>
        </w:rPr>
        <w:t>projected</w:t>
      </w:r>
      <w:r>
        <w:rPr>
          <w:spacing w:val="-14"/>
          <w:sz w:val="22"/>
        </w:rPr>
        <w:t xml:space="preserve"> </w:t>
      </w:r>
      <w:r>
        <w:rPr>
          <w:sz w:val="22"/>
        </w:rPr>
        <w:t>revenue</w:t>
      </w:r>
      <w:r>
        <w:rPr>
          <w:spacing w:val="-14"/>
          <w:sz w:val="22"/>
        </w:rPr>
        <w:t xml:space="preserve"> </w:t>
      </w:r>
      <w:r>
        <w:rPr>
          <w:sz w:val="22"/>
        </w:rPr>
        <w:t>from</w:t>
      </w:r>
      <w:r>
        <w:rPr>
          <w:spacing w:val="-13"/>
          <w:sz w:val="22"/>
        </w:rPr>
        <w:t xml:space="preserve"> </w:t>
      </w:r>
      <w:r>
        <w:rPr>
          <w:sz w:val="22"/>
        </w:rPr>
        <w:t>the</w:t>
      </w:r>
      <w:r>
        <w:rPr>
          <w:spacing w:val="-14"/>
          <w:sz w:val="22"/>
        </w:rPr>
        <w:t xml:space="preserve"> </w:t>
      </w:r>
      <w:r>
        <w:rPr>
          <w:sz w:val="22"/>
        </w:rPr>
        <w:t>Interest Rate Spread should be ring-fenced for post-disbursement monitoring activities. This includes funding for physical verification teams where necessary and subscription to advanced credit bureau monitoring alerts.</w:t>
      </w:r>
    </w:p>
    <w:p w14:paraId="215D1B17">
      <w:pPr>
        <w:pStyle w:val="9"/>
        <w:numPr>
          <w:ilvl w:val="0"/>
          <w:numId w:val="7"/>
        </w:numPr>
        <w:tabs>
          <w:tab w:val="left" w:pos="884"/>
        </w:tabs>
        <w:spacing w:before="162" w:after="0" w:line="240" w:lineRule="auto"/>
        <w:ind w:left="884" w:right="0" w:hanging="359"/>
        <w:jc w:val="both"/>
        <w:rPr>
          <w:sz w:val="22"/>
        </w:rPr>
      </w:pPr>
      <w:r>
        <w:rPr>
          <w:sz w:val="22"/>
        </w:rPr>
        <w:t>2.</w:t>
      </w:r>
      <w:r>
        <w:rPr>
          <w:spacing w:val="-14"/>
          <w:sz w:val="22"/>
        </w:rPr>
        <w:t xml:space="preserve"> </w:t>
      </w:r>
      <w:r>
        <w:rPr>
          <w:sz w:val="22"/>
        </w:rPr>
        <w:t>Adoption</w:t>
      </w:r>
      <w:r>
        <w:rPr>
          <w:spacing w:val="-5"/>
          <w:sz w:val="22"/>
        </w:rPr>
        <w:t xml:space="preserve"> </w:t>
      </w:r>
      <w:r>
        <w:rPr>
          <w:sz w:val="22"/>
        </w:rPr>
        <w:t>of</w:t>
      </w:r>
      <w:r>
        <w:rPr>
          <w:spacing w:val="-14"/>
          <w:sz w:val="22"/>
        </w:rPr>
        <w:t xml:space="preserve"> </w:t>
      </w:r>
      <w:r>
        <w:rPr>
          <w:sz w:val="22"/>
        </w:rPr>
        <w:t>API-Driven</w:t>
      </w:r>
      <w:r>
        <w:rPr>
          <w:spacing w:val="-5"/>
          <w:sz w:val="22"/>
        </w:rPr>
        <w:t xml:space="preserve"> </w:t>
      </w:r>
      <w:r>
        <w:rPr>
          <w:sz w:val="22"/>
        </w:rPr>
        <w:t>Live</w:t>
      </w:r>
      <w:r>
        <w:rPr>
          <w:spacing w:val="-5"/>
          <w:sz w:val="22"/>
        </w:rPr>
        <w:t xml:space="preserve"> </w:t>
      </w:r>
      <w:r>
        <w:rPr>
          <w:spacing w:val="-2"/>
          <w:sz w:val="22"/>
        </w:rPr>
        <w:t>Monitoring</w:t>
      </w:r>
    </w:p>
    <w:p w14:paraId="0D777569">
      <w:pPr>
        <w:pStyle w:val="5"/>
        <w:spacing w:before="31"/>
        <w:ind w:left="0"/>
      </w:pPr>
    </w:p>
    <w:p w14:paraId="1003CBD5">
      <w:pPr>
        <w:pStyle w:val="9"/>
        <w:numPr>
          <w:ilvl w:val="0"/>
          <w:numId w:val="7"/>
        </w:numPr>
        <w:tabs>
          <w:tab w:val="left" w:pos="885"/>
        </w:tabs>
        <w:spacing w:before="1" w:after="0" w:line="360" w:lineRule="auto"/>
        <w:ind w:left="885" w:right="159" w:hanging="360"/>
        <w:jc w:val="both"/>
        <w:rPr>
          <w:sz w:val="22"/>
        </w:rPr>
      </w:pPr>
      <w:r>
        <w:rPr>
          <w:sz w:val="22"/>
        </w:rPr>
        <w:t>For Lenders &amp; Fintechs: Given the strong impact of electronic payments on reducing risk, lenders should move beyond static credit checks at the point of application. Lenders must integrate with Open Banking APIs to enable "live" monitoring. This involves setting up algorithmic triggers that alert risk managers when a borrower’s transaction velocity drops or when they exhibit signs of "loan stacking" (taking multiple loans simultaneously) across the NIBSS network, allowing for intervention before a default occurs.</w:t>
      </w:r>
    </w:p>
    <w:p w14:paraId="644E4DE5">
      <w:pPr>
        <w:pStyle w:val="9"/>
        <w:numPr>
          <w:ilvl w:val="0"/>
          <w:numId w:val="7"/>
        </w:numPr>
        <w:tabs>
          <w:tab w:val="left" w:pos="884"/>
        </w:tabs>
        <w:spacing w:before="162" w:after="0" w:line="240" w:lineRule="auto"/>
        <w:ind w:left="884" w:right="0" w:hanging="359"/>
        <w:jc w:val="both"/>
        <w:rPr>
          <w:sz w:val="22"/>
        </w:rPr>
      </w:pPr>
      <w:r>
        <w:rPr>
          <w:sz w:val="22"/>
        </w:rPr>
        <w:t>3.</w:t>
      </w:r>
      <w:r>
        <w:rPr>
          <w:spacing w:val="-5"/>
          <w:sz w:val="22"/>
        </w:rPr>
        <w:t xml:space="preserve"> </w:t>
      </w:r>
      <w:r>
        <w:rPr>
          <w:sz w:val="22"/>
        </w:rPr>
        <w:t>Regulatory</w:t>
      </w:r>
      <w:r>
        <w:rPr>
          <w:spacing w:val="-4"/>
          <w:sz w:val="22"/>
        </w:rPr>
        <w:t xml:space="preserve"> </w:t>
      </w:r>
      <w:r>
        <w:rPr>
          <w:sz w:val="22"/>
        </w:rPr>
        <w:t>Standardization</w:t>
      </w:r>
      <w:r>
        <w:rPr>
          <w:spacing w:val="-4"/>
          <w:sz w:val="22"/>
        </w:rPr>
        <w:t xml:space="preserve"> </w:t>
      </w:r>
      <w:r>
        <w:rPr>
          <w:sz w:val="22"/>
        </w:rPr>
        <w:t>of</w:t>
      </w:r>
      <w:r>
        <w:rPr>
          <w:spacing w:val="-4"/>
          <w:sz w:val="22"/>
        </w:rPr>
        <w:t xml:space="preserve"> </w:t>
      </w:r>
      <w:r>
        <w:rPr>
          <w:sz w:val="22"/>
        </w:rPr>
        <w:t>Non-Bank</w:t>
      </w:r>
      <w:r>
        <w:rPr>
          <w:spacing w:val="-5"/>
          <w:sz w:val="22"/>
        </w:rPr>
        <w:t xml:space="preserve"> </w:t>
      </w:r>
      <w:r>
        <w:rPr>
          <w:spacing w:val="-2"/>
          <w:sz w:val="22"/>
        </w:rPr>
        <w:t>Monitoring</w:t>
      </w:r>
    </w:p>
    <w:p w14:paraId="468F1549">
      <w:pPr>
        <w:pStyle w:val="9"/>
        <w:numPr>
          <w:ilvl w:val="0"/>
          <w:numId w:val="7"/>
        </w:numPr>
        <w:tabs>
          <w:tab w:val="left" w:pos="885"/>
        </w:tabs>
        <w:spacing w:before="82" w:after="0" w:line="360" w:lineRule="auto"/>
        <w:ind w:left="885" w:right="159" w:hanging="360"/>
        <w:jc w:val="both"/>
        <w:rPr>
          <w:sz w:val="22"/>
        </w:rPr>
      </w:pPr>
      <w:r>
        <w:rPr>
          <w:sz w:val="22"/>
        </w:rPr>
        <w:t>For the CBN and State Regulators: Currently, monitoring standards for non-bank lenders are fragmented. Regulators should introduce a Prudential Guideline for Non-Bank Credit Monitoring," mandating that</w:t>
      </w:r>
    </w:p>
    <w:p w14:paraId="7872430F">
      <w:pPr>
        <w:pStyle w:val="9"/>
        <w:spacing w:after="0" w:line="360" w:lineRule="auto"/>
        <w:jc w:val="both"/>
        <w:rPr>
          <w:sz w:val="22"/>
        </w:rPr>
        <w:sectPr>
          <w:pgSz w:w="11910" w:h="16840"/>
          <w:pgMar w:top="1340" w:right="1275" w:bottom="280" w:left="1275" w:header="720" w:footer="720" w:gutter="0"/>
          <w:cols w:space="720" w:num="1"/>
        </w:sectPr>
      </w:pPr>
    </w:p>
    <w:p w14:paraId="1C0B297B">
      <w:pPr>
        <w:pStyle w:val="2"/>
        <w:spacing w:before="62"/>
        <w:ind w:left="165" w:firstLine="0"/>
        <w:jc w:val="left"/>
      </w:pPr>
      <w:r>
        <w:rPr>
          <w:spacing w:val="-2"/>
        </w:rPr>
        <w:t>References</w:t>
      </w:r>
    </w:p>
    <w:p w14:paraId="61C7294A">
      <w:pPr>
        <w:pStyle w:val="5"/>
        <w:spacing w:before="35"/>
        <w:ind w:left="0"/>
        <w:rPr>
          <w:b/>
        </w:rPr>
      </w:pPr>
    </w:p>
    <w:p w14:paraId="2E49B64D">
      <w:pPr>
        <w:pStyle w:val="5"/>
        <w:spacing w:line="360" w:lineRule="auto"/>
        <w:ind w:right="167"/>
        <w:jc w:val="both"/>
      </w:pPr>
      <w:r>
        <w:t>Adeyemi, K. S.,</w:t>
      </w:r>
      <w:r>
        <w:rPr>
          <w:spacing w:val="-1"/>
        </w:rPr>
        <w:t xml:space="preserve"> </w:t>
      </w:r>
      <w:r>
        <w:t>&amp; Olabisi,</w:t>
      </w:r>
      <w:r>
        <w:rPr>
          <w:spacing w:val="-3"/>
        </w:rPr>
        <w:t xml:space="preserve"> </w:t>
      </w:r>
      <w:r>
        <w:t>J. (2021). Efficacy of credit monitoring and loan recovery in microfinance banks in Lagos State. Journal of Finance and Bank Management, 9(1), 22–35.</w:t>
      </w:r>
    </w:p>
    <w:p w14:paraId="1E5EFD4E">
      <w:pPr>
        <w:pStyle w:val="5"/>
        <w:spacing w:before="160" w:line="360" w:lineRule="auto"/>
        <w:ind w:right="169"/>
        <w:jc w:val="both"/>
      </w:pPr>
      <w:r>
        <w:t>Agresti, A. M., Baudino, P., &amp; Poloni, P. (2016). The value of soft information in SME lending: Evidence from European banks. International Journal of Central Banking, 12(4), 1–32.</w:t>
      </w:r>
    </w:p>
    <w:p w14:paraId="6811C298">
      <w:pPr>
        <w:pStyle w:val="5"/>
        <w:spacing w:before="160" w:line="360" w:lineRule="auto"/>
        <w:ind w:right="168"/>
        <w:jc w:val="both"/>
      </w:pPr>
      <w:r>
        <w:t>Akerlof, G.</w:t>
      </w:r>
      <w:r>
        <w:rPr>
          <w:spacing w:val="-6"/>
        </w:rPr>
        <w:t xml:space="preserve"> </w:t>
      </w:r>
      <w:r>
        <w:t>A. (1970). The market for "lemons": Quality uncertainty and the market mechanism. The Quarterly Journal of Economics, 84(3), 488–500. https://doi.org/10.2307/1879431</w:t>
      </w:r>
    </w:p>
    <w:p w14:paraId="1189D4A3">
      <w:pPr>
        <w:pStyle w:val="5"/>
        <w:spacing w:before="158" w:line="362" w:lineRule="auto"/>
        <w:ind w:right="164"/>
        <w:jc w:val="both"/>
      </w:pPr>
      <w:r>
        <w:t>Berger,</w:t>
      </w:r>
      <w:r>
        <w:rPr>
          <w:spacing w:val="-14"/>
        </w:rPr>
        <w:t xml:space="preserve"> </w:t>
      </w:r>
      <w:r>
        <w:t>A.</w:t>
      </w:r>
      <w:r>
        <w:rPr>
          <w:spacing w:val="-6"/>
        </w:rPr>
        <w:t xml:space="preserve"> </w:t>
      </w:r>
      <w:r>
        <w:t>N.,</w:t>
      </w:r>
      <w:r>
        <w:rPr>
          <w:spacing w:val="-5"/>
        </w:rPr>
        <w:t xml:space="preserve"> </w:t>
      </w:r>
      <w:r>
        <w:t>&amp;</w:t>
      </w:r>
      <w:r>
        <w:rPr>
          <w:spacing w:val="-4"/>
        </w:rPr>
        <w:t xml:space="preserve"> </w:t>
      </w:r>
      <w:r>
        <w:t>DeYoung,</w:t>
      </w:r>
      <w:r>
        <w:rPr>
          <w:spacing w:val="-8"/>
        </w:rPr>
        <w:t xml:space="preserve"> </w:t>
      </w:r>
      <w:r>
        <w:t>R.</w:t>
      </w:r>
      <w:r>
        <w:rPr>
          <w:spacing w:val="-5"/>
        </w:rPr>
        <w:t xml:space="preserve"> </w:t>
      </w:r>
      <w:r>
        <w:t>(1997).</w:t>
      </w:r>
      <w:r>
        <w:rPr>
          <w:spacing w:val="-5"/>
        </w:rPr>
        <w:t xml:space="preserve"> </w:t>
      </w:r>
      <w:r>
        <w:t>Problem</w:t>
      </w:r>
      <w:r>
        <w:rPr>
          <w:spacing w:val="-4"/>
        </w:rPr>
        <w:t xml:space="preserve"> </w:t>
      </w:r>
      <w:r>
        <w:t>loans</w:t>
      </w:r>
      <w:r>
        <w:rPr>
          <w:spacing w:val="-7"/>
        </w:rPr>
        <w:t xml:space="preserve"> </w:t>
      </w:r>
      <w:r>
        <w:t>and</w:t>
      </w:r>
      <w:r>
        <w:rPr>
          <w:spacing w:val="-5"/>
        </w:rPr>
        <w:t xml:space="preserve"> </w:t>
      </w:r>
      <w:r>
        <w:t>cost</w:t>
      </w:r>
      <w:r>
        <w:rPr>
          <w:spacing w:val="-4"/>
        </w:rPr>
        <w:t xml:space="preserve"> </w:t>
      </w:r>
      <w:r>
        <w:t>efficiency</w:t>
      </w:r>
      <w:r>
        <w:rPr>
          <w:spacing w:val="-5"/>
        </w:rPr>
        <w:t xml:space="preserve"> </w:t>
      </w:r>
      <w:r>
        <w:t>in</w:t>
      </w:r>
      <w:r>
        <w:rPr>
          <w:spacing w:val="-8"/>
        </w:rPr>
        <w:t xml:space="preserve"> </w:t>
      </w:r>
      <w:r>
        <w:t>commercial</w:t>
      </w:r>
      <w:r>
        <w:rPr>
          <w:spacing w:val="-7"/>
        </w:rPr>
        <w:t xml:space="preserve"> </w:t>
      </w:r>
      <w:r>
        <w:t>banks.</w:t>
      </w:r>
      <w:r>
        <w:rPr>
          <w:spacing w:val="-5"/>
        </w:rPr>
        <w:t xml:space="preserve"> </w:t>
      </w:r>
      <w:r>
        <w:t>Journal of Banking &amp; Finance, 21(6), 849–870. https://doi.org/10.1016/S0378-4266(97)00004-7</w:t>
      </w:r>
    </w:p>
    <w:p w14:paraId="53AFA212">
      <w:pPr>
        <w:pStyle w:val="5"/>
        <w:spacing w:before="156" w:line="360" w:lineRule="auto"/>
        <w:ind w:right="167"/>
        <w:jc w:val="both"/>
      </w:pPr>
      <w:r>
        <w:t>Central Bank of Nigeria.</w:t>
      </w:r>
      <w:r>
        <w:rPr>
          <w:spacing w:val="-1"/>
        </w:rPr>
        <w:t xml:space="preserve"> </w:t>
      </w:r>
      <w:r>
        <w:t>(2023). 2023 Statistical bulletin: Financial sector indicators. Central Bank</w:t>
      </w:r>
      <w:r>
        <w:rPr>
          <w:spacing w:val="-1"/>
        </w:rPr>
        <w:t xml:space="preserve"> </w:t>
      </w:r>
      <w:r>
        <w:t>of Nigeria. https://</w:t>
      </w:r>
      <w:r>
        <w:fldChar w:fldCharType="begin"/>
      </w:r>
      <w:r>
        <w:instrText xml:space="preserve"> HYPERLINK "http://www.cbn.gov.ng/" \h </w:instrText>
      </w:r>
      <w:r>
        <w:fldChar w:fldCharType="separate"/>
      </w:r>
      <w:r>
        <w:t>www.cbn.gov.ng/</w:t>
      </w:r>
      <w:r>
        <w:fldChar w:fldCharType="end"/>
      </w:r>
    </w:p>
    <w:p w14:paraId="1EC80938">
      <w:pPr>
        <w:pStyle w:val="5"/>
        <w:spacing w:before="160" w:line="360" w:lineRule="auto"/>
        <w:ind w:right="166"/>
        <w:jc w:val="both"/>
      </w:pPr>
      <w:r>
        <w:t>Federal Competition and Consumer Protection Commission. (2024). Limited interim regulatory/registration framework and guidelines for digital lending 2024. FCCPC.</w:t>
      </w:r>
    </w:p>
    <w:p w14:paraId="0C3C7B61">
      <w:pPr>
        <w:pStyle w:val="5"/>
        <w:spacing w:before="160" w:line="360" w:lineRule="auto"/>
        <w:ind w:right="159"/>
        <w:jc w:val="both"/>
      </w:pPr>
      <w:r>
        <w:t>Jensen, M. C., &amp; Meckling,</w:t>
      </w:r>
      <w:r>
        <w:rPr>
          <w:spacing w:val="-1"/>
        </w:rPr>
        <w:t xml:space="preserve"> </w:t>
      </w:r>
      <w:r>
        <w:t>W. H. (1976).</w:t>
      </w:r>
      <w:r>
        <w:rPr>
          <w:spacing w:val="-1"/>
        </w:rPr>
        <w:t xml:space="preserve"> </w:t>
      </w:r>
      <w:r>
        <w:t xml:space="preserve">Theory of the firm: Managerial behavior, agency costs and ownership structure. Journal of Financial Economics, 3(4), 305–360. https://doi.org/10.1016/0304- </w:t>
      </w:r>
      <w:r>
        <w:rPr>
          <w:spacing w:val="-2"/>
        </w:rPr>
        <w:t>405X(76)90026-X</w:t>
      </w:r>
    </w:p>
    <w:p w14:paraId="055886A0">
      <w:pPr>
        <w:pStyle w:val="5"/>
        <w:spacing w:before="161" w:line="360" w:lineRule="auto"/>
        <w:ind w:right="169"/>
        <w:jc w:val="both"/>
      </w:pPr>
      <w:r>
        <w:t>National Bureau of Statistics. (2024). Nigerian gross domestic product report (Q4 2023). National Bureau of Statistics. https://nigerianstat.gov.ng</w:t>
      </w:r>
    </w:p>
    <w:p w14:paraId="57F06E5A">
      <w:pPr>
        <w:pStyle w:val="5"/>
        <w:spacing w:before="160" w:line="360" w:lineRule="auto"/>
        <w:ind w:right="167"/>
        <w:jc w:val="both"/>
      </w:pPr>
      <w:r>
        <w:t>Nigeria Inter-Bank Settlement System. (2023). Annual electronic payment transaction report 2023. NIBSS Plc.</w:t>
      </w:r>
    </w:p>
    <w:p w14:paraId="4759F7B0">
      <w:pPr>
        <w:pStyle w:val="5"/>
        <w:spacing w:before="160" w:line="360" w:lineRule="auto"/>
        <w:ind w:right="161"/>
        <w:jc w:val="both"/>
      </w:pPr>
      <w:r>
        <w:t>Nwosu,</w:t>
      </w:r>
      <w:r>
        <w:rPr>
          <w:spacing w:val="-14"/>
        </w:rPr>
        <w:t xml:space="preserve"> </w:t>
      </w:r>
      <w:r>
        <w:t>C.</w:t>
      </w:r>
      <w:r>
        <w:rPr>
          <w:spacing w:val="-11"/>
        </w:rPr>
        <w:t xml:space="preserve"> </w:t>
      </w:r>
      <w:r>
        <w:t>P.,</w:t>
      </w:r>
      <w:r>
        <w:rPr>
          <w:spacing w:val="-11"/>
        </w:rPr>
        <w:t xml:space="preserve"> </w:t>
      </w:r>
      <w:r>
        <w:t>Okedigba,</w:t>
      </w:r>
      <w:r>
        <w:rPr>
          <w:spacing w:val="-10"/>
        </w:rPr>
        <w:t xml:space="preserve"> </w:t>
      </w:r>
      <w:r>
        <w:t>D.</w:t>
      </w:r>
      <w:r>
        <w:rPr>
          <w:spacing w:val="-11"/>
        </w:rPr>
        <w:t xml:space="preserve"> </w:t>
      </w:r>
      <w:r>
        <w:t>O.,</w:t>
      </w:r>
      <w:r>
        <w:rPr>
          <w:spacing w:val="-11"/>
        </w:rPr>
        <w:t xml:space="preserve"> </w:t>
      </w:r>
      <w:r>
        <w:t>&amp;</w:t>
      </w:r>
      <w:r>
        <w:rPr>
          <w:spacing w:val="-14"/>
        </w:rPr>
        <w:t xml:space="preserve"> </w:t>
      </w:r>
      <w:r>
        <w:t>Anih,</w:t>
      </w:r>
      <w:r>
        <w:rPr>
          <w:spacing w:val="-11"/>
        </w:rPr>
        <w:t xml:space="preserve"> </w:t>
      </w:r>
      <w:r>
        <w:t>S.</w:t>
      </w:r>
      <w:r>
        <w:rPr>
          <w:spacing w:val="-11"/>
        </w:rPr>
        <w:t xml:space="preserve"> </w:t>
      </w:r>
      <w:r>
        <w:t>C.</w:t>
      </w:r>
      <w:r>
        <w:rPr>
          <w:spacing w:val="-11"/>
        </w:rPr>
        <w:t xml:space="preserve"> </w:t>
      </w:r>
      <w:r>
        <w:t>(2024).</w:t>
      </w:r>
      <w:r>
        <w:rPr>
          <w:spacing w:val="-11"/>
        </w:rPr>
        <w:t xml:space="preserve"> </w:t>
      </w:r>
      <w:r>
        <w:t>Non-performing</w:t>
      </w:r>
      <w:r>
        <w:rPr>
          <w:spacing w:val="-13"/>
        </w:rPr>
        <w:t xml:space="preserve"> </w:t>
      </w:r>
      <w:r>
        <w:t>loans</w:t>
      </w:r>
      <w:r>
        <w:rPr>
          <w:spacing w:val="-10"/>
        </w:rPr>
        <w:t xml:space="preserve"> </w:t>
      </w:r>
      <w:r>
        <w:t>and</w:t>
      </w:r>
      <w:r>
        <w:rPr>
          <w:spacing w:val="-10"/>
        </w:rPr>
        <w:t xml:space="preserve"> </w:t>
      </w:r>
      <w:r>
        <w:t>profitability</w:t>
      </w:r>
      <w:r>
        <w:rPr>
          <w:spacing w:val="-11"/>
        </w:rPr>
        <w:t xml:space="preserve"> </w:t>
      </w:r>
      <w:r>
        <w:t>of</w:t>
      </w:r>
      <w:r>
        <w:rPr>
          <w:spacing w:val="-10"/>
        </w:rPr>
        <w:t xml:space="preserve"> </w:t>
      </w:r>
      <w:r>
        <w:t>deposit money banks in Nigeria:</w:t>
      </w:r>
      <w:r>
        <w:rPr>
          <w:spacing w:val="-3"/>
        </w:rPr>
        <w:t xml:space="preserve"> </w:t>
      </w:r>
      <w:r>
        <w:t>A</w:t>
      </w:r>
      <w:r>
        <w:rPr>
          <w:spacing w:val="-9"/>
        </w:rPr>
        <w:t xml:space="preserve"> </w:t>
      </w:r>
      <w:r>
        <w:t>panel data analysis. CBN Journal of</w:t>
      </w:r>
      <w:r>
        <w:rPr>
          <w:spacing w:val="-4"/>
        </w:rPr>
        <w:t xml:space="preserve"> </w:t>
      </w:r>
      <w:r>
        <w:t>Applied Statistics, 15(1), 45–68.</w:t>
      </w:r>
    </w:p>
    <w:p w14:paraId="4A2BAF52">
      <w:pPr>
        <w:pStyle w:val="5"/>
        <w:spacing w:before="161" w:line="360" w:lineRule="auto"/>
        <w:ind w:right="163"/>
        <w:jc w:val="both"/>
      </w:pPr>
      <w:r>
        <w:t>Olorunsola, J. O., Olalekan, B., &amp; Dele-Oladejo, A. (2023). Risk management strategies and performance</w:t>
      </w:r>
      <w:r>
        <w:rPr>
          <w:spacing w:val="-2"/>
        </w:rPr>
        <w:t xml:space="preserve"> </w:t>
      </w:r>
      <w:r>
        <w:t>of</w:t>
      </w:r>
      <w:r>
        <w:rPr>
          <w:spacing w:val="-4"/>
        </w:rPr>
        <w:t xml:space="preserve"> </w:t>
      </w:r>
      <w:r>
        <w:t>microfinance</w:t>
      </w:r>
      <w:r>
        <w:rPr>
          <w:spacing w:val="-2"/>
        </w:rPr>
        <w:t xml:space="preserve"> </w:t>
      </w:r>
      <w:r>
        <w:t>banks</w:t>
      </w:r>
      <w:r>
        <w:rPr>
          <w:spacing w:val="-4"/>
        </w:rPr>
        <w:t xml:space="preserve"> </w:t>
      </w:r>
      <w:r>
        <w:t>in</w:t>
      </w:r>
      <w:r>
        <w:rPr>
          <w:spacing w:val="-2"/>
        </w:rPr>
        <w:t xml:space="preserve"> </w:t>
      </w:r>
      <w:r>
        <w:t>Nigeria.</w:t>
      </w:r>
      <w:r>
        <w:rPr>
          <w:spacing w:val="-14"/>
        </w:rPr>
        <w:t xml:space="preserve"> </w:t>
      </w:r>
      <w:r>
        <w:t>African</w:t>
      </w:r>
      <w:r>
        <w:rPr>
          <w:spacing w:val="-2"/>
        </w:rPr>
        <w:t xml:space="preserve"> </w:t>
      </w:r>
      <w:r>
        <w:t>Journal</w:t>
      </w:r>
      <w:r>
        <w:rPr>
          <w:spacing w:val="-2"/>
        </w:rPr>
        <w:t xml:space="preserve"> </w:t>
      </w:r>
      <w:r>
        <w:t>of</w:t>
      </w:r>
      <w:r>
        <w:rPr>
          <w:spacing w:val="-14"/>
        </w:rPr>
        <w:t xml:space="preserve"> </w:t>
      </w:r>
      <w:r>
        <w:t>Accounting</w:t>
      </w:r>
      <w:r>
        <w:rPr>
          <w:spacing w:val="-2"/>
        </w:rPr>
        <w:t xml:space="preserve"> </w:t>
      </w:r>
      <w:r>
        <w:t>and</w:t>
      </w:r>
      <w:r>
        <w:rPr>
          <w:spacing w:val="-2"/>
        </w:rPr>
        <w:t xml:space="preserve"> </w:t>
      </w:r>
      <w:r>
        <w:t>Financial</w:t>
      </w:r>
      <w:r>
        <w:rPr>
          <w:spacing w:val="-2"/>
        </w:rPr>
        <w:t xml:space="preserve"> </w:t>
      </w:r>
      <w:r>
        <w:t xml:space="preserve">Research, </w:t>
      </w:r>
      <w:r>
        <w:rPr>
          <w:spacing w:val="-2"/>
        </w:rPr>
        <w:t>4(2),112–125.</w:t>
      </w:r>
    </w:p>
    <w:sectPr>
      <w:pgSz w:w="11910" w:h="16840"/>
      <w:pgMar w:top="1360" w:right="1275" w:bottom="280" w:left="1275"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rebuchet MS">
    <w:panose1 w:val="020B0603020202020204"/>
    <w:charset w:val="01"/>
    <w:family w:val="swiss"/>
    <w:pitch w:val="default"/>
    <w:sig w:usb0="00000687" w:usb1="00000000" w:usb2="00000000" w:usb3="00000000" w:csb0="2000009F" w:csb1="00000000"/>
  </w:font>
  <w:font w:name="Symbol">
    <w:panose1 w:val="05050102010706020507"/>
    <w:charset w:val="02"/>
    <w:family w:val="decorative"/>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E9386"/>
    <w:multiLevelType w:val="multilevel"/>
    <w:tmpl w:val="881E9386"/>
    <w:lvl w:ilvl="0" w:tentative="0">
      <w:start w:val="1"/>
      <w:numFmt w:val="lowerLetter"/>
      <w:lvlText w:val="%1."/>
      <w:lvlJc w:val="left"/>
      <w:pPr>
        <w:ind w:left="592" w:hanging="428"/>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tentative="0">
      <w:start w:val="0"/>
      <w:numFmt w:val="bullet"/>
      <w:lvlText w:val="•"/>
      <w:lvlJc w:val="left"/>
      <w:pPr>
        <w:ind w:left="1475" w:hanging="428"/>
      </w:pPr>
      <w:rPr>
        <w:rFonts w:hint="default"/>
        <w:lang w:val="en-US" w:eastAsia="en-US" w:bidi="ar-SA"/>
      </w:rPr>
    </w:lvl>
    <w:lvl w:ilvl="2" w:tentative="0">
      <w:start w:val="0"/>
      <w:numFmt w:val="bullet"/>
      <w:lvlText w:val="•"/>
      <w:lvlJc w:val="left"/>
      <w:pPr>
        <w:ind w:left="2351" w:hanging="428"/>
      </w:pPr>
      <w:rPr>
        <w:rFonts w:hint="default"/>
        <w:lang w:val="en-US" w:eastAsia="en-US" w:bidi="ar-SA"/>
      </w:rPr>
    </w:lvl>
    <w:lvl w:ilvl="3" w:tentative="0">
      <w:start w:val="0"/>
      <w:numFmt w:val="bullet"/>
      <w:lvlText w:val="•"/>
      <w:lvlJc w:val="left"/>
      <w:pPr>
        <w:ind w:left="3226" w:hanging="428"/>
      </w:pPr>
      <w:rPr>
        <w:rFonts w:hint="default"/>
        <w:lang w:val="en-US" w:eastAsia="en-US" w:bidi="ar-SA"/>
      </w:rPr>
    </w:lvl>
    <w:lvl w:ilvl="4" w:tentative="0">
      <w:start w:val="0"/>
      <w:numFmt w:val="bullet"/>
      <w:lvlText w:val="•"/>
      <w:lvlJc w:val="left"/>
      <w:pPr>
        <w:ind w:left="4102" w:hanging="428"/>
      </w:pPr>
      <w:rPr>
        <w:rFonts w:hint="default"/>
        <w:lang w:val="en-US" w:eastAsia="en-US" w:bidi="ar-SA"/>
      </w:rPr>
    </w:lvl>
    <w:lvl w:ilvl="5" w:tentative="0">
      <w:start w:val="0"/>
      <w:numFmt w:val="bullet"/>
      <w:lvlText w:val="•"/>
      <w:lvlJc w:val="left"/>
      <w:pPr>
        <w:ind w:left="4978" w:hanging="428"/>
      </w:pPr>
      <w:rPr>
        <w:rFonts w:hint="default"/>
        <w:lang w:val="en-US" w:eastAsia="en-US" w:bidi="ar-SA"/>
      </w:rPr>
    </w:lvl>
    <w:lvl w:ilvl="6" w:tentative="0">
      <w:start w:val="0"/>
      <w:numFmt w:val="bullet"/>
      <w:lvlText w:val="•"/>
      <w:lvlJc w:val="left"/>
      <w:pPr>
        <w:ind w:left="5853" w:hanging="428"/>
      </w:pPr>
      <w:rPr>
        <w:rFonts w:hint="default"/>
        <w:lang w:val="en-US" w:eastAsia="en-US" w:bidi="ar-SA"/>
      </w:rPr>
    </w:lvl>
    <w:lvl w:ilvl="7" w:tentative="0">
      <w:start w:val="0"/>
      <w:numFmt w:val="bullet"/>
      <w:lvlText w:val="•"/>
      <w:lvlJc w:val="left"/>
      <w:pPr>
        <w:ind w:left="6729" w:hanging="428"/>
      </w:pPr>
      <w:rPr>
        <w:rFonts w:hint="default"/>
        <w:lang w:val="en-US" w:eastAsia="en-US" w:bidi="ar-SA"/>
      </w:rPr>
    </w:lvl>
    <w:lvl w:ilvl="8" w:tentative="0">
      <w:start w:val="0"/>
      <w:numFmt w:val="bullet"/>
      <w:lvlText w:val="•"/>
      <w:lvlJc w:val="left"/>
      <w:pPr>
        <w:ind w:left="7605" w:hanging="428"/>
      </w:pPr>
      <w:rPr>
        <w:rFonts w:hint="default"/>
        <w:lang w:val="en-US" w:eastAsia="en-US" w:bidi="ar-SA"/>
      </w:rPr>
    </w:lvl>
  </w:abstractNum>
  <w:abstractNum w:abstractNumId="1">
    <w:nsid w:val="C570A162"/>
    <w:multiLevelType w:val="multilevel"/>
    <w:tmpl w:val="C570A162"/>
    <w:lvl w:ilvl="0" w:tentative="0">
      <w:start w:val="2"/>
      <w:numFmt w:val="decimal"/>
      <w:lvlText w:val="%1"/>
      <w:lvlJc w:val="left"/>
      <w:pPr>
        <w:ind w:left="496" w:hanging="332"/>
        <w:jc w:val="left"/>
      </w:pPr>
      <w:rPr>
        <w:rFonts w:hint="default"/>
        <w:lang w:val="en-US" w:eastAsia="en-US" w:bidi="ar-SA"/>
      </w:rPr>
    </w:lvl>
    <w:lvl w:ilvl="1" w:tentative="0">
      <w:start w:val="0"/>
      <w:numFmt w:val="decimal"/>
      <w:lvlText w:val="%1.%2"/>
      <w:lvlJc w:val="left"/>
      <w:pPr>
        <w:ind w:left="496" w:hanging="332"/>
        <w:jc w:val="left"/>
      </w:pPr>
      <w:rPr>
        <w:rFonts w:hint="default" w:ascii="Times New Roman" w:hAnsi="Times New Roman" w:eastAsia="Times New Roman" w:cs="Times New Roman"/>
        <w:b/>
        <w:bCs/>
        <w:i w:val="0"/>
        <w:iCs w:val="0"/>
        <w:spacing w:val="0"/>
        <w:w w:val="100"/>
        <w:sz w:val="22"/>
        <w:szCs w:val="22"/>
        <w:lang w:val="en-US" w:eastAsia="en-US" w:bidi="ar-SA"/>
      </w:rPr>
    </w:lvl>
    <w:lvl w:ilvl="2" w:tentative="0">
      <w:start w:val="1"/>
      <w:numFmt w:val="decimal"/>
      <w:lvlText w:val="%1.%2.%3"/>
      <w:lvlJc w:val="left"/>
      <w:pPr>
        <w:ind w:left="662" w:hanging="497"/>
        <w:jc w:val="left"/>
      </w:pPr>
      <w:rPr>
        <w:rFonts w:hint="default"/>
        <w:spacing w:val="0"/>
        <w:w w:val="100"/>
        <w:lang w:val="en-US" w:eastAsia="en-US" w:bidi="ar-SA"/>
      </w:rPr>
    </w:lvl>
    <w:lvl w:ilvl="3" w:tentative="0">
      <w:start w:val="0"/>
      <w:numFmt w:val="bullet"/>
      <w:lvlText w:val=""/>
      <w:lvlJc w:val="left"/>
      <w:pPr>
        <w:ind w:left="885" w:hanging="497"/>
      </w:pPr>
      <w:rPr>
        <w:rFonts w:hint="default" w:ascii="Symbol" w:hAnsi="Symbol" w:eastAsia="Symbol" w:cs="Symbol"/>
        <w:b w:val="0"/>
        <w:bCs w:val="0"/>
        <w:i w:val="0"/>
        <w:iCs w:val="0"/>
        <w:spacing w:val="0"/>
        <w:w w:val="99"/>
        <w:sz w:val="20"/>
        <w:szCs w:val="20"/>
        <w:lang w:val="en-US" w:eastAsia="en-US" w:bidi="ar-SA"/>
      </w:rPr>
    </w:lvl>
    <w:lvl w:ilvl="4" w:tentative="0">
      <w:start w:val="0"/>
      <w:numFmt w:val="bullet"/>
      <w:lvlText w:val="•"/>
      <w:lvlJc w:val="left"/>
      <w:pPr>
        <w:ind w:left="2999" w:hanging="497"/>
      </w:pPr>
      <w:rPr>
        <w:rFonts w:hint="default"/>
        <w:lang w:val="en-US" w:eastAsia="en-US" w:bidi="ar-SA"/>
      </w:rPr>
    </w:lvl>
    <w:lvl w:ilvl="5" w:tentative="0">
      <w:start w:val="0"/>
      <w:numFmt w:val="bullet"/>
      <w:lvlText w:val="•"/>
      <w:lvlJc w:val="left"/>
      <w:pPr>
        <w:ind w:left="4058" w:hanging="497"/>
      </w:pPr>
      <w:rPr>
        <w:rFonts w:hint="default"/>
        <w:lang w:val="en-US" w:eastAsia="en-US" w:bidi="ar-SA"/>
      </w:rPr>
    </w:lvl>
    <w:lvl w:ilvl="6" w:tentative="0">
      <w:start w:val="0"/>
      <w:numFmt w:val="bullet"/>
      <w:lvlText w:val="•"/>
      <w:lvlJc w:val="left"/>
      <w:pPr>
        <w:ind w:left="5118" w:hanging="497"/>
      </w:pPr>
      <w:rPr>
        <w:rFonts w:hint="default"/>
        <w:lang w:val="en-US" w:eastAsia="en-US" w:bidi="ar-SA"/>
      </w:rPr>
    </w:lvl>
    <w:lvl w:ilvl="7" w:tentative="0">
      <w:start w:val="0"/>
      <w:numFmt w:val="bullet"/>
      <w:lvlText w:val="•"/>
      <w:lvlJc w:val="left"/>
      <w:pPr>
        <w:ind w:left="6177" w:hanging="497"/>
      </w:pPr>
      <w:rPr>
        <w:rFonts w:hint="default"/>
        <w:lang w:val="en-US" w:eastAsia="en-US" w:bidi="ar-SA"/>
      </w:rPr>
    </w:lvl>
    <w:lvl w:ilvl="8" w:tentative="0">
      <w:start w:val="0"/>
      <w:numFmt w:val="bullet"/>
      <w:lvlText w:val="•"/>
      <w:lvlJc w:val="left"/>
      <w:pPr>
        <w:ind w:left="7237" w:hanging="497"/>
      </w:pPr>
      <w:rPr>
        <w:rFonts w:hint="default"/>
        <w:lang w:val="en-US" w:eastAsia="en-US" w:bidi="ar-SA"/>
      </w:rPr>
    </w:lvl>
  </w:abstractNum>
  <w:abstractNum w:abstractNumId="2">
    <w:nsid w:val="D3AA4555"/>
    <w:multiLevelType w:val="multilevel"/>
    <w:tmpl w:val="D3AA4555"/>
    <w:lvl w:ilvl="0" w:tentative="0">
      <w:start w:val="1"/>
      <w:numFmt w:val="decimal"/>
      <w:lvlText w:val="%1."/>
      <w:lvlJc w:val="left"/>
      <w:pPr>
        <w:ind w:left="885"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tentative="0">
      <w:start w:val="0"/>
      <w:numFmt w:val="bullet"/>
      <w:lvlText w:val="•"/>
      <w:lvlJc w:val="left"/>
      <w:pPr>
        <w:ind w:left="1727" w:hanging="360"/>
      </w:pPr>
      <w:rPr>
        <w:rFonts w:hint="default"/>
        <w:lang w:val="en-US" w:eastAsia="en-US" w:bidi="ar-SA"/>
      </w:rPr>
    </w:lvl>
    <w:lvl w:ilvl="2" w:tentative="0">
      <w:start w:val="0"/>
      <w:numFmt w:val="bullet"/>
      <w:lvlText w:val="•"/>
      <w:lvlJc w:val="left"/>
      <w:pPr>
        <w:ind w:left="2575" w:hanging="360"/>
      </w:pPr>
      <w:rPr>
        <w:rFonts w:hint="default"/>
        <w:lang w:val="en-US" w:eastAsia="en-US" w:bidi="ar-SA"/>
      </w:rPr>
    </w:lvl>
    <w:lvl w:ilvl="3" w:tentative="0">
      <w:start w:val="0"/>
      <w:numFmt w:val="bullet"/>
      <w:lvlText w:val="•"/>
      <w:lvlJc w:val="left"/>
      <w:pPr>
        <w:ind w:left="3422" w:hanging="360"/>
      </w:pPr>
      <w:rPr>
        <w:rFonts w:hint="default"/>
        <w:lang w:val="en-US" w:eastAsia="en-US" w:bidi="ar-SA"/>
      </w:rPr>
    </w:lvl>
    <w:lvl w:ilvl="4" w:tentative="0">
      <w:start w:val="0"/>
      <w:numFmt w:val="bullet"/>
      <w:lvlText w:val="•"/>
      <w:lvlJc w:val="left"/>
      <w:pPr>
        <w:ind w:left="4270" w:hanging="360"/>
      </w:pPr>
      <w:rPr>
        <w:rFonts w:hint="default"/>
        <w:lang w:val="en-US" w:eastAsia="en-US" w:bidi="ar-SA"/>
      </w:rPr>
    </w:lvl>
    <w:lvl w:ilvl="5" w:tentative="0">
      <w:start w:val="0"/>
      <w:numFmt w:val="bullet"/>
      <w:lvlText w:val="•"/>
      <w:lvlJc w:val="left"/>
      <w:pPr>
        <w:ind w:left="5118" w:hanging="360"/>
      </w:pPr>
      <w:rPr>
        <w:rFonts w:hint="default"/>
        <w:lang w:val="en-US" w:eastAsia="en-US" w:bidi="ar-SA"/>
      </w:rPr>
    </w:lvl>
    <w:lvl w:ilvl="6" w:tentative="0">
      <w:start w:val="0"/>
      <w:numFmt w:val="bullet"/>
      <w:lvlText w:val="•"/>
      <w:lvlJc w:val="left"/>
      <w:pPr>
        <w:ind w:left="5965" w:hanging="360"/>
      </w:pPr>
      <w:rPr>
        <w:rFonts w:hint="default"/>
        <w:lang w:val="en-US" w:eastAsia="en-US" w:bidi="ar-SA"/>
      </w:rPr>
    </w:lvl>
    <w:lvl w:ilvl="7" w:tentative="0">
      <w:start w:val="0"/>
      <w:numFmt w:val="bullet"/>
      <w:lvlText w:val="•"/>
      <w:lvlJc w:val="left"/>
      <w:pPr>
        <w:ind w:left="6813" w:hanging="360"/>
      </w:pPr>
      <w:rPr>
        <w:rFonts w:hint="default"/>
        <w:lang w:val="en-US" w:eastAsia="en-US" w:bidi="ar-SA"/>
      </w:rPr>
    </w:lvl>
    <w:lvl w:ilvl="8" w:tentative="0">
      <w:start w:val="0"/>
      <w:numFmt w:val="bullet"/>
      <w:lvlText w:val="•"/>
      <w:lvlJc w:val="left"/>
      <w:pPr>
        <w:ind w:left="7661" w:hanging="360"/>
      </w:pPr>
      <w:rPr>
        <w:rFonts w:hint="default"/>
        <w:lang w:val="en-US" w:eastAsia="en-US" w:bidi="ar-SA"/>
      </w:rPr>
    </w:lvl>
  </w:abstractNum>
  <w:abstractNum w:abstractNumId="3">
    <w:nsid w:val="54A86656"/>
    <w:multiLevelType w:val="multilevel"/>
    <w:tmpl w:val="54A86656"/>
    <w:lvl w:ilvl="0" w:tentative="0">
      <w:start w:val="3"/>
      <w:numFmt w:val="decimal"/>
      <w:lvlText w:val="%1"/>
      <w:lvlJc w:val="left"/>
      <w:pPr>
        <w:ind w:left="496" w:hanging="332"/>
        <w:jc w:val="left"/>
      </w:pPr>
      <w:rPr>
        <w:rFonts w:hint="default"/>
        <w:lang w:val="en-US" w:eastAsia="en-US" w:bidi="ar-SA"/>
      </w:rPr>
    </w:lvl>
    <w:lvl w:ilvl="1" w:tentative="0">
      <w:start w:val="0"/>
      <w:numFmt w:val="decimal"/>
      <w:lvlText w:val="%1.%2"/>
      <w:lvlJc w:val="left"/>
      <w:pPr>
        <w:ind w:left="496" w:hanging="332"/>
        <w:jc w:val="left"/>
      </w:pPr>
      <w:rPr>
        <w:rFonts w:hint="default" w:ascii="Times New Roman" w:hAnsi="Times New Roman" w:eastAsia="Times New Roman" w:cs="Times New Roman"/>
        <w:b/>
        <w:bCs/>
        <w:i w:val="0"/>
        <w:iCs w:val="0"/>
        <w:spacing w:val="0"/>
        <w:w w:val="100"/>
        <w:sz w:val="22"/>
        <w:szCs w:val="22"/>
        <w:lang w:val="en-US" w:eastAsia="en-US" w:bidi="ar-SA"/>
      </w:rPr>
    </w:lvl>
    <w:lvl w:ilvl="2" w:tentative="0">
      <w:start w:val="0"/>
      <w:numFmt w:val="bullet"/>
      <w:lvlText w:val=""/>
      <w:lvlJc w:val="left"/>
      <w:pPr>
        <w:ind w:left="592" w:hanging="428"/>
      </w:pPr>
      <w:rPr>
        <w:rFonts w:hint="default" w:ascii="Symbol" w:hAnsi="Symbol" w:eastAsia="Symbol" w:cs="Symbol"/>
        <w:b w:val="0"/>
        <w:bCs w:val="0"/>
        <w:i w:val="0"/>
        <w:iCs w:val="0"/>
        <w:spacing w:val="0"/>
        <w:w w:val="99"/>
        <w:sz w:val="20"/>
        <w:szCs w:val="20"/>
        <w:lang w:val="en-US" w:eastAsia="en-US" w:bidi="ar-SA"/>
      </w:rPr>
    </w:lvl>
    <w:lvl w:ilvl="3" w:tentative="0">
      <w:start w:val="0"/>
      <w:numFmt w:val="bullet"/>
      <w:lvlText w:val="o"/>
      <w:lvlJc w:val="left"/>
      <w:pPr>
        <w:ind w:left="873" w:hanging="281"/>
      </w:pPr>
      <w:rPr>
        <w:rFonts w:hint="default" w:ascii="Courier New" w:hAnsi="Courier New" w:eastAsia="Courier New" w:cs="Courier New"/>
        <w:b w:val="0"/>
        <w:bCs w:val="0"/>
        <w:i w:val="0"/>
        <w:iCs w:val="0"/>
        <w:spacing w:val="0"/>
        <w:w w:val="99"/>
        <w:sz w:val="20"/>
        <w:szCs w:val="20"/>
        <w:lang w:val="en-US" w:eastAsia="en-US" w:bidi="ar-SA"/>
      </w:rPr>
    </w:lvl>
    <w:lvl w:ilvl="4" w:tentative="0">
      <w:start w:val="0"/>
      <w:numFmt w:val="bullet"/>
      <w:lvlText w:val="•"/>
      <w:lvlJc w:val="left"/>
      <w:pPr>
        <w:ind w:left="2999" w:hanging="281"/>
      </w:pPr>
      <w:rPr>
        <w:rFonts w:hint="default"/>
        <w:lang w:val="en-US" w:eastAsia="en-US" w:bidi="ar-SA"/>
      </w:rPr>
    </w:lvl>
    <w:lvl w:ilvl="5" w:tentative="0">
      <w:start w:val="0"/>
      <w:numFmt w:val="bullet"/>
      <w:lvlText w:val="•"/>
      <w:lvlJc w:val="left"/>
      <w:pPr>
        <w:ind w:left="4058" w:hanging="281"/>
      </w:pPr>
      <w:rPr>
        <w:rFonts w:hint="default"/>
        <w:lang w:val="en-US" w:eastAsia="en-US" w:bidi="ar-SA"/>
      </w:rPr>
    </w:lvl>
    <w:lvl w:ilvl="6" w:tentative="0">
      <w:start w:val="0"/>
      <w:numFmt w:val="bullet"/>
      <w:lvlText w:val="•"/>
      <w:lvlJc w:val="left"/>
      <w:pPr>
        <w:ind w:left="5118" w:hanging="281"/>
      </w:pPr>
      <w:rPr>
        <w:rFonts w:hint="default"/>
        <w:lang w:val="en-US" w:eastAsia="en-US" w:bidi="ar-SA"/>
      </w:rPr>
    </w:lvl>
    <w:lvl w:ilvl="7" w:tentative="0">
      <w:start w:val="0"/>
      <w:numFmt w:val="bullet"/>
      <w:lvlText w:val="•"/>
      <w:lvlJc w:val="left"/>
      <w:pPr>
        <w:ind w:left="6177" w:hanging="281"/>
      </w:pPr>
      <w:rPr>
        <w:rFonts w:hint="default"/>
        <w:lang w:val="en-US" w:eastAsia="en-US" w:bidi="ar-SA"/>
      </w:rPr>
    </w:lvl>
    <w:lvl w:ilvl="8" w:tentative="0">
      <w:start w:val="0"/>
      <w:numFmt w:val="bullet"/>
      <w:lvlText w:val="•"/>
      <w:lvlJc w:val="left"/>
      <w:pPr>
        <w:ind w:left="7237" w:hanging="281"/>
      </w:pPr>
      <w:rPr>
        <w:rFonts w:hint="default"/>
        <w:lang w:val="en-US" w:eastAsia="en-US" w:bidi="ar-SA"/>
      </w:rPr>
    </w:lvl>
  </w:abstractNum>
  <w:abstractNum w:abstractNumId="4">
    <w:nsid w:val="621DA29C"/>
    <w:multiLevelType w:val="multilevel"/>
    <w:tmpl w:val="621DA29C"/>
    <w:lvl w:ilvl="0" w:tentative="0">
      <w:start w:val="1"/>
      <w:numFmt w:val="decimal"/>
      <w:lvlText w:val="%1."/>
      <w:lvlJc w:val="left"/>
      <w:pPr>
        <w:ind w:left="885"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tentative="0">
      <w:start w:val="0"/>
      <w:numFmt w:val="bullet"/>
      <w:lvlText w:val="•"/>
      <w:lvlJc w:val="left"/>
      <w:pPr>
        <w:ind w:left="1727" w:hanging="360"/>
      </w:pPr>
      <w:rPr>
        <w:rFonts w:hint="default"/>
        <w:lang w:val="en-US" w:eastAsia="en-US" w:bidi="ar-SA"/>
      </w:rPr>
    </w:lvl>
    <w:lvl w:ilvl="2" w:tentative="0">
      <w:start w:val="0"/>
      <w:numFmt w:val="bullet"/>
      <w:lvlText w:val="•"/>
      <w:lvlJc w:val="left"/>
      <w:pPr>
        <w:ind w:left="2575" w:hanging="360"/>
      </w:pPr>
      <w:rPr>
        <w:rFonts w:hint="default"/>
        <w:lang w:val="en-US" w:eastAsia="en-US" w:bidi="ar-SA"/>
      </w:rPr>
    </w:lvl>
    <w:lvl w:ilvl="3" w:tentative="0">
      <w:start w:val="0"/>
      <w:numFmt w:val="bullet"/>
      <w:lvlText w:val="•"/>
      <w:lvlJc w:val="left"/>
      <w:pPr>
        <w:ind w:left="3422" w:hanging="360"/>
      </w:pPr>
      <w:rPr>
        <w:rFonts w:hint="default"/>
        <w:lang w:val="en-US" w:eastAsia="en-US" w:bidi="ar-SA"/>
      </w:rPr>
    </w:lvl>
    <w:lvl w:ilvl="4" w:tentative="0">
      <w:start w:val="0"/>
      <w:numFmt w:val="bullet"/>
      <w:lvlText w:val="•"/>
      <w:lvlJc w:val="left"/>
      <w:pPr>
        <w:ind w:left="4270" w:hanging="360"/>
      </w:pPr>
      <w:rPr>
        <w:rFonts w:hint="default"/>
        <w:lang w:val="en-US" w:eastAsia="en-US" w:bidi="ar-SA"/>
      </w:rPr>
    </w:lvl>
    <w:lvl w:ilvl="5" w:tentative="0">
      <w:start w:val="0"/>
      <w:numFmt w:val="bullet"/>
      <w:lvlText w:val="•"/>
      <w:lvlJc w:val="left"/>
      <w:pPr>
        <w:ind w:left="5118" w:hanging="360"/>
      </w:pPr>
      <w:rPr>
        <w:rFonts w:hint="default"/>
        <w:lang w:val="en-US" w:eastAsia="en-US" w:bidi="ar-SA"/>
      </w:rPr>
    </w:lvl>
    <w:lvl w:ilvl="6" w:tentative="0">
      <w:start w:val="0"/>
      <w:numFmt w:val="bullet"/>
      <w:lvlText w:val="•"/>
      <w:lvlJc w:val="left"/>
      <w:pPr>
        <w:ind w:left="5965" w:hanging="360"/>
      </w:pPr>
      <w:rPr>
        <w:rFonts w:hint="default"/>
        <w:lang w:val="en-US" w:eastAsia="en-US" w:bidi="ar-SA"/>
      </w:rPr>
    </w:lvl>
    <w:lvl w:ilvl="7" w:tentative="0">
      <w:start w:val="0"/>
      <w:numFmt w:val="bullet"/>
      <w:lvlText w:val="•"/>
      <w:lvlJc w:val="left"/>
      <w:pPr>
        <w:ind w:left="6813" w:hanging="360"/>
      </w:pPr>
      <w:rPr>
        <w:rFonts w:hint="default"/>
        <w:lang w:val="en-US" w:eastAsia="en-US" w:bidi="ar-SA"/>
      </w:rPr>
    </w:lvl>
    <w:lvl w:ilvl="8" w:tentative="0">
      <w:start w:val="0"/>
      <w:numFmt w:val="bullet"/>
      <w:lvlText w:val="•"/>
      <w:lvlJc w:val="left"/>
      <w:pPr>
        <w:ind w:left="7661" w:hanging="360"/>
      </w:pPr>
      <w:rPr>
        <w:rFonts w:hint="default"/>
        <w:lang w:val="en-US" w:eastAsia="en-US" w:bidi="ar-SA"/>
      </w:rPr>
    </w:lvl>
  </w:abstractNum>
  <w:abstractNum w:abstractNumId="5">
    <w:nsid w:val="7B2D4866"/>
    <w:multiLevelType w:val="multilevel"/>
    <w:tmpl w:val="7B2D4866"/>
    <w:lvl w:ilvl="0" w:tentative="0">
      <w:start w:val="0"/>
      <w:numFmt w:val="bullet"/>
      <w:lvlText w:val=""/>
      <w:lvlJc w:val="left"/>
      <w:pPr>
        <w:ind w:left="885" w:hanging="360"/>
      </w:pPr>
      <w:rPr>
        <w:rFonts w:hint="default" w:ascii="Symbol" w:hAnsi="Symbol" w:eastAsia="Symbol" w:cs="Symbol"/>
        <w:b w:val="0"/>
        <w:bCs w:val="0"/>
        <w:i w:val="0"/>
        <w:iCs w:val="0"/>
        <w:spacing w:val="0"/>
        <w:w w:val="99"/>
        <w:sz w:val="20"/>
        <w:szCs w:val="20"/>
        <w:lang w:val="en-US" w:eastAsia="en-US" w:bidi="ar-SA"/>
      </w:rPr>
    </w:lvl>
    <w:lvl w:ilvl="1" w:tentative="0">
      <w:start w:val="0"/>
      <w:numFmt w:val="bullet"/>
      <w:lvlText w:val="•"/>
      <w:lvlJc w:val="left"/>
      <w:pPr>
        <w:ind w:left="1727" w:hanging="360"/>
      </w:pPr>
      <w:rPr>
        <w:rFonts w:hint="default"/>
        <w:lang w:val="en-US" w:eastAsia="en-US" w:bidi="ar-SA"/>
      </w:rPr>
    </w:lvl>
    <w:lvl w:ilvl="2" w:tentative="0">
      <w:start w:val="0"/>
      <w:numFmt w:val="bullet"/>
      <w:lvlText w:val="•"/>
      <w:lvlJc w:val="left"/>
      <w:pPr>
        <w:ind w:left="2575" w:hanging="360"/>
      </w:pPr>
      <w:rPr>
        <w:rFonts w:hint="default"/>
        <w:lang w:val="en-US" w:eastAsia="en-US" w:bidi="ar-SA"/>
      </w:rPr>
    </w:lvl>
    <w:lvl w:ilvl="3" w:tentative="0">
      <w:start w:val="0"/>
      <w:numFmt w:val="bullet"/>
      <w:lvlText w:val="•"/>
      <w:lvlJc w:val="left"/>
      <w:pPr>
        <w:ind w:left="3422" w:hanging="360"/>
      </w:pPr>
      <w:rPr>
        <w:rFonts w:hint="default"/>
        <w:lang w:val="en-US" w:eastAsia="en-US" w:bidi="ar-SA"/>
      </w:rPr>
    </w:lvl>
    <w:lvl w:ilvl="4" w:tentative="0">
      <w:start w:val="0"/>
      <w:numFmt w:val="bullet"/>
      <w:lvlText w:val="•"/>
      <w:lvlJc w:val="left"/>
      <w:pPr>
        <w:ind w:left="4270" w:hanging="360"/>
      </w:pPr>
      <w:rPr>
        <w:rFonts w:hint="default"/>
        <w:lang w:val="en-US" w:eastAsia="en-US" w:bidi="ar-SA"/>
      </w:rPr>
    </w:lvl>
    <w:lvl w:ilvl="5" w:tentative="0">
      <w:start w:val="0"/>
      <w:numFmt w:val="bullet"/>
      <w:lvlText w:val="•"/>
      <w:lvlJc w:val="left"/>
      <w:pPr>
        <w:ind w:left="5118" w:hanging="360"/>
      </w:pPr>
      <w:rPr>
        <w:rFonts w:hint="default"/>
        <w:lang w:val="en-US" w:eastAsia="en-US" w:bidi="ar-SA"/>
      </w:rPr>
    </w:lvl>
    <w:lvl w:ilvl="6" w:tentative="0">
      <w:start w:val="0"/>
      <w:numFmt w:val="bullet"/>
      <w:lvlText w:val="•"/>
      <w:lvlJc w:val="left"/>
      <w:pPr>
        <w:ind w:left="5965" w:hanging="360"/>
      </w:pPr>
      <w:rPr>
        <w:rFonts w:hint="default"/>
        <w:lang w:val="en-US" w:eastAsia="en-US" w:bidi="ar-SA"/>
      </w:rPr>
    </w:lvl>
    <w:lvl w:ilvl="7" w:tentative="0">
      <w:start w:val="0"/>
      <w:numFmt w:val="bullet"/>
      <w:lvlText w:val="•"/>
      <w:lvlJc w:val="left"/>
      <w:pPr>
        <w:ind w:left="6813" w:hanging="360"/>
      </w:pPr>
      <w:rPr>
        <w:rFonts w:hint="default"/>
        <w:lang w:val="en-US" w:eastAsia="en-US" w:bidi="ar-SA"/>
      </w:rPr>
    </w:lvl>
    <w:lvl w:ilvl="8" w:tentative="0">
      <w:start w:val="0"/>
      <w:numFmt w:val="bullet"/>
      <w:lvlText w:val="•"/>
      <w:lvlJc w:val="left"/>
      <w:pPr>
        <w:ind w:left="7661" w:hanging="360"/>
      </w:pPr>
      <w:rPr>
        <w:rFonts w:hint="default"/>
        <w:lang w:val="en-US" w:eastAsia="en-US" w:bidi="ar-SA"/>
      </w:rPr>
    </w:lvl>
  </w:abstractNum>
  <w:abstractNum w:abstractNumId="6">
    <w:nsid w:val="7B3D021C"/>
    <w:multiLevelType w:val="multilevel"/>
    <w:tmpl w:val="7B3D021C"/>
    <w:lvl w:ilvl="0" w:tentative="0">
      <w:start w:val="1"/>
      <w:numFmt w:val="decimal"/>
      <w:lvlText w:val="%1."/>
      <w:lvlJc w:val="left"/>
      <w:pPr>
        <w:ind w:left="885"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tentative="0">
      <w:start w:val="0"/>
      <w:numFmt w:val="bullet"/>
      <w:lvlText w:val="•"/>
      <w:lvlJc w:val="left"/>
      <w:pPr>
        <w:ind w:left="1727" w:hanging="360"/>
      </w:pPr>
      <w:rPr>
        <w:rFonts w:hint="default"/>
        <w:lang w:val="en-US" w:eastAsia="en-US" w:bidi="ar-SA"/>
      </w:rPr>
    </w:lvl>
    <w:lvl w:ilvl="2" w:tentative="0">
      <w:start w:val="0"/>
      <w:numFmt w:val="bullet"/>
      <w:lvlText w:val="•"/>
      <w:lvlJc w:val="left"/>
      <w:pPr>
        <w:ind w:left="2575" w:hanging="360"/>
      </w:pPr>
      <w:rPr>
        <w:rFonts w:hint="default"/>
        <w:lang w:val="en-US" w:eastAsia="en-US" w:bidi="ar-SA"/>
      </w:rPr>
    </w:lvl>
    <w:lvl w:ilvl="3" w:tentative="0">
      <w:start w:val="0"/>
      <w:numFmt w:val="bullet"/>
      <w:lvlText w:val="•"/>
      <w:lvlJc w:val="left"/>
      <w:pPr>
        <w:ind w:left="3422" w:hanging="360"/>
      </w:pPr>
      <w:rPr>
        <w:rFonts w:hint="default"/>
        <w:lang w:val="en-US" w:eastAsia="en-US" w:bidi="ar-SA"/>
      </w:rPr>
    </w:lvl>
    <w:lvl w:ilvl="4" w:tentative="0">
      <w:start w:val="0"/>
      <w:numFmt w:val="bullet"/>
      <w:lvlText w:val="•"/>
      <w:lvlJc w:val="left"/>
      <w:pPr>
        <w:ind w:left="4270" w:hanging="360"/>
      </w:pPr>
      <w:rPr>
        <w:rFonts w:hint="default"/>
        <w:lang w:val="en-US" w:eastAsia="en-US" w:bidi="ar-SA"/>
      </w:rPr>
    </w:lvl>
    <w:lvl w:ilvl="5" w:tentative="0">
      <w:start w:val="0"/>
      <w:numFmt w:val="bullet"/>
      <w:lvlText w:val="•"/>
      <w:lvlJc w:val="left"/>
      <w:pPr>
        <w:ind w:left="5118" w:hanging="360"/>
      </w:pPr>
      <w:rPr>
        <w:rFonts w:hint="default"/>
        <w:lang w:val="en-US" w:eastAsia="en-US" w:bidi="ar-SA"/>
      </w:rPr>
    </w:lvl>
    <w:lvl w:ilvl="6" w:tentative="0">
      <w:start w:val="0"/>
      <w:numFmt w:val="bullet"/>
      <w:lvlText w:val="•"/>
      <w:lvlJc w:val="left"/>
      <w:pPr>
        <w:ind w:left="5965" w:hanging="360"/>
      </w:pPr>
      <w:rPr>
        <w:rFonts w:hint="default"/>
        <w:lang w:val="en-US" w:eastAsia="en-US" w:bidi="ar-SA"/>
      </w:rPr>
    </w:lvl>
    <w:lvl w:ilvl="7" w:tentative="0">
      <w:start w:val="0"/>
      <w:numFmt w:val="bullet"/>
      <w:lvlText w:val="•"/>
      <w:lvlJc w:val="left"/>
      <w:pPr>
        <w:ind w:left="6813" w:hanging="360"/>
      </w:pPr>
      <w:rPr>
        <w:rFonts w:hint="default"/>
        <w:lang w:val="en-US" w:eastAsia="en-US" w:bidi="ar-SA"/>
      </w:rPr>
    </w:lvl>
    <w:lvl w:ilvl="8" w:tentative="0">
      <w:start w:val="0"/>
      <w:numFmt w:val="bullet"/>
      <w:lvlText w:val="•"/>
      <w:lvlJc w:val="left"/>
      <w:pPr>
        <w:ind w:left="7661" w:hanging="360"/>
      </w:pPr>
      <w:rPr>
        <w:rFonts w:hint="default"/>
        <w:lang w:val="en-US" w:eastAsia="en-US" w:bidi="ar-SA"/>
      </w:rPr>
    </w:lvl>
  </w:abstractNum>
  <w:num w:numId="1">
    <w:abstractNumId w:val="1"/>
  </w:num>
  <w:num w:numId="2">
    <w:abstractNumId w:val="6"/>
  </w:num>
  <w:num w:numId="3">
    <w:abstractNumId w:val="4"/>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2B456210"/>
    <w:rsid w:val="33F04CAE"/>
    <w:rsid w:val="617859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161"/>
      <w:ind w:left="496" w:hanging="331"/>
      <w:jc w:val="both"/>
      <w:outlineLvl w:val="1"/>
    </w:pPr>
    <w:rPr>
      <w:rFonts w:ascii="Times New Roman" w:hAnsi="Times New Roman" w:eastAsia="Times New Roman" w:cs="Times New Roman"/>
      <w:b/>
      <w:bCs/>
      <w:sz w:val="22"/>
      <w:szCs w:val="22"/>
      <w:lang w:val="en-US" w:eastAsia="en-US" w:bidi="ar-SA"/>
    </w:rPr>
  </w:style>
  <w:style w:type="character" w:default="1" w:styleId="3">
    <w:name w:val="Default Paragraph Font"/>
    <w:semiHidden/>
    <w:unhideWhenUsed/>
    <w:qFormat/>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pPr>
      <w:ind w:left="165"/>
    </w:pPr>
    <w:rPr>
      <w:rFonts w:ascii="Times New Roman" w:hAnsi="Times New Roman" w:eastAsia="Times New Roman" w:cs="Times New Roman"/>
      <w:sz w:val="22"/>
      <w:szCs w:val="22"/>
      <w:lang w:val="en-US" w:eastAsia="en-US" w:bidi="ar-SA"/>
    </w:rPr>
  </w:style>
  <w:style w:type="character" w:styleId="6">
    <w:name w:val="Hyperlink"/>
    <w:basedOn w:val="3"/>
    <w:uiPriority w:val="0"/>
    <w:rPr>
      <w:color w:val="0000FF"/>
      <w:u w:val="single"/>
    </w:rPr>
  </w:style>
  <w:style w:type="paragraph" w:styleId="7">
    <w:name w:val="Title"/>
    <w:basedOn w:val="1"/>
    <w:qFormat/>
    <w:uiPriority w:val="1"/>
    <w:pPr>
      <w:spacing w:before="122"/>
      <w:ind w:left="602" w:right="605" w:hanging="2"/>
      <w:jc w:val="center"/>
    </w:pPr>
    <w:rPr>
      <w:rFonts w:ascii="Times New Roman" w:hAnsi="Times New Roman" w:eastAsia="Times New Roman" w:cs="Times New Roman"/>
      <w:sz w:val="56"/>
      <w:szCs w:val="56"/>
      <w:lang w:val="en-US" w:eastAsia="en-US" w:bidi="ar-SA"/>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60"/>
      <w:ind w:left="885" w:hanging="360"/>
      <w:jc w:val="both"/>
    </w:pPr>
    <w:rPr>
      <w:rFonts w:ascii="Times New Roman" w:hAnsi="Times New Roman" w:eastAsia="Times New Roman" w:cs="Times New Roman"/>
      <w:lang w:val="en-US" w:eastAsia="en-US" w:bidi="ar-SA"/>
    </w:rPr>
  </w:style>
  <w:style w:type="paragraph" w:customStyle="1" w:styleId="10">
    <w:name w:val="Table Paragraph"/>
    <w:basedOn w:val="1"/>
    <w:qFormat/>
    <w:uiPriority w:val="1"/>
    <w:pPr>
      <w:spacing w:line="233" w:lineRule="exact"/>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TotalTime>0</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2026-02-19T15:42:00Z</dcterms:created>
  <dc:creator>Ameh, David</dc:creator>
  <cp:lastModifiedBy>WPS_1753178202</cp:lastModifiedBy>
  <dcterms:modified xsi:type="dcterms:W3CDTF">2026-03-24T16:38:08Z</dcterms:modified>
  <dc:title>Effectiveness of Loan Monitoring Practices on Risk Management of Licenced Non-financial Institutional Lenders in Nigeria.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2025-12-23T00:00:00Z</vt:filetime>
  </property>
  <property fmtid="{D5CDD505-2E9C-101B-9397-08002B2CF9AE}" pid="3" name="Creator">
    <vt:lpwstr>Microsoft® Word for Microsoft 365</vt:lpwstr>
  </property>
  <property fmtid="{D5CDD505-2E9C-101B-9397-08002B2CF9AE}" pid="4" name="LastSaved">
    <vt:filetime>2026-02-19T00:00:00Z</vt:filetime>
  </property>
  <property fmtid="{D5CDD505-2E9C-101B-9397-08002B2CF9AE}" pid="5" name="MSIP_Label_ea60d57e-af5b-4752-ac57-3e4f28ca11dc_Enabled">
    <vt:lpwstr>True</vt:lpwstr>
  </property>
  <property fmtid="{D5CDD505-2E9C-101B-9397-08002B2CF9AE}" pid="6" name="MSIP_Label_ea60d57e-af5b-4752-ac57-3e4f28ca11dc_Method">
    <vt:lpwstr>Standard</vt:lpwstr>
  </property>
  <property fmtid="{D5CDD505-2E9C-101B-9397-08002B2CF9AE}" pid="7" name="MSIP_Label_ea60d57e-af5b-4752-ac57-3e4f28ca11dc_SiteId">
    <vt:lpwstr>36da45f1-dd2c-4d1f-af13-5abe46b99921</vt:lpwstr>
  </property>
  <property fmtid="{D5CDD505-2E9C-101B-9397-08002B2CF9AE}" pid="8" name="Producer">
    <vt:lpwstr>Microsoft® Word for Microsoft 365</vt:lpwstr>
  </property>
  <property fmtid="{D5CDD505-2E9C-101B-9397-08002B2CF9AE}" pid="9" name="KSOProductBuildVer">
    <vt:lpwstr>1033-12.2.0.23196</vt:lpwstr>
  </property>
  <property fmtid="{D5CDD505-2E9C-101B-9397-08002B2CF9AE}" pid="10" name="ICV">
    <vt:lpwstr>21CA0B837E924770B7F7A3CC09BD2026_13</vt:lpwstr>
  </property>
</Properties>
</file>