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92A7" w14:textId="6AACAA7A" w:rsidR="00347752" w:rsidRDefault="006600E1">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6600E1">
        <w:rPr>
          <w:rFonts w:ascii="Times New Roman" w:hAnsi="Times New Roman"/>
          <w:b/>
          <w:bCs/>
          <w:sz w:val="24"/>
          <w:szCs w:val="24"/>
        </w:rPr>
        <w:t>INFLUENCE OF MUSIC INTEGRATION IN TEACHING MATHEMATICS IN GRADE 4</w:t>
      </w:r>
    </w:p>
    <w:p w14:paraId="1DC6F9A5" w14:textId="77777777" w:rsidR="00347752" w:rsidRDefault="00347752">
      <w:pPr>
        <w:spacing w:after="0" w:line="240" w:lineRule="auto"/>
        <w:jc w:val="center"/>
        <w:rPr>
          <w:rFonts w:ascii="Times New Roman" w:hAnsi="Times New Roman"/>
          <w:b/>
          <w:bCs/>
          <w:sz w:val="24"/>
          <w:szCs w:val="24"/>
        </w:rPr>
      </w:pPr>
    </w:p>
    <w:p w14:paraId="7564003C" w14:textId="77777777" w:rsidR="00347752" w:rsidRDefault="00347752">
      <w:pPr>
        <w:spacing w:after="0" w:line="240" w:lineRule="auto"/>
        <w:jc w:val="center"/>
        <w:rPr>
          <w:rFonts w:ascii="Times New Roman" w:hAnsi="Times New Roman"/>
          <w:b/>
          <w:bCs/>
          <w:sz w:val="24"/>
          <w:szCs w:val="24"/>
        </w:rPr>
      </w:pPr>
    </w:p>
    <w:p w14:paraId="055CDB1D" w14:textId="77777777" w:rsidR="006600E1" w:rsidRDefault="006600E1" w:rsidP="006600E1">
      <w:pPr>
        <w:spacing w:after="0" w:line="240" w:lineRule="auto"/>
        <w:jc w:val="center"/>
        <w:rPr>
          <w:rFonts w:ascii="Times New Roman" w:hAnsi="Times New Roman"/>
          <w:sz w:val="24"/>
          <w:szCs w:val="24"/>
        </w:rPr>
      </w:pPr>
      <w:r w:rsidRPr="006600E1">
        <w:rPr>
          <w:rFonts w:ascii="Times New Roman" w:hAnsi="Times New Roman"/>
          <w:sz w:val="24"/>
          <w:szCs w:val="24"/>
        </w:rPr>
        <w:t xml:space="preserve"/>
      </w:r>
      <w:proofErr w:type="spellStart"/>
      <w:r w:rsidRPr="006600E1">
        <w:rPr>
          <w:rFonts w:ascii="Times New Roman" w:hAnsi="Times New Roman"/>
          <w:sz w:val="24"/>
          <w:szCs w:val="24"/>
        </w:rPr>
        <w:t/>
      </w:r>
      <w:proofErr w:type="spellEnd"/>
    </w:p>
    <w:p w14:paraId="5E2D5FA2" w14:textId="77777777" w:rsidR="006600E1" w:rsidRDefault="006600E1" w:rsidP="006600E1">
      <w:pPr>
        <w:spacing w:after="0" w:line="240" w:lineRule="auto"/>
        <w:jc w:val="center"/>
        <w:rPr>
          <w:rFonts w:ascii="Times New Roman" w:hAnsi="Times New Roman"/>
          <w:sz w:val="24"/>
          <w:szCs w:val="24"/>
        </w:rPr>
      </w:pPr>
      <w:proofErr w:type="spellStart"/>
      <w:r w:rsidRPr="006600E1">
        <w:rPr>
          <w:rFonts w:ascii="Times New Roman" w:hAnsi="Times New Roman"/>
          <w:sz w:val="24"/>
          <w:szCs w:val="24"/>
        </w:rPr>
        <w:t/>
      </w:r>
      <w:proofErr w:type="spellEnd"/>
      <w:r w:rsidRPr="006600E1">
        <w:rPr>
          <w:rFonts w:ascii="Times New Roman" w:hAnsi="Times New Roman"/>
          <w:sz w:val="24"/>
          <w:szCs w:val="24"/>
        </w:rPr>
        <w:t xml:space="preserve"/>
      </w:r>
    </w:p>
    <w:p w14:paraId="3CE3A1E5" w14:textId="205E569C" w:rsidR="006600E1" w:rsidRPr="006600E1" w:rsidRDefault="006600E1" w:rsidP="006600E1">
      <w:pPr>
        <w:spacing w:after="0" w:line="240" w:lineRule="auto"/>
        <w:jc w:val="center"/>
        <w:rPr>
          <w:rFonts w:ascii="Times New Roman" w:hAnsi="Times New Roman"/>
          <w:sz w:val="24"/>
          <w:szCs w:val="24"/>
        </w:rPr>
      </w:pPr>
      <w:r w:rsidRPr="006600E1">
        <w:rPr>
          <w:rFonts w:ascii="Times New Roman" w:hAnsi="Times New Roman"/>
          <w:sz w:val="24"/>
          <w:szCs w:val="24"/>
        </w:rPr>
        <w:t xml:space="preserve"/>
      </w:r>
      <w:proofErr w:type="spellStart"/>
      <w:r w:rsidRPr="006600E1">
        <w:rPr>
          <w:rFonts w:ascii="Times New Roman" w:hAnsi="Times New Roman"/>
          <w:sz w:val="24"/>
          <w:szCs w:val="24"/>
        </w:rPr>
        <w:t/>
      </w:r>
      <w:proofErr w:type="spellEnd"/>
      <w:r w:rsidRPr="006600E1">
        <w:rPr>
          <w:rFonts w:ascii="Times New Roman" w:hAnsi="Times New Roman"/>
          <w:sz w:val="24"/>
          <w:szCs w:val="24"/>
        </w:rPr>
        <w:t xml:space="preserve"/>
      </w:r>
      <w:proofErr w:type="spellStart"/>
      <w:r w:rsidRPr="006600E1">
        <w:rPr>
          <w:rFonts w:ascii="Times New Roman" w:hAnsi="Times New Roman"/>
          <w:sz w:val="24"/>
          <w:szCs w:val="24"/>
        </w:rPr>
        <w:t/>
      </w:r>
      <w:proofErr w:type="spellEnd"/>
      <w:r w:rsidRPr="006600E1">
        <w:rPr>
          <w:rFonts w:ascii="Times New Roman" w:hAnsi="Times New Roman"/>
          <w:sz w:val="24"/>
          <w:szCs w:val="24"/>
        </w:rPr>
        <w:t xml:space="preserve"/>
      </w:r>
    </w:p>
    <w:p w14:paraId="6437EAD7" w14:textId="77777777" w:rsidR="006600E1" w:rsidRDefault="006600E1" w:rsidP="006600E1">
      <w:pPr>
        <w:spacing w:after="0" w:line="240" w:lineRule="auto"/>
        <w:jc w:val="center"/>
        <w:rPr>
          <w:rFonts w:ascii="Times New Roman" w:hAnsi="Times New Roman"/>
          <w:sz w:val="24"/>
          <w:szCs w:val="24"/>
        </w:rPr>
      </w:pPr>
      <w:r w:rsidRPr="006600E1">
        <w:rPr>
          <w:rFonts w:ascii="Times New Roman" w:hAnsi="Times New Roman"/>
          <w:sz w:val="24"/>
          <w:szCs w:val="24"/>
        </w:rPr>
        <w:t/>
      </w:r>
    </w:p>
    <w:p w14:paraId="6CD9F063" w14:textId="4EEC8F07" w:rsidR="00347752" w:rsidRDefault="006600E1" w:rsidP="006600E1">
      <w:pPr>
        <w:spacing w:after="0" w:line="240" w:lineRule="auto"/>
        <w:jc w:val="center"/>
        <w:rPr>
          <w:rFonts w:ascii="Times New Roman" w:hAnsi="Times New Roman"/>
          <w:sz w:val="24"/>
          <w:szCs w:val="24"/>
        </w:rPr>
      </w:pPr>
      <w:r w:rsidRPr="006600E1">
        <w:rPr>
          <w:rFonts w:ascii="Times New Roman" w:hAnsi="Times New Roman"/>
          <w:sz w:val="24"/>
          <w:szCs w:val="24"/>
        </w:rPr>
        <w:t xml:space="preserve"/>
      </w:r>
      <w:proofErr w:type="spellStart"/>
      <w:r w:rsidRPr="006600E1">
        <w:rPr>
          <w:rFonts w:ascii="Times New Roman" w:hAnsi="Times New Roman"/>
          <w:sz w:val="24"/>
          <w:szCs w:val="24"/>
        </w:rPr>
        <w:t/>
      </w:r>
      <w:proofErr w:type="spellEnd"/>
      <w:r w:rsidRPr="006600E1">
        <w:rPr>
          <w:rFonts w:ascii="Times New Roman" w:hAnsi="Times New Roman"/>
          <w:sz w:val="24"/>
          <w:szCs w:val="24"/>
        </w:rPr>
        <w:t xml:space="preserve"/>
      </w:r>
      <w:proofErr w:type="spellStart"/>
      <w:r w:rsidRPr="006600E1">
        <w:rPr>
          <w:rFonts w:ascii="Times New Roman" w:hAnsi="Times New Roman"/>
          <w:sz w:val="24"/>
          <w:szCs w:val="24"/>
        </w:rPr>
        <w:t/>
      </w:r>
      <w:proofErr w:type="spellEnd"/>
    </w:p>
    <w:p w14:paraId="7EB7D527" w14:textId="77777777" w:rsidR="006600E1" w:rsidRDefault="006600E1">
      <w:pPr>
        <w:spacing w:after="0" w:line="240" w:lineRule="auto"/>
        <w:jc w:val="center"/>
        <w:rPr>
          <w:rFonts w:ascii="Times New Roman" w:hAnsi="Times New Roman"/>
          <w:sz w:val="24"/>
          <w:szCs w:val="24"/>
        </w:rPr>
      </w:pPr>
    </w:p>
    <w:p w14:paraId="0A67B21E" w14:textId="77777777" w:rsidR="00347752" w:rsidRDefault="00000000">
      <w:pPr>
        <w:spacing w:after="0" w:line="240" w:lineRule="auto"/>
        <w:jc w:val="center"/>
        <w:rPr>
          <w:rFonts w:ascii="Times New Roman" w:hAnsi="Times New Roman" w:cs="Times New Roman"/>
        </w:rPr>
      </w:pPr>
      <w:r>
        <w:rPr>
          <w:rFonts w:ascii="Times New Roman" w:hAnsi="Times New Roman" w:cs="Times New Roman"/>
        </w:rPr>
        <w:t xml:space="preserve"/>
      </w:r>
      <w:proofErr w:type="spellStart"/>
      <w:r>
        <w:rPr>
          <w:rFonts w:ascii="Times New Roman" w:hAnsi="Times New Roman" w:cs="Times New Roman"/>
        </w:rPr>
        <w:t/>
      </w:r>
      <w:proofErr w:type="spellEnd"/>
    </w:p>
    <w:p w14:paraId="4728E657" w14:textId="63FE94BF" w:rsidR="00347752" w:rsidRDefault="00000000">
      <w:pPr>
        <w:spacing w:after="0" w:line="240" w:lineRule="auto"/>
        <w:jc w:val="center"/>
        <w:rPr>
          <w:rFonts w:ascii="Times New Roman" w:hAnsi="Times New Roman" w:cs="Times New Roman"/>
        </w:rPr>
      </w:pPr>
      <w:r>
        <w:rPr>
          <w:rFonts w:ascii="Times New Roman" w:hAnsi="Times New Roman" w:cs="Times New Roman"/>
        </w:rPr>
        <w:t xml:space="preserve"/>
      </w:r>
      <w:hyperlink r:id="rId9" w:history="1">
        <w:r w:rsidR="0069128C" w:rsidRPr="008739A7">
          <w:rPr>
            <w:rStyle w:val="Hyperlink"/>
          </w:rPr>
          <w:t/>
        </w:r>
      </w:hyperlink>
      <w:r>
        <w:t xml:space="preserve"/>
      </w:r>
      <w:r>
        <w:rPr>
          <w:rFonts w:ascii="Times New Roman" w:hAnsi="Times New Roman" w:cs="Times New Roman"/>
        </w:rPr>
        <w:t xml:space="preserve"/>
      </w:r>
    </w:p>
    <w:p w14:paraId="07196F5A" w14:textId="47B3B43A" w:rsidR="00347752" w:rsidRDefault="0069128C" w:rsidP="0069128C">
      <w:pPr>
        <w:spacing w:after="0" w:line="240" w:lineRule="auto"/>
        <w:ind w:left="2880"/>
        <w:rPr>
          <w:rFonts w:ascii="Times New Roman" w:hAnsi="Times New Roman" w:cs="Times New Roman"/>
        </w:rPr>
      </w:pPr>
      <w:r>
        <w:rPr>
          <w:rFonts w:ascii="Times New Roman" w:hAnsi="Times New Roman" w:cs="Times New Roman"/>
        </w:rPr>
        <w:t xml:space="preserve"/>
      </w:r>
      <w:hyperlink r:id="rId10" w:history="1">
        <w:r w:rsidR="00E05A8D" w:rsidRPr="009676EC">
          <w:rPr>
            <w:rStyle w:val="Hyperlink"/>
            <w:rFonts w:ascii="Times New Roman" w:hAnsi="Times New Roman" w:cs="Times New Roman"/>
          </w:rPr>
          <w:t/>
        </w:r>
      </w:hyperlink>
      <w:r>
        <w:rPr>
          <w:rFonts w:ascii="Times New Roman" w:hAnsi="Times New Roman" w:cs="Times New Roman"/>
        </w:rPr>
        <w:t xml:space="preserve"/>
      </w:r>
    </w:p>
    <w:p w14:paraId="75D177B4" w14:textId="4D9DCEAB" w:rsidR="00347752" w:rsidRDefault="00000000">
      <w:pPr>
        <w:spacing w:after="0" w:line="240" w:lineRule="auto"/>
        <w:jc w:val="center"/>
        <w:rPr>
          <w:rFonts w:ascii="Times New Roman" w:hAnsi="Times New Roman" w:cs="Times New Roman"/>
        </w:rPr>
      </w:pPr>
      <w:r>
        <w:rPr>
          <w:rFonts w:ascii="Times New Roman" w:hAnsi="Times New Roman" w:cs="Times New Roman"/>
        </w:rPr>
        <w:t xml:space="preserve"/>
      </w:r>
      <w:r w:rsidR="007A002D">
        <w:rPr>
          <w:rFonts w:ascii="Times New Roman" w:hAnsi="Times New Roman" w:cs="Times New Roman"/>
        </w:rPr>
        <w:t xml:space="preserve"/>
      </w:r>
      <w:r>
        <w:rPr>
          <w:rFonts w:ascii="Times New Roman" w:hAnsi="Times New Roman" w:cs="Times New Roman"/>
        </w:rPr>
        <w:t xml:space="preserve"/>
      </w:r>
      <w:hyperlink r:id="rId11" w:history="1">
        <w:r w:rsidR="007A002D" w:rsidRPr="008739A7">
          <w:rPr>
            <w:rStyle w:val="Hyperlink"/>
            <w:rFonts w:ascii="Times New Roman" w:hAnsi="Times New Roman" w:cs="Times New Roman"/>
          </w:rPr>
          <w:t/>
        </w:r>
      </w:hyperlink>
    </w:p>
    <w:p w14:paraId="73FC0CFD" w14:textId="77777777" w:rsidR="007A002D" w:rsidRDefault="00000000" w:rsidP="007A002D">
      <w:pPr>
        <w:spacing w:after="0" w:line="240" w:lineRule="auto"/>
        <w:jc w:val="center"/>
        <w:rPr>
          <w:rFonts w:ascii="Times New Roman" w:hAnsi="Times New Roman" w:cs="Times New Roman"/>
        </w:rPr>
      </w:pPr>
      <w:r>
        <w:rPr>
          <w:rFonts w:ascii="Times New Roman" w:hAnsi="Times New Roman" w:cs="Times New Roman"/>
        </w:rPr>
        <w:t xml:space="preserve"/>
      </w:r>
      <w:r w:rsidR="007A002D">
        <w:rPr>
          <w:rFonts w:ascii="Times New Roman" w:hAnsi="Times New Roman" w:cs="Times New Roman"/>
        </w:rPr>
        <w:t xml:space="preserve"/>
      </w:r>
      <w:hyperlink r:id="rId12" w:history="1">
        <w:r w:rsidR="007A002D" w:rsidRPr="008739A7">
          <w:rPr>
            <w:rStyle w:val="Hyperlink"/>
            <w:rFonts w:ascii="Times New Roman" w:hAnsi="Times New Roman" w:cs="Times New Roman"/>
          </w:rPr>
          <w:t/>
        </w:r>
      </w:hyperlink>
      <w:r>
        <w:rPr>
          <w:rFonts w:ascii="Times New Roman" w:hAnsi="Times New Roman" w:cs="Times New Roman"/>
        </w:rPr>
        <w:t xml:space="preserve"/>
      </w:r>
      <w:r w:rsidR="007A002D">
        <w:rPr>
          <w:rFonts w:ascii="Times New Roman" w:hAnsi="Times New Roman" w:cs="Times New Roman"/>
        </w:rPr>
        <w:t xml:space="preserve"/>
      </w:r>
    </w:p>
    <w:p w14:paraId="56EABD39" w14:textId="1150BB04" w:rsidR="00347752" w:rsidRPr="007A002D" w:rsidRDefault="007A002D" w:rsidP="007A002D">
      <w:pPr>
        <w:spacing w:after="0" w:line="240" w:lineRule="auto"/>
        <w:jc w:val="center"/>
        <w:rPr>
          <w:rFonts w:ascii="Times New Roman" w:hAnsi="Times New Roman" w:cs="Times New Roman"/>
          <w:color w:val="0563C1" w:themeColor="hyperlink"/>
          <w:u w:val="single"/>
        </w:rPr>
      </w:pPr>
      <w:r>
        <w:rPr>
          <w:rFonts w:ascii="Times New Roman" w:hAnsi="Times New Roman" w:cs="Times New Roman"/>
        </w:rPr>
        <w:t xml:space="preserve"/>
      </w:r>
      <w:hyperlink r:id="rId13" w:history="1">
        <w:r w:rsidRPr="008739A7">
          <w:rPr>
            <w:rStyle w:val="Hyperlink"/>
            <w:rFonts w:ascii="Times New Roman" w:hAnsi="Times New Roman" w:cs="Times New Roman"/>
          </w:rPr>
          <w:t/>
        </w:r>
      </w:hyperlink>
      <w:r>
        <w:rPr>
          <w:rFonts w:ascii="Times New Roman" w:hAnsi="Times New Roman" w:cs="Times New Roman"/>
        </w:rPr>
        <w:t xml:space="preserve"/>
      </w:r>
    </w:p>
    <w:p w14:paraId="4C2CCBA0" w14:textId="77777777" w:rsidR="00AB64EF" w:rsidRDefault="00000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066A1C63" w14:textId="5FB55FE5" w:rsidR="00347752" w:rsidRDefault="00000000">
      <w:pPr>
        <w:spacing w:after="0" w:line="240" w:lineRule="auto"/>
        <w:rPr>
          <w:rFonts w:ascii="Times New Roman" w:hAnsi="Times New Roman" w:cs="Times New Roman"/>
        </w:rPr>
      </w:pPr>
      <w:r>
        <w:rPr>
          <w:rFonts w:ascii="Times New Roman" w:hAnsi="Times New Roman" w:cs="Times New Roman"/>
          <w:b/>
          <w:bCs/>
          <w:sz w:val="24"/>
          <w:szCs w:val="24"/>
        </w:rPr>
        <w:t xml:space="preserve"> </w:t>
      </w:r>
    </w:p>
    <w:p w14:paraId="368E8BF9" w14:textId="2D392B9B" w:rsidR="006600E1" w:rsidRPr="006600E1" w:rsidRDefault="006600E1" w:rsidP="00AB64EF">
      <w:pPr>
        <w:ind w:left="144"/>
        <w:jc w:val="both"/>
        <w:rPr>
          <w:rFonts w:ascii="Times New Roman" w:hAnsi="Times New Roman" w:cs="Times New Roman"/>
          <w:sz w:val="24"/>
          <w:szCs w:val="24"/>
        </w:rPr>
      </w:pPr>
      <w:r w:rsidRPr="006600E1">
        <w:rPr>
          <w:rFonts w:ascii="Times New Roman" w:hAnsi="Times New Roman" w:cs="Times New Roman"/>
          <w:sz w:val="24"/>
          <w:szCs w:val="24"/>
        </w:rPr>
        <w:t xml:space="preserve">Mathematics plays a vital role in developing logical reasoning, problem-solving skills and critical thinking among learners. However, traditional teaching approaches in the elementary level often fail to sustain pupils’ interest and motivation, especially when dealing with abstract Mathematical concepts. While studies have shown the effectiveness of innovative strategies, there is still limited research on how Music integration can enhance Mathematics learning at primary level. This study aimed to determine the influence of integrating Music in teaching selected Mathematics topics among Grade 4 pupils at </w:t>
      </w:r>
      <w:proofErr w:type="spellStart"/>
      <w:r w:rsidRPr="006600E1">
        <w:rPr>
          <w:rFonts w:ascii="Times New Roman" w:hAnsi="Times New Roman" w:cs="Times New Roman"/>
          <w:sz w:val="24"/>
          <w:szCs w:val="24"/>
        </w:rPr>
        <w:t>Pikalawag</w:t>
      </w:r>
      <w:proofErr w:type="spellEnd"/>
      <w:r w:rsidRPr="006600E1">
        <w:rPr>
          <w:rFonts w:ascii="Times New Roman" w:hAnsi="Times New Roman" w:cs="Times New Roman"/>
          <w:sz w:val="24"/>
          <w:szCs w:val="24"/>
        </w:rPr>
        <w:t xml:space="preserve"> Integrated School during the Academic Year 2025-2026. A total of </w:t>
      </w:r>
      <w:r w:rsidR="00E6033B">
        <w:rPr>
          <w:rFonts w:ascii="Times New Roman" w:hAnsi="Times New Roman" w:cs="Times New Roman"/>
          <w:sz w:val="24"/>
          <w:szCs w:val="24"/>
        </w:rPr>
        <w:t>28</w:t>
      </w:r>
      <w:r w:rsidRPr="006600E1">
        <w:rPr>
          <w:rFonts w:ascii="Times New Roman" w:hAnsi="Times New Roman" w:cs="Times New Roman"/>
          <w:sz w:val="24"/>
          <w:szCs w:val="24"/>
        </w:rPr>
        <w:t xml:space="preserve"> officially enrolled pupils in Grade 4 served as respondents. The demographic profile of the respondents showed that 14 were male and 14 were female, with ages ranging 9 to 10 years. This indicates that the experimental and control group were comparable in terms of age and gender.  A 30-item test was administered before and after the intervention to measure the pupils’ performance. Data were analyzed using frequency/percentage distribution, Wilcoxon Signed-Rank Test, Mann-Whitney U Test, Kruskal-Wallis H Test and Independent Sample T-Test. Findings revealed that the pre-test scores of the respondents were relatively low, while the post-test results showed a significant increase in scores. Statistical analyses confirm that the integration of Music in teaching Mathematics had a significant and positive impact on the pupils</w:t>
      </w:r>
      <w:r w:rsidR="00AB64EF">
        <w:rPr>
          <w:rFonts w:ascii="Times New Roman" w:hAnsi="Times New Roman" w:cs="Times New Roman"/>
          <w:sz w:val="24"/>
          <w:szCs w:val="24"/>
        </w:rPr>
        <w:t xml:space="preserve">’ </w:t>
      </w:r>
      <w:r w:rsidRPr="006600E1">
        <w:rPr>
          <w:rFonts w:ascii="Times New Roman" w:hAnsi="Times New Roman" w:cs="Times New Roman"/>
          <w:sz w:val="24"/>
          <w:szCs w:val="24"/>
        </w:rPr>
        <w:t>performance. This study concludes that Music-integrated instruction fosters better engagement, comprehension and retention in Mathematics learning.</w:t>
      </w:r>
    </w:p>
    <w:p w14:paraId="4D037226" w14:textId="77777777" w:rsidR="00347752" w:rsidRDefault="00347752">
      <w:pPr>
        <w:spacing w:after="0" w:line="240" w:lineRule="auto"/>
        <w:ind w:left="720"/>
        <w:jc w:val="both"/>
        <w:rPr>
          <w:rFonts w:ascii="Times New Roman" w:hAnsi="Times New Roman" w:cs="Times New Roman"/>
          <w:sz w:val="24"/>
          <w:szCs w:val="24"/>
        </w:rPr>
      </w:pPr>
    </w:p>
    <w:p w14:paraId="7D3F8AAF" w14:textId="50BC1360" w:rsidR="00A201FB" w:rsidRPr="00E86C26" w:rsidRDefault="00533484" w:rsidP="00533484">
      <w:pPr>
        <w:spacing w:after="0" w:line="240" w:lineRule="auto"/>
        <w:rPr>
          <w:rFonts w:ascii="Times New Roman" w:hAnsi="Times New Roman" w:cs="Times New Roman"/>
          <w:i/>
          <w:iCs/>
          <w:sz w:val="24"/>
          <w:szCs w:val="24"/>
        </w:rPr>
      </w:pPr>
      <w:r>
        <w:rPr>
          <w:rFonts w:ascii="Times New Roman" w:hAnsi="Times New Roman" w:cs="Times New Roman"/>
          <w:b/>
          <w:bCs/>
          <w:sz w:val="24"/>
          <w:szCs w:val="24"/>
        </w:rPr>
        <w:t xml:space="preserve">   Keywords: </w:t>
      </w:r>
      <w:r w:rsidR="00A201FB" w:rsidRPr="00E86C26">
        <w:rPr>
          <w:rFonts w:ascii="Times New Roman" w:hAnsi="Times New Roman" w:cs="Times New Roman"/>
          <w:i/>
          <w:iCs/>
          <w:sz w:val="24"/>
          <w:szCs w:val="24"/>
        </w:rPr>
        <w:t xml:space="preserve">Influence, Music integration, Mathematics Instruction, Innovative    </w:t>
      </w:r>
    </w:p>
    <w:p w14:paraId="183EE77C" w14:textId="1943FE78" w:rsidR="00347752" w:rsidRPr="00E86C26" w:rsidRDefault="00A201FB" w:rsidP="00A201FB">
      <w:pPr>
        <w:spacing w:after="0" w:line="240" w:lineRule="auto"/>
        <w:ind w:left="720"/>
        <w:rPr>
          <w:rFonts w:ascii="Times New Roman" w:hAnsi="Times New Roman" w:cs="Times New Roman"/>
          <w:i/>
          <w:iCs/>
          <w:sz w:val="24"/>
          <w:szCs w:val="24"/>
        </w:rPr>
      </w:pPr>
      <w:r w:rsidRPr="00E86C26">
        <w:rPr>
          <w:rFonts w:ascii="Times New Roman" w:hAnsi="Times New Roman" w:cs="Times New Roman"/>
          <w:i/>
          <w:iCs/>
          <w:sz w:val="24"/>
          <w:szCs w:val="24"/>
        </w:rPr>
        <w:t xml:space="preserve">           Strategy, Tradition</w:t>
      </w:r>
      <w:r w:rsidR="00E6033B" w:rsidRPr="00E86C26">
        <w:rPr>
          <w:rFonts w:ascii="Times New Roman" w:hAnsi="Times New Roman" w:cs="Times New Roman"/>
          <w:i/>
          <w:iCs/>
          <w:sz w:val="24"/>
          <w:szCs w:val="24"/>
        </w:rPr>
        <w:t>al</w:t>
      </w:r>
    </w:p>
    <w:p w14:paraId="40679501" w14:textId="77777777" w:rsidR="00AB64EF" w:rsidRDefault="00AB64EF" w:rsidP="00280200">
      <w:pPr>
        <w:rPr>
          <w:rFonts w:ascii="Times New Roman" w:hAnsi="Times New Roman" w:cs="Times New Roman"/>
          <w:i/>
          <w:iCs/>
          <w:sz w:val="24"/>
          <w:szCs w:val="24"/>
        </w:rPr>
      </w:pPr>
    </w:p>
    <w:p w14:paraId="7764A197" w14:textId="77777777" w:rsidR="00280200" w:rsidRDefault="00280200" w:rsidP="00280200">
      <w:pPr>
        <w:rPr>
          <w:rFonts w:ascii="Times New Roman" w:hAnsi="Times New Roman" w:cs="Times New Roman"/>
          <w:sz w:val="24"/>
          <w:szCs w:val="24"/>
        </w:rPr>
      </w:pPr>
    </w:p>
    <w:p w14:paraId="6FBD0F16" w14:textId="77777777" w:rsidR="00347752" w:rsidRDefault="00000000" w:rsidP="00A67C0F">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1. Introduction </w:t>
      </w:r>
    </w:p>
    <w:p w14:paraId="6F1A103F" w14:textId="77777777" w:rsidR="009B3B82" w:rsidRPr="009B3B82" w:rsidRDefault="00000000" w:rsidP="009B3B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72C553B" w14:textId="77777777" w:rsidR="00E86C26" w:rsidRPr="00E86C26" w:rsidRDefault="00E86C26" w:rsidP="00E86C26">
      <w:pPr>
        <w:spacing w:after="0" w:line="240" w:lineRule="auto"/>
        <w:ind w:firstLine="720"/>
        <w:jc w:val="both"/>
        <w:rPr>
          <w:rFonts w:ascii="Times New Roman" w:hAnsi="Times New Roman" w:cs="Times New Roman"/>
          <w:sz w:val="24"/>
          <w:szCs w:val="24"/>
        </w:rPr>
      </w:pPr>
      <w:r w:rsidRPr="00E86C26">
        <w:rPr>
          <w:rFonts w:ascii="Times New Roman" w:hAnsi="Times New Roman" w:cs="Times New Roman"/>
          <w:sz w:val="24"/>
          <w:szCs w:val="24"/>
        </w:rPr>
        <w:t>Mathematics is widely recognized as one of the most fundamental yet most difficult subjects for learners in basic education. It develops critical thinking, logical reasoning, and problem-solving skills that are essential in daily life and in the pursuit of many careers. However, despite its importance, Mathematics continues to be one of the most disliked and feared subjects among elementary school learners. Many learners find it challenging to engage with the subject due to its abstract and complex nature, particularly when introduced to topics such as multi-digit operations, fractions, and word problems. These Mathematical concepts often require a level of understanding that feels disconnected from students' everyday experiences, making the lessons appear intimidating, confusing, and rigid.</w:t>
      </w:r>
    </w:p>
    <w:p w14:paraId="0ACE8876" w14:textId="77777777" w:rsidR="00E86C26" w:rsidRPr="00E86C26" w:rsidRDefault="00E86C26" w:rsidP="00E86C26">
      <w:pPr>
        <w:spacing w:after="0" w:line="240" w:lineRule="auto"/>
        <w:ind w:firstLine="720"/>
        <w:jc w:val="both"/>
        <w:rPr>
          <w:rFonts w:ascii="Times New Roman" w:hAnsi="Times New Roman" w:cs="Times New Roman"/>
          <w:sz w:val="24"/>
          <w:szCs w:val="24"/>
        </w:rPr>
      </w:pPr>
      <w:r w:rsidRPr="00E86C26">
        <w:rPr>
          <w:rFonts w:ascii="Times New Roman" w:hAnsi="Times New Roman" w:cs="Times New Roman"/>
          <w:sz w:val="24"/>
          <w:szCs w:val="24"/>
        </w:rPr>
        <w:t>As a result, negative attitudes toward Mathematics tend to form early in a learner’s academic life. These attitudes often manifest in poor academic performance, reduce confidence in Math-related tasks, and increase classroom anxiety. When learners experience repeated failures or difficulties in understanding Math concepts, they may begin to believe that they are simply “not good at Math.” This mindset can significantly hinder their learning progression, motivation, and participation in class activities.</w:t>
      </w:r>
    </w:p>
    <w:p w14:paraId="3055CA0B" w14:textId="77777777" w:rsidR="00E86C26" w:rsidRPr="00E86C26" w:rsidRDefault="00E86C26" w:rsidP="00E86C26">
      <w:pPr>
        <w:spacing w:after="0" w:line="240" w:lineRule="auto"/>
        <w:ind w:firstLine="720"/>
        <w:jc w:val="both"/>
        <w:rPr>
          <w:rFonts w:ascii="Times New Roman" w:hAnsi="Times New Roman" w:cs="Times New Roman"/>
          <w:sz w:val="24"/>
          <w:szCs w:val="24"/>
        </w:rPr>
      </w:pPr>
      <w:r w:rsidRPr="00E86C26">
        <w:rPr>
          <w:rFonts w:ascii="Times New Roman" w:hAnsi="Times New Roman" w:cs="Times New Roman"/>
          <w:sz w:val="24"/>
          <w:szCs w:val="24"/>
        </w:rPr>
        <w:t xml:space="preserve"> This concern is particularly pressing in the context of the Philippine education system. National and international assessments have consistently revealed low performance among Filipino learners in Mathematics. According to the Department of Education (DepEd, 2023), a substantial number of elementary pupils are not meeting the expected proficiency levels in numeracy. Furthermore, results from global assessments such as the Southeast Asia Primary Learning Metrics (SEA-PLM) and the Program for International Student Assessment (PISA) ranked the Philippines among the lowest-performing countries in Math. These alarming outcomes emphasize the urgent need for more innovative, effective, and engaging instructional strategies that can bridge the gap between learners and Mathematical understanding.</w:t>
      </w:r>
    </w:p>
    <w:p w14:paraId="6634E428" w14:textId="77777777" w:rsidR="00E86C26" w:rsidRPr="00E86C26" w:rsidRDefault="00E86C26" w:rsidP="00E86C26">
      <w:pPr>
        <w:spacing w:after="0" w:line="240" w:lineRule="auto"/>
        <w:ind w:firstLine="720"/>
        <w:jc w:val="both"/>
        <w:rPr>
          <w:rFonts w:ascii="Times New Roman" w:hAnsi="Times New Roman" w:cs="Times New Roman"/>
          <w:sz w:val="24"/>
          <w:szCs w:val="24"/>
        </w:rPr>
      </w:pPr>
      <w:r w:rsidRPr="00E86C26">
        <w:rPr>
          <w:rFonts w:ascii="Times New Roman" w:hAnsi="Times New Roman" w:cs="Times New Roman"/>
          <w:sz w:val="24"/>
          <w:szCs w:val="24"/>
        </w:rPr>
        <w:t>One such strategy that has gained attention in recent years is the integration of Music into academic instruction, particularly in Mathematics. Music is known to have various cognitive, emotional, and social benefits that can directly support learning. It can stimulate brain areas responsible for pattern recognition, enhance memory retention, improve concentration, and regulate emotions—skills that are vital when engaging with complex problem-solving tasks in Math. Hallam (2021) explains that Musical activities enhance spatial-temporal reasoning and working memory, which are essential components of Mathematical processing. Additionally, Music has the power to create a relax and positive learning environment, helping learners to feel less anxious and more engage during lessons.</w:t>
      </w:r>
    </w:p>
    <w:p w14:paraId="1621BC68" w14:textId="77777777" w:rsidR="00E86C26" w:rsidRPr="00E86C26" w:rsidRDefault="00E86C26" w:rsidP="00E86C26">
      <w:pPr>
        <w:spacing w:after="0" w:line="240" w:lineRule="auto"/>
        <w:ind w:firstLine="720"/>
        <w:jc w:val="both"/>
        <w:rPr>
          <w:rFonts w:ascii="Times New Roman" w:hAnsi="Times New Roman" w:cs="Times New Roman"/>
          <w:sz w:val="24"/>
          <w:szCs w:val="24"/>
        </w:rPr>
      </w:pPr>
      <w:r w:rsidRPr="00E86C26">
        <w:rPr>
          <w:rFonts w:ascii="Times New Roman" w:hAnsi="Times New Roman" w:cs="Times New Roman"/>
          <w:sz w:val="24"/>
          <w:szCs w:val="24"/>
        </w:rPr>
        <w:t>Despite its potential, Music integration in Mathematics remains underutilize, particularly in public elementary schools in the Philippines. Many classrooms still rely heavily on traditional, lecture-based methods, which may not address the emotional and cognitive needs of all learners. There is a pressing need to explore alternative approaches that make Math more accessible, relatable, and enjoyable for learners.</w:t>
      </w:r>
    </w:p>
    <w:p w14:paraId="2745AE82" w14:textId="77777777" w:rsidR="00E86C26" w:rsidRPr="00E86C26" w:rsidRDefault="00E86C26" w:rsidP="00E86C26">
      <w:pPr>
        <w:spacing w:after="0" w:line="240" w:lineRule="auto"/>
        <w:ind w:firstLine="720"/>
        <w:jc w:val="both"/>
        <w:rPr>
          <w:rFonts w:ascii="Times New Roman" w:hAnsi="Times New Roman" w:cs="Times New Roman"/>
          <w:sz w:val="24"/>
          <w:szCs w:val="24"/>
        </w:rPr>
      </w:pPr>
      <w:r w:rsidRPr="00E86C26">
        <w:rPr>
          <w:rFonts w:ascii="Times New Roman" w:hAnsi="Times New Roman" w:cs="Times New Roman"/>
          <w:sz w:val="24"/>
          <w:szCs w:val="24"/>
        </w:rPr>
        <w:t xml:space="preserve">This study aimed to address this gap by investigating the influence of Music integration in teaching Mathematics. Specifically, it sought to determine how Music-based instructional strategies can improve learner engagement and reduce anxiety in Mathematics. The focus of the study was the Grade 4 pupils at </w:t>
      </w:r>
      <w:proofErr w:type="spellStart"/>
      <w:r w:rsidRPr="00E86C26">
        <w:rPr>
          <w:rFonts w:ascii="Times New Roman" w:hAnsi="Times New Roman" w:cs="Times New Roman"/>
          <w:sz w:val="24"/>
          <w:szCs w:val="24"/>
        </w:rPr>
        <w:t>Pikalawag</w:t>
      </w:r>
      <w:proofErr w:type="spellEnd"/>
      <w:r w:rsidRPr="00E86C26">
        <w:rPr>
          <w:rFonts w:ascii="Times New Roman" w:hAnsi="Times New Roman" w:cs="Times New Roman"/>
          <w:sz w:val="24"/>
          <w:szCs w:val="24"/>
        </w:rPr>
        <w:t xml:space="preserve"> Integrated School. By introducing Music into daily </w:t>
      </w:r>
      <w:r w:rsidRPr="00E86C26">
        <w:rPr>
          <w:rFonts w:ascii="Times New Roman" w:hAnsi="Times New Roman" w:cs="Times New Roman"/>
          <w:sz w:val="24"/>
          <w:szCs w:val="24"/>
        </w:rPr>
        <w:lastRenderedPageBreak/>
        <w:t>Math instruction, the goal is to create a more supportive and stimulating learning environment that fosters confidence, participation, and better understanding of Mathematical concepts.</w:t>
      </w:r>
    </w:p>
    <w:p w14:paraId="31A5DF2B" w14:textId="77777777" w:rsidR="00AB64EF" w:rsidRDefault="00AB64EF" w:rsidP="009B3B82">
      <w:pPr>
        <w:spacing w:after="0" w:line="240" w:lineRule="auto"/>
        <w:jc w:val="both"/>
        <w:rPr>
          <w:rFonts w:ascii="Times New Roman" w:hAnsi="Times New Roman" w:cs="Times New Roman"/>
          <w:sz w:val="24"/>
          <w:szCs w:val="24"/>
        </w:rPr>
      </w:pPr>
    </w:p>
    <w:p w14:paraId="5E61B5A5" w14:textId="61DD214E" w:rsidR="00E86C26" w:rsidRPr="00E86C26" w:rsidRDefault="00E86C26" w:rsidP="00E86C26">
      <w:pPr>
        <w:spacing w:after="0" w:line="240" w:lineRule="auto"/>
        <w:ind w:right="-13"/>
        <w:jc w:val="both"/>
        <w:rPr>
          <w:rFonts w:ascii="Times New Roman" w:hAnsi="Times New Roman" w:cs="Times New Roman"/>
          <w:b/>
          <w:bCs/>
          <w:sz w:val="24"/>
          <w:szCs w:val="24"/>
        </w:rPr>
      </w:pPr>
      <w:r w:rsidRPr="00E86C26">
        <w:rPr>
          <w:rFonts w:ascii="Times New Roman" w:hAnsi="Times New Roman" w:cs="Times New Roman"/>
          <w:b/>
          <w:bCs/>
          <w:sz w:val="24"/>
          <w:szCs w:val="24"/>
        </w:rPr>
        <w:t>2. MATERIALS AND METHODS</w:t>
      </w:r>
    </w:p>
    <w:p w14:paraId="65826C3B" w14:textId="77777777" w:rsidR="00E86C26" w:rsidRPr="00E86C26" w:rsidRDefault="00E86C26" w:rsidP="00E86C26">
      <w:pPr>
        <w:spacing w:after="0" w:line="240" w:lineRule="auto"/>
        <w:ind w:right="-13"/>
        <w:jc w:val="both"/>
        <w:rPr>
          <w:rFonts w:ascii="Times New Roman" w:hAnsi="Times New Roman" w:cs="Times New Roman"/>
          <w:sz w:val="24"/>
          <w:szCs w:val="24"/>
        </w:rPr>
      </w:pPr>
    </w:p>
    <w:p w14:paraId="577F05D9" w14:textId="77777777" w:rsidR="00E86C26" w:rsidRPr="000B06F0" w:rsidRDefault="00E86C26" w:rsidP="00E86C26">
      <w:pPr>
        <w:spacing w:after="0" w:line="240" w:lineRule="auto"/>
        <w:ind w:right="-13"/>
        <w:jc w:val="both"/>
        <w:rPr>
          <w:rFonts w:ascii="Times New Roman" w:hAnsi="Times New Roman" w:cs="Times New Roman"/>
          <w:b/>
          <w:bCs/>
          <w:i/>
          <w:iCs/>
          <w:sz w:val="24"/>
          <w:szCs w:val="24"/>
        </w:rPr>
      </w:pPr>
      <w:r w:rsidRPr="000B06F0">
        <w:rPr>
          <w:rFonts w:ascii="Times New Roman" w:hAnsi="Times New Roman" w:cs="Times New Roman"/>
          <w:b/>
          <w:bCs/>
          <w:i/>
          <w:iCs/>
          <w:sz w:val="24"/>
          <w:szCs w:val="24"/>
        </w:rPr>
        <w:t>Research Design and Participants</w:t>
      </w:r>
    </w:p>
    <w:p w14:paraId="4FC02C25" w14:textId="77777777" w:rsidR="00E86C26" w:rsidRPr="00E86C26" w:rsidRDefault="00E86C26" w:rsidP="00E86C26">
      <w:pPr>
        <w:spacing w:after="0" w:line="240" w:lineRule="auto"/>
        <w:ind w:right="-13"/>
        <w:jc w:val="both"/>
        <w:rPr>
          <w:rFonts w:ascii="Times New Roman" w:hAnsi="Times New Roman" w:cs="Times New Roman"/>
          <w:sz w:val="24"/>
          <w:szCs w:val="24"/>
        </w:rPr>
      </w:pPr>
    </w:p>
    <w:p w14:paraId="3F103DAF" w14:textId="77777777" w:rsidR="00E86C26" w:rsidRPr="00E86C26" w:rsidRDefault="00E86C26" w:rsidP="00E86C26">
      <w:pPr>
        <w:spacing w:after="0" w:line="240" w:lineRule="auto"/>
        <w:ind w:right="-13"/>
        <w:jc w:val="both"/>
        <w:rPr>
          <w:rFonts w:ascii="Times New Roman" w:hAnsi="Times New Roman" w:cs="Times New Roman"/>
          <w:sz w:val="24"/>
          <w:szCs w:val="24"/>
        </w:rPr>
      </w:pPr>
      <w:r w:rsidRPr="00E86C26">
        <w:rPr>
          <w:rFonts w:ascii="Times New Roman" w:hAnsi="Times New Roman" w:cs="Times New Roman"/>
          <w:sz w:val="24"/>
          <w:szCs w:val="24"/>
        </w:rPr>
        <w:t>This study employed a quasi-experimental research design to investigate the influence of Music integration in teaching Mathematics on the academic performance of Grade 4 pupils. This design is appropriate as it allows for the comparison of learning outcomes between two non-randomly assigned groups while controlling for certain variables. Specifically, it enables the researchers to examine the academic performance of pupils exposed to Music-integrated instruction (experimental group) and those taught using conventional methods (control group). Two intact classes were selected for the study, with pupils purposively categorized by their class advisers into high performing, average performing, and low performing pupils to ensure a balanced distribution of learning abilities. This design also allows for the assessment of whether Music integration significantly improves pupils’ understanding and academic performance in Mathematics, offering valuable insights into the educational potential of Music as an instructional tool.</w:t>
      </w:r>
    </w:p>
    <w:p w14:paraId="6D1B32F8" w14:textId="77777777" w:rsidR="00E86C26" w:rsidRPr="00E86C26" w:rsidRDefault="00E86C26" w:rsidP="00E86C26">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 xml:space="preserve">The respondents of the study were the Grade 4 Section-A pupils of </w:t>
      </w:r>
      <w:proofErr w:type="spellStart"/>
      <w:r w:rsidRPr="00E86C26">
        <w:rPr>
          <w:rFonts w:ascii="Times New Roman" w:hAnsi="Times New Roman" w:cs="Times New Roman"/>
          <w:sz w:val="24"/>
          <w:szCs w:val="24"/>
        </w:rPr>
        <w:t>Pikalawag</w:t>
      </w:r>
      <w:proofErr w:type="spellEnd"/>
      <w:r w:rsidRPr="00E86C26">
        <w:rPr>
          <w:rFonts w:ascii="Times New Roman" w:hAnsi="Times New Roman" w:cs="Times New Roman"/>
          <w:sz w:val="24"/>
          <w:szCs w:val="24"/>
        </w:rPr>
        <w:t xml:space="preserve"> Integrated School, located in </w:t>
      </w:r>
      <w:proofErr w:type="spellStart"/>
      <w:r w:rsidRPr="00E86C26">
        <w:rPr>
          <w:rFonts w:ascii="Times New Roman" w:hAnsi="Times New Roman" w:cs="Times New Roman"/>
          <w:sz w:val="24"/>
          <w:szCs w:val="24"/>
        </w:rPr>
        <w:t>Pikalawag</w:t>
      </w:r>
      <w:proofErr w:type="spellEnd"/>
      <w:r w:rsidRPr="00E86C26">
        <w:rPr>
          <w:rFonts w:ascii="Times New Roman" w:hAnsi="Times New Roman" w:cs="Times New Roman"/>
          <w:sz w:val="24"/>
          <w:szCs w:val="24"/>
        </w:rPr>
        <w:t>, Sultan Naga Dimaporo, Lanao del Norte, who are officially enrolled for the School Year 2025–2026. A total of twenty-eight (28) pupils were purposively selected to participate in the study. These respondents equally divided into two groups: fourteen (14) pupils in the experimental group, who received Music-integrated instruction in Mathematics, and fourteen (14) pupils in the control group, who received traditional instruction without Music integration. Purposive sampling was employed to ensure that the participants are appropriately selected based on the objectives of the study. The researchers ensure that all respondents are treated with fairness and provided equal support throughout the research process, in adherence to ethical standards and to maintain the validity and reliability of the results.</w:t>
      </w:r>
    </w:p>
    <w:p w14:paraId="477F5079" w14:textId="77777777" w:rsidR="00E86C26" w:rsidRPr="000B06F0" w:rsidRDefault="00E86C26" w:rsidP="00E86C26">
      <w:pPr>
        <w:spacing w:after="0" w:line="240" w:lineRule="auto"/>
        <w:ind w:right="-13"/>
        <w:jc w:val="both"/>
        <w:rPr>
          <w:rFonts w:ascii="Times New Roman" w:hAnsi="Times New Roman" w:cs="Times New Roman"/>
          <w:b/>
          <w:bCs/>
          <w:sz w:val="24"/>
          <w:szCs w:val="24"/>
        </w:rPr>
      </w:pPr>
    </w:p>
    <w:p w14:paraId="7A3F1FE0" w14:textId="77777777" w:rsidR="00E86C26" w:rsidRPr="000B06F0" w:rsidRDefault="00E86C26" w:rsidP="00E86C26">
      <w:pPr>
        <w:spacing w:after="0" w:line="240" w:lineRule="auto"/>
        <w:ind w:right="-13"/>
        <w:jc w:val="both"/>
        <w:rPr>
          <w:rFonts w:ascii="Times New Roman" w:hAnsi="Times New Roman" w:cs="Times New Roman"/>
          <w:b/>
          <w:bCs/>
          <w:i/>
          <w:iCs/>
          <w:sz w:val="24"/>
          <w:szCs w:val="24"/>
        </w:rPr>
      </w:pPr>
      <w:r w:rsidRPr="000B06F0">
        <w:rPr>
          <w:rFonts w:ascii="Times New Roman" w:hAnsi="Times New Roman" w:cs="Times New Roman"/>
          <w:b/>
          <w:bCs/>
          <w:i/>
          <w:iCs/>
          <w:sz w:val="24"/>
          <w:szCs w:val="24"/>
        </w:rPr>
        <w:t>Instrument and Data Gathering Procedure</w:t>
      </w:r>
    </w:p>
    <w:p w14:paraId="01CBEEAC" w14:textId="77777777" w:rsidR="00E86C26" w:rsidRPr="00E86C26" w:rsidRDefault="00E86C26" w:rsidP="00E86C26">
      <w:pPr>
        <w:spacing w:after="0" w:line="240" w:lineRule="auto"/>
        <w:ind w:right="-13"/>
        <w:jc w:val="both"/>
        <w:rPr>
          <w:rFonts w:ascii="Times New Roman" w:hAnsi="Times New Roman" w:cs="Times New Roman"/>
          <w:i/>
          <w:iCs/>
          <w:sz w:val="24"/>
          <w:szCs w:val="24"/>
        </w:rPr>
      </w:pPr>
    </w:p>
    <w:p w14:paraId="62B6C01F" w14:textId="6C734BF8" w:rsidR="00E86C26" w:rsidRPr="00E86C26" w:rsidRDefault="00E86C26" w:rsidP="00E86C26">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In this study, the researchers employed a set of research instruments to gather data aligned with the objectives of the study. These include a researcher-made pre-test and post-test to measure the academic performance of Grade 4 pupils in Mathematics before and after the integration of Music into instruction.</w:t>
      </w:r>
    </w:p>
    <w:p w14:paraId="17F546E5" w14:textId="77777777" w:rsidR="00E86C26" w:rsidRPr="00E86C26" w:rsidRDefault="00E86C26" w:rsidP="000B06F0">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In addition, the researchers developed a set of lesson plans infused with musical elements, which was used across a one-week instructional period. In the morning, the experimental group received instruction that incorporates music to enhance learning, while in the afternoon, the control group received standard instruction without Music integration. The lessons covered five key topics in Mathematics: (1) Dividing 3 to 4-digit by 1-digit numbers without regrouping; (2) Dividing 3 to 4-digit by 1-digit number with regrouping; (3) Dividing 2 to 3-digit by 2-digit numbers without remainder; (4) Dividing 2 to 3-digit by 2-digit numbers without remainder; and (5) Problem solving on division. Each lesson integrated songs, rhythmic chant, and patterned beats to promote engagement, concept retention, and participation among learners.</w:t>
      </w:r>
    </w:p>
    <w:p w14:paraId="37AD8CAB" w14:textId="77777777" w:rsidR="00E86C26" w:rsidRPr="00E86C26" w:rsidRDefault="00E86C26" w:rsidP="000B06F0">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lastRenderedPageBreak/>
        <w:t>A researcher-made scoring guide was used to evaluate the results of the pre-test and post-test. Before the actual implementation of the instruments, the researchers conducted a pilot testing of the pre-test and post-test. This was done after obtaining approval from both the school principal and the advisers of the Grade 4 pupils.</w:t>
      </w:r>
    </w:p>
    <w:p w14:paraId="17FA4EEB" w14:textId="77777777" w:rsidR="00E86C26" w:rsidRPr="00E86C26" w:rsidRDefault="00E86C26" w:rsidP="000B06F0">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The researchers followed a series of steps in collecting the necessary data for the study. First, the researchers developed a set of lesson plans focused on selected Mathematics topics, incorporating musical elements to enhance instruction.</w:t>
      </w:r>
    </w:p>
    <w:p w14:paraId="78B25C31" w14:textId="06BCD5F4" w:rsidR="00E86C26" w:rsidRPr="00E86C26" w:rsidRDefault="00E86C26" w:rsidP="000B06F0">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Next, the researchers submitted their manuscript to the Campus Research Ethics Committee (CREC) for ethical review and approval. After receiving approval, the researcher-made pre-test and post-test instruments undergo pilot testing with a group of Grade 4 pupils not included in the study to ensure reliability and validity. Once the instrument w</w:t>
      </w:r>
      <w:r>
        <w:rPr>
          <w:rFonts w:ascii="Times New Roman" w:hAnsi="Times New Roman" w:cs="Times New Roman"/>
          <w:sz w:val="24"/>
          <w:szCs w:val="24"/>
        </w:rPr>
        <w:t>as</w:t>
      </w:r>
      <w:r w:rsidRPr="00E86C26">
        <w:rPr>
          <w:rFonts w:ascii="Times New Roman" w:hAnsi="Times New Roman" w:cs="Times New Roman"/>
          <w:sz w:val="24"/>
          <w:szCs w:val="24"/>
        </w:rPr>
        <w:t xml:space="preserve"> finalized, the researcher asked permission to conduct the study by submitting a formal request letter to the school principal of </w:t>
      </w:r>
      <w:proofErr w:type="spellStart"/>
      <w:r w:rsidRPr="00E86C26">
        <w:rPr>
          <w:rFonts w:ascii="Times New Roman" w:hAnsi="Times New Roman" w:cs="Times New Roman"/>
          <w:sz w:val="24"/>
          <w:szCs w:val="24"/>
        </w:rPr>
        <w:t>Pikalawag</w:t>
      </w:r>
      <w:proofErr w:type="spellEnd"/>
      <w:r w:rsidRPr="00E86C26">
        <w:rPr>
          <w:rFonts w:ascii="Times New Roman" w:hAnsi="Times New Roman" w:cs="Times New Roman"/>
          <w:sz w:val="24"/>
          <w:szCs w:val="24"/>
        </w:rPr>
        <w:t xml:space="preserve"> Integrated School (PIS).</w:t>
      </w:r>
    </w:p>
    <w:p w14:paraId="6D87C74C" w14:textId="77777777" w:rsidR="00E86C26" w:rsidRPr="00E86C26" w:rsidRDefault="00E86C26" w:rsidP="000B06F0">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 xml:space="preserve">Once the principal grants permission, the researchers informed the class adviser and presented the approved letter to notify them of the study to be conducted in their classroom. Following this, the researchers administered a pre-test to both the experimental and control groups. Clear instructions were given to ensure proper understanding and responses. </w:t>
      </w:r>
    </w:p>
    <w:p w14:paraId="46FE41CB" w14:textId="59A28C50" w:rsidR="00E86C26" w:rsidRPr="00E86C26" w:rsidRDefault="00E86C26" w:rsidP="000B06F0">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Once the pre-tests are completed and collected, the researchers divided Grade 4–Section A into two groups. The experimental group received instruction through Music-integrated lessons, while the control group taught using traditional teaching methods.</w:t>
      </w:r>
      <w:r w:rsidR="000B06F0">
        <w:rPr>
          <w:rFonts w:ascii="Times New Roman" w:hAnsi="Times New Roman" w:cs="Times New Roman"/>
          <w:sz w:val="24"/>
          <w:szCs w:val="24"/>
        </w:rPr>
        <w:t xml:space="preserve"> </w:t>
      </w:r>
      <w:r w:rsidRPr="00E86C26">
        <w:rPr>
          <w:rFonts w:ascii="Times New Roman" w:hAnsi="Times New Roman" w:cs="Times New Roman"/>
          <w:sz w:val="24"/>
          <w:szCs w:val="24"/>
        </w:rPr>
        <w:t xml:space="preserve">They conducted ten (10) demonstrations with the selected Grade 4 Section A pupils, to be carried out over five (5) days within one week. The demonstration lessons for the experimental group were conducted from 8:15–9:00 a.m., while those for the control group were conducted from 3:15–4:00 p.m. All lessons in both groups were delivered by the assigned teacher, Ms. Arvie Gayle M. </w:t>
      </w:r>
      <w:proofErr w:type="spellStart"/>
      <w:r w:rsidRPr="00E86C26">
        <w:rPr>
          <w:rFonts w:ascii="Times New Roman" w:hAnsi="Times New Roman" w:cs="Times New Roman"/>
          <w:sz w:val="24"/>
          <w:szCs w:val="24"/>
        </w:rPr>
        <w:t>Micong</w:t>
      </w:r>
      <w:proofErr w:type="spellEnd"/>
      <w:r w:rsidRPr="00E86C26">
        <w:rPr>
          <w:rFonts w:ascii="Times New Roman" w:hAnsi="Times New Roman" w:cs="Times New Roman"/>
          <w:sz w:val="24"/>
          <w:szCs w:val="24"/>
        </w:rPr>
        <w:t>, to ensure consistency in instruction.</w:t>
      </w:r>
    </w:p>
    <w:p w14:paraId="232EEA4E" w14:textId="77777777" w:rsidR="00E86C26" w:rsidRPr="00E86C26" w:rsidRDefault="00E86C26" w:rsidP="000B06F0">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After the instructional period, a post-test administered to both groups. The pupils were instructed to answer all items carefully. Once completed, the researchers collected the post-test questionnaires. The gathered data from the instrument were tabulated, analyzed, and interpreted to determine the influence of Music integration on the pupils' understanding of Mathematics.</w:t>
      </w:r>
    </w:p>
    <w:p w14:paraId="59DF78D8" w14:textId="77777777" w:rsidR="00E86C26" w:rsidRPr="00E86C26" w:rsidRDefault="00E86C26" w:rsidP="00E86C26">
      <w:pPr>
        <w:spacing w:after="0" w:line="240" w:lineRule="auto"/>
        <w:ind w:right="-13"/>
        <w:jc w:val="both"/>
        <w:rPr>
          <w:rFonts w:ascii="Times New Roman" w:hAnsi="Times New Roman" w:cs="Times New Roman"/>
          <w:sz w:val="24"/>
          <w:szCs w:val="24"/>
        </w:rPr>
      </w:pPr>
    </w:p>
    <w:p w14:paraId="6D2BCD62" w14:textId="77777777" w:rsidR="00E86C26" w:rsidRPr="000B06F0" w:rsidRDefault="00E86C26" w:rsidP="00E86C26">
      <w:pPr>
        <w:spacing w:after="0" w:line="240" w:lineRule="auto"/>
        <w:ind w:right="-13"/>
        <w:jc w:val="both"/>
        <w:rPr>
          <w:rFonts w:ascii="Times New Roman" w:hAnsi="Times New Roman" w:cs="Times New Roman"/>
          <w:b/>
          <w:bCs/>
          <w:i/>
          <w:iCs/>
          <w:sz w:val="24"/>
          <w:szCs w:val="24"/>
        </w:rPr>
      </w:pPr>
      <w:r w:rsidRPr="000B06F0">
        <w:rPr>
          <w:rFonts w:ascii="Times New Roman" w:hAnsi="Times New Roman" w:cs="Times New Roman"/>
          <w:b/>
          <w:bCs/>
          <w:i/>
          <w:iCs/>
          <w:sz w:val="24"/>
          <w:szCs w:val="24"/>
        </w:rPr>
        <w:t>Statistical analysis</w:t>
      </w:r>
    </w:p>
    <w:p w14:paraId="7ABB4527" w14:textId="77777777" w:rsidR="000B06F0" w:rsidRPr="000B06F0" w:rsidRDefault="000B06F0" w:rsidP="00E86C26">
      <w:pPr>
        <w:spacing w:after="0" w:line="240" w:lineRule="auto"/>
        <w:ind w:right="-13"/>
        <w:jc w:val="both"/>
        <w:rPr>
          <w:rFonts w:ascii="Times New Roman" w:hAnsi="Times New Roman" w:cs="Times New Roman"/>
          <w:i/>
          <w:iCs/>
          <w:sz w:val="24"/>
          <w:szCs w:val="24"/>
        </w:rPr>
      </w:pPr>
    </w:p>
    <w:p w14:paraId="44731D6A" w14:textId="77777777" w:rsidR="00E86C26" w:rsidRPr="00E86C26" w:rsidRDefault="00E86C26" w:rsidP="000B06F0">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 xml:space="preserve">Data analysis was conducted using descriptive such as frequency and percentage to describe the demographic profile, pre-test, post-test and scores improvement of the respondents. The Shapiro-Wilk Test was used to assess the normality of the data. Based on the normality results, inferential statistic such as the </w:t>
      </w:r>
      <w:proofErr w:type="spellStart"/>
      <w:r w:rsidRPr="00E86C26">
        <w:rPr>
          <w:rFonts w:ascii="Times New Roman" w:hAnsi="Times New Roman" w:cs="Times New Roman"/>
          <w:sz w:val="24"/>
          <w:szCs w:val="24"/>
        </w:rPr>
        <w:t>Wilconxon</w:t>
      </w:r>
      <w:proofErr w:type="spellEnd"/>
      <w:r w:rsidRPr="00E86C26">
        <w:rPr>
          <w:rFonts w:ascii="Times New Roman" w:hAnsi="Times New Roman" w:cs="Times New Roman"/>
          <w:sz w:val="24"/>
          <w:szCs w:val="24"/>
        </w:rPr>
        <w:t xml:space="preserve"> Signed-Rank Test, Mann-Whitney U Test, Kruskal-Wallis H Test and Independent T-test were employed to determine significant differences between and within groups. </w:t>
      </w:r>
    </w:p>
    <w:p w14:paraId="0F3C4C3E" w14:textId="77777777" w:rsidR="00E86C26" w:rsidRPr="00E86C26" w:rsidRDefault="00E86C26" w:rsidP="000B06F0">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 xml:space="preserve">In addition, Frequency and Percentage Distribution was used to describe the demographic profile of respondents in terms of age and gender, as well as their pre-test scores, post-test scores, and improvement scores. Wilcoxon Signed-Rank Test was employed to compare the pre-test and post-test scores of the participants within the same group (control and experimental). The Mann–Whitney U Test was employed to compare the pre-test and post-test scores of the control group and the experimental group, while Kruskal–Wallis H Test was employed to examine score </w:t>
      </w:r>
      <w:r w:rsidRPr="00E86C26">
        <w:rPr>
          <w:rFonts w:ascii="Times New Roman" w:hAnsi="Times New Roman" w:cs="Times New Roman"/>
          <w:sz w:val="24"/>
          <w:szCs w:val="24"/>
        </w:rPr>
        <w:lastRenderedPageBreak/>
        <w:t>improvement across different age groups in both the control and experimental groups. The Independent Samples t-Test was employed to assess whether gender significantly affects the improvement in scores after music integration. Reliability and internal consistency of the research instruments was measured using KR-20 formula. Lastly, the Shapiro-Wilk Test was employed to test the normality of Age, Gender, pre-test scores, post-test scores, and score improvement across both the experimental and control groups.</w:t>
      </w:r>
    </w:p>
    <w:p w14:paraId="28A2F3AC" w14:textId="1745AD1C" w:rsidR="00533484" w:rsidRDefault="00E86C26" w:rsidP="000B06F0">
      <w:pPr>
        <w:spacing w:after="0" w:line="240" w:lineRule="auto"/>
        <w:ind w:right="-13" w:firstLine="720"/>
        <w:jc w:val="both"/>
        <w:rPr>
          <w:rFonts w:ascii="Times New Roman" w:hAnsi="Times New Roman" w:cs="Times New Roman"/>
          <w:sz w:val="24"/>
          <w:szCs w:val="24"/>
        </w:rPr>
      </w:pPr>
      <w:r w:rsidRPr="00E86C26">
        <w:rPr>
          <w:rFonts w:ascii="Times New Roman" w:hAnsi="Times New Roman" w:cs="Times New Roman"/>
          <w:sz w:val="24"/>
          <w:szCs w:val="24"/>
        </w:rPr>
        <w:t>These statistical tools allowed the researchers to systematically evaluate the Influence of Music integration in teaching Mathematics, ensuring that the findings were valid and supported by empirical evidence.</w:t>
      </w:r>
    </w:p>
    <w:p w14:paraId="318B2C61" w14:textId="77777777" w:rsidR="00347752" w:rsidRDefault="00347752">
      <w:pPr>
        <w:spacing w:after="0" w:line="240" w:lineRule="auto"/>
        <w:ind w:left="360" w:right="-13" w:firstLine="360"/>
        <w:jc w:val="both"/>
        <w:rPr>
          <w:rFonts w:ascii="Times New Roman" w:hAnsi="Times New Roman" w:cs="Times New Roman"/>
          <w:sz w:val="24"/>
          <w:szCs w:val="24"/>
        </w:rPr>
      </w:pPr>
    </w:p>
    <w:p w14:paraId="1EE92723" w14:textId="77777777" w:rsidR="00533484" w:rsidRDefault="00533484" w:rsidP="00533484">
      <w:pPr>
        <w:spacing w:after="0" w:line="240" w:lineRule="auto"/>
        <w:ind w:firstLine="360"/>
        <w:jc w:val="both"/>
        <w:rPr>
          <w:rFonts w:ascii="Times New Roman" w:hAnsi="Times New Roman" w:cs="Times New Roman"/>
          <w:bCs/>
          <w:sz w:val="24"/>
          <w:szCs w:val="24"/>
        </w:rPr>
      </w:pPr>
    </w:p>
    <w:p w14:paraId="25C9834E" w14:textId="3E0FF873" w:rsidR="000B06F0" w:rsidRPr="000F1A5B" w:rsidRDefault="000B06F0" w:rsidP="000B06F0">
      <w:pPr>
        <w:pStyle w:val="BodyText"/>
        <w:rPr>
          <w:b/>
          <w:color w:val="000000" w:themeColor="text1"/>
          <w:spacing w:val="-2"/>
        </w:rPr>
      </w:pPr>
      <w:r>
        <w:rPr>
          <w:b/>
          <w:color w:val="000000" w:themeColor="text1"/>
        </w:rPr>
        <w:t xml:space="preserve">3. </w:t>
      </w:r>
      <w:r w:rsidRPr="000F1A5B">
        <w:rPr>
          <w:b/>
          <w:color w:val="000000" w:themeColor="text1"/>
        </w:rPr>
        <w:t>RESULTS</w:t>
      </w:r>
      <w:r w:rsidRPr="000F1A5B">
        <w:rPr>
          <w:b/>
          <w:color w:val="000000" w:themeColor="text1"/>
          <w:spacing w:val="-5"/>
        </w:rPr>
        <w:t xml:space="preserve"> </w:t>
      </w:r>
      <w:r w:rsidRPr="000F1A5B">
        <w:rPr>
          <w:b/>
          <w:color w:val="000000" w:themeColor="text1"/>
        </w:rPr>
        <w:t>AND</w:t>
      </w:r>
      <w:r w:rsidRPr="000F1A5B">
        <w:rPr>
          <w:b/>
          <w:color w:val="000000" w:themeColor="text1"/>
          <w:spacing w:val="-3"/>
        </w:rPr>
        <w:t xml:space="preserve"> </w:t>
      </w:r>
      <w:r w:rsidRPr="000F1A5B">
        <w:rPr>
          <w:b/>
          <w:color w:val="000000" w:themeColor="text1"/>
          <w:spacing w:val="-2"/>
        </w:rPr>
        <w:t>DISCUSSION</w:t>
      </w:r>
    </w:p>
    <w:p w14:paraId="3EBF04C7" w14:textId="77777777" w:rsidR="000B06F0" w:rsidRPr="000F1A5B" w:rsidRDefault="000B06F0" w:rsidP="000B06F0">
      <w:pPr>
        <w:pStyle w:val="BodyText"/>
        <w:ind w:left="1418" w:hanging="709"/>
        <w:rPr>
          <w:b/>
          <w:color w:val="000000" w:themeColor="text1"/>
          <w:spacing w:val="-2"/>
        </w:rPr>
      </w:pPr>
    </w:p>
    <w:p w14:paraId="41271E09" w14:textId="06F67C17" w:rsidR="000B06F0" w:rsidRPr="000F1A5B" w:rsidRDefault="000B06F0" w:rsidP="000B06F0">
      <w:pPr>
        <w:pStyle w:val="BodyText"/>
        <w:ind w:firstLine="720"/>
        <w:rPr>
          <w:bCs/>
          <w:color w:val="000000" w:themeColor="text1"/>
          <w:spacing w:val="-2"/>
        </w:rPr>
      </w:pPr>
      <w:r w:rsidRPr="000F1A5B">
        <w:rPr>
          <w:bCs/>
          <w:color w:val="000000" w:themeColor="text1"/>
          <w:spacing w:val="-2"/>
        </w:rPr>
        <w:t>Based on the collected data, the study uncovered several key findings regarding the relationship between the variables. The results of this study are the following:</w:t>
      </w:r>
    </w:p>
    <w:p w14:paraId="33022E20" w14:textId="77777777" w:rsidR="003E0741" w:rsidRDefault="003E0741" w:rsidP="003E0741">
      <w:pPr>
        <w:spacing w:after="0" w:line="240" w:lineRule="auto"/>
        <w:ind w:right="-13"/>
        <w:jc w:val="both"/>
        <w:rPr>
          <w:rFonts w:ascii="Times New Roman" w:hAnsi="Times New Roman" w:cs="Times New Roman"/>
          <w:b/>
          <w:sz w:val="24"/>
          <w:szCs w:val="24"/>
        </w:rPr>
      </w:pPr>
    </w:p>
    <w:p w14:paraId="2EABBD6A" w14:textId="23B40829" w:rsidR="00347752" w:rsidRDefault="003E0741" w:rsidP="003E0741">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            4.1 Respondents’ Profile</w:t>
      </w:r>
    </w:p>
    <w:p w14:paraId="008EF824" w14:textId="77777777" w:rsidR="00AB64EF" w:rsidRDefault="00AB64EF" w:rsidP="00AB64EF">
      <w:pPr>
        <w:spacing w:after="0" w:line="240" w:lineRule="auto"/>
        <w:ind w:right="-13"/>
        <w:jc w:val="both"/>
        <w:rPr>
          <w:rFonts w:ascii="Times New Roman" w:hAnsi="Times New Roman" w:cs="Times New Roman"/>
          <w:b/>
          <w:sz w:val="24"/>
          <w:szCs w:val="24"/>
        </w:rPr>
      </w:pPr>
    </w:p>
    <w:p w14:paraId="2FD8E684" w14:textId="4C637735" w:rsidR="002D181A" w:rsidRPr="002D181A" w:rsidRDefault="002D181A" w:rsidP="00AB64EF">
      <w:pPr>
        <w:spacing w:after="0" w:line="240" w:lineRule="auto"/>
        <w:ind w:firstLine="720"/>
        <w:jc w:val="both"/>
        <w:rPr>
          <w:rFonts w:ascii="Times New Roman" w:hAnsi="Times New Roman" w:cs="Times New Roman"/>
          <w:sz w:val="24"/>
          <w:szCs w:val="24"/>
        </w:rPr>
      </w:pPr>
      <w:r w:rsidRPr="002D181A">
        <w:rPr>
          <w:rFonts w:ascii="Times New Roman" w:hAnsi="Times New Roman" w:cs="Times New Roman"/>
          <w:sz w:val="24"/>
          <w:szCs w:val="24"/>
        </w:rPr>
        <w:t>Table 4.1.</w:t>
      </w:r>
      <w:r w:rsidR="00E34A26">
        <w:rPr>
          <w:rFonts w:ascii="Times New Roman" w:hAnsi="Times New Roman" w:cs="Times New Roman"/>
          <w:sz w:val="24"/>
          <w:szCs w:val="24"/>
        </w:rPr>
        <w:t>1</w:t>
      </w:r>
      <w:r w:rsidRPr="002D181A">
        <w:rPr>
          <w:rFonts w:ascii="Times New Roman" w:hAnsi="Times New Roman" w:cs="Times New Roman"/>
          <w:sz w:val="24"/>
          <w:szCs w:val="24"/>
        </w:rPr>
        <w:t xml:space="preserve"> presents the frequency and percentage distribution of the respondents according to their age. In the experimental group, the majority of the respondents are aged nine (9), comprising eight (8) or 57.14% of the total. This is followed by those aged ten (10) with four (4) or 28.57%, and both ages eight (8) and eleven (11) having one (1) or 7.14% each. Similarly, in the control group, the highest proportion of respondents are also aged nine (9), with seven (7) or 50.00%. This is followed by four (4) or 28.57% aged ten (10), two (2) or 14.29% aged eight (8), and one (1) or 7.14% aged eleven (11).</w:t>
      </w:r>
    </w:p>
    <w:p w14:paraId="2F1019EA" w14:textId="77777777" w:rsidR="002D181A" w:rsidRPr="002D181A" w:rsidRDefault="002D181A" w:rsidP="00AB64EF">
      <w:pPr>
        <w:spacing w:after="0" w:line="240" w:lineRule="auto"/>
        <w:ind w:firstLine="720"/>
        <w:jc w:val="both"/>
        <w:rPr>
          <w:rFonts w:ascii="Times New Roman" w:hAnsi="Times New Roman" w:cs="Times New Roman"/>
          <w:sz w:val="24"/>
          <w:szCs w:val="24"/>
        </w:rPr>
      </w:pPr>
      <w:r w:rsidRPr="002D181A">
        <w:rPr>
          <w:rFonts w:ascii="Times New Roman" w:hAnsi="Times New Roman" w:cs="Times New Roman"/>
          <w:sz w:val="24"/>
          <w:szCs w:val="24"/>
        </w:rPr>
        <w:t>The result indicates that most respondents in both groups are nine (9) years old, showing that the experimental and control groups are comparable in terms of age distribution.</w:t>
      </w:r>
    </w:p>
    <w:p w14:paraId="28D05BA8" w14:textId="673058AE" w:rsidR="00347752" w:rsidRDefault="002D181A" w:rsidP="00AB64EF">
      <w:pPr>
        <w:spacing w:after="0" w:line="240" w:lineRule="auto"/>
        <w:ind w:firstLine="720"/>
        <w:jc w:val="both"/>
        <w:rPr>
          <w:rFonts w:ascii="Times New Roman" w:hAnsi="Times New Roman" w:cs="Times New Roman"/>
          <w:sz w:val="24"/>
          <w:szCs w:val="24"/>
        </w:rPr>
      </w:pPr>
      <w:r w:rsidRPr="002D181A">
        <w:rPr>
          <w:rFonts w:ascii="Times New Roman" w:hAnsi="Times New Roman" w:cs="Times New Roman"/>
          <w:sz w:val="24"/>
          <w:szCs w:val="24"/>
        </w:rPr>
        <w:t>This age pattern aligns with the provisions of DepEd Order No. 20, s. 2018, which sets the standard age requirements for each grade level. According to this policy, learners in Grade 4 typically fall within the age range of eight (8) to eleven (11), with nine (9) years old being the most common. Thus, the predominance of nine-year-old respondents reflects adherence to DepEd’s expected age placement. The slight variations in ages—such as respondents aged eight, ten, and eleven—are likewise acceptable under DepEd guidelines due to factors like early entry, delayed enrollment, acceleration, or retention. This further confirms that the respondents’ ages are developmentally appropriate and reinforces the comparability of both groups.</w:t>
      </w:r>
    </w:p>
    <w:p w14:paraId="484E4490" w14:textId="77777777" w:rsidR="000B06F0" w:rsidRDefault="000B06F0" w:rsidP="00AB64EF">
      <w:pPr>
        <w:spacing w:after="0" w:line="240" w:lineRule="auto"/>
        <w:ind w:firstLine="720"/>
        <w:jc w:val="both"/>
        <w:rPr>
          <w:rFonts w:ascii="Times New Roman" w:hAnsi="Times New Roman" w:cs="Times New Roman"/>
          <w:sz w:val="24"/>
          <w:szCs w:val="24"/>
        </w:rPr>
      </w:pPr>
    </w:p>
    <w:p w14:paraId="712F859F" w14:textId="77777777" w:rsidR="00AB64EF" w:rsidRDefault="00AB64EF" w:rsidP="00AB64EF">
      <w:pPr>
        <w:spacing w:after="0" w:line="240" w:lineRule="auto"/>
        <w:ind w:firstLine="720"/>
        <w:jc w:val="both"/>
        <w:rPr>
          <w:rFonts w:ascii="Times New Roman" w:hAnsi="Times New Roman" w:cs="Times New Roman"/>
          <w:sz w:val="24"/>
          <w:szCs w:val="24"/>
        </w:rPr>
      </w:pPr>
    </w:p>
    <w:p w14:paraId="61D3C97E" w14:textId="77777777" w:rsidR="00280200" w:rsidRDefault="00280200" w:rsidP="00AB64EF">
      <w:pPr>
        <w:spacing w:after="0" w:line="240" w:lineRule="auto"/>
        <w:ind w:firstLine="720"/>
        <w:jc w:val="both"/>
        <w:rPr>
          <w:rFonts w:ascii="Times New Roman" w:hAnsi="Times New Roman" w:cs="Times New Roman"/>
          <w:sz w:val="24"/>
          <w:szCs w:val="24"/>
        </w:rPr>
      </w:pPr>
    </w:p>
    <w:p w14:paraId="500956F4" w14:textId="77777777" w:rsidR="00280200" w:rsidRDefault="00280200" w:rsidP="00AB64EF">
      <w:pPr>
        <w:spacing w:after="0" w:line="240" w:lineRule="auto"/>
        <w:ind w:firstLine="720"/>
        <w:jc w:val="both"/>
        <w:rPr>
          <w:rFonts w:ascii="Times New Roman" w:hAnsi="Times New Roman" w:cs="Times New Roman"/>
          <w:sz w:val="24"/>
          <w:szCs w:val="24"/>
        </w:rPr>
      </w:pPr>
    </w:p>
    <w:p w14:paraId="37596B97" w14:textId="77777777" w:rsidR="00280200" w:rsidRDefault="00280200" w:rsidP="00AB64EF">
      <w:pPr>
        <w:spacing w:after="0" w:line="240" w:lineRule="auto"/>
        <w:ind w:firstLine="720"/>
        <w:jc w:val="both"/>
        <w:rPr>
          <w:rFonts w:ascii="Times New Roman" w:hAnsi="Times New Roman" w:cs="Times New Roman"/>
          <w:sz w:val="24"/>
          <w:szCs w:val="24"/>
        </w:rPr>
      </w:pPr>
    </w:p>
    <w:p w14:paraId="077AC8F0" w14:textId="77777777" w:rsidR="00280200" w:rsidRDefault="00280200" w:rsidP="00AB64EF">
      <w:pPr>
        <w:spacing w:after="0" w:line="240" w:lineRule="auto"/>
        <w:ind w:firstLine="720"/>
        <w:jc w:val="both"/>
        <w:rPr>
          <w:rFonts w:ascii="Times New Roman" w:hAnsi="Times New Roman" w:cs="Times New Roman"/>
          <w:sz w:val="24"/>
          <w:szCs w:val="24"/>
        </w:rPr>
      </w:pPr>
    </w:p>
    <w:p w14:paraId="71B79A15" w14:textId="77777777" w:rsidR="00280200" w:rsidRDefault="00280200" w:rsidP="00AB64EF">
      <w:pPr>
        <w:spacing w:after="0" w:line="240" w:lineRule="auto"/>
        <w:ind w:firstLine="720"/>
        <w:jc w:val="both"/>
        <w:rPr>
          <w:rFonts w:ascii="Times New Roman" w:hAnsi="Times New Roman" w:cs="Times New Roman"/>
          <w:sz w:val="24"/>
          <w:szCs w:val="24"/>
        </w:rPr>
      </w:pPr>
    </w:p>
    <w:p w14:paraId="108D61B3" w14:textId="77777777" w:rsidR="00280200" w:rsidRDefault="00280200" w:rsidP="00AB64EF">
      <w:pPr>
        <w:spacing w:after="0" w:line="240" w:lineRule="auto"/>
        <w:ind w:firstLine="720"/>
        <w:jc w:val="both"/>
        <w:rPr>
          <w:rFonts w:ascii="Times New Roman" w:hAnsi="Times New Roman" w:cs="Times New Roman"/>
          <w:sz w:val="24"/>
          <w:szCs w:val="24"/>
        </w:rPr>
      </w:pPr>
    </w:p>
    <w:p w14:paraId="15AD55A6" w14:textId="77777777" w:rsidR="00280200" w:rsidRDefault="00280200" w:rsidP="00AB64EF">
      <w:pPr>
        <w:spacing w:after="0" w:line="240" w:lineRule="auto"/>
        <w:ind w:firstLine="720"/>
        <w:jc w:val="both"/>
        <w:rPr>
          <w:rFonts w:ascii="Times New Roman" w:hAnsi="Times New Roman" w:cs="Times New Roman"/>
          <w:sz w:val="24"/>
          <w:szCs w:val="24"/>
        </w:rPr>
      </w:pPr>
    </w:p>
    <w:p w14:paraId="74AEEE1E" w14:textId="5ABAFC5C" w:rsidR="002D181A" w:rsidRPr="002D181A" w:rsidRDefault="00AB64EF" w:rsidP="00E34A26">
      <w:pPr>
        <w:spacing w:after="0" w:line="240" w:lineRule="auto"/>
        <w:rPr>
          <w:rFonts w:ascii="Times New Roman" w:hAnsi="Times New Roman" w:cs="Times New Roman"/>
          <w:bCs/>
          <w:sz w:val="24"/>
          <w:szCs w:val="24"/>
        </w:rPr>
      </w:pPr>
      <w:r>
        <w:rPr>
          <w:rFonts w:ascii="Times New Roman" w:hAnsi="Times New Roman" w:cs="Times New Roman"/>
          <w:b/>
          <w:sz w:val="24"/>
          <w:szCs w:val="24"/>
        </w:rPr>
        <w:lastRenderedPageBreak/>
        <w:t xml:space="preserve">            </w:t>
      </w:r>
      <w:r w:rsidR="002D181A" w:rsidRPr="002D181A">
        <w:rPr>
          <w:rFonts w:ascii="Times New Roman" w:hAnsi="Times New Roman" w:cs="Times New Roman"/>
          <w:b/>
          <w:sz w:val="24"/>
          <w:szCs w:val="24"/>
        </w:rPr>
        <w:t>Table 4.1</w:t>
      </w:r>
      <w:r w:rsidR="002D181A" w:rsidRPr="002D181A">
        <w:rPr>
          <w:rFonts w:ascii="Times New Roman" w:hAnsi="Times New Roman" w:cs="Times New Roman"/>
          <w:bCs/>
          <w:sz w:val="24"/>
          <w:szCs w:val="24"/>
        </w:rPr>
        <w:t>.</w:t>
      </w:r>
      <w:r w:rsidR="00E34A26">
        <w:rPr>
          <w:rFonts w:ascii="Times New Roman" w:hAnsi="Times New Roman" w:cs="Times New Roman"/>
          <w:b/>
          <w:sz w:val="24"/>
          <w:szCs w:val="24"/>
        </w:rPr>
        <w:t>1</w:t>
      </w:r>
      <w:r w:rsidR="002D181A" w:rsidRPr="002D181A">
        <w:rPr>
          <w:rFonts w:ascii="Times New Roman" w:hAnsi="Times New Roman" w:cs="Times New Roman"/>
          <w:bCs/>
          <w:sz w:val="24"/>
          <w:szCs w:val="24"/>
        </w:rPr>
        <w:t xml:space="preserve"> Frequency and Percentage Distribution of the Respondents’ Age </w:t>
      </w:r>
    </w:p>
    <w:p w14:paraId="21EA2064" w14:textId="0F47EFEA" w:rsidR="002D181A" w:rsidRDefault="002D181A" w:rsidP="002D181A">
      <w:pPr>
        <w:spacing w:after="0" w:line="240" w:lineRule="auto"/>
        <w:ind w:left="720" w:firstLine="431"/>
        <w:rPr>
          <w:rFonts w:ascii="Times New Roman" w:hAnsi="Times New Roman" w:cs="Times New Roman"/>
          <w:bCs/>
          <w:sz w:val="24"/>
          <w:szCs w:val="24"/>
        </w:rPr>
      </w:pPr>
      <w:r w:rsidRPr="002D181A">
        <w:rPr>
          <w:rFonts w:ascii="Times New Roman" w:hAnsi="Times New Roman" w:cs="Times New Roman"/>
          <w:bCs/>
          <w:sz w:val="24"/>
          <w:szCs w:val="24"/>
        </w:rPr>
        <w:t xml:space="preserve">          (n=28).</w:t>
      </w:r>
    </w:p>
    <w:tbl>
      <w:tblPr>
        <w:tblStyle w:val="TableGrid1"/>
        <w:tblW w:w="0" w:type="auto"/>
        <w:tblInd w:w="862" w:type="dxa"/>
        <w:tblBorders>
          <w:top w:val="double" w:sz="6" w:space="0" w:color="auto"/>
          <w:left w:val="none" w:sz="0" w:space="0" w:color="auto"/>
          <w:bottom w:val="double" w:sz="6" w:space="0" w:color="auto"/>
          <w:right w:val="none" w:sz="0" w:space="0" w:color="auto"/>
          <w:insideH w:val="single" w:sz="6" w:space="0" w:color="auto"/>
          <w:insideV w:val="none" w:sz="0" w:space="0" w:color="auto"/>
        </w:tblBorders>
        <w:tblLook w:val="04A0" w:firstRow="1" w:lastRow="0" w:firstColumn="1" w:lastColumn="0" w:noHBand="0" w:noVBand="1"/>
      </w:tblPr>
      <w:tblGrid>
        <w:gridCol w:w="3870"/>
        <w:gridCol w:w="3780"/>
      </w:tblGrid>
      <w:tr w:rsidR="002D181A" w:rsidRPr="002D181A" w14:paraId="5B67FF8B" w14:textId="77777777" w:rsidTr="00AB64EF">
        <w:trPr>
          <w:trHeight w:val="543"/>
        </w:trPr>
        <w:tc>
          <w:tcPr>
            <w:tcW w:w="3870" w:type="dxa"/>
            <w:hideMark/>
          </w:tcPr>
          <w:p w14:paraId="2DE96D07" w14:textId="77777777" w:rsidR="002D181A" w:rsidRPr="002D181A" w:rsidRDefault="002D181A" w:rsidP="002D181A">
            <w:pPr>
              <w:tabs>
                <w:tab w:val="left" w:pos="990"/>
                <w:tab w:val="center" w:pos="1875"/>
              </w:tabs>
              <w:spacing w:line="240" w:lineRule="auto"/>
              <w:ind w:right="234"/>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ab/>
              <w:t xml:space="preserve">    Control Group</w:t>
            </w:r>
          </w:p>
          <w:p w14:paraId="6F087111" w14:textId="77777777" w:rsidR="002D181A" w:rsidRPr="002D181A" w:rsidRDefault="002D181A" w:rsidP="002D181A">
            <w:pPr>
              <w:spacing w:line="24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Age           Frequency      Percentage </w:t>
            </w:r>
          </w:p>
          <w:p w14:paraId="31E69CFA" w14:textId="77777777" w:rsidR="002D181A" w:rsidRPr="002D181A" w:rsidRDefault="002D181A" w:rsidP="002D181A">
            <w:pPr>
              <w:spacing w:line="24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                        (f)                  (%)</w:t>
            </w:r>
          </w:p>
        </w:tc>
        <w:tc>
          <w:tcPr>
            <w:tcW w:w="3780" w:type="dxa"/>
            <w:hideMark/>
          </w:tcPr>
          <w:p w14:paraId="7720E9C6" w14:textId="77777777" w:rsidR="002D181A" w:rsidRPr="002D181A" w:rsidRDefault="002D181A" w:rsidP="002D181A">
            <w:pPr>
              <w:spacing w:line="240" w:lineRule="auto"/>
              <w:ind w:right="234"/>
              <w:jc w:val="center"/>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Experimental Group</w:t>
            </w:r>
          </w:p>
          <w:p w14:paraId="44B551A8" w14:textId="77777777" w:rsidR="002D181A" w:rsidRPr="002D181A" w:rsidRDefault="002D181A" w:rsidP="002D181A">
            <w:pPr>
              <w:spacing w:line="24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Age       Frequency         Percentage </w:t>
            </w:r>
          </w:p>
          <w:p w14:paraId="7B0A7644" w14:textId="77777777" w:rsidR="002D181A" w:rsidRPr="002D181A" w:rsidRDefault="002D181A" w:rsidP="002D181A">
            <w:pPr>
              <w:spacing w:line="24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                   (f)                     (%)</w:t>
            </w:r>
          </w:p>
        </w:tc>
      </w:tr>
      <w:tr w:rsidR="002D181A" w:rsidRPr="002D181A" w14:paraId="0C766A19" w14:textId="77777777" w:rsidTr="00AB64EF">
        <w:trPr>
          <w:trHeight w:val="1351"/>
        </w:trPr>
        <w:tc>
          <w:tcPr>
            <w:tcW w:w="3870" w:type="dxa"/>
            <w:hideMark/>
          </w:tcPr>
          <w:p w14:paraId="3FC3669D" w14:textId="77777777" w:rsidR="002D181A" w:rsidRPr="002D181A" w:rsidRDefault="002D181A" w:rsidP="002D181A">
            <w:pPr>
              <w:spacing w:line="48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 11                    1                   7.14</w:t>
            </w:r>
          </w:p>
          <w:p w14:paraId="46447D2F" w14:textId="77777777" w:rsidR="002D181A" w:rsidRPr="002D181A" w:rsidRDefault="002D181A" w:rsidP="002D181A">
            <w:pPr>
              <w:spacing w:line="48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 10                    4                 28.57</w:t>
            </w:r>
          </w:p>
          <w:p w14:paraId="4C836058" w14:textId="77777777" w:rsidR="002D181A" w:rsidRPr="002D181A" w:rsidRDefault="002D181A" w:rsidP="002D181A">
            <w:pPr>
              <w:spacing w:line="48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 9                      7                 50.00</w:t>
            </w:r>
          </w:p>
          <w:p w14:paraId="6713FBDD" w14:textId="77777777" w:rsidR="002D181A" w:rsidRPr="002D181A" w:rsidRDefault="002D181A" w:rsidP="002D181A">
            <w:pPr>
              <w:spacing w:line="48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 8                      2                 14.29</w:t>
            </w:r>
          </w:p>
        </w:tc>
        <w:tc>
          <w:tcPr>
            <w:tcW w:w="3780" w:type="dxa"/>
            <w:hideMark/>
          </w:tcPr>
          <w:p w14:paraId="04B23CB5" w14:textId="77777777" w:rsidR="002D181A" w:rsidRPr="002D181A" w:rsidRDefault="002D181A" w:rsidP="002D181A">
            <w:pPr>
              <w:spacing w:line="48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 11                1                      7.14</w:t>
            </w:r>
          </w:p>
          <w:p w14:paraId="44CFA30D" w14:textId="77777777" w:rsidR="002D181A" w:rsidRPr="002D181A" w:rsidRDefault="002D181A" w:rsidP="002D181A">
            <w:pPr>
              <w:spacing w:line="48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 10                4                    28.57  </w:t>
            </w:r>
          </w:p>
          <w:p w14:paraId="6CAF0582" w14:textId="77777777" w:rsidR="002D181A" w:rsidRPr="002D181A" w:rsidRDefault="002D181A" w:rsidP="002D181A">
            <w:pPr>
              <w:tabs>
                <w:tab w:val="left" w:pos="1800"/>
                <w:tab w:val="center" w:pos="1888"/>
              </w:tabs>
              <w:spacing w:line="48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 9                  8                    57.14</w:t>
            </w:r>
          </w:p>
          <w:p w14:paraId="117339A0" w14:textId="77777777" w:rsidR="002D181A" w:rsidRPr="002D181A" w:rsidRDefault="002D181A" w:rsidP="002D181A">
            <w:pPr>
              <w:spacing w:line="480" w:lineRule="auto"/>
              <w:ind w:right="234"/>
              <w:jc w:val="both"/>
              <w:rPr>
                <w:rFonts w:ascii="Times New Roman" w:eastAsia="Times New Roman" w:hAnsi="Times New Roman" w:cs="Times New Roman"/>
                <w:sz w:val="24"/>
                <w:lang w:val="en-US"/>
              </w:rPr>
            </w:pPr>
            <w:r w:rsidRPr="002D181A">
              <w:rPr>
                <w:rFonts w:ascii="Times New Roman" w:eastAsia="Times New Roman" w:hAnsi="Times New Roman" w:cs="Times New Roman"/>
                <w:sz w:val="24"/>
                <w:lang w:val="en-US"/>
              </w:rPr>
              <w:t xml:space="preserve"> 8                  1                      7.14</w:t>
            </w:r>
          </w:p>
        </w:tc>
      </w:tr>
    </w:tbl>
    <w:p w14:paraId="7E73EAB9" w14:textId="77777777" w:rsidR="00347752" w:rsidRDefault="00347752" w:rsidP="002D181A">
      <w:pPr>
        <w:spacing w:after="0" w:line="240" w:lineRule="auto"/>
        <w:jc w:val="both"/>
        <w:rPr>
          <w:rFonts w:ascii="Times New Roman" w:hAnsi="Times New Roman" w:cs="Times New Roman"/>
          <w:sz w:val="24"/>
          <w:szCs w:val="24"/>
        </w:rPr>
      </w:pPr>
    </w:p>
    <w:p w14:paraId="4000A53B" w14:textId="77777777" w:rsidR="00347752" w:rsidRDefault="00347752">
      <w:pPr>
        <w:spacing w:after="0" w:line="240" w:lineRule="auto"/>
        <w:ind w:left="720" w:firstLine="720"/>
        <w:jc w:val="both"/>
        <w:rPr>
          <w:rFonts w:ascii="Times New Roman" w:hAnsi="Times New Roman" w:cs="Times New Roman"/>
          <w:sz w:val="24"/>
          <w:szCs w:val="24"/>
        </w:rPr>
      </w:pPr>
    </w:p>
    <w:p w14:paraId="4048BFE3" w14:textId="648E9127" w:rsidR="002D181A" w:rsidRPr="002D181A" w:rsidRDefault="002D181A" w:rsidP="00AB64EF">
      <w:pPr>
        <w:spacing w:after="0" w:line="240" w:lineRule="auto"/>
        <w:ind w:firstLine="720"/>
        <w:jc w:val="both"/>
        <w:rPr>
          <w:rFonts w:ascii="Times New Roman" w:hAnsi="Times New Roman" w:cs="Times New Roman"/>
          <w:sz w:val="24"/>
          <w:szCs w:val="24"/>
        </w:rPr>
      </w:pPr>
      <w:r w:rsidRPr="002D181A">
        <w:rPr>
          <w:rFonts w:ascii="Times New Roman" w:hAnsi="Times New Roman" w:cs="Times New Roman"/>
          <w:sz w:val="24"/>
          <w:szCs w:val="24"/>
        </w:rPr>
        <w:t>Table 4.</w:t>
      </w:r>
      <w:r w:rsidR="00E34A26">
        <w:rPr>
          <w:rFonts w:ascii="Times New Roman" w:hAnsi="Times New Roman" w:cs="Times New Roman"/>
          <w:sz w:val="24"/>
          <w:szCs w:val="24"/>
        </w:rPr>
        <w:t>1</w:t>
      </w:r>
      <w:r w:rsidRPr="002D181A">
        <w:rPr>
          <w:rFonts w:ascii="Times New Roman" w:hAnsi="Times New Roman" w:cs="Times New Roman"/>
          <w:sz w:val="24"/>
          <w:szCs w:val="24"/>
        </w:rPr>
        <w:t>.</w:t>
      </w:r>
      <w:r w:rsidR="00E34A26">
        <w:rPr>
          <w:rFonts w:ascii="Times New Roman" w:hAnsi="Times New Roman" w:cs="Times New Roman"/>
          <w:sz w:val="24"/>
          <w:szCs w:val="24"/>
        </w:rPr>
        <w:t xml:space="preserve">2 </w:t>
      </w:r>
      <w:r w:rsidRPr="002D181A">
        <w:rPr>
          <w:rFonts w:ascii="Times New Roman" w:hAnsi="Times New Roman" w:cs="Times New Roman"/>
          <w:sz w:val="24"/>
          <w:szCs w:val="24"/>
        </w:rPr>
        <w:t>presents the frequency and percentage distribution of the respondents according to their gender. In both the control and experimental groups, seven (7) or 50.00% of the respondents are male, and seven (7) or 50.00% are female. This indicates that the gender distribution is equal across both groups, providing a balanced basis for comparison.</w:t>
      </w:r>
    </w:p>
    <w:p w14:paraId="48FA05FA" w14:textId="2FA05613" w:rsidR="00AB64EF" w:rsidRDefault="002D181A" w:rsidP="009D41E4">
      <w:pPr>
        <w:spacing w:after="0" w:line="240" w:lineRule="auto"/>
        <w:ind w:firstLine="720"/>
        <w:jc w:val="both"/>
        <w:rPr>
          <w:rFonts w:ascii="Times New Roman" w:hAnsi="Times New Roman" w:cs="Times New Roman"/>
          <w:sz w:val="24"/>
          <w:szCs w:val="24"/>
        </w:rPr>
      </w:pPr>
      <w:r w:rsidRPr="002D181A">
        <w:rPr>
          <w:rFonts w:ascii="Times New Roman" w:hAnsi="Times New Roman" w:cs="Times New Roman"/>
          <w:sz w:val="24"/>
          <w:szCs w:val="24"/>
        </w:rPr>
        <w:t>Studies on the use of Music in learning suggest that engagement and learning outcomes can be influenced more by instructional strategies than by gender alone. For instance, Zhou and Lian (2024) investigated the effects of Music training on students’ Mathematics performance and found significant improvements in problem-solving and reasoning skills regardless of gender. The balanced gender distribution in the present study ensures that any differences in performance between the experimental group, which received Music-integrated instruction, and the control group, which followed the regular approach, can be attributed primarily to the instructional method rather than gender differences.</w:t>
      </w:r>
    </w:p>
    <w:p w14:paraId="0F215B08" w14:textId="77777777" w:rsidR="00AB64EF" w:rsidRDefault="00AB64EF" w:rsidP="00AB64EF">
      <w:pPr>
        <w:spacing w:after="0" w:line="240" w:lineRule="auto"/>
        <w:ind w:firstLine="720"/>
        <w:jc w:val="both"/>
        <w:rPr>
          <w:rFonts w:ascii="Times New Roman" w:hAnsi="Times New Roman" w:cs="Times New Roman"/>
          <w:sz w:val="24"/>
          <w:szCs w:val="24"/>
        </w:rPr>
      </w:pPr>
    </w:p>
    <w:p w14:paraId="2A2F9AAD" w14:textId="77777777" w:rsidR="00347752" w:rsidRDefault="00347752" w:rsidP="00AB64EF">
      <w:pPr>
        <w:spacing w:after="0" w:line="240" w:lineRule="auto"/>
        <w:ind w:right="-13"/>
        <w:jc w:val="both"/>
        <w:rPr>
          <w:rFonts w:ascii="Times New Roman" w:hAnsi="Times New Roman" w:cs="Times New Roman"/>
          <w:b/>
          <w:sz w:val="24"/>
          <w:szCs w:val="24"/>
        </w:rPr>
      </w:pPr>
    </w:p>
    <w:p w14:paraId="7F4D9937" w14:textId="0646D823" w:rsidR="00347752" w:rsidRDefault="00000000">
      <w:pPr>
        <w:tabs>
          <w:tab w:val="left" w:pos="8647"/>
          <w:tab w:val="left" w:pos="8789"/>
        </w:tabs>
        <w:spacing w:after="0" w:line="240" w:lineRule="auto"/>
        <w:ind w:left="1854" w:hanging="1134"/>
        <w:jc w:val="both"/>
        <w:rPr>
          <w:rFonts w:ascii="Times New Roman" w:hAnsi="Times New Roman" w:cs="Times New Roman"/>
          <w:bCs/>
          <w:sz w:val="24"/>
          <w:szCs w:val="24"/>
        </w:rPr>
      </w:pPr>
      <w:r>
        <w:rPr>
          <w:rFonts w:ascii="Times New Roman" w:hAnsi="Times New Roman" w:cs="Times New Roman"/>
          <w:b/>
          <w:sz w:val="24"/>
          <w:szCs w:val="24"/>
        </w:rPr>
        <w:t>Table 4.</w:t>
      </w:r>
      <w:r w:rsidR="00E34A26">
        <w:rPr>
          <w:rFonts w:ascii="Times New Roman" w:hAnsi="Times New Roman" w:cs="Times New Roman"/>
          <w:b/>
          <w:sz w:val="24"/>
          <w:szCs w:val="24"/>
        </w:rPr>
        <w:t>1</w:t>
      </w:r>
      <w:r>
        <w:rPr>
          <w:rFonts w:ascii="Times New Roman" w:hAnsi="Times New Roman" w:cs="Times New Roman"/>
          <w:b/>
          <w:sz w:val="24"/>
          <w:szCs w:val="24"/>
        </w:rPr>
        <w:t>.</w:t>
      </w:r>
      <w:r w:rsidR="00E34A26">
        <w:rPr>
          <w:rFonts w:ascii="Times New Roman" w:hAnsi="Times New Roman" w:cs="Times New Roman"/>
          <w:b/>
          <w:sz w:val="24"/>
          <w:szCs w:val="24"/>
        </w:rPr>
        <w:t>2</w:t>
      </w:r>
      <w:r>
        <w:rPr>
          <w:rFonts w:ascii="Times New Roman" w:hAnsi="Times New Roman" w:cs="Times New Roman"/>
          <w:bCs/>
          <w:sz w:val="24"/>
          <w:szCs w:val="24"/>
        </w:rPr>
        <w:t xml:space="preserve"> </w:t>
      </w:r>
      <w:r w:rsidR="002D181A" w:rsidRPr="002D181A">
        <w:rPr>
          <w:rFonts w:ascii="Times New Roman" w:hAnsi="Times New Roman" w:cs="Times New Roman"/>
          <w:bCs/>
          <w:sz w:val="24"/>
          <w:szCs w:val="24"/>
        </w:rPr>
        <w:t xml:space="preserve">Frequency and Percentage Distribution of the Respondents’ </w:t>
      </w:r>
      <w:r w:rsidR="002D181A">
        <w:rPr>
          <w:rFonts w:ascii="Times New Roman" w:hAnsi="Times New Roman" w:cs="Times New Roman"/>
          <w:bCs/>
          <w:sz w:val="24"/>
          <w:szCs w:val="24"/>
        </w:rPr>
        <w:t>Gender (n=28)</w:t>
      </w:r>
    </w:p>
    <w:tbl>
      <w:tblPr>
        <w:tblStyle w:val="TableGrid11"/>
        <w:tblpPr w:leftFromText="180" w:rightFromText="180" w:vertAnchor="text" w:horzAnchor="margin" w:tblpXSpec="center" w:tblpY="55"/>
        <w:tblW w:w="7740" w:type="dxa"/>
        <w:tblBorders>
          <w:top w:val="double" w:sz="6" w:space="0" w:color="auto"/>
          <w:left w:val="none" w:sz="0" w:space="0" w:color="auto"/>
          <w:bottom w:val="double" w:sz="6" w:space="0" w:color="auto"/>
          <w:right w:val="none" w:sz="0" w:space="0" w:color="auto"/>
          <w:insideH w:val="single" w:sz="6" w:space="0" w:color="auto"/>
          <w:insideV w:val="none" w:sz="0" w:space="0" w:color="auto"/>
        </w:tblBorders>
        <w:tblLook w:val="04A0" w:firstRow="1" w:lastRow="0" w:firstColumn="1" w:lastColumn="0" w:noHBand="0" w:noVBand="1"/>
      </w:tblPr>
      <w:tblGrid>
        <w:gridCol w:w="3870"/>
        <w:gridCol w:w="3870"/>
      </w:tblGrid>
      <w:tr w:rsidR="002D181A" w:rsidRPr="002D181A" w14:paraId="5F2882B6" w14:textId="77777777" w:rsidTr="002D181A">
        <w:trPr>
          <w:trHeight w:val="355"/>
        </w:trPr>
        <w:tc>
          <w:tcPr>
            <w:tcW w:w="3870" w:type="dxa"/>
          </w:tcPr>
          <w:p w14:paraId="5DB9DC7F" w14:textId="77777777" w:rsidR="002D181A" w:rsidRPr="002D181A" w:rsidRDefault="002D181A" w:rsidP="002D181A">
            <w:pPr>
              <w:ind w:right="234"/>
              <w:rPr>
                <w:rFonts w:ascii="Times New Roman" w:eastAsia="Times New Roman" w:hAnsi="Times New Roman" w:cs="Times New Roman"/>
                <w:kern w:val="0"/>
              </w:rPr>
            </w:pPr>
            <w:r w:rsidRPr="002D181A">
              <w:rPr>
                <w:rFonts w:ascii="Times New Roman" w:eastAsia="Times New Roman" w:hAnsi="Times New Roman" w:cs="Times New Roman"/>
                <w:kern w:val="0"/>
              </w:rPr>
              <w:t xml:space="preserve">                    Control Group</w:t>
            </w:r>
          </w:p>
          <w:p w14:paraId="3E4CDC23" w14:textId="77777777" w:rsidR="002D181A" w:rsidRPr="002D181A" w:rsidRDefault="002D181A" w:rsidP="002D181A">
            <w:pPr>
              <w:ind w:right="234"/>
              <w:jc w:val="both"/>
              <w:rPr>
                <w:rFonts w:ascii="Times New Roman" w:eastAsia="Times New Roman" w:hAnsi="Times New Roman" w:cs="Times New Roman"/>
                <w:kern w:val="0"/>
              </w:rPr>
            </w:pPr>
            <w:r w:rsidRPr="002D181A">
              <w:rPr>
                <w:rFonts w:ascii="Times New Roman" w:eastAsia="Times New Roman" w:hAnsi="Times New Roman" w:cs="Times New Roman"/>
                <w:kern w:val="0"/>
              </w:rPr>
              <w:t xml:space="preserve">Gender   Frequency      Percentage      </w:t>
            </w:r>
          </w:p>
          <w:p w14:paraId="25A6090D" w14:textId="77777777" w:rsidR="002D181A" w:rsidRPr="002D181A" w:rsidRDefault="002D181A" w:rsidP="002D181A">
            <w:pPr>
              <w:ind w:right="234"/>
              <w:jc w:val="both"/>
              <w:rPr>
                <w:rFonts w:ascii="Times New Roman" w:eastAsia="Times New Roman" w:hAnsi="Times New Roman" w:cs="Times New Roman"/>
                <w:kern w:val="0"/>
              </w:rPr>
            </w:pPr>
            <w:r w:rsidRPr="002D181A">
              <w:rPr>
                <w:rFonts w:ascii="Times New Roman" w:eastAsia="Times New Roman" w:hAnsi="Times New Roman" w:cs="Times New Roman"/>
                <w:kern w:val="0"/>
              </w:rPr>
              <w:t xml:space="preserve">                    (f)                   (%)</w:t>
            </w:r>
          </w:p>
        </w:tc>
        <w:tc>
          <w:tcPr>
            <w:tcW w:w="3870" w:type="dxa"/>
          </w:tcPr>
          <w:p w14:paraId="6DB6057F" w14:textId="77777777" w:rsidR="002D181A" w:rsidRPr="002D181A" w:rsidRDefault="002D181A" w:rsidP="002D181A">
            <w:pPr>
              <w:ind w:right="234"/>
              <w:jc w:val="center"/>
              <w:rPr>
                <w:rFonts w:ascii="Times New Roman" w:eastAsia="Times New Roman" w:hAnsi="Times New Roman" w:cs="Times New Roman"/>
                <w:kern w:val="0"/>
              </w:rPr>
            </w:pPr>
            <w:r w:rsidRPr="002D181A">
              <w:rPr>
                <w:rFonts w:ascii="Times New Roman" w:eastAsia="Times New Roman" w:hAnsi="Times New Roman" w:cs="Times New Roman"/>
                <w:kern w:val="0"/>
              </w:rPr>
              <w:t xml:space="preserve">   Experimental Group</w:t>
            </w:r>
          </w:p>
          <w:p w14:paraId="7AFDC7CD" w14:textId="77777777" w:rsidR="002D181A" w:rsidRPr="002D181A" w:rsidRDefault="002D181A" w:rsidP="002D181A">
            <w:pPr>
              <w:ind w:right="234"/>
              <w:rPr>
                <w:rFonts w:ascii="Times New Roman" w:eastAsia="Times New Roman" w:hAnsi="Times New Roman" w:cs="Times New Roman"/>
                <w:kern w:val="0"/>
              </w:rPr>
            </w:pPr>
            <w:r w:rsidRPr="002D181A">
              <w:rPr>
                <w:rFonts w:ascii="Times New Roman" w:eastAsia="Times New Roman" w:hAnsi="Times New Roman" w:cs="Times New Roman"/>
                <w:kern w:val="0"/>
              </w:rPr>
              <w:t>Gender    Frequency      Percentage</w:t>
            </w:r>
          </w:p>
          <w:p w14:paraId="74E70E9D" w14:textId="77777777" w:rsidR="002D181A" w:rsidRPr="002D181A" w:rsidRDefault="002D181A" w:rsidP="002D181A">
            <w:pPr>
              <w:ind w:right="234"/>
              <w:rPr>
                <w:rFonts w:ascii="Times New Roman" w:eastAsia="Times New Roman" w:hAnsi="Times New Roman" w:cs="Times New Roman"/>
                <w:kern w:val="0"/>
              </w:rPr>
            </w:pPr>
            <w:r w:rsidRPr="002D181A">
              <w:rPr>
                <w:rFonts w:ascii="Times New Roman" w:eastAsia="Times New Roman" w:hAnsi="Times New Roman" w:cs="Times New Roman"/>
                <w:kern w:val="0"/>
              </w:rPr>
              <w:t xml:space="preserve">                      (f)                  (%)   </w:t>
            </w:r>
          </w:p>
        </w:tc>
      </w:tr>
      <w:tr w:rsidR="002D181A" w:rsidRPr="002D181A" w14:paraId="0F1CA4F8" w14:textId="77777777" w:rsidTr="002D181A">
        <w:trPr>
          <w:trHeight w:val="620"/>
        </w:trPr>
        <w:tc>
          <w:tcPr>
            <w:tcW w:w="3870" w:type="dxa"/>
          </w:tcPr>
          <w:p w14:paraId="302B6CB1" w14:textId="77777777" w:rsidR="002D181A" w:rsidRPr="002D181A" w:rsidRDefault="002D181A" w:rsidP="002D181A">
            <w:pPr>
              <w:spacing w:line="480" w:lineRule="auto"/>
              <w:ind w:right="234"/>
              <w:rPr>
                <w:rFonts w:ascii="Times New Roman" w:eastAsia="Times New Roman" w:hAnsi="Times New Roman" w:cs="Times New Roman"/>
                <w:kern w:val="0"/>
              </w:rPr>
            </w:pPr>
            <w:r w:rsidRPr="002D181A">
              <w:rPr>
                <w:rFonts w:ascii="Times New Roman" w:eastAsia="Times New Roman" w:hAnsi="Times New Roman" w:cs="Times New Roman"/>
                <w:kern w:val="0"/>
              </w:rPr>
              <w:t xml:space="preserve">   M               7                 50.00</w:t>
            </w:r>
          </w:p>
          <w:p w14:paraId="0CF57D59" w14:textId="77777777" w:rsidR="002D181A" w:rsidRPr="002D181A" w:rsidRDefault="002D181A" w:rsidP="002D181A">
            <w:pPr>
              <w:spacing w:line="480" w:lineRule="auto"/>
              <w:ind w:right="234"/>
              <w:rPr>
                <w:rFonts w:ascii="Times New Roman" w:eastAsia="Times New Roman" w:hAnsi="Times New Roman" w:cs="Times New Roman"/>
                <w:kern w:val="0"/>
              </w:rPr>
            </w:pPr>
            <w:r w:rsidRPr="002D181A">
              <w:rPr>
                <w:rFonts w:ascii="Times New Roman" w:eastAsia="Times New Roman" w:hAnsi="Times New Roman" w:cs="Times New Roman"/>
                <w:kern w:val="0"/>
              </w:rPr>
              <w:t xml:space="preserve">   F                7                 50.00</w:t>
            </w:r>
          </w:p>
        </w:tc>
        <w:tc>
          <w:tcPr>
            <w:tcW w:w="3870" w:type="dxa"/>
          </w:tcPr>
          <w:p w14:paraId="40D677E7" w14:textId="77777777" w:rsidR="002D181A" w:rsidRPr="002D181A" w:rsidRDefault="002D181A" w:rsidP="002D181A">
            <w:pPr>
              <w:spacing w:line="480" w:lineRule="auto"/>
              <w:ind w:right="234"/>
              <w:rPr>
                <w:rFonts w:ascii="Times New Roman" w:eastAsia="Times New Roman" w:hAnsi="Times New Roman" w:cs="Times New Roman"/>
                <w:kern w:val="0"/>
              </w:rPr>
            </w:pPr>
            <w:r w:rsidRPr="002D181A">
              <w:rPr>
                <w:rFonts w:ascii="Times New Roman" w:eastAsia="Times New Roman" w:hAnsi="Times New Roman" w:cs="Times New Roman"/>
                <w:kern w:val="0"/>
              </w:rPr>
              <w:t xml:space="preserve">   M                 7                  50.0   </w:t>
            </w:r>
          </w:p>
          <w:p w14:paraId="7EC2B813" w14:textId="77777777" w:rsidR="002D181A" w:rsidRPr="002D181A" w:rsidRDefault="002D181A" w:rsidP="002D181A">
            <w:pPr>
              <w:spacing w:line="480" w:lineRule="auto"/>
              <w:ind w:right="234"/>
              <w:rPr>
                <w:rFonts w:ascii="Times New Roman" w:eastAsia="Times New Roman" w:hAnsi="Times New Roman" w:cs="Times New Roman"/>
                <w:kern w:val="0"/>
              </w:rPr>
            </w:pPr>
            <w:r w:rsidRPr="002D181A">
              <w:rPr>
                <w:rFonts w:ascii="Times New Roman" w:eastAsia="Times New Roman" w:hAnsi="Times New Roman" w:cs="Times New Roman"/>
                <w:kern w:val="0"/>
              </w:rPr>
              <w:t xml:space="preserve">   F                  7                   50.0</w:t>
            </w:r>
          </w:p>
        </w:tc>
      </w:tr>
    </w:tbl>
    <w:p w14:paraId="15612833" w14:textId="77777777" w:rsidR="002D181A" w:rsidRDefault="002D181A">
      <w:pPr>
        <w:tabs>
          <w:tab w:val="left" w:pos="8647"/>
          <w:tab w:val="left" w:pos="8789"/>
        </w:tabs>
        <w:spacing w:after="0" w:line="240" w:lineRule="auto"/>
        <w:ind w:left="1854" w:hanging="1134"/>
        <w:jc w:val="both"/>
        <w:rPr>
          <w:rFonts w:ascii="Times New Roman" w:hAnsi="Times New Roman" w:cs="Times New Roman"/>
          <w:bCs/>
          <w:sz w:val="24"/>
          <w:szCs w:val="24"/>
        </w:rPr>
      </w:pPr>
    </w:p>
    <w:p w14:paraId="2C155E82" w14:textId="77777777" w:rsidR="002D181A" w:rsidRDefault="002D181A">
      <w:pPr>
        <w:tabs>
          <w:tab w:val="left" w:pos="8647"/>
          <w:tab w:val="left" w:pos="8789"/>
        </w:tabs>
        <w:spacing w:after="0" w:line="240" w:lineRule="auto"/>
        <w:ind w:left="1854" w:hanging="1134"/>
        <w:jc w:val="both"/>
        <w:rPr>
          <w:rFonts w:ascii="Times New Roman" w:hAnsi="Times New Roman" w:cs="Times New Roman"/>
          <w:sz w:val="24"/>
          <w:szCs w:val="24"/>
        </w:rPr>
      </w:pPr>
    </w:p>
    <w:p w14:paraId="0FE552A6" w14:textId="77777777" w:rsidR="00347752" w:rsidRDefault="00347752">
      <w:pPr>
        <w:spacing w:after="0" w:line="480" w:lineRule="auto"/>
        <w:jc w:val="both"/>
        <w:rPr>
          <w:rFonts w:ascii="Times New Roman" w:hAnsi="Times New Roman" w:cs="Times New Roman"/>
          <w:sz w:val="24"/>
          <w:szCs w:val="24"/>
        </w:rPr>
      </w:pPr>
    </w:p>
    <w:p w14:paraId="6BA072FC" w14:textId="77777777" w:rsidR="00347752" w:rsidRDefault="00347752">
      <w:pPr>
        <w:spacing w:after="0" w:line="480" w:lineRule="auto"/>
        <w:jc w:val="both"/>
        <w:rPr>
          <w:rFonts w:ascii="Times New Roman" w:hAnsi="Times New Roman" w:cs="Times New Roman"/>
          <w:sz w:val="24"/>
          <w:szCs w:val="24"/>
        </w:rPr>
      </w:pPr>
    </w:p>
    <w:p w14:paraId="3543DCDE" w14:textId="77777777" w:rsidR="003E0741" w:rsidRDefault="003E0741" w:rsidP="00AB64EF">
      <w:pPr>
        <w:spacing w:after="0" w:line="240" w:lineRule="auto"/>
        <w:jc w:val="both"/>
        <w:rPr>
          <w:rFonts w:ascii="Times New Roman" w:hAnsi="Times New Roman" w:cs="Times New Roman"/>
          <w:sz w:val="24"/>
          <w:szCs w:val="24"/>
        </w:rPr>
      </w:pPr>
    </w:p>
    <w:p w14:paraId="11D45E84" w14:textId="77777777" w:rsidR="003E0741" w:rsidRDefault="003E0741" w:rsidP="00AB64EF">
      <w:pPr>
        <w:spacing w:after="0" w:line="240" w:lineRule="auto"/>
        <w:jc w:val="both"/>
        <w:rPr>
          <w:rFonts w:ascii="Times New Roman" w:hAnsi="Times New Roman" w:cs="Times New Roman"/>
          <w:sz w:val="24"/>
          <w:szCs w:val="24"/>
        </w:rPr>
      </w:pPr>
    </w:p>
    <w:p w14:paraId="31BBE56E" w14:textId="77777777" w:rsidR="009D41E4" w:rsidRDefault="009D41E4" w:rsidP="00AB64EF">
      <w:pPr>
        <w:spacing w:after="0" w:line="240" w:lineRule="auto"/>
        <w:jc w:val="both"/>
        <w:rPr>
          <w:rFonts w:ascii="Times New Roman" w:hAnsi="Times New Roman" w:cs="Times New Roman"/>
          <w:b/>
          <w:sz w:val="24"/>
          <w:szCs w:val="24"/>
        </w:rPr>
      </w:pPr>
    </w:p>
    <w:p w14:paraId="7A2508CE" w14:textId="77777777" w:rsidR="000B06F0" w:rsidRDefault="000B06F0" w:rsidP="00AB64EF">
      <w:pPr>
        <w:spacing w:after="0" w:line="240" w:lineRule="auto"/>
        <w:jc w:val="both"/>
        <w:rPr>
          <w:rFonts w:ascii="Times New Roman" w:hAnsi="Times New Roman" w:cs="Times New Roman"/>
          <w:b/>
          <w:sz w:val="24"/>
          <w:szCs w:val="24"/>
        </w:rPr>
      </w:pPr>
    </w:p>
    <w:p w14:paraId="5664A0B9" w14:textId="77777777" w:rsidR="00280200" w:rsidRDefault="00280200" w:rsidP="00AB64EF">
      <w:pPr>
        <w:spacing w:after="0" w:line="240" w:lineRule="auto"/>
        <w:jc w:val="both"/>
        <w:rPr>
          <w:rFonts w:ascii="Times New Roman" w:hAnsi="Times New Roman" w:cs="Times New Roman"/>
          <w:b/>
          <w:sz w:val="24"/>
          <w:szCs w:val="24"/>
        </w:rPr>
      </w:pPr>
    </w:p>
    <w:p w14:paraId="7EAE3A4B" w14:textId="77777777" w:rsidR="00280200" w:rsidRDefault="00280200" w:rsidP="00AB64EF">
      <w:pPr>
        <w:spacing w:after="0" w:line="240" w:lineRule="auto"/>
        <w:jc w:val="both"/>
        <w:rPr>
          <w:rFonts w:ascii="Times New Roman" w:hAnsi="Times New Roman" w:cs="Times New Roman"/>
          <w:b/>
          <w:sz w:val="24"/>
          <w:szCs w:val="24"/>
        </w:rPr>
      </w:pPr>
    </w:p>
    <w:p w14:paraId="0DF55901" w14:textId="77777777" w:rsidR="000B06F0" w:rsidRDefault="000B06F0" w:rsidP="00AB64EF">
      <w:pPr>
        <w:spacing w:after="0" w:line="240" w:lineRule="auto"/>
        <w:jc w:val="both"/>
        <w:rPr>
          <w:rFonts w:ascii="Times New Roman" w:hAnsi="Times New Roman" w:cs="Times New Roman"/>
          <w:b/>
          <w:sz w:val="24"/>
          <w:szCs w:val="24"/>
        </w:rPr>
      </w:pPr>
    </w:p>
    <w:p w14:paraId="558B499B" w14:textId="77777777" w:rsidR="000B06F0" w:rsidRDefault="000B06F0" w:rsidP="00AB64EF">
      <w:pPr>
        <w:spacing w:after="0" w:line="240" w:lineRule="auto"/>
        <w:jc w:val="both"/>
        <w:rPr>
          <w:rFonts w:ascii="Times New Roman" w:hAnsi="Times New Roman" w:cs="Times New Roman"/>
          <w:b/>
          <w:sz w:val="24"/>
          <w:szCs w:val="24"/>
        </w:rPr>
      </w:pPr>
    </w:p>
    <w:p w14:paraId="13F28DDF" w14:textId="3512EA86" w:rsidR="00FA0953" w:rsidRDefault="00FA0953" w:rsidP="00AB64EF">
      <w:pPr>
        <w:spacing w:after="0" w:line="240" w:lineRule="auto"/>
        <w:jc w:val="both"/>
        <w:rPr>
          <w:rFonts w:ascii="Times New Roman" w:hAnsi="Times New Roman" w:cs="Times New Roman"/>
          <w:b/>
          <w:sz w:val="24"/>
          <w:szCs w:val="24"/>
        </w:rPr>
      </w:pPr>
      <w:r w:rsidRPr="00FA0953">
        <w:rPr>
          <w:rFonts w:ascii="Times New Roman" w:hAnsi="Times New Roman" w:cs="Times New Roman"/>
          <w:b/>
          <w:sz w:val="24"/>
          <w:szCs w:val="24"/>
        </w:rPr>
        <w:lastRenderedPageBreak/>
        <w:t>4.2 Pre-test Scores of the Respondents in Control and Experimental Group</w:t>
      </w:r>
    </w:p>
    <w:p w14:paraId="44C3C6B7" w14:textId="77777777" w:rsidR="00FA0953" w:rsidRDefault="00FA0953" w:rsidP="00AB64EF">
      <w:pPr>
        <w:spacing w:after="0" w:line="240" w:lineRule="auto"/>
        <w:jc w:val="both"/>
        <w:rPr>
          <w:rFonts w:ascii="Times New Roman" w:hAnsi="Times New Roman" w:cs="Times New Roman"/>
          <w:b/>
          <w:sz w:val="24"/>
          <w:szCs w:val="24"/>
        </w:rPr>
      </w:pPr>
    </w:p>
    <w:p w14:paraId="7017E52E" w14:textId="7D82CCA2" w:rsidR="00FA0953" w:rsidRPr="00FA0953" w:rsidRDefault="00FA0953" w:rsidP="00AB64EF">
      <w:pPr>
        <w:spacing w:after="0" w:line="240" w:lineRule="auto"/>
        <w:ind w:firstLine="360"/>
        <w:jc w:val="both"/>
        <w:rPr>
          <w:rFonts w:ascii="Times New Roman" w:hAnsi="Times New Roman" w:cs="Times New Roman"/>
          <w:sz w:val="24"/>
          <w:szCs w:val="24"/>
        </w:rPr>
      </w:pPr>
      <w:r w:rsidRPr="00FA0953">
        <w:rPr>
          <w:rFonts w:ascii="Times New Roman" w:hAnsi="Times New Roman" w:cs="Times New Roman"/>
          <w:sz w:val="24"/>
          <w:szCs w:val="24"/>
        </w:rPr>
        <w:t>Table 4.</w:t>
      </w:r>
      <w:r w:rsidR="00E34A26">
        <w:rPr>
          <w:rFonts w:ascii="Times New Roman" w:hAnsi="Times New Roman" w:cs="Times New Roman"/>
          <w:sz w:val="24"/>
          <w:szCs w:val="24"/>
        </w:rPr>
        <w:t>2</w:t>
      </w:r>
      <w:r w:rsidRPr="00FA0953">
        <w:rPr>
          <w:rFonts w:ascii="Times New Roman" w:hAnsi="Times New Roman" w:cs="Times New Roman"/>
          <w:sz w:val="24"/>
          <w:szCs w:val="24"/>
        </w:rPr>
        <w:t>. presents the frequency and percentage distribution of the respondents’ pre-test scores in both the control and experimental groups. In the control group, the majority of respondents (85.71%) scored within the 7–12 range, which is verbally interpreted as Fair. Additionally, one (1) respondent or 7.14% scored within the 13–18 range, which is verbally interpreted as Good, while another one (1) respondent or 7.14% fell within the 1–6 range, verbally interpreted as Poor.</w:t>
      </w:r>
      <w:r>
        <w:rPr>
          <w:rFonts w:ascii="Times New Roman" w:hAnsi="Times New Roman" w:cs="Times New Roman"/>
          <w:sz w:val="24"/>
          <w:szCs w:val="24"/>
        </w:rPr>
        <w:t xml:space="preserve"> </w:t>
      </w:r>
      <w:r w:rsidRPr="00FA0953">
        <w:rPr>
          <w:rFonts w:ascii="Times New Roman" w:hAnsi="Times New Roman" w:cs="Times New Roman"/>
          <w:sz w:val="24"/>
          <w:szCs w:val="24"/>
        </w:rPr>
        <w:t xml:space="preserve">Similarly, in the experimental group, most of the respondents (92.86%) scored within the 7–12 range, also verbally interpreted as Fair. Meanwhile, one (1) respondent or 7.14% scored within the 1–6 range, which is verbally interpreted as Poor. </w:t>
      </w:r>
    </w:p>
    <w:p w14:paraId="7441B936" w14:textId="5B939EFE" w:rsidR="009D41E4" w:rsidRDefault="00FA0953" w:rsidP="000B06F0">
      <w:pPr>
        <w:spacing w:after="0" w:line="240" w:lineRule="auto"/>
        <w:ind w:firstLine="360"/>
        <w:jc w:val="both"/>
        <w:rPr>
          <w:rFonts w:ascii="Times New Roman" w:hAnsi="Times New Roman" w:cs="Times New Roman"/>
          <w:sz w:val="24"/>
          <w:szCs w:val="24"/>
        </w:rPr>
      </w:pPr>
      <w:r w:rsidRPr="00FA0953">
        <w:rPr>
          <w:rFonts w:ascii="Times New Roman" w:hAnsi="Times New Roman" w:cs="Times New Roman"/>
          <w:sz w:val="24"/>
          <w:szCs w:val="24"/>
        </w:rPr>
        <w:t>These results indicates that the respondents in both groups had comparable baseline competencies in Mathematics prior to the intervention, providing a consistent foundation for evaluating the effects of Music-integrated instruction. According to Hall and Behrens (2022), pre-test scores serve as an essential benchmark for assessing the effectiveness of instructional interventions, including Music-integrated strategies. Pre-test assessments provide a baseline measure of students’ initial understanding, skills, and problem-solving abilities, allowing educators to accurately determine the impact of the intervention.</w:t>
      </w:r>
    </w:p>
    <w:p w14:paraId="67522754" w14:textId="77777777" w:rsidR="009D41E4" w:rsidRDefault="009D41E4" w:rsidP="00AB64EF">
      <w:pPr>
        <w:spacing w:after="0" w:line="240" w:lineRule="auto"/>
        <w:ind w:right="-13"/>
        <w:jc w:val="both"/>
        <w:rPr>
          <w:rFonts w:ascii="Times New Roman" w:hAnsi="Times New Roman" w:cs="Times New Roman"/>
          <w:sz w:val="24"/>
          <w:szCs w:val="24"/>
        </w:rPr>
      </w:pPr>
    </w:p>
    <w:p w14:paraId="14150857" w14:textId="77777777" w:rsidR="00347752" w:rsidRDefault="00347752">
      <w:pPr>
        <w:spacing w:after="0" w:line="240" w:lineRule="auto"/>
        <w:ind w:left="720" w:right="-13"/>
        <w:jc w:val="both"/>
        <w:rPr>
          <w:rFonts w:ascii="Times New Roman" w:hAnsi="Times New Roman" w:cs="Times New Roman"/>
          <w:sz w:val="24"/>
          <w:szCs w:val="24"/>
        </w:rPr>
      </w:pPr>
    </w:p>
    <w:p w14:paraId="1791B0F5" w14:textId="502FC4BB" w:rsidR="00AB64EF" w:rsidRPr="00AB64EF" w:rsidRDefault="00AB64EF" w:rsidP="00AB64EF">
      <w:pPr>
        <w:spacing w:after="0" w:line="240" w:lineRule="auto"/>
        <w:ind w:firstLine="431"/>
        <w:jc w:val="both"/>
        <w:rPr>
          <w:rFonts w:ascii="Times New Roman" w:hAnsi="Times New Roman" w:cs="Times New Roman"/>
          <w:bCs/>
          <w:sz w:val="24"/>
          <w:szCs w:val="24"/>
        </w:rPr>
      </w:pPr>
      <w:r>
        <w:rPr>
          <w:rFonts w:ascii="Times New Roman" w:hAnsi="Times New Roman" w:cs="Times New Roman"/>
          <w:b/>
          <w:sz w:val="24"/>
          <w:szCs w:val="24"/>
        </w:rPr>
        <w:t xml:space="preserve">      </w:t>
      </w:r>
      <w:r w:rsidRPr="00AB64EF">
        <w:rPr>
          <w:rFonts w:ascii="Times New Roman" w:hAnsi="Times New Roman" w:cs="Times New Roman"/>
          <w:b/>
          <w:sz w:val="24"/>
          <w:szCs w:val="24"/>
        </w:rPr>
        <w:t>Table 4</w:t>
      </w:r>
      <w:r>
        <w:rPr>
          <w:rFonts w:ascii="Times New Roman" w:hAnsi="Times New Roman" w:cs="Times New Roman"/>
          <w:b/>
          <w:sz w:val="24"/>
          <w:szCs w:val="24"/>
        </w:rPr>
        <w:t>.</w:t>
      </w:r>
      <w:r w:rsidR="00E34A26">
        <w:rPr>
          <w:rFonts w:ascii="Times New Roman" w:hAnsi="Times New Roman" w:cs="Times New Roman"/>
          <w:b/>
          <w:sz w:val="24"/>
          <w:szCs w:val="24"/>
        </w:rPr>
        <w:t>2</w:t>
      </w:r>
      <w:r>
        <w:rPr>
          <w:rFonts w:ascii="Times New Roman" w:hAnsi="Times New Roman" w:cs="Times New Roman"/>
          <w:b/>
          <w:sz w:val="24"/>
          <w:szCs w:val="24"/>
        </w:rPr>
        <w:t xml:space="preserve">. </w:t>
      </w:r>
      <w:r w:rsidRPr="00AB64EF">
        <w:rPr>
          <w:rFonts w:ascii="Times New Roman" w:hAnsi="Times New Roman" w:cs="Times New Roman"/>
          <w:bCs/>
          <w:sz w:val="24"/>
          <w:szCs w:val="24"/>
        </w:rPr>
        <w:t xml:space="preserve">Frequency and Percentage Distribution of Pre-test Scores of the      </w:t>
      </w:r>
    </w:p>
    <w:p w14:paraId="2447C00F" w14:textId="71BE63C0" w:rsidR="00AB64EF" w:rsidRPr="00AB64EF" w:rsidRDefault="00AB64EF" w:rsidP="00AB64EF">
      <w:pPr>
        <w:spacing w:after="0" w:line="240" w:lineRule="auto"/>
        <w:ind w:firstLine="431"/>
        <w:jc w:val="both"/>
        <w:rPr>
          <w:rFonts w:ascii="Times New Roman" w:hAnsi="Times New Roman" w:cs="Times New Roman"/>
          <w:bCs/>
          <w:sz w:val="24"/>
          <w:szCs w:val="24"/>
        </w:rPr>
      </w:pPr>
      <w:r w:rsidRPr="00AB64E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B64EF">
        <w:rPr>
          <w:rFonts w:ascii="Times New Roman" w:hAnsi="Times New Roman" w:cs="Times New Roman"/>
          <w:bCs/>
          <w:sz w:val="24"/>
          <w:szCs w:val="24"/>
        </w:rPr>
        <w:t>Respondents Control and Experimental Group (n=28).</w:t>
      </w:r>
    </w:p>
    <w:tbl>
      <w:tblPr>
        <w:tblStyle w:val="TableGrid2"/>
        <w:tblpPr w:leftFromText="180" w:rightFromText="180" w:vertAnchor="text" w:horzAnchor="margin" w:tblpXSpec="center" w:tblpY="59"/>
        <w:tblW w:w="7812" w:type="dxa"/>
        <w:tblLayout w:type="fixed"/>
        <w:tblLook w:val="04A0" w:firstRow="1" w:lastRow="0" w:firstColumn="1" w:lastColumn="0" w:noHBand="0" w:noVBand="1"/>
      </w:tblPr>
      <w:tblGrid>
        <w:gridCol w:w="1170"/>
        <w:gridCol w:w="810"/>
        <w:gridCol w:w="990"/>
        <w:gridCol w:w="1512"/>
        <w:gridCol w:w="810"/>
        <w:gridCol w:w="990"/>
        <w:gridCol w:w="1530"/>
      </w:tblGrid>
      <w:tr w:rsidR="00AB64EF" w:rsidRPr="00FA0953" w14:paraId="44057F43" w14:textId="77777777" w:rsidTr="00AB64EF">
        <w:tc>
          <w:tcPr>
            <w:tcW w:w="4482" w:type="dxa"/>
            <w:gridSpan w:val="4"/>
            <w:tcBorders>
              <w:top w:val="double" w:sz="6" w:space="0" w:color="auto"/>
              <w:left w:val="nil"/>
              <w:bottom w:val="single" w:sz="6" w:space="0" w:color="auto"/>
            </w:tcBorders>
          </w:tcPr>
          <w:p w14:paraId="34797E87" w14:textId="77777777" w:rsidR="00AB64EF" w:rsidRPr="00FA0953" w:rsidRDefault="00AB64EF" w:rsidP="00AB64EF">
            <w:pPr>
              <w:spacing w:line="24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Control Group</w:t>
            </w:r>
          </w:p>
        </w:tc>
        <w:tc>
          <w:tcPr>
            <w:tcW w:w="3330" w:type="dxa"/>
            <w:gridSpan w:val="3"/>
            <w:tcBorders>
              <w:top w:val="double" w:sz="6" w:space="0" w:color="auto"/>
              <w:bottom w:val="single" w:sz="6" w:space="0" w:color="auto"/>
              <w:right w:val="nil"/>
            </w:tcBorders>
          </w:tcPr>
          <w:p w14:paraId="33F7C9CD" w14:textId="77777777" w:rsidR="00AB64EF" w:rsidRPr="00FA0953" w:rsidRDefault="00AB64EF" w:rsidP="00AB64EF">
            <w:pPr>
              <w:spacing w:line="24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Experimental Group</w:t>
            </w:r>
          </w:p>
        </w:tc>
      </w:tr>
      <w:tr w:rsidR="00AB64EF" w:rsidRPr="00FA0953" w14:paraId="123DCC16" w14:textId="77777777" w:rsidTr="00AB64EF">
        <w:trPr>
          <w:trHeight w:val="449"/>
        </w:trPr>
        <w:tc>
          <w:tcPr>
            <w:tcW w:w="1170" w:type="dxa"/>
            <w:tcBorders>
              <w:top w:val="single" w:sz="6" w:space="0" w:color="auto"/>
              <w:left w:val="nil"/>
              <w:bottom w:val="single" w:sz="6" w:space="0" w:color="auto"/>
              <w:right w:val="nil"/>
            </w:tcBorders>
          </w:tcPr>
          <w:p w14:paraId="21EFF340" w14:textId="77777777" w:rsidR="00AB64EF" w:rsidRPr="00FA0953" w:rsidRDefault="00AB64EF" w:rsidP="00AB64EF">
            <w:pPr>
              <w:spacing w:line="240" w:lineRule="auto"/>
              <w:ind w:right="234"/>
              <w:jc w:val="center"/>
              <w:rPr>
                <w:rFonts w:ascii="Times New Roman" w:eastAsia="Calibri" w:hAnsi="Times New Roman" w:cs="Times New Roman"/>
                <w:kern w:val="0"/>
              </w:rPr>
            </w:pPr>
          </w:p>
          <w:p w14:paraId="0D53A3C9" w14:textId="77777777" w:rsidR="00AB64EF" w:rsidRPr="00FA0953" w:rsidRDefault="00AB64EF" w:rsidP="00AB64EF">
            <w:pPr>
              <w:spacing w:line="240" w:lineRule="auto"/>
              <w:ind w:right="234"/>
              <w:jc w:val="center"/>
              <w:rPr>
                <w:rFonts w:ascii="Times New Roman" w:eastAsia="Calibri" w:hAnsi="Times New Roman" w:cs="Times New Roman"/>
                <w:kern w:val="0"/>
              </w:rPr>
            </w:pPr>
            <w:r w:rsidRPr="00FA0953">
              <w:rPr>
                <w:rFonts w:ascii="Times New Roman" w:eastAsia="Calibri" w:hAnsi="Times New Roman" w:cs="Times New Roman"/>
                <w:kern w:val="0"/>
              </w:rPr>
              <w:t>Scores</w:t>
            </w:r>
          </w:p>
          <w:p w14:paraId="5CBF1F13" w14:textId="77777777" w:rsidR="00AB64EF" w:rsidRPr="00FA0953" w:rsidRDefault="00AB64EF" w:rsidP="00AB64EF">
            <w:pPr>
              <w:spacing w:line="240" w:lineRule="auto"/>
              <w:ind w:right="234"/>
              <w:rPr>
                <w:rFonts w:ascii="Times New Roman" w:eastAsia="Calibri" w:hAnsi="Times New Roman" w:cs="Times New Roman"/>
                <w:kern w:val="0"/>
              </w:rPr>
            </w:pPr>
          </w:p>
        </w:tc>
        <w:tc>
          <w:tcPr>
            <w:tcW w:w="810" w:type="dxa"/>
            <w:tcBorders>
              <w:top w:val="single" w:sz="6" w:space="0" w:color="auto"/>
              <w:left w:val="nil"/>
              <w:bottom w:val="single" w:sz="6" w:space="0" w:color="auto"/>
              <w:right w:val="nil"/>
            </w:tcBorders>
          </w:tcPr>
          <w:p w14:paraId="2B17F990" w14:textId="77777777" w:rsidR="00AB64EF" w:rsidRPr="00FA0953" w:rsidRDefault="00AB64EF" w:rsidP="00AB64EF">
            <w:pPr>
              <w:tabs>
                <w:tab w:val="center" w:pos="297"/>
              </w:tabs>
              <w:spacing w:line="240" w:lineRule="auto"/>
              <w:ind w:right="234"/>
              <w:jc w:val="center"/>
              <w:rPr>
                <w:rFonts w:ascii="Times New Roman" w:eastAsia="Calibri" w:hAnsi="Times New Roman" w:cs="Times New Roman"/>
                <w:kern w:val="0"/>
              </w:rPr>
            </w:pPr>
          </w:p>
          <w:p w14:paraId="51CDE519" w14:textId="77777777" w:rsidR="00AB64EF" w:rsidRPr="00FA0953" w:rsidRDefault="00AB64EF" w:rsidP="00AB64EF">
            <w:pPr>
              <w:tabs>
                <w:tab w:val="center" w:pos="297"/>
              </w:tabs>
              <w:spacing w:line="240" w:lineRule="auto"/>
              <w:ind w:right="234"/>
              <w:jc w:val="center"/>
              <w:rPr>
                <w:rFonts w:ascii="Times New Roman" w:eastAsia="Calibri" w:hAnsi="Times New Roman" w:cs="Times New Roman"/>
                <w:kern w:val="0"/>
              </w:rPr>
            </w:pPr>
            <w:r w:rsidRPr="00FA0953">
              <w:rPr>
                <w:rFonts w:ascii="Times New Roman" w:eastAsia="Calibri" w:hAnsi="Times New Roman" w:cs="Times New Roman"/>
                <w:kern w:val="0"/>
              </w:rPr>
              <w:t>f</w:t>
            </w:r>
          </w:p>
          <w:p w14:paraId="62DADD7A" w14:textId="77777777" w:rsidR="00AB64EF" w:rsidRPr="00FA0953" w:rsidRDefault="00AB64EF" w:rsidP="00AB64EF">
            <w:pPr>
              <w:spacing w:line="240" w:lineRule="auto"/>
              <w:ind w:right="234"/>
              <w:rPr>
                <w:rFonts w:ascii="Times New Roman" w:eastAsia="Calibri" w:hAnsi="Times New Roman" w:cs="Times New Roman"/>
                <w:kern w:val="0"/>
              </w:rPr>
            </w:pPr>
          </w:p>
        </w:tc>
        <w:tc>
          <w:tcPr>
            <w:tcW w:w="990" w:type="dxa"/>
            <w:tcBorders>
              <w:top w:val="single" w:sz="6" w:space="0" w:color="auto"/>
              <w:left w:val="nil"/>
              <w:bottom w:val="single" w:sz="6" w:space="0" w:color="auto"/>
              <w:right w:val="nil"/>
            </w:tcBorders>
          </w:tcPr>
          <w:p w14:paraId="016F72A8" w14:textId="77777777" w:rsidR="00AB64EF" w:rsidRPr="00FA0953" w:rsidRDefault="00AB64EF" w:rsidP="00AB64EF">
            <w:pPr>
              <w:spacing w:line="240" w:lineRule="auto"/>
              <w:ind w:right="234"/>
              <w:jc w:val="center"/>
              <w:rPr>
                <w:rFonts w:ascii="Times New Roman" w:eastAsia="Calibri" w:hAnsi="Times New Roman" w:cs="Times New Roman"/>
                <w:kern w:val="0"/>
              </w:rPr>
            </w:pPr>
          </w:p>
          <w:p w14:paraId="2B8E48A3" w14:textId="77777777" w:rsidR="00AB64EF" w:rsidRPr="00FA0953" w:rsidRDefault="00AB64EF" w:rsidP="00AB64EF">
            <w:pPr>
              <w:spacing w:line="240" w:lineRule="auto"/>
              <w:ind w:right="234"/>
              <w:jc w:val="center"/>
              <w:rPr>
                <w:rFonts w:ascii="Times New Roman" w:eastAsia="Calibri" w:hAnsi="Times New Roman" w:cs="Times New Roman"/>
                <w:kern w:val="0"/>
              </w:rPr>
            </w:pPr>
            <w:r w:rsidRPr="00FA0953">
              <w:rPr>
                <w:rFonts w:ascii="Times New Roman" w:eastAsia="Calibri" w:hAnsi="Times New Roman" w:cs="Times New Roman"/>
                <w:kern w:val="0"/>
              </w:rPr>
              <w:t>%</w:t>
            </w:r>
          </w:p>
        </w:tc>
        <w:tc>
          <w:tcPr>
            <w:tcW w:w="1512" w:type="dxa"/>
            <w:tcBorders>
              <w:top w:val="single" w:sz="6" w:space="0" w:color="auto"/>
              <w:left w:val="nil"/>
              <w:bottom w:val="single" w:sz="6" w:space="0" w:color="auto"/>
            </w:tcBorders>
          </w:tcPr>
          <w:p w14:paraId="0C855223" w14:textId="77777777" w:rsidR="00AB64EF" w:rsidRPr="00FA0953" w:rsidRDefault="00AB64EF" w:rsidP="00AB64EF">
            <w:pPr>
              <w:spacing w:line="240" w:lineRule="auto"/>
              <w:ind w:right="234"/>
              <w:jc w:val="center"/>
              <w:rPr>
                <w:rFonts w:ascii="Times New Roman" w:eastAsia="Calibri" w:hAnsi="Times New Roman" w:cs="Times New Roman"/>
                <w:kern w:val="0"/>
              </w:rPr>
            </w:pPr>
          </w:p>
          <w:p w14:paraId="71ACBB2D" w14:textId="77777777" w:rsidR="00AB64EF" w:rsidRPr="00FA0953" w:rsidRDefault="00AB64EF" w:rsidP="00AB64EF">
            <w:pPr>
              <w:spacing w:line="240" w:lineRule="auto"/>
              <w:ind w:right="234"/>
              <w:jc w:val="center"/>
              <w:rPr>
                <w:rFonts w:ascii="Times New Roman" w:eastAsia="Calibri" w:hAnsi="Times New Roman" w:cs="Times New Roman"/>
                <w:kern w:val="0"/>
              </w:rPr>
            </w:pPr>
            <w:r w:rsidRPr="00FA0953">
              <w:rPr>
                <w:rFonts w:ascii="Times New Roman" w:eastAsia="Calibri" w:hAnsi="Times New Roman" w:cs="Times New Roman"/>
                <w:kern w:val="0"/>
              </w:rPr>
              <w:t>VI</w:t>
            </w:r>
          </w:p>
        </w:tc>
        <w:tc>
          <w:tcPr>
            <w:tcW w:w="810" w:type="dxa"/>
            <w:tcBorders>
              <w:top w:val="single" w:sz="6" w:space="0" w:color="auto"/>
              <w:bottom w:val="single" w:sz="6" w:space="0" w:color="auto"/>
              <w:right w:val="nil"/>
            </w:tcBorders>
          </w:tcPr>
          <w:p w14:paraId="0A95A739" w14:textId="77777777" w:rsidR="00AB64EF" w:rsidRPr="00FA0953" w:rsidRDefault="00AB64EF" w:rsidP="00AB64EF">
            <w:pPr>
              <w:spacing w:line="240" w:lineRule="auto"/>
              <w:ind w:right="234"/>
              <w:jc w:val="center"/>
              <w:rPr>
                <w:rFonts w:ascii="Times New Roman" w:eastAsia="Calibri" w:hAnsi="Times New Roman" w:cs="Times New Roman"/>
                <w:kern w:val="0"/>
              </w:rPr>
            </w:pPr>
          </w:p>
          <w:p w14:paraId="2A3CE6F0" w14:textId="77777777" w:rsidR="00AB64EF" w:rsidRPr="00FA0953" w:rsidRDefault="00AB64EF" w:rsidP="00AB64EF">
            <w:pPr>
              <w:spacing w:line="240" w:lineRule="auto"/>
              <w:ind w:right="234"/>
              <w:jc w:val="center"/>
              <w:rPr>
                <w:rFonts w:ascii="Times New Roman" w:eastAsia="Calibri" w:hAnsi="Times New Roman" w:cs="Times New Roman"/>
                <w:kern w:val="0"/>
              </w:rPr>
            </w:pPr>
            <w:r w:rsidRPr="00FA0953">
              <w:rPr>
                <w:rFonts w:ascii="Times New Roman" w:eastAsia="Calibri" w:hAnsi="Times New Roman" w:cs="Times New Roman"/>
                <w:kern w:val="0"/>
              </w:rPr>
              <w:t>f</w:t>
            </w:r>
          </w:p>
        </w:tc>
        <w:tc>
          <w:tcPr>
            <w:tcW w:w="990" w:type="dxa"/>
            <w:tcBorders>
              <w:top w:val="single" w:sz="6" w:space="0" w:color="auto"/>
              <w:left w:val="nil"/>
              <w:bottom w:val="single" w:sz="6" w:space="0" w:color="auto"/>
              <w:right w:val="nil"/>
            </w:tcBorders>
          </w:tcPr>
          <w:p w14:paraId="7D74459F" w14:textId="77777777" w:rsidR="00AB64EF" w:rsidRPr="00FA0953" w:rsidRDefault="00AB64EF" w:rsidP="00AB64EF">
            <w:pPr>
              <w:spacing w:line="240" w:lineRule="auto"/>
              <w:ind w:right="234"/>
              <w:jc w:val="center"/>
              <w:rPr>
                <w:rFonts w:ascii="Times New Roman" w:eastAsia="Calibri" w:hAnsi="Times New Roman" w:cs="Times New Roman"/>
                <w:kern w:val="0"/>
              </w:rPr>
            </w:pPr>
          </w:p>
          <w:p w14:paraId="709FED0E" w14:textId="77777777" w:rsidR="00AB64EF" w:rsidRPr="00FA0953" w:rsidRDefault="00AB64EF" w:rsidP="00AB64EF">
            <w:pPr>
              <w:spacing w:line="240" w:lineRule="auto"/>
              <w:ind w:right="234"/>
              <w:jc w:val="center"/>
              <w:rPr>
                <w:rFonts w:ascii="Times New Roman" w:eastAsia="Calibri" w:hAnsi="Times New Roman" w:cs="Times New Roman"/>
                <w:kern w:val="0"/>
              </w:rPr>
            </w:pPr>
            <w:r w:rsidRPr="00FA0953">
              <w:rPr>
                <w:rFonts w:ascii="Times New Roman" w:eastAsia="Calibri" w:hAnsi="Times New Roman" w:cs="Times New Roman"/>
                <w:kern w:val="0"/>
              </w:rPr>
              <w:t>%</w:t>
            </w:r>
          </w:p>
        </w:tc>
        <w:tc>
          <w:tcPr>
            <w:tcW w:w="1530" w:type="dxa"/>
            <w:tcBorders>
              <w:top w:val="single" w:sz="6" w:space="0" w:color="auto"/>
              <w:left w:val="nil"/>
              <w:bottom w:val="single" w:sz="6" w:space="0" w:color="auto"/>
              <w:right w:val="nil"/>
            </w:tcBorders>
          </w:tcPr>
          <w:p w14:paraId="42561B83" w14:textId="77777777" w:rsidR="00AB64EF" w:rsidRPr="00FA0953" w:rsidRDefault="00AB64EF" w:rsidP="00AB64EF">
            <w:pPr>
              <w:spacing w:line="240" w:lineRule="auto"/>
              <w:ind w:right="234"/>
              <w:jc w:val="center"/>
              <w:rPr>
                <w:rFonts w:ascii="Times New Roman" w:eastAsia="Calibri" w:hAnsi="Times New Roman" w:cs="Times New Roman"/>
                <w:kern w:val="0"/>
              </w:rPr>
            </w:pPr>
          </w:p>
          <w:p w14:paraId="7C6A39F1" w14:textId="77777777" w:rsidR="00AB64EF" w:rsidRPr="00FA0953" w:rsidRDefault="00AB64EF" w:rsidP="00AB64EF">
            <w:pPr>
              <w:spacing w:line="240" w:lineRule="auto"/>
              <w:ind w:right="234"/>
              <w:jc w:val="center"/>
              <w:rPr>
                <w:rFonts w:ascii="Times New Roman" w:eastAsia="Calibri" w:hAnsi="Times New Roman" w:cs="Times New Roman"/>
                <w:kern w:val="0"/>
              </w:rPr>
            </w:pPr>
            <w:r w:rsidRPr="00FA0953">
              <w:rPr>
                <w:rFonts w:ascii="Times New Roman" w:eastAsia="Calibri" w:hAnsi="Times New Roman" w:cs="Times New Roman"/>
                <w:kern w:val="0"/>
              </w:rPr>
              <w:t>VI</w:t>
            </w:r>
          </w:p>
        </w:tc>
      </w:tr>
      <w:tr w:rsidR="00AB64EF" w:rsidRPr="00FA0953" w14:paraId="4ADF2F1B" w14:textId="77777777" w:rsidTr="00AB64EF">
        <w:trPr>
          <w:trHeight w:val="483"/>
        </w:trPr>
        <w:tc>
          <w:tcPr>
            <w:tcW w:w="1170" w:type="dxa"/>
            <w:tcBorders>
              <w:top w:val="single" w:sz="6" w:space="0" w:color="auto"/>
              <w:left w:val="nil"/>
              <w:bottom w:val="single" w:sz="6" w:space="0" w:color="auto"/>
              <w:right w:val="nil"/>
            </w:tcBorders>
          </w:tcPr>
          <w:p w14:paraId="67CB3371"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25-30</w:t>
            </w:r>
          </w:p>
        </w:tc>
        <w:tc>
          <w:tcPr>
            <w:tcW w:w="810" w:type="dxa"/>
            <w:tcBorders>
              <w:top w:val="single" w:sz="6" w:space="0" w:color="auto"/>
              <w:left w:val="nil"/>
              <w:bottom w:val="single" w:sz="6" w:space="0" w:color="auto"/>
              <w:right w:val="nil"/>
            </w:tcBorders>
          </w:tcPr>
          <w:p w14:paraId="798172E1" w14:textId="77777777" w:rsidR="00AB64EF" w:rsidRPr="00FA0953" w:rsidRDefault="00AB64EF" w:rsidP="00AB64EF">
            <w:pPr>
              <w:spacing w:line="480" w:lineRule="auto"/>
              <w:ind w:right="234"/>
              <w:jc w:val="center"/>
              <w:rPr>
                <w:rFonts w:ascii="Times New Roman" w:eastAsia="Times New Roman" w:hAnsi="Times New Roman" w:cs="Times New Roman"/>
                <w:kern w:val="0"/>
              </w:rPr>
            </w:pPr>
          </w:p>
        </w:tc>
        <w:tc>
          <w:tcPr>
            <w:tcW w:w="990" w:type="dxa"/>
            <w:tcBorders>
              <w:top w:val="single" w:sz="6" w:space="0" w:color="auto"/>
              <w:left w:val="nil"/>
              <w:bottom w:val="single" w:sz="6" w:space="0" w:color="auto"/>
              <w:right w:val="nil"/>
            </w:tcBorders>
          </w:tcPr>
          <w:p w14:paraId="7621131A" w14:textId="77777777" w:rsidR="00AB64EF" w:rsidRPr="00FA0953" w:rsidRDefault="00AB64EF" w:rsidP="00AB64EF">
            <w:pPr>
              <w:spacing w:line="480" w:lineRule="auto"/>
              <w:ind w:right="234"/>
              <w:jc w:val="center"/>
              <w:rPr>
                <w:rFonts w:ascii="Times New Roman" w:eastAsia="Times New Roman" w:hAnsi="Times New Roman" w:cs="Times New Roman"/>
                <w:kern w:val="0"/>
              </w:rPr>
            </w:pPr>
          </w:p>
        </w:tc>
        <w:tc>
          <w:tcPr>
            <w:tcW w:w="1512" w:type="dxa"/>
            <w:tcBorders>
              <w:top w:val="single" w:sz="6" w:space="0" w:color="auto"/>
              <w:left w:val="nil"/>
              <w:bottom w:val="single" w:sz="6" w:space="0" w:color="auto"/>
            </w:tcBorders>
          </w:tcPr>
          <w:p w14:paraId="6DE6C5E7"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Excellent</w:t>
            </w:r>
          </w:p>
        </w:tc>
        <w:tc>
          <w:tcPr>
            <w:tcW w:w="810" w:type="dxa"/>
            <w:tcBorders>
              <w:top w:val="single" w:sz="6" w:space="0" w:color="auto"/>
              <w:bottom w:val="single" w:sz="6" w:space="0" w:color="auto"/>
              <w:right w:val="nil"/>
            </w:tcBorders>
          </w:tcPr>
          <w:p w14:paraId="494319B1" w14:textId="77777777" w:rsidR="00AB64EF" w:rsidRPr="00FA0953" w:rsidRDefault="00AB64EF" w:rsidP="00AB64EF">
            <w:pPr>
              <w:spacing w:line="480" w:lineRule="auto"/>
              <w:ind w:right="234"/>
              <w:jc w:val="center"/>
              <w:rPr>
                <w:rFonts w:ascii="Times New Roman" w:eastAsia="Times New Roman" w:hAnsi="Times New Roman" w:cs="Times New Roman"/>
                <w:kern w:val="0"/>
              </w:rPr>
            </w:pPr>
          </w:p>
        </w:tc>
        <w:tc>
          <w:tcPr>
            <w:tcW w:w="990" w:type="dxa"/>
            <w:tcBorders>
              <w:top w:val="single" w:sz="6" w:space="0" w:color="auto"/>
              <w:left w:val="nil"/>
              <w:bottom w:val="single" w:sz="6" w:space="0" w:color="auto"/>
              <w:right w:val="nil"/>
            </w:tcBorders>
          </w:tcPr>
          <w:p w14:paraId="2E3D6EFF" w14:textId="77777777" w:rsidR="00AB64EF" w:rsidRPr="00FA0953" w:rsidRDefault="00AB64EF" w:rsidP="00AB64EF">
            <w:pPr>
              <w:spacing w:line="480" w:lineRule="auto"/>
              <w:ind w:right="234"/>
              <w:jc w:val="center"/>
              <w:rPr>
                <w:rFonts w:ascii="Times New Roman" w:eastAsia="Times New Roman" w:hAnsi="Times New Roman" w:cs="Times New Roman"/>
                <w:kern w:val="0"/>
              </w:rPr>
            </w:pPr>
          </w:p>
        </w:tc>
        <w:tc>
          <w:tcPr>
            <w:tcW w:w="1530" w:type="dxa"/>
            <w:tcBorders>
              <w:top w:val="single" w:sz="6" w:space="0" w:color="auto"/>
              <w:left w:val="nil"/>
              <w:bottom w:val="single" w:sz="6" w:space="0" w:color="auto"/>
              <w:right w:val="nil"/>
            </w:tcBorders>
          </w:tcPr>
          <w:p w14:paraId="05D8025C"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Excellent</w:t>
            </w:r>
          </w:p>
        </w:tc>
      </w:tr>
      <w:tr w:rsidR="00AB64EF" w:rsidRPr="00FA0953" w14:paraId="2D5D4302" w14:textId="77777777" w:rsidTr="00AB64EF">
        <w:tc>
          <w:tcPr>
            <w:tcW w:w="1170" w:type="dxa"/>
            <w:tcBorders>
              <w:top w:val="single" w:sz="6" w:space="0" w:color="auto"/>
              <w:left w:val="nil"/>
              <w:bottom w:val="single" w:sz="6" w:space="0" w:color="auto"/>
              <w:right w:val="nil"/>
            </w:tcBorders>
          </w:tcPr>
          <w:p w14:paraId="6F1EF4AD"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19-24</w:t>
            </w:r>
          </w:p>
        </w:tc>
        <w:tc>
          <w:tcPr>
            <w:tcW w:w="810" w:type="dxa"/>
            <w:tcBorders>
              <w:top w:val="single" w:sz="6" w:space="0" w:color="auto"/>
              <w:left w:val="nil"/>
              <w:bottom w:val="single" w:sz="6" w:space="0" w:color="auto"/>
              <w:right w:val="nil"/>
            </w:tcBorders>
          </w:tcPr>
          <w:p w14:paraId="119D70D5" w14:textId="77777777" w:rsidR="00AB64EF" w:rsidRPr="00FA0953" w:rsidRDefault="00AB64EF" w:rsidP="00AB64EF">
            <w:pPr>
              <w:spacing w:line="480" w:lineRule="auto"/>
              <w:ind w:right="234"/>
              <w:jc w:val="center"/>
              <w:rPr>
                <w:rFonts w:ascii="Times New Roman" w:eastAsia="Times New Roman" w:hAnsi="Times New Roman" w:cs="Times New Roman"/>
                <w:kern w:val="0"/>
              </w:rPr>
            </w:pPr>
          </w:p>
        </w:tc>
        <w:tc>
          <w:tcPr>
            <w:tcW w:w="990" w:type="dxa"/>
            <w:tcBorders>
              <w:top w:val="single" w:sz="6" w:space="0" w:color="auto"/>
              <w:left w:val="nil"/>
              <w:bottom w:val="single" w:sz="6" w:space="0" w:color="auto"/>
              <w:right w:val="nil"/>
            </w:tcBorders>
          </w:tcPr>
          <w:p w14:paraId="5FFE6914" w14:textId="77777777" w:rsidR="00AB64EF" w:rsidRPr="00FA0953" w:rsidRDefault="00AB64EF" w:rsidP="00AB64EF">
            <w:pPr>
              <w:spacing w:line="480" w:lineRule="auto"/>
              <w:ind w:right="234"/>
              <w:jc w:val="center"/>
              <w:rPr>
                <w:rFonts w:ascii="Times New Roman" w:eastAsia="Times New Roman" w:hAnsi="Times New Roman" w:cs="Times New Roman"/>
                <w:kern w:val="0"/>
              </w:rPr>
            </w:pPr>
          </w:p>
        </w:tc>
        <w:tc>
          <w:tcPr>
            <w:tcW w:w="1512" w:type="dxa"/>
            <w:tcBorders>
              <w:top w:val="single" w:sz="6" w:space="0" w:color="auto"/>
              <w:left w:val="nil"/>
              <w:bottom w:val="single" w:sz="6" w:space="0" w:color="auto"/>
            </w:tcBorders>
          </w:tcPr>
          <w:p w14:paraId="3E120BF8"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Very good</w:t>
            </w:r>
          </w:p>
        </w:tc>
        <w:tc>
          <w:tcPr>
            <w:tcW w:w="810" w:type="dxa"/>
            <w:tcBorders>
              <w:top w:val="single" w:sz="6" w:space="0" w:color="auto"/>
              <w:bottom w:val="single" w:sz="6" w:space="0" w:color="auto"/>
              <w:right w:val="nil"/>
            </w:tcBorders>
          </w:tcPr>
          <w:p w14:paraId="5561EB8E" w14:textId="77777777" w:rsidR="00AB64EF" w:rsidRPr="00FA0953" w:rsidRDefault="00AB64EF" w:rsidP="00AB64EF">
            <w:pPr>
              <w:spacing w:line="480" w:lineRule="auto"/>
              <w:ind w:right="234"/>
              <w:jc w:val="center"/>
              <w:rPr>
                <w:rFonts w:ascii="Times New Roman" w:eastAsia="Times New Roman" w:hAnsi="Times New Roman" w:cs="Times New Roman"/>
                <w:kern w:val="0"/>
              </w:rPr>
            </w:pPr>
          </w:p>
        </w:tc>
        <w:tc>
          <w:tcPr>
            <w:tcW w:w="990" w:type="dxa"/>
            <w:tcBorders>
              <w:top w:val="single" w:sz="6" w:space="0" w:color="auto"/>
              <w:left w:val="nil"/>
              <w:bottom w:val="single" w:sz="6" w:space="0" w:color="auto"/>
              <w:right w:val="nil"/>
            </w:tcBorders>
          </w:tcPr>
          <w:p w14:paraId="289684D9" w14:textId="77777777" w:rsidR="00AB64EF" w:rsidRPr="00FA0953" w:rsidRDefault="00AB64EF" w:rsidP="00AB64EF">
            <w:pPr>
              <w:spacing w:line="480" w:lineRule="auto"/>
              <w:ind w:right="234"/>
              <w:jc w:val="center"/>
              <w:rPr>
                <w:rFonts w:ascii="Times New Roman" w:eastAsia="Times New Roman" w:hAnsi="Times New Roman" w:cs="Times New Roman"/>
                <w:kern w:val="0"/>
              </w:rPr>
            </w:pPr>
          </w:p>
        </w:tc>
        <w:tc>
          <w:tcPr>
            <w:tcW w:w="1530" w:type="dxa"/>
            <w:tcBorders>
              <w:top w:val="single" w:sz="6" w:space="0" w:color="auto"/>
              <w:left w:val="nil"/>
              <w:bottom w:val="single" w:sz="6" w:space="0" w:color="auto"/>
              <w:right w:val="nil"/>
            </w:tcBorders>
          </w:tcPr>
          <w:p w14:paraId="31733FA4"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Very good</w:t>
            </w:r>
          </w:p>
        </w:tc>
      </w:tr>
      <w:tr w:rsidR="00AB64EF" w:rsidRPr="00FA0953" w14:paraId="239F77CC" w14:textId="77777777" w:rsidTr="00AB64EF">
        <w:tc>
          <w:tcPr>
            <w:tcW w:w="1170" w:type="dxa"/>
            <w:tcBorders>
              <w:top w:val="single" w:sz="6" w:space="0" w:color="auto"/>
              <w:left w:val="nil"/>
              <w:bottom w:val="single" w:sz="6" w:space="0" w:color="auto"/>
              <w:right w:val="nil"/>
            </w:tcBorders>
          </w:tcPr>
          <w:p w14:paraId="6DE061B1"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13-18</w:t>
            </w:r>
          </w:p>
        </w:tc>
        <w:tc>
          <w:tcPr>
            <w:tcW w:w="810" w:type="dxa"/>
            <w:tcBorders>
              <w:top w:val="single" w:sz="6" w:space="0" w:color="auto"/>
              <w:left w:val="nil"/>
              <w:bottom w:val="single" w:sz="6" w:space="0" w:color="auto"/>
              <w:right w:val="nil"/>
            </w:tcBorders>
          </w:tcPr>
          <w:p w14:paraId="5410A575"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1</w:t>
            </w:r>
          </w:p>
        </w:tc>
        <w:tc>
          <w:tcPr>
            <w:tcW w:w="990" w:type="dxa"/>
            <w:tcBorders>
              <w:top w:val="single" w:sz="6" w:space="0" w:color="auto"/>
              <w:left w:val="nil"/>
              <w:bottom w:val="single" w:sz="6" w:space="0" w:color="auto"/>
              <w:right w:val="nil"/>
            </w:tcBorders>
          </w:tcPr>
          <w:p w14:paraId="1DA8518C"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7.14</w:t>
            </w:r>
          </w:p>
        </w:tc>
        <w:tc>
          <w:tcPr>
            <w:tcW w:w="1512" w:type="dxa"/>
            <w:tcBorders>
              <w:top w:val="single" w:sz="6" w:space="0" w:color="auto"/>
              <w:left w:val="nil"/>
              <w:bottom w:val="single" w:sz="6" w:space="0" w:color="auto"/>
            </w:tcBorders>
          </w:tcPr>
          <w:p w14:paraId="5D4D2BBE"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Good</w:t>
            </w:r>
          </w:p>
        </w:tc>
        <w:tc>
          <w:tcPr>
            <w:tcW w:w="810" w:type="dxa"/>
            <w:tcBorders>
              <w:top w:val="single" w:sz="6" w:space="0" w:color="auto"/>
              <w:bottom w:val="single" w:sz="6" w:space="0" w:color="auto"/>
              <w:right w:val="nil"/>
            </w:tcBorders>
          </w:tcPr>
          <w:p w14:paraId="74940797" w14:textId="77777777" w:rsidR="00AB64EF" w:rsidRPr="00FA0953" w:rsidRDefault="00AB64EF" w:rsidP="00AB64EF">
            <w:pPr>
              <w:spacing w:line="480" w:lineRule="auto"/>
              <w:ind w:right="234"/>
              <w:jc w:val="center"/>
              <w:rPr>
                <w:rFonts w:ascii="Times New Roman" w:eastAsia="Times New Roman" w:hAnsi="Times New Roman" w:cs="Times New Roman"/>
                <w:kern w:val="0"/>
              </w:rPr>
            </w:pPr>
          </w:p>
        </w:tc>
        <w:tc>
          <w:tcPr>
            <w:tcW w:w="990" w:type="dxa"/>
            <w:tcBorders>
              <w:top w:val="single" w:sz="6" w:space="0" w:color="auto"/>
              <w:left w:val="nil"/>
              <w:bottom w:val="single" w:sz="6" w:space="0" w:color="auto"/>
              <w:right w:val="nil"/>
            </w:tcBorders>
          </w:tcPr>
          <w:p w14:paraId="6DF41773" w14:textId="77777777" w:rsidR="00AB64EF" w:rsidRPr="00FA0953" w:rsidRDefault="00AB64EF" w:rsidP="00AB64EF">
            <w:pPr>
              <w:spacing w:line="480" w:lineRule="auto"/>
              <w:ind w:right="234"/>
              <w:jc w:val="center"/>
              <w:rPr>
                <w:rFonts w:ascii="Times New Roman" w:eastAsia="Times New Roman" w:hAnsi="Times New Roman" w:cs="Times New Roman"/>
                <w:kern w:val="0"/>
              </w:rPr>
            </w:pPr>
          </w:p>
        </w:tc>
        <w:tc>
          <w:tcPr>
            <w:tcW w:w="1530" w:type="dxa"/>
            <w:tcBorders>
              <w:top w:val="single" w:sz="6" w:space="0" w:color="auto"/>
              <w:left w:val="nil"/>
              <w:bottom w:val="single" w:sz="6" w:space="0" w:color="auto"/>
              <w:right w:val="nil"/>
            </w:tcBorders>
          </w:tcPr>
          <w:p w14:paraId="483490AF"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Good</w:t>
            </w:r>
          </w:p>
        </w:tc>
      </w:tr>
      <w:tr w:rsidR="00AB64EF" w:rsidRPr="00FA0953" w14:paraId="0B4A9D32" w14:textId="77777777" w:rsidTr="00AB64EF">
        <w:tc>
          <w:tcPr>
            <w:tcW w:w="1170" w:type="dxa"/>
            <w:tcBorders>
              <w:top w:val="single" w:sz="6" w:space="0" w:color="auto"/>
              <w:left w:val="nil"/>
              <w:bottom w:val="single" w:sz="6" w:space="0" w:color="auto"/>
              <w:right w:val="nil"/>
            </w:tcBorders>
          </w:tcPr>
          <w:p w14:paraId="37C38801"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7-12</w:t>
            </w:r>
          </w:p>
        </w:tc>
        <w:tc>
          <w:tcPr>
            <w:tcW w:w="810" w:type="dxa"/>
            <w:tcBorders>
              <w:top w:val="single" w:sz="6" w:space="0" w:color="auto"/>
              <w:left w:val="nil"/>
              <w:bottom w:val="single" w:sz="6" w:space="0" w:color="auto"/>
              <w:right w:val="nil"/>
            </w:tcBorders>
          </w:tcPr>
          <w:p w14:paraId="63455F5C"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12</w:t>
            </w:r>
          </w:p>
        </w:tc>
        <w:tc>
          <w:tcPr>
            <w:tcW w:w="990" w:type="dxa"/>
            <w:tcBorders>
              <w:top w:val="single" w:sz="6" w:space="0" w:color="auto"/>
              <w:left w:val="nil"/>
              <w:bottom w:val="single" w:sz="6" w:space="0" w:color="auto"/>
              <w:right w:val="nil"/>
            </w:tcBorders>
          </w:tcPr>
          <w:p w14:paraId="776833D2"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85.71</w:t>
            </w:r>
          </w:p>
        </w:tc>
        <w:tc>
          <w:tcPr>
            <w:tcW w:w="1512" w:type="dxa"/>
            <w:tcBorders>
              <w:top w:val="single" w:sz="6" w:space="0" w:color="auto"/>
              <w:left w:val="nil"/>
              <w:bottom w:val="single" w:sz="6" w:space="0" w:color="auto"/>
            </w:tcBorders>
          </w:tcPr>
          <w:p w14:paraId="7398F29A"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Fair</w:t>
            </w:r>
          </w:p>
        </w:tc>
        <w:tc>
          <w:tcPr>
            <w:tcW w:w="810" w:type="dxa"/>
            <w:tcBorders>
              <w:top w:val="single" w:sz="6" w:space="0" w:color="auto"/>
              <w:bottom w:val="single" w:sz="6" w:space="0" w:color="auto"/>
              <w:right w:val="nil"/>
            </w:tcBorders>
          </w:tcPr>
          <w:p w14:paraId="4D9FECC4"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13</w:t>
            </w:r>
          </w:p>
        </w:tc>
        <w:tc>
          <w:tcPr>
            <w:tcW w:w="990" w:type="dxa"/>
            <w:tcBorders>
              <w:top w:val="single" w:sz="6" w:space="0" w:color="auto"/>
              <w:left w:val="nil"/>
              <w:bottom w:val="single" w:sz="6" w:space="0" w:color="auto"/>
              <w:right w:val="nil"/>
            </w:tcBorders>
          </w:tcPr>
          <w:p w14:paraId="0B4AE78F"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92.86</w:t>
            </w:r>
          </w:p>
        </w:tc>
        <w:tc>
          <w:tcPr>
            <w:tcW w:w="1530" w:type="dxa"/>
            <w:tcBorders>
              <w:top w:val="single" w:sz="6" w:space="0" w:color="auto"/>
              <w:left w:val="nil"/>
              <w:bottom w:val="single" w:sz="6" w:space="0" w:color="auto"/>
              <w:right w:val="nil"/>
            </w:tcBorders>
          </w:tcPr>
          <w:p w14:paraId="53A20FF2"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Fair</w:t>
            </w:r>
          </w:p>
        </w:tc>
      </w:tr>
      <w:tr w:rsidR="00AB64EF" w:rsidRPr="00FA0953" w14:paraId="7068A83D" w14:textId="77777777" w:rsidTr="00AB64EF">
        <w:tc>
          <w:tcPr>
            <w:tcW w:w="1170" w:type="dxa"/>
            <w:tcBorders>
              <w:top w:val="single" w:sz="6" w:space="0" w:color="auto"/>
              <w:left w:val="nil"/>
              <w:bottom w:val="double" w:sz="6" w:space="0" w:color="auto"/>
              <w:right w:val="nil"/>
            </w:tcBorders>
          </w:tcPr>
          <w:p w14:paraId="487D3851"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1-6</w:t>
            </w:r>
          </w:p>
        </w:tc>
        <w:tc>
          <w:tcPr>
            <w:tcW w:w="810" w:type="dxa"/>
            <w:tcBorders>
              <w:top w:val="single" w:sz="6" w:space="0" w:color="auto"/>
              <w:left w:val="nil"/>
              <w:bottom w:val="double" w:sz="6" w:space="0" w:color="auto"/>
              <w:right w:val="nil"/>
            </w:tcBorders>
          </w:tcPr>
          <w:p w14:paraId="06E65B43"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1</w:t>
            </w:r>
          </w:p>
        </w:tc>
        <w:tc>
          <w:tcPr>
            <w:tcW w:w="990" w:type="dxa"/>
            <w:tcBorders>
              <w:top w:val="single" w:sz="6" w:space="0" w:color="auto"/>
              <w:left w:val="nil"/>
              <w:bottom w:val="double" w:sz="6" w:space="0" w:color="auto"/>
              <w:right w:val="nil"/>
            </w:tcBorders>
          </w:tcPr>
          <w:p w14:paraId="4E47D907"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7.14</w:t>
            </w:r>
          </w:p>
        </w:tc>
        <w:tc>
          <w:tcPr>
            <w:tcW w:w="1512" w:type="dxa"/>
            <w:tcBorders>
              <w:top w:val="single" w:sz="6" w:space="0" w:color="auto"/>
              <w:left w:val="nil"/>
              <w:bottom w:val="double" w:sz="6" w:space="0" w:color="auto"/>
            </w:tcBorders>
          </w:tcPr>
          <w:p w14:paraId="355DCA85"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Poor</w:t>
            </w:r>
          </w:p>
        </w:tc>
        <w:tc>
          <w:tcPr>
            <w:tcW w:w="810" w:type="dxa"/>
            <w:tcBorders>
              <w:top w:val="single" w:sz="6" w:space="0" w:color="auto"/>
              <w:bottom w:val="double" w:sz="6" w:space="0" w:color="auto"/>
              <w:right w:val="nil"/>
            </w:tcBorders>
          </w:tcPr>
          <w:p w14:paraId="6A2F1626"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1</w:t>
            </w:r>
          </w:p>
        </w:tc>
        <w:tc>
          <w:tcPr>
            <w:tcW w:w="990" w:type="dxa"/>
            <w:tcBorders>
              <w:top w:val="single" w:sz="6" w:space="0" w:color="auto"/>
              <w:left w:val="nil"/>
              <w:bottom w:val="double" w:sz="6" w:space="0" w:color="auto"/>
              <w:right w:val="nil"/>
            </w:tcBorders>
          </w:tcPr>
          <w:p w14:paraId="2B7194BC"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7.14</w:t>
            </w:r>
          </w:p>
        </w:tc>
        <w:tc>
          <w:tcPr>
            <w:tcW w:w="1530" w:type="dxa"/>
            <w:tcBorders>
              <w:top w:val="single" w:sz="6" w:space="0" w:color="auto"/>
              <w:left w:val="nil"/>
              <w:bottom w:val="double" w:sz="6" w:space="0" w:color="auto"/>
              <w:right w:val="nil"/>
            </w:tcBorders>
          </w:tcPr>
          <w:p w14:paraId="3F63BD79" w14:textId="77777777" w:rsidR="00AB64EF" w:rsidRPr="00FA0953" w:rsidRDefault="00AB64EF" w:rsidP="00AB64EF">
            <w:pPr>
              <w:spacing w:line="480" w:lineRule="auto"/>
              <w:ind w:right="234"/>
              <w:jc w:val="center"/>
              <w:rPr>
                <w:rFonts w:ascii="Times New Roman" w:eastAsia="Times New Roman" w:hAnsi="Times New Roman" w:cs="Times New Roman"/>
                <w:kern w:val="0"/>
              </w:rPr>
            </w:pPr>
            <w:r w:rsidRPr="00FA0953">
              <w:rPr>
                <w:rFonts w:ascii="Times New Roman" w:eastAsia="Times New Roman" w:hAnsi="Times New Roman" w:cs="Times New Roman"/>
                <w:kern w:val="0"/>
              </w:rPr>
              <w:t>Poor</w:t>
            </w:r>
          </w:p>
        </w:tc>
      </w:tr>
    </w:tbl>
    <w:p w14:paraId="2A088698" w14:textId="77777777" w:rsidR="003E0741" w:rsidRDefault="003E0741" w:rsidP="003E0741">
      <w:pPr>
        <w:spacing w:line="240" w:lineRule="auto"/>
        <w:jc w:val="both"/>
        <w:rPr>
          <w:rFonts w:ascii="Times New Roman" w:hAnsi="Times New Roman" w:cs="Times New Roman"/>
          <w:sz w:val="24"/>
          <w:szCs w:val="24"/>
        </w:rPr>
      </w:pPr>
    </w:p>
    <w:p w14:paraId="2D342A46" w14:textId="77777777" w:rsidR="003E0741" w:rsidRDefault="003E0741" w:rsidP="003E074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EC39123" w14:textId="77777777" w:rsidR="003E0741" w:rsidRDefault="003E0741" w:rsidP="003E0741">
      <w:pPr>
        <w:spacing w:line="240" w:lineRule="auto"/>
        <w:jc w:val="both"/>
        <w:rPr>
          <w:rFonts w:ascii="Times New Roman" w:hAnsi="Times New Roman" w:cs="Times New Roman"/>
          <w:sz w:val="24"/>
          <w:szCs w:val="24"/>
        </w:rPr>
      </w:pPr>
    </w:p>
    <w:p w14:paraId="79742388" w14:textId="77777777" w:rsidR="003E0741" w:rsidRDefault="003E0741" w:rsidP="003E0741">
      <w:pPr>
        <w:spacing w:line="240" w:lineRule="auto"/>
        <w:jc w:val="both"/>
        <w:rPr>
          <w:rFonts w:ascii="Times New Roman" w:hAnsi="Times New Roman" w:cs="Times New Roman"/>
          <w:sz w:val="24"/>
          <w:szCs w:val="24"/>
        </w:rPr>
      </w:pPr>
    </w:p>
    <w:p w14:paraId="1E4711BC" w14:textId="77777777" w:rsidR="003E0741" w:rsidRDefault="003E0741" w:rsidP="003E0741">
      <w:pPr>
        <w:spacing w:line="240" w:lineRule="auto"/>
        <w:jc w:val="both"/>
        <w:rPr>
          <w:rFonts w:ascii="Times New Roman" w:hAnsi="Times New Roman" w:cs="Times New Roman"/>
          <w:sz w:val="24"/>
          <w:szCs w:val="24"/>
        </w:rPr>
      </w:pPr>
    </w:p>
    <w:p w14:paraId="7B39A2C4" w14:textId="77777777" w:rsidR="003E0741" w:rsidRDefault="003E0741" w:rsidP="003E0741">
      <w:pPr>
        <w:spacing w:line="240" w:lineRule="auto"/>
        <w:jc w:val="both"/>
        <w:rPr>
          <w:rFonts w:ascii="Times New Roman" w:hAnsi="Times New Roman" w:cs="Times New Roman"/>
          <w:sz w:val="24"/>
          <w:szCs w:val="24"/>
        </w:rPr>
      </w:pPr>
    </w:p>
    <w:p w14:paraId="6B3F0183" w14:textId="77777777" w:rsidR="003E0741" w:rsidRDefault="003E0741" w:rsidP="003E0741">
      <w:pPr>
        <w:spacing w:line="240" w:lineRule="auto"/>
        <w:jc w:val="both"/>
        <w:rPr>
          <w:rFonts w:ascii="Times New Roman" w:hAnsi="Times New Roman" w:cs="Times New Roman"/>
          <w:sz w:val="24"/>
          <w:szCs w:val="24"/>
        </w:rPr>
      </w:pPr>
    </w:p>
    <w:p w14:paraId="4ECBDBA2" w14:textId="77777777" w:rsidR="003E0741" w:rsidRDefault="003E0741" w:rsidP="003E0741">
      <w:pPr>
        <w:spacing w:line="240" w:lineRule="auto"/>
        <w:jc w:val="both"/>
        <w:rPr>
          <w:rFonts w:ascii="Times New Roman" w:hAnsi="Times New Roman" w:cs="Times New Roman"/>
          <w:sz w:val="24"/>
          <w:szCs w:val="24"/>
        </w:rPr>
      </w:pPr>
    </w:p>
    <w:p w14:paraId="1AAB1391" w14:textId="77777777" w:rsidR="009D41E4" w:rsidRDefault="009D41E4" w:rsidP="003E0741">
      <w:pPr>
        <w:spacing w:line="240" w:lineRule="auto"/>
        <w:jc w:val="both"/>
        <w:rPr>
          <w:rFonts w:ascii="Times New Roman" w:hAnsi="Times New Roman" w:cs="Times New Roman"/>
          <w:b/>
          <w:bCs/>
          <w:sz w:val="24"/>
          <w:szCs w:val="24"/>
        </w:rPr>
      </w:pPr>
    </w:p>
    <w:p w14:paraId="007A85BA" w14:textId="77777777" w:rsidR="009D41E4" w:rsidRDefault="009D41E4" w:rsidP="003E0741">
      <w:pPr>
        <w:spacing w:line="240" w:lineRule="auto"/>
        <w:jc w:val="both"/>
        <w:rPr>
          <w:rFonts w:ascii="Times New Roman" w:hAnsi="Times New Roman" w:cs="Times New Roman"/>
          <w:b/>
          <w:bCs/>
          <w:sz w:val="24"/>
          <w:szCs w:val="24"/>
        </w:rPr>
      </w:pPr>
    </w:p>
    <w:p w14:paraId="62D9D0AE" w14:textId="77777777" w:rsidR="000B06F0" w:rsidRDefault="000B06F0" w:rsidP="003E0741">
      <w:pPr>
        <w:spacing w:line="240" w:lineRule="auto"/>
        <w:jc w:val="both"/>
        <w:rPr>
          <w:rFonts w:ascii="Times New Roman" w:hAnsi="Times New Roman" w:cs="Times New Roman"/>
          <w:b/>
          <w:bCs/>
          <w:sz w:val="24"/>
          <w:szCs w:val="24"/>
        </w:rPr>
      </w:pPr>
    </w:p>
    <w:p w14:paraId="5D9E6EBE" w14:textId="77777777" w:rsidR="000B06F0" w:rsidRDefault="000B06F0" w:rsidP="003E0741">
      <w:pPr>
        <w:spacing w:line="240" w:lineRule="auto"/>
        <w:jc w:val="both"/>
        <w:rPr>
          <w:rFonts w:ascii="Times New Roman" w:hAnsi="Times New Roman" w:cs="Times New Roman"/>
          <w:b/>
          <w:bCs/>
          <w:sz w:val="24"/>
          <w:szCs w:val="24"/>
        </w:rPr>
      </w:pPr>
    </w:p>
    <w:p w14:paraId="290214E9" w14:textId="77777777" w:rsidR="000B06F0" w:rsidRDefault="000B06F0" w:rsidP="003E0741">
      <w:pPr>
        <w:spacing w:line="240" w:lineRule="auto"/>
        <w:jc w:val="both"/>
        <w:rPr>
          <w:rFonts w:ascii="Times New Roman" w:hAnsi="Times New Roman" w:cs="Times New Roman"/>
          <w:b/>
          <w:bCs/>
          <w:sz w:val="24"/>
          <w:szCs w:val="24"/>
        </w:rPr>
      </w:pPr>
    </w:p>
    <w:p w14:paraId="394236DE" w14:textId="77777777" w:rsidR="000B06F0" w:rsidRDefault="000B06F0" w:rsidP="003E0741">
      <w:pPr>
        <w:spacing w:line="240" w:lineRule="auto"/>
        <w:jc w:val="both"/>
        <w:rPr>
          <w:rFonts w:ascii="Times New Roman" w:hAnsi="Times New Roman" w:cs="Times New Roman"/>
          <w:b/>
          <w:bCs/>
          <w:sz w:val="24"/>
          <w:szCs w:val="24"/>
        </w:rPr>
      </w:pPr>
    </w:p>
    <w:p w14:paraId="72C7893F" w14:textId="77777777" w:rsidR="000B06F0" w:rsidRDefault="000B06F0" w:rsidP="003E0741">
      <w:pPr>
        <w:spacing w:line="240" w:lineRule="auto"/>
        <w:jc w:val="both"/>
        <w:rPr>
          <w:rFonts w:ascii="Times New Roman" w:hAnsi="Times New Roman" w:cs="Times New Roman"/>
          <w:b/>
          <w:bCs/>
          <w:sz w:val="24"/>
          <w:szCs w:val="24"/>
        </w:rPr>
      </w:pPr>
    </w:p>
    <w:p w14:paraId="69E653A4" w14:textId="301A6AA8" w:rsidR="003E0741" w:rsidRPr="003E0741" w:rsidRDefault="003E0741" w:rsidP="003E0741">
      <w:pPr>
        <w:spacing w:line="240" w:lineRule="auto"/>
        <w:jc w:val="both"/>
        <w:rPr>
          <w:rFonts w:ascii="Times New Roman" w:hAnsi="Times New Roman" w:cs="Times New Roman"/>
          <w:b/>
          <w:bCs/>
          <w:sz w:val="24"/>
          <w:szCs w:val="24"/>
        </w:rPr>
      </w:pPr>
      <w:r w:rsidRPr="003E0741">
        <w:rPr>
          <w:rFonts w:ascii="Times New Roman" w:hAnsi="Times New Roman" w:cs="Times New Roman"/>
          <w:b/>
          <w:bCs/>
          <w:sz w:val="24"/>
          <w:szCs w:val="24"/>
        </w:rPr>
        <w:lastRenderedPageBreak/>
        <w:t>4.3 Post-test Score of the Respondents in Control and Experimental Group</w:t>
      </w:r>
    </w:p>
    <w:p w14:paraId="5107FAA8" w14:textId="01F5E637" w:rsidR="003E0741" w:rsidRPr="003E0741" w:rsidRDefault="003E0741" w:rsidP="00A64964">
      <w:pPr>
        <w:spacing w:after="0" w:line="240" w:lineRule="auto"/>
        <w:ind w:firstLine="720"/>
        <w:jc w:val="both"/>
        <w:rPr>
          <w:rFonts w:ascii="Times New Roman" w:hAnsi="Times New Roman" w:cs="Times New Roman"/>
          <w:sz w:val="24"/>
          <w:szCs w:val="24"/>
        </w:rPr>
      </w:pPr>
      <w:r w:rsidRPr="003E0741">
        <w:rPr>
          <w:rFonts w:ascii="Times New Roman" w:hAnsi="Times New Roman" w:cs="Times New Roman"/>
          <w:sz w:val="24"/>
          <w:szCs w:val="24"/>
        </w:rPr>
        <w:t>Table 4.</w:t>
      </w:r>
      <w:r w:rsidR="00E34A26">
        <w:rPr>
          <w:rFonts w:ascii="Times New Roman" w:hAnsi="Times New Roman" w:cs="Times New Roman"/>
          <w:sz w:val="24"/>
          <w:szCs w:val="24"/>
        </w:rPr>
        <w:t>3</w:t>
      </w:r>
      <w:r w:rsidRPr="003E0741">
        <w:rPr>
          <w:rFonts w:ascii="Times New Roman" w:hAnsi="Times New Roman" w:cs="Times New Roman"/>
          <w:sz w:val="24"/>
          <w:szCs w:val="24"/>
        </w:rPr>
        <w:t>. illustrates the frequency and percentage distribution of post-test scores of the respondents in both the control and experimental groups. In the control group, the majority of respondents (50.00%) scored within the 19–24 range, which is verbally interpreted as Very Good. Additionally, four (4) respondents or 28.57% scored within the 13–18 range, verbally interpreted as Good, while three (3) respondents or 21.34% fell within the 7–12 range, which is verbally interpreted as Fair.</w:t>
      </w:r>
      <w:r>
        <w:rPr>
          <w:rFonts w:ascii="Times New Roman" w:hAnsi="Times New Roman" w:cs="Times New Roman"/>
          <w:sz w:val="24"/>
          <w:szCs w:val="24"/>
        </w:rPr>
        <w:t xml:space="preserve"> </w:t>
      </w:r>
      <w:r w:rsidRPr="003E0741">
        <w:rPr>
          <w:rFonts w:ascii="Times New Roman" w:hAnsi="Times New Roman" w:cs="Times New Roman"/>
          <w:sz w:val="24"/>
          <w:szCs w:val="24"/>
        </w:rPr>
        <w:t>Similarly, in the experimental group, most of the respondents (64.29%) scored within the 19–24 range, also verbally interpreted as Very Good. Moreover, four (4) respondents or 28.57% obtained scores within the 25–30 range, which is verbally interpreted as Excellent, while one (1) respondent or 7.14% scored within the 13–18 range, verbally interpreted as Good.</w:t>
      </w:r>
    </w:p>
    <w:p w14:paraId="3A27EEAD" w14:textId="78FBDF95" w:rsidR="003E0741" w:rsidRPr="003E0741" w:rsidRDefault="003E0741" w:rsidP="00A64964">
      <w:pPr>
        <w:spacing w:after="0" w:line="240" w:lineRule="auto"/>
        <w:ind w:firstLine="720"/>
        <w:jc w:val="both"/>
        <w:rPr>
          <w:rFonts w:ascii="Times New Roman" w:hAnsi="Times New Roman" w:cs="Times New Roman"/>
          <w:sz w:val="24"/>
          <w:szCs w:val="24"/>
        </w:rPr>
      </w:pPr>
      <w:r w:rsidRPr="003E0741">
        <w:rPr>
          <w:rFonts w:ascii="Times New Roman" w:hAnsi="Times New Roman" w:cs="Times New Roman"/>
          <w:sz w:val="24"/>
          <w:szCs w:val="24"/>
        </w:rPr>
        <w:t>These</w:t>
      </w:r>
      <w:r>
        <w:rPr>
          <w:rFonts w:ascii="Times New Roman" w:hAnsi="Times New Roman" w:cs="Times New Roman"/>
          <w:sz w:val="24"/>
          <w:szCs w:val="24"/>
        </w:rPr>
        <w:t xml:space="preserve"> </w:t>
      </w:r>
      <w:r w:rsidRPr="003E0741">
        <w:rPr>
          <w:rFonts w:ascii="Times New Roman" w:hAnsi="Times New Roman" w:cs="Times New Roman"/>
          <w:sz w:val="24"/>
          <w:szCs w:val="24"/>
        </w:rPr>
        <w:t>result</w:t>
      </w:r>
      <w:r>
        <w:rPr>
          <w:rFonts w:ascii="Times New Roman" w:hAnsi="Times New Roman" w:cs="Times New Roman"/>
          <w:sz w:val="24"/>
          <w:szCs w:val="24"/>
        </w:rPr>
        <w:t>s</w:t>
      </w:r>
      <w:r w:rsidRPr="003E0741">
        <w:rPr>
          <w:rFonts w:ascii="Times New Roman" w:hAnsi="Times New Roman" w:cs="Times New Roman"/>
          <w:sz w:val="24"/>
          <w:szCs w:val="24"/>
        </w:rPr>
        <w:t xml:space="preserve"> indicates that students in both groups demonstrated improvement in their post-test scores, suggesting that Music-Integrated Instruction had a positive impact on the experimental group's comprehension and performance in Mathematics. </w:t>
      </w:r>
    </w:p>
    <w:p w14:paraId="0C233B64" w14:textId="6BE91FAF" w:rsidR="003E0741" w:rsidRPr="000B06F0" w:rsidRDefault="003E0741" w:rsidP="000B06F0">
      <w:pPr>
        <w:spacing w:after="0" w:line="240" w:lineRule="auto"/>
        <w:ind w:firstLine="720"/>
        <w:jc w:val="both"/>
        <w:rPr>
          <w:rFonts w:ascii="Times New Roman" w:hAnsi="Times New Roman" w:cs="Times New Roman"/>
          <w:sz w:val="24"/>
          <w:szCs w:val="24"/>
        </w:rPr>
      </w:pPr>
      <w:r w:rsidRPr="003E0741">
        <w:rPr>
          <w:rFonts w:ascii="Times New Roman" w:hAnsi="Times New Roman" w:cs="Times New Roman"/>
          <w:sz w:val="24"/>
          <w:szCs w:val="24"/>
        </w:rPr>
        <w:t xml:space="preserve">Moreover, as mentioned by Dr. Akın (2023), integrating Music into Mathematics lessons can enhance students’ engagement, understanding, and problem-solving abilities. Her meta-analysis of 55 studies involving nearly 78,000 students worldwide found that Music-Math integrated interventions significantly improve mathematical skills, particularly in arithmetic, by fostering connections between musical patterns and mathematical concepts. </w:t>
      </w:r>
    </w:p>
    <w:p w14:paraId="34C734BF" w14:textId="77777777" w:rsidR="00A64964" w:rsidRDefault="00A64964" w:rsidP="003E0741">
      <w:pPr>
        <w:spacing w:before="26" w:after="26" w:line="240" w:lineRule="auto"/>
        <w:ind w:right="234" w:firstLine="720"/>
        <w:jc w:val="both"/>
        <w:rPr>
          <w:rFonts w:ascii="Times New Roman" w:hAnsi="Times New Roman" w:cs="Times New Roman"/>
          <w:b/>
          <w:sz w:val="24"/>
          <w:szCs w:val="24"/>
        </w:rPr>
      </w:pPr>
    </w:p>
    <w:p w14:paraId="6DAEF9D6" w14:textId="77777777" w:rsidR="00A64964" w:rsidRDefault="00A64964" w:rsidP="003E0741">
      <w:pPr>
        <w:spacing w:before="26" w:after="26" w:line="240" w:lineRule="auto"/>
        <w:ind w:right="234" w:firstLine="720"/>
        <w:jc w:val="both"/>
        <w:rPr>
          <w:rFonts w:ascii="Times New Roman" w:hAnsi="Times New Roman" w:cs="Times New Roman"/>
          <w:b/>
          <w:sz w:val="24"/>
          <w:szCs w:val="24"/>
        </w:rPr>
      </w:pPr>
    </w:p>
    <w:p w14:paraId="20584BE8" w14:textId="3AE6EE1F" w:rsidR="003E0741" w:rsidRDefault="003E0741" w:rsidP="003E0741">
      <w:pPr>
        <w:spacing w:before="26" w:after="26" w:line="240" w:lineRule="auto"/>
        <w:ind w:right="234" w:firstLine="720"/>
        <w:jc w:val="both"/>
        <w:rPr>
          <w:rFonts w:ascii="Times New Roman" w:hAnsi="Times New Roman" w:cs="Times New Roman"/>
          <w:sz w:val="24"/>
          <w:szCs w:val="24"/>
        </w:rPr>
      </w:pPr>
      <w:r>
        <w:rPr>
          <w:rFonts w:ascii="Times New Roman" w:hAnsi="Times New Roman" w:cs="Times New Roman"/>
          <w:b/>
          <w:sz w:val="24"/>
          <w:szCs w:val="24"/>
        </w:rPr>
        <w:t>Table 4.</w:t>
      </w:r>
      <w:r w:rsidR="00E34A26">
        <w:rPr>
          <w:rFonts w:ascii="Times New Roman" w:hAnsi="Times New Roman" w:cs="Times New Roman"/>
          <w:b/>
          <w:sz w:val="24"/>
          <w:szCs w:val="24"/>
        </w:rPr>
        <w:t>3</w:t>
      </w:r>
      <w:r>
        <w:rPr>
          <w:rFonts w:ascii="Times New Roman" w:hAnsi="Times New Roman" w:cs="Times New Roman"/>
          <w:b/>
          <w:sz w:val="24"/>
          <w:szCs w:val="24"/>
        </w:rPr>
        <w:t>.</w:t>
      </w:r>
      <w:r w:rsidRPr="00785D5F">
        <w:rPr>
          <w:rFonts w:ascii="Times New Roman" w:hAnsi="Times New Roman" w:cs="Times New Roman"/>
          <w:sz w:val="24"/>
          <w:szCs w:val="24"/>
        </w:rPr>
        <w:t xml:space="preserve"> </w:t>
      </w:r>
      <w:r>
        <w:rPr>
          <w:rFonts w:ascii="Times New Roman" w:hAnsi="Times New Roman" w:cs="Times New Roman"/>
          <w:sz w:val="24"/>
          <w:szCs w:val="24"/>
        </w:rPr>
        <w:t xml:space="preserve">Frequency and Percentage Distribution of </w:t>
      </w:r>
      <w:r w:rsidRPr="00785D5F">
        <w:rPr>
          <w:rFonts w:ascii="Times New Roman" w:hAnsi="Times New Roman" w:cs="Times New Roman"/>
          <w:sz w:val="24"/>
          <w:szCs w:val="24"/>
        </w:rPr>
        <w:t xml:space="preserve">Post-test Score of the Respondents </w:t>
      </w:r>
    </w:p>
    <w:p w14:paraId="4C25B3D4" w14:textId="143F5E10" w:rsidR="003E0741" w:rsidRDefault="003E0741" w:rsidP="003E0741">
      <w:pPr>
        <w:spacing w:before="26" w:after="26" w:line="240" w:lineRule="auto"/>
        <w:ind w:right="234"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785D5F">
        <w:rPr>
          <w:rFonts w:ascii="Times New Roman" w:hAnsi="Times New Roman" w:cs="Times New Roman"/>
          <w:sz w:val="24"/>
          <w:szCs w:val="24"/>
        </w:rPr>
        <w:t>in Control and Experimental Group</w:t>
      </w:r>
      <w:r>
        <w:rPr>
          <w:rFonts w:ascii="Times New Roman" w:hAnsi="Times New Roman" w:cs="Times New Roman"/>
          <w:sz w:val="24"/>
          <w:szCs w:val="24"/>
        </w:rPr>
        <w:t xml:space="preserve"> (n=28).</w:t>
      </w:r>
    </w:p>
    <w:tbl>
      <w:tblPr>
        <w:tblStyle w:val="TableGrid3"/>
        <w:tblpPr w:leftFromText="180" w:rightFromText="180" w:vertAnchor="text" w:horzAnchor="margin" w:tblpXSpec="center" w:tblpY="5"/>
        <w:tblW w:w="7920" w:type="dxa"/>
        <w:tblLayout w:type="fixed"/>
        <w:tblLook w:val="04A0" w:firstRow="1" w:lastRow="0" w:firstColumn="1" w:lastColumn="0" w:noHBand="0" w:noVBand="1"/>
      </w:tblPr>
      <w:tblGrid>
        <w:gridCol w:w="1260"/>
        <w:gridCol w:w="810"/>
        <w:gridCol w:w="990"/>
        <w:gridCol w:w="1602"/>
        <w:gridCol w:w="810"/>
        <w:gridCol w:w="990"/>
        <w:gridCol w:w="1458"/>
      </w:tblGrid>
      <w:tr w:rsidR="003E0741" w:rsidRPr="003E0741" w14:paraId="171F990F" w14:textId="77777777" w:rsidTr="00215724">
        <w:tc>
          <w:tcPr>
            <w:tcW w:w="4662" w:type="dxa"/>
            <w:gridSpan w:val="4"/>
            <w:tcBorders>
              <w:top w:val="double" w:sz="6" w:space="0" w:color="auto"/>
              <w:left w:val="nil"/>
              <w:bottom w:val="single" w:sz="6" w:space="0" w:color="auto"/>
            </w:tcBorders>
          </w:tcPr>
          <w:p w14:paraId="5CEC24CC" w14:textId="77777777" w:rsidR="003E0741" w:rsidRPr="003E0741" w:rsidRDefault="003E0741" w:rsidP="00215724">
            <w:pPr>
              <w:spacing w:line="24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Control Group</w:t>
            </w:r>
          </w:p>
        </w:tc>
        <w:tc>
          <w:tcPr>
            <w:tcW w:w="3258" w:type="dxa"/>
            <w:gridSpan w:val="3"/>
            <w:tcBorders>
              <w:top w:val="double" w:sz="6" w:space="0" w:color="auto"/>
              <w:bottom w:val="single" w:sz="6" w:space="0" w:color="auto"/>
              <w:right w:val="nil"/>
            </w:tcBorders>
          </w:tcPr>
          <w:p w14:paraId="6A4C95E6" w14:textId="77777777" w:rsidR="003E0741" w:rsidRPr="003E0741" w:rsidRDefault="003E0741" w:rsidP="00215724">
            <w:pPr>
              <w:spacing w:line="24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Experimental Group</w:t>
            </w:r>
          </w:p>
        </w:tc>
      </w:tr>
      <w:tr w:rsidR="003E0741" w:rsidRPr="003E0741" w14:paraId="454E64B2" w14:textId="77777777" w:rsidTr="00215724">
        <w:trPr>
          <w:trHeight w:val="854"/>
        </w:trPr>
        <w:tc>
          <w:tcPr>
            <w:tcW w:w="1260" w:type="dxa"/>
            <w:tcBorders>
              <w:top w:val="single" w:sz="6" w:space="0" w:color="auto"/>
              <w:left w:val="nil"/>
              <w:bottom w:val="single" w:sz="6" w:space="0" w:color="auto"/>
              <w:right w:val="nil"/>
            </w:tcBorders>
          </w:tcPr>
          <w:p w14:paraId="323F9BA2"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p>
          <w:p w14:paraId="4D425EC2"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r w:rsidRPr="003E0741">
              <w:rPr>
                <w:rFonts w:ascii="Times New Roman" w:eastAsia="Calibri" w:hAnsi="Times New Roman" w:cs="Times New Roman"/>
                <w:kern w:val="0"/>
                <w:sz w:val="24"/>
              </w:rPr>
              <w:t>Scores</w:t>
            </w:r>
          </w:p>
        </w:tc>
        <w:tc>
          <w:tcPr>
            <w:tcW w:w="810" w:type="dxa"/>
            <w:tcBorders>
              <w:top w:val="single" w:sz="6" w:space="0" w:color="auto"/>
              <w:left w:val="nil"/>
              <w:bottom w:val="single" w:sz="6" w:space="0" w:color="auto"/>
              <w:right w:val="nil"/>
            </w:tcBorders>
          </w:tcPr>
          <w:p w14:paraId="063A0834"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p>
          <w:p w14:paraId="7B59708E" w14:textId="5E99C949" w:rsidR="003E0741" w:rsidRPr="003E0741" w:rsidRDefault="003E0741" w:rsidP="00215724">
            <w:pPr>
              <w:spacing w:line="240" w:lineRule="auto"/>
              <w:ind w:right="234"/>
              <w:jc w:val="center"/>
              <w:rPr>
                <w:rFonts w:ascii="Times New Roman" w:eastAsia="Calibri" w:hAnsi="Times New Roman" w:cs="Times New Roman"/>
                <w:kern w:val="0"/>
                <w:sz w:val="24"/>
              </w:rPr>
            </w:pPr>
            <w:r w:rsidRPr="003E0741">
              <w:rPr>
                <w:rFonts w:ascii="Times New Roman" w:eastAsia="Calibri" w:hAnsi="Times New Roman" w:cs="Times New Roman"/>
                <w:kern w:val="0"/>
                <w:sz w:val="24"/>
              </w:rPr>
              <w:t>f</w:t>
            </w:r>
          </w:p>
        </w:tc>
        <w:tc>
          <w:tcPr>
            <w:tcW w:w="990" w:type="dxa"/>
            <w:tcBorders>
              <w:top w:val="single" w:sz="6" w:space="0" w:color="auto"/>
              <w:left w:val="nil"/>
              <w:bottom w:val="single" w:sz="6" w:space="0" w:color="auto"/>
              <w:right w:val="nil"/>
            </w:tcBorders>
          </w:tcPr>
          <w:p w14:paraId="313FE43C"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p>
          <w:p w14:paraId="7B2393F5"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r w:rsidRPr="003E0741">
              <w:rPr>
                <w:rFonts w:ascii="Times New Roman" w:eastAsia="Calibri" w:hAnsi="Times New Roman" w:cs="Times New Roman"/>
                <w:kern w:val="0"/>
                <w:sz w:val="24"/>
              </w:rPr>
              <w:t>%</w:t>
            </w:r>
          </w:p>
        </w:tc>
        <w:tc>
          <w:tcPr>
            <w:tcW w:w="1602" w:type="dxa"/>
            <w:tcBorders>
              <w:top w:val="single" w:sz="6" w:space="0" w:color="auto"/>
              <w:left w:val="nil"/>
              <w:bottom w:val="single" w:sz="6" w:space="0" w:color="auto"/>
            </w:tcBorders>
          </w:tcPr>
          <w:p w14:paraId="1EF006C2"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p>
          <w:p w14:paraId="793FF18D"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r w:rsidRPr="003E0741">
              <w:rPr>
                <w:rFonts w:ascii="Times New Roman" w:eastAsia="Calibri" w:hAnsi="Times New Roman" w:cs="Times New Roman"/>
                <w:kern w:val="0"/>
                <w:sz w:val="24"/>
              </w:rPr>
              <w:t>VI</w:t>
            </w:r>
          </w:p>
        </w:tc>
        <w:tc>
          <w:tcPr>
            <w:tcW w:w="810" w:type="dxa"/>
            <w:tcBorders>
              <w:top w:val="single" w:sz="6" w:space="0" w:color="auto"/>
              <w:bottom w:val="single" w:sz="6" w:space="0" w:color="auto"/>
              <w:right w:val="nil"/>
            </w:tcBorders>
          </w:tcPr>
          <w:p w14:paraId="2522AD74"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p>
          <w:p w14:paraId="3E64FF1A"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r w:rsidRPr="003E0741">
              <w:rPr>
                <w:rFonts w:ascii="Times New Roman" w:eastAsia="Calibri" w:hAnsi="Times New Roman" w:cs="Times New Roman"/>
                <w:kern w:val="0"/>
                <w:sz w:val="24"/>
              </w:rPr>
              <w:t>f</w:t>
            </w:r>
          </w:p>
        </w:tc>
        <w:tc>
          <w:tcPr>
            <w:tcW w:w="990" w:type="dxa"/>
            <w:tcBorders>
              <w:top w:val="single" w:sz="6" w:space="0" w:color="auto"/>
              <w:left w:val="nil"/>
              <w:bottom w:val="single" w:sz="6" w:space="0" w:color="auto"/>
              <w:right w:val="nil"/>
            </w:tcBorders>
          </w:tcPr>
          <w:p w14:paraId="439B589E"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p>
          <w:p w14:paraId="39A38CE0"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r w:rsidRPr="003E0741">
              <w:rPr>
                <w:rFonts w:ascii="Times New Roman" w:eastAsia="Calibri" w:hAnsi="Times New Roman" w:cs="Times New Roman"/>
                <w:kern w:val="0"/>
                <w:sz w:val="24"/>
              </w:rPr>
              <w:t>%</w:t>
            </w:r>
          </w:p>
        </w:tc>
        <w:tc>
          <w:tcPr>
            <w:tcW w:w="1458" w:type="dxa"/>
            <w:tcBorders>
              <w:top w:val="single" w:sz="6" w:space="0" w:color="auto"/>
              <w:left w:val="nil"/>
              <w:bottom w:val="single" w:sz="6" w:space="0" w:color="auto"/>
              <w:right w:val="nil"/>
            </w:tcBorders>
          </w:tcPr>
          <w:p w14:paraId="5260414B"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p>
          <w:p w14:paraId="51B5C4DE" w14:textId="77777777" w:rsidR="003E0741" w:rsidRPr="003E0741" w:rsidRDefault="003E0741" w:rsidP="00215724">
            <w:pPr>
              <w:spacing w:line="240" w:lineRule="auto"/>
              <w:ind w:right="234"/>
              <w:jc w:val="center"/>
              <w:rPr>
                <w:rFonts w:ascii="Times New Roman" w:eastAsia="Calibri" w:hAnsi="Times New Roman" w:cs="Times New Roman"/>
                <w:kern w:val="0"/>
                <w:sz w:val="24"/>
              </w:rPr>
            </w:pPr>
            <w:r w:rsidRPr="003E0741">
              <w:rPr>
                <w:rFonts w:ascii="Times New Roman" w:eastAsia="Calibri" w:hAnsi="Times New Roman" w:cs="Times New Roman"/>
                <w:kern w:val="0"/>
                <w:sz w:val="24"/>
              </w:rPr>
              <w:t>VI</w:t>
            </w:r>
          </w:p>
        </w:tc>
      </w:tr>
      <w:tr w:rsidR="003E0741" w:rsidRPr="003E0741" w14:paraId="0A893DEA" w14:textId="77777777" w:rsidTr="00215724">
        <w:tc>
          <w:tcPr>
            <w:tcW w:w="1260" w:type="dxa"/>
            <w:tcBorders>
              <w:top w:val="single" w:sz="6" w:space="0" w:color="auto"/>
              <w:left w:val="nil"/>
              <w:bottom w:val="nil"/>
              <w:right w:val="nil"/>
            </w:tcBorders>
          </w:tcPr>
          <w:p w14:paraId="6B79D7A7"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25-30</w:t>
            </w:r>
          </w:p>
        </w:tc>
        <w:tc>
          <w:tcPr>
            <w:tcW w:w="810" w:type="dxa"/>
            <w:tcBorders>
              <w:top w:val="single" w:sz="6" w:space="0" w:color="auto"/>
              <w:left w:val="nil"/>
              <w:bottom w:val="nil"/>
              <w:right w:val="nil"/>
            </w:tcBorders>
          </w:tcPr>
          <w:p w14:paraId="3C531D73"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p>
        </w:tc>
        <w:tc>
          <w:tcPr>
            <w:tcW w:w="990" w:type="dxa"/>
            <w:tcBorders>
              <w:top w:val="single" w:sz="6" w:space="0" w:color="auto"/>
              <w:left w:val="nil"/>
              <w:bottom w:val="nil"/>
              <w:right w:val="nil"/>
            </w:tcBorders>
          </w:tcPr>
          <w:p w14:paraId="5B9DA150"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p>
        </w:tc>
        <w:tc>
          <w:tcPr>
            <w:tcW w:w="1602" w:type="dxa"/>
            <w:tcBorders>
              <w:top w:val="single" w:sz="6" w:space="0" w:color="auto"/>
              <w:left w:val="nil"/>
              <w:bottom w:val="nil"/>
            </w:tcBorders>
          </w:tcPr>
          <w:p w14:paraId="4942606A"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Excellent</w:t>
            </w:r>
          </w:p>
        </w:tc>
        <w:tc>
          <w:tcPr>
            <w:tcW w:w="810" w:type="dxa"/>
            <w:tcBorders>
              <w:top w:val="single" w:sz="6" w:space="0" w:color="auto"/>
              <w:bottom w:val="nil"/>
              <w:right w:val="nil"/>
            </w:tcBorders>
          </w:tcPr>
          <w:p w14:paraId="1279A0FF"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4</w:t>
            </w:r>
          </w:p>
        </w:tc>
        <w:tc>
          <w:tcPr>
            <w:tcW w:w="990" w:type="dxa"/>
            <w:tcBorders>
              <w:top w:val="single" w:sz="6" w:space="0" w:color="auto"/>
              <w:left w:val="nil"/>
              <w:bottom w:val="nil"/>
              <w:right w:val="nil"/>
            </w:tcBorders>
          </w:tcPr>
          <w:p w14:paraId="5F220BFC"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28.57</w:t>
            </w:r>
          </w:p>
        </w:tc>
        <w:tc>
          <w:tcPr>
            <w:tcW w:w="1458" w:type="dxa"/>
            <w:tcBorders>
              <w:top w:val="single" w:sz="6" w:space="0" w:color="auto"/>
              <w:left w:val="nil"/>
              <w:bottom w:val="nil"/>
              <w:right w:val="nil"/>
            </w:tcBorders>
          </w:tcPr>
          <w:p w14:paraId="3832A8FA"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Excellent</w:t>
            </w:r>
          </w:p>
        </w:tc>
      </w:tr>
      <w:tr w:rsidR="003E0741" w:rsidRPr="003E0741" w14:paraId="4327E512" w14:textId="77777777" w:rsidTr="00215724">
        <w:tc>
          <w:tcPr>
            <w:tcW w:w="1260" w:type="dxa"/>
            <w:tcBorders>
              <w:top w:val="nil"/>
              <w:left w:val="nil"/>
              <w:bottom w:val="nil"/>
              <w:right w:val="nil"/>
            </w:tcBorders>
          </w:tcPr>
          <w:p w14:paraId="4E18EB3C"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19-24</w:t>
            </w:r>
          </w:p>
        </w:tc>
        <w:tc>
          <w:tcPr>
            <w:tcW w:w="810" w:type="dxa"/>
            <w:tcBorders>
              <w:top w:val="nil"/>
              <w:left w:val="nil"/>
              <w:bottom w:val="nil"/>
              <w:right w:val="nil"/>
            </w:tcBorders>
          </w:tcPr>
          <w:p w14:paraId="2D05439A"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7</w:t>
            </w:r>
          </w:p>
        </w:tc>
        <w:tc>
          <w:tcPr>
            <w:tcW w:w="990" w:type="dxa"/>
            <w:tcBorders>
              <w:top w:val="nil"/>
              <w:left w:val="nil"/>
              <w:bottom w:val="nil"/>
              <w:right w:val="nil"/>
            </w:tcBorders>
          </w:tcPr>
          <w:p w14:paraId="3DFF2684"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50.00</w:t>
            </w:r>
          </w:p>
        </w:tc>
        <w:tc>
          <w:tcPr>
            <w:tcW w:w="1602" w:type="dxa"/>
            <w:tcBorders>
              <w:top w:val="nil"/>
              <w:left w:val="nil"/>
              <w:bottom w:val="nil"/>
            </w:tcBorders>
          </w:tcPr>
          <w:p w14:paraId="007558F1"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Very good</w:t>
            </w:r>
          </w:p>
        </w:tc>
        <w:tc>
          <w:tcPr>
            <w:tcW w:w="810" w:type="dxa"/>
            <w:tcBorders>
              <w:top w:val="nil"/>
              <w:bottom w:val="nil"/>
              <w:right w:val="nil"/>
            </w:tcBorders>
          </w:tcPr>
          <w:p w14:paraId="30E1D7DD"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9</w:t>
            </w:r>
          </w:p>
        </w:tc>
        <w:tc>
          <w:tcPr>
            <w:tcW w:w="990" w:type="dxa"/>
            <w:tcBorders>
              <w:top w:val="nil"/>
              <w:left w:val="nil"/>
              <w:bottom w:val="nil"/>
              <w:right w:val="nil"/>
            </w:tcBorders>
          </w:tcPr>
          <w:p w14:paraId="6323099C"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64.29</w:t>
            </w:r>
          </w:p>
        </w:tc>
        <w:tc>
          <w:tcPr>
            <w:tcW w:w="1458" w:type="dxa"/>
            <w:tcBorders>
              <w:top w:val="nil"/>
              <w:left w:val="nil"/>
              <w:bottom w:val="nil"/>
              <w:right w:val="nil"/>
            </w:tcBorders>
          </w:tcPr>
          <w:p w14:paraId="52348039"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Very good</w:t>
            </w:r>
          </w:p>
        </w:tc>
      </w:tr>
      <w:tr w:rsidR="003E0741" w:rsidRPr="003E0741" w14:paraId="662DE90E" w14:textId="77777777" w:rsidTr="00215724">
        <w:tc>
          <w:tcPr>
            <w:tcW w:w="1260" w:type="dxa"/>
            <w:tcBorders>
              <w:top w:val="nil"/>
              <w:left w:val="nil"/>
              <w:bottom w:val="nil"/>
              <w:right w:val="nil"/>
            </w:tcBorders>
          </w:tcPr>
          <w:p w14:paraId="6C8BBFA0"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13-18</w:t>
            </w:r>
          </w:p>
        </w:tc>
        <w:tc>
          <w:tcPr>
            <w:tcW w:w="810" w:type="dxa"/>
            <w:tcBorders>
              <w:top w:val="nil"/>
              <w:left w:val="nil"/>
              <w:bottom w:val="nil"/>
              <w:right w:val="nil"/>
            </w:tcBorders>
          </w:tcPr>
          <w:p w14:paraId="48434008"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4</w:t>
            </w:r>
          </w:p>
        </w:tc>
        <w:tc>
          <w:tcPr>
            <w:tcW w:w="990" w:type="dxa"/>
            <w:tcBorders>
              <w:top w:val="nil"/>
              <w:left w:val="nil"/>
              <w:bottom w:val="nil"/>
              <w:right w:val="nil"/>
            </w:tcBorders>
          </w:tcPr>
          <w:p w14:paraId="56FC43C1"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28.57</w:t>
            </w:r>
          </w:p>
        </w:tc>
        <w:tc>
          <w:tcPr>
            <w:tcW w:w="1602" w:type="dxa"/>
            <w:tcBorders>
              <w:top w:val="nil"/>
              <w:left w:val="nil"/>
              <w:bottom w:val="nil"/>
            </w:tcBorders>
          </w:tcPr>
          <w:p w14:paraId="26C01C94"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Good</w:t>
            </w:r>
          </w:p>
        </w:tc>
        <w:tc>
          <w:tcPr>
            <w:tcW w:w="810" w:type="dxa"/>
            <w:tcBorders>
              <w:top w:val="nil"/>
              <w:bottom w:val="nil"/>
              <w:right w:val="nil"/>
            </w:tcBorders>
          </w:tcPr>
          <w:p w14:paraId="33152EF6"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1</w:t>
            </w:r>
          </w:p>
        </w:tc>
        <w:tc>
          <w:tcPr>
            <w:tcW w:w="990" w:type="dxa"/>
            <w:tcBorders>
              <w:top w:val="nil"/>
              <w:left w:val="nil"/>
              <w:bottom w:val="nil"/>
              <w:right w:val="nil"/>
            </w:tcBorders>
          </w:tcPr>
          <w:p w14:paraId="4EB75B00"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7.14</w:t>
            </w:r>
          </w:p>
        </w:tc>
        <w:tc>
          <w:tcPr>
            <w:tcW w:w="1458" w:type="dxa"/>
            <w:tcBorders>
              <w:top w:val="nil"/>
              <w:left w:val="nil"/>
              <w:bottom w:val="nil"/>
              <w:right w:val="nil"/>
            </w:tcBorders>
          </w:tcPr>
          <w:p w14:paraId="6B2ADB5A"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Good</w:t>
            </w:r>
          </w:p>
        </w:tc>
      </w:tr>
      <w:tr w:rsidR="003E0741" w:rsidRPr="003E0741" w14:paraId="5D6241ED" w14:textId="77777777" w:rsidTr="00215724">
        <w:tc>
          <w:tcPr>
            <w:tcW w:w="1260" w:type="dxa"/>
            <w:tcBorders>
              <w:top w:val="nil"/>
              <w:left w:val="nil"/>
              <w:bottom w:val="nil"/>
              <w:right w:val="nil"/>
            </w:tcBorders>
          </w:tcPr>
          <w:p w14:paraId="0A52A484"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7-12</w:t>
            </w:r>
          </w:p>
        </w:tc>
        <w:tc>
          <w:tcPr>
            <w:tcW w:w="810" w:type="dxa"/>
            <w:tcBorders>
              <w:top w:val="nil"/>
              <w:left w:val="nil"/>
              <w:bottom w:val="nil"/>
              <w:right w:val="nil"/>
            </w:tcBorders>
          </w:tcPr>
          <w:p w14:paraId="1F7E1B0C"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3</w:t>
            </w:r>
          </w:p>
        </w:tc>
        <w:tc>
          <w:tcPr>
            <w:tcW w:w="990" w:type="dxa"/>
            <w:tcBorders>
              <w:top w:val="nil"/>
              <w:left w:val="nil"/>
              <w:bottom w:val="nil"/>
              <w:right w:val="nil"/>
            </w:tcBorders>
          </w:tcPr>
          <w:p w14:paraId="43E04C96"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21.43</w:t>
            </w:r>
          </w:p>
        </w:tc>
        <w:tc>
          <w:tcPr>
            <w:tcW w:w="1602" w:type="dxa"/>
            <w:tcBorders>
              <w:top w:val="nil"/>
              <w:left w:val="nil"/>
              <w:bottom w:val="nil"/>
            </w:tcBorders>
          </w:tcPr>
          <w:p w14:paraId="0EE6FD4C"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Fair</w:t>
            </w:r>
          </w:p>
        </w:tc>
        <w:tc>
          <w:tcPr>
            <w:tcW w:w="810" w:type="dxa"/>
            <w:tcBorders>
              <w:top w:val="nil"/>
              <w:bottom w:val="nil"/>
              <w:right w:val="nil"/>
            </w:tcBorders>
          </w:tcPr>
          <w:p w14:paraId="4E90082D"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p>
        </w:tc>
        <w:tc>
          <w:tcPr>
            <w:tcW w:w="990" w:type="dxa"/>
            <w:tcBorders>
              <w:top w:val="nil"/>
              <w:left w:val="nil"/>
              <w:bottom w:val="nil"/>
              <w:right w:val="nil"/>
            </w:tcBorders>
          </w:tcPr>
          <w:p w14:paraId="06968FB3"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p>
        </w:tc>
        <w:tc>
          <w:tcPr>
            <w:tcW w:w="1458" w:type="dxa"/>
            <w:tcBorders>
              <w:top w:val="nil"/>
              <w:left w:val="nil"/>
              <w:bottom w:val="nil"/>
              <w:right w:val="nil"/>
            </w:tcBorders>
          </w:tcPr>
          <w:p w14:paraId="59138856"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Fair</w:t>
            </w:r>
          </w:p>
        </w:tc>
      </w:tr>
      <w:tr w:rsidR="003E0741" w:rsidRPr="003E0741" w14:paraId="7956D0AF" w14:textId="77777777" w:rsidTr="00215724">
        <w:tc>
          <w:tcPr>
            <w:tcW w:w="1260" w:type="dxa"/>
            <w:tcBorders>
              <w:top w:val="nil"/>
              <w:left w:val="nil"/>
              <w:bottom w:val="double" w:sz="6" w:space="0" w:color="auto"/>
              <w:right w:val="nil"/>
            </w:tcBorders>
          </w:tcPr>
          <w:p w14:paraId="1D881683"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1-6</w:t>
            </w:r>
          </w:p>
        </w:tc>
        <w:tc>
          <w:tcPr>
            <w:tcW w:w="810" w:type="dxa"/>
            <w:tcBorders>
              <w:top w:val="nil"/>
              <w:left w:val="nil"/>
              <w:bottom w:val="double" w:sz="6" w:space="0" w:color="auto"/>
              <w:right w:val="nil"/>
            </w:tcBorders>
          </w:tcPr>
          <w:p w14:paraId="08D46B45"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p>
        </w:tc>
        <w:tc>
          <w:tcPr>
            <w:tcW w:w="990" w:type="dxa"/>
            <w:tcBorders>
              <w:top w:val="nil"/>
              <w:left w:val="nil"/>
              <w:bottom w:val="double" w:sz="6" w:space="0" w:color="auto"/>
              <w:right w:val="nil"/>
            </w:tcBorders>
          </w:tcPr>
          <w:p w14:paraId="5823FB13"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p>
        </w:tc>
        <w:tc>
          <w:tcPr>
            <w:tcW w:w="1602" w:type="dxa"/>
            <w:tcBorders>
              <w:top w:val="nil"/>
              <w:left w:val="nil"/>
              <w:bottom w:val="double" w:sz="6" w:space="0" w:color="auto"/>
            </w:tcBorders>
          </w:tcPr>
          <w:p w14:paraId="7763ECE7"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Poor</w:t>
            </w:r>
          </w:p>
        </w:tc>
        <w:tc>
          <w:tcPr>
            <w:tcW w:w="810" w:type="dxa"/>
            <w:tcBorders>
              <w:top w:val="nil"/>
              <w:bottom w:val="double" w:sz="6" w:space="0" w:color="auto"/>
              <w:right w:val="nil"/>
            </w:tcBorders>
          </w:tcPr>
          <w:p w14:paraId="4F84546D"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p>
        </w:tc>
        <w:tc>
          <w:tcPr>
            <w:tcW w:w="990" w:type="dxa"/>
            <w:tcBorders>
              <w:top w:val="nil"/>
              <w:left w:val="nil"/>
              <w:bottom w:val="double" w:sz="6" w:space="0" w:color="auto"/>
              <w:right w:val="nil"/>
            </w:tcBorders>
          </w:tcPr>
          <w:p w14:paraId="22A7B2D7"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p>
        </w:tc>
        <w:tc>
          <w:tcPr>
            <w:tcW w:w="1458" w:type="dxa"/>
            <w:tcBorders>
              <w:top w:val="nil"/>
              <w:left w:val="nil"/>
              <w:bottom w:val="double" w:sz="6" w:space="0" w:color="auto"/>
              <w:right w:val="nil"/>
            </w:tcBorders>
          </w:tcPr>
          <w:p w14:paraId="1684A266" w14:textId="77777777" w:rsidR="003E0741" w:rsidRPr="003E0741" w:rsidRDefault="003E0741" w:rsidP="00215724">
            <w:pPr>
              <w:spacing w:line="480" w:lineRule="auto"/>
              <w:ind w:right="234"/>
              <w:jc w:val="center"/>
              <w:rPr>
                <w:rFonts w:ascii="Times New Roman" w:eastAsia="Times New Roman" w:hAnsi="Times New Roman" w:cs="Times New Roman"/>
                <w:sz w:val="24"/>
                <w:szCs w:val="24"/>
                <w14:ligatures w14:val="standardContextual"/>
              </w:rPr>
            </w:pPr>
            <w:r w:rsidRPr="003E0741">
              <w:rPr>
                <w:rFonts w:ascii="Times New Roman" w:eastAsia="Times New Roman" w:hAnsi="Times New Roman" w:cs="Times New Roman"/>
                <w:sz w:val="24"/>
                <w:szCs w:val="24"/>
                <w14:ligatures w14:val="standardContextual"/>
              </w:rPr>
              <w:t>Poor</w:t>
            </w:r>
          </w:p>
        </w:tc>
      </w:tr>
    </w:tbl>
    <w:p w14:paraId="1027EA0B" w14:textId="77777777" w:rsidR="003E0741" w:rsidRDefault="003E0741" w:rsidP="003E0741">
      <w:pPr>
        <w:spacing w:line="240" w:lineRule="auto"/>
        <w:jc w:val="both"/>
        <w:rPr>
          <w:rFonts w:ascii="Times New Roman" w:hAnsi="Times New Roman" w:cs="Times New Roman"/>
          <w:sz w:val="24"/>
          <w:szCs w:val="24"/>
        </w:rPr>
      </w:pPr>
    </w:p>
    <w:p w14:paraId="75BC9F9E" w14:textId="0387F115" w:rsidR="00215724" w:rsidRDefault="00215724" w:rsidP="00215724">
      <w:pPr>
        <w:spacing w:line="240" w:lineRule="auto"/>
        <w:ind w:left="426" w:firstLine="556"/>
        <w:jc w:val="both"/>
        <w:rPr>
          <w:rFonts w:ascii="Times New Roman" w:hAnsi="Times New Roman" w:cs="Times New Roman"/>
          <w:sz w:val="24"/>
          <w:szCs w:val="24"/>
        </w:rPr>
      </w:pPr>
    </w:p>
    <w:p w14:paraId="3ECA52B3" w14:textId="77777777" w:rsidR="000B06F0" w:rsidRDefault="000B06F0" w:rsidP="00215724">
      <w:pPr>
        <w:spacing w:line="240" w:lineRule="auto"/>
        <w:ind w:left="426" w:firstLine="556"/>
        <w:jc w:val="both"/>
        <w:rPr>
          <w:rFonts w:ascii="Times New Roman" w:hAnsi="Times New Roman" w:cs="Times New Roman"/>
          <w:sz w:val="24"/>
          <w:szCs w:val="24"/>
        </w:rPr>
      </w:pPr>
    </w:p>
    <w:p w14:paraId="35479709" w14:textId="77777777" w:rsidR="000B06F0" w:rsidRDefault="000B06F0" w:rsidP="00215724">
      <w:pPr>
        <w:spacing w:line="240" w:lineRule="auto"/>
        <w:ind w:left="426" w:firstLine="556"/>
        <w:jc w:val="both"/>
        <w:rPr>
          <w:rFonts w:ascii="Times New Roman" w:hAnsi="Times New Roman" w:cs="Times New Roman"/>
          <w:sz w:val="24"/>
          <w:szCs w:val="24"/>
        </w:rPr>
      </w:pPr>
    </w:p>
    <w:p w14:paraId="64E6498C" w14:textId="77777777" w:rsidR="000B06F0" w:rsidRDefault="000B06F0" w:rsidP="00215724">
      <w:pPr>
        <w:spacing w:line="240" w:lineRule="auto"/>
        <w:ind w:left="426" w:firstLine="556"/>
        <w:jc w:val="both"/>
        <w:rPr>
          <w:rFonts w:ascii="Times New Roman" w:hAnsi="Times New Roman" w:cs="Times New Roman"/>
          <w:sz w:val="24"/>
          <w:szCs w:val="24"/>
        </w:rPr>
      </w:pPr>
    </w:p>
    <w:p w14:paraId="5BDE442F" w14:textId="1DBCB829" w:rsidR="00215724" w:rsidRDefault="00215724" w:rsidP="00215724">
      <w:pPr>
        <w:spacing w:before="26" w:after="26" w:line="240" w:lineRule="auto"/>
        <w:ind w:left="374" w:right="230" w:hanging="37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4.4 Frequency and Percentage Distribution of the Scores Improvement of the </w:t>
      </w:r>
      <w:r w:rsidRPr="00A46D6C">
        <w:rPr>
          <w:rFonts w:ascii="Times New Roman" w:hAnsi="Times New Roman" w:cs="Times New Roman"/>
          <w:b/>
          <w:sz w:val="24"/>
          <w:szCs w:val="24"/>
        </w:rPr>
        <w:t>Respondents in Control and Experimental Group</w:t>
      </w:r>
    </w:p>
    <w:p w14:paraId="4C67EDA3" w14:textId="77777777" w:rsidR="00215724" w:rsidRPr="00215724" w:rsidRDefault="00215724" w:rsidP="00215724">
      <w:pPr>
        <w:spacing w:line="240" w:lineRule="auto"/>
        <w:jc w:val="both"/>
        <w:rPr>
          <w:rFonts w:ascii="Times New Roman" w:hAnsi="Times New Roman" w:cs="Times New Roman"/>
          <w:sz w:val="24"/>
          <w:szCs w:val="24"/>
        </w:rPr>
      </w:pPr>
    </w:p>
    <w:p w14:paraId="35C2FE68" w14:textId="56588E9E" w:rsidR="00A64964" w:rsidRDefault="00215724" w:rsidP="00A64964">
      <w:pPr>
        <w:spacing w:after="0" w:line="240" w:lineRule="auto"/>
        <w:ind w:firstLine="556"/>
        <w:jc w:val="both"/>
        <w:rPr>
          <w:rFonts w:ascii="Times New Roman" w:hAnsi="Times New Roman" w:cs="Times New Roman"/>
          <w:sz w:val="24"/>
          <w:szCs w:val="24"/>
        </w:rPr>
      </w:pPr>
      <w:r w:rsidRPr="00215724">
        <w:rPr>
          <w:rFonts w:ascii="Times New Roman" w:hAnsi="Times New Roman" w:cs="Times New Roman"/>
          <w:sz w:val="24"/>
          <w:szCs w:val="24"/>
        </w:rPr>
        <w:t>Table 4.</w:t>
      </w:r>
      <w:r w:rsidR="00E34A26">
        <w:rPr>
          <w:rFonts w:ascii="Times New Roman" w:hAnsi="Times New Roman" w:cs="Times New Roman"/>
          <w:sz w:val="24"/>
          <w:szCs w:val="24"/>
        </w:rPr>
        <w:t>4</w:t>
      </w:r>
      <w:r w:rsidRPr="00215724">
        <w:rPr>
          <w:rFonts w:ascii="Times New Roman" w:hAnsi="Times New Roman" w:cs="Times New Roman"/>
          <w:sz w:val="24"/>
          <w:szCs w:val="24"/>
        </w:rPr>
        <w:t>. illustrates the frequency and percentage distribution of the score improvement of the respondents in both the control and experimental groups. The table shows that the majority (42.87%) of the respondents in the experimental group are within the score range of 13–16, which is verbally interpreted as Improved. Additionally, three (3) respondents or 21.43% scored within the range of 17–20, verbally interpreted as Highly Improved; four (4) respondents or 28.57% scored within the range of 9–12, verbally interpreted as Moderately Improved; and one (1) respondent or 7.14% scored within the range of 5–8, which is verbally interpreted as Slightly Improved. This indicates that most of the students in the experimental group experienced notable improvement after Music was integrated into the teaching of Mathematics.</w:t>
      </w:r>
    </w:p>
    <w:p w14:paraId="3E16CC56" w14:textId="133D67C7" w:rsidR="00215724" w:rsidRDefault="00215724" w:rsidP="00A64964">
      <w:pPr>
        <w:spacing w:after="0" w:line="240" w:lineRule="auto"/>
        <w:ind w:firstLine="556"/>
        <w:jc w:val="both"/>
        <w:rPr>
          <w:rFonts w:ascii="Times New Roman" w:hAnsi="Times New Roman" w:cs="Times New Roman"/>
          <w:sz w:val="24"/>
          <w:szCs w:val="24"/>
        </w:rPr>
      </w:pPr>
      <w:r w:rsidRPr="00215724">
        <w:rPr>
          <w:rFonts w:ascii="Times New Roman" w:hAnsi="Times New Roman" w:cs="Times New Roman"/>
          <w:sz w:val="24"/>
          <w:szCs w:val="24"/>
        </w:rPr>
        <w:t xml:space="preserve">On the other hand, in the control group, the majority (35.71%) of the respondents obtained scores within the range of 9–12, which is verbally interpreted as Moderately Improved, while another 35.71% scored within the range of 1–4, verbally interpreted as No Improvement. Furthermore, two (2) respondents or 14.29% scored within the range of 13–16, classified as Improved, and another two (2) respondents or 14.29% scored within the range of 5–8, verbally interpreted as Slightly Improved. </w:t>
      </w:r>
    </w:p>
    <w:p w14:paraId="73291B26" w14:textId="4A78BADC" w:rsidR="00215724" w:rsidRPr="00215724" w:rsidRDefault="00215724" w:rsidP="00215724">
      <w:pPr>
        <w:spacing w:line="240" w:lineRule="auto"/>
        <w:ind w:firstLine="556"/>
        <w:jc w:val="both"/>
        <w:rPr>
          <w:rFonts w:ascii="Times New Roman" w:hAnsi="Times New Roman" w:cs="Times New Roman"/>
          <w:sz w:val="24"/>
          <w:szCs w:val="24"/>
        </w:rPr>
      </w:pPr>
      <w:r w:rsidRPr="00215724">
        <w:rPr>
          <w:rFonts w:ascii="Times New Roman" w:hAnsi="Times New Roman" w:cs="Times New Roman"/>
          <w:sz w:val="24"/>
          <w:szCs w:val="24"/>
        </w:rPr>
        <w:t>This reveals that without Music integration</w:t>
      </w:r>
      <w:r w:rsidR="00160EE9">
        <w:rPr>
          <w:rFonts w:ascii="Times New Roman" w:hAnsi="Times New Roman" w:cs="Times New Roman"/>
          <w:sz w:val="24"/>
          <w:szCs w:val="24"/>
        </w:rPr>
        <w:t xml:space="preserve"> </w:t>
      </w:r>
      <w:r w:rsidRPr="00215724">
        <w:rPr>
          <w:rFonts w:ascii="Times New Roman" w:hAnsi="Times New Roman" w:cs="Times New Roman"/>
          <w:sz w:val="24"/>
          <w:szCs w:val="24"/>
        </w:rPr>
        <w:t>a number of students did not demonstrate substantial progress in their performance.</w:t>
      </w:r>
      <w:r w:rsidRPr="00215724">
        <w:t xml:space="preserve"> </w:t>
      </w:r>
      <w:r w:rsidRPr="00215724">
        <w:rPr>
          <w:rFonts w:ascii="Times New Roman" w:hAnsi="Times New Roman" w:cs="Times New Roman"/>
          <w:sz w:val="24"/>
          <w:szCs w:val="24"/>
        </w:rPr>
        <w:t>The data clearly demonstrates that the use of music as a teaching strategy in Mathematics had a substantial and positive effect on students’ learning. This is evident from the higher proportion of students in the Improved and Highly Improved categories in the experimental group compared to the control group, indicating that music integration significantly enhanced students’ focus, engagement, and retention, which in turn improved their comprehension and problem-solving abilities.</w:t>
      </w:r>
    </w:p>
    <w:p w14:paraId="41CEB21B" w14:textId="6CDD7536" w:rsidR="00215724" w:rsidRDefault="00215724" w:rsidP="009D41E4">
      <w:pPr>
        <w:spacing w:line="240" w:lineRule="auto"/>
        <w:ind w:firstLine="556"/>
        <w:jc w:val="both"/>
        <w:rPr>
          <w:rFonts w:ascii="Times New Roman" w:hAnsi="Times New Roman" w:cs="Times New Roman"/>
          <w:sz w:val="24"/>
          <w:szCs w:val="24"/>
        </w:rPr>
      </w:pPr>
      <w:r w:rsidRPr="00215724">
        <w:rPr>
          <w:rFonts w:ascii="Times New Roman" w:hAnsi="Times New Roman" w:cs="Times New Roman"/>
          <w:sz w:val="24"/>
          <w:szCs w:val="24"/>
        </w:rPr>
        <w:t>These findings are strongly supported by the study of Gülbahar and Karataş (2021), which revealed that rhythmic activities and melodic patterns stimulate both the left and right hemispheres of the brain, enabling learners to process mathematical concepts more effectively. Their research showed that students exposed to music-based lessons not only achieved higher test scores but also exhibited greater motivation and reduced anxiety toward Mathematics</w:t>
      </w:r>
      <w:r w:rsidR="009D41E4">
        <w:rPr>
          <w:rFonts w:ascii="Times New Roman" w:hAnsi="Times New Roman" w:cs="Times New Roman"/>
          <w:sz w:val="24"/>
          <w:szCs w:val="24"/>
        </w:rPr>
        <w:t>.</w:t>
      </w:r>
    </w:p>
    <w:p w14:paraId="3238DBB2" w14:textId="77777777" w:rsidR="000B06F0" w:rsidRDefault="000B06F0" w:rsidP="009D41E4">
      <w:pPr>
        <w:spacing w:line="240" w:lineRule="auto"/>
        <w:ind w:firstLine="556"/>
        <w:jc w:val="both"/>
        <w:rPr>
          <w:rFonts w:ascii="Times New Roman" w:hAnsi="Times New Roman" w:cs="Times New Roman"/>
          <w:sz w:val="24"/>
          <w:szCs w:val="24"/>
        </w:rPr>
      </w:pPr>
    </w:p>
    <w:p w14:paraId="241A42E2" w14:textId="77777777" w:rsidR="000B06F0" w:rsidRDefault="000B06F0" w:rsidP="009D41E4">
      <w:pPr>
        <w:spacing w:line="240" w:lineRule="auto"/>
        <w:ind w:firstLine="556"/>
        <w:jc w:val="both"/>
        <w:rPr>
          <w:rFonts w:ascii="Times New Roman" w:hAnsi="Times New Roman" w:cs="Times New Roman"/>
          <w:sz w:val="24"/>
          <w:szCs w:val="24"/>
        </w:rPr>
      </w:pPr>
    </w:p>
    <w:p w14:paraId="5E9DB66B" w14:textId="77777777" w:rsidR="000B06F0" w:rsidRDefault="000B06F0" w:rsidP="009D41E4">
      <w:pPr>
        <w:spacing w:line="240" w:lineRule="auto"/>
        <w:ind w:firstLine="556"/>
        <w:jc w:val="both"/>
        <w:rPr>
          <w:rFonts w:ascii="Times New Roman" w:hAnsi="Times New Roman" w:cs="Times New Roman"/>
          <w:sz w:val="24"/>
          <w:szCs w:val="24"/>
        </w:rPr>
      </w:pPr>
    </w:p>
    <w:p w14:paraId="43470210" w14:textId="77777777" w:rsidR="000B06F0" w:rsidRDefault="000B06F0" w:rsidP="009D41E4">
      <w:pPr>
        <w:spacing w:line="240" w:lineRule="auto"/>
        <w:ind w:firstLine="556"/>
        <w:jc w:val="both"/>
        <w:rPr>
          <w:rFonts w:ascii="Times New Roman" w:hAnsi="Times New Roman" w:cs="Times New Roman"/>
          <w:sz w:val="24"/>
          <w:szCs w:val="24"/>
        </w:rPr>
      </w:pPr>
    </w:p>
    <w:p w14:paraId="6FEE1138" w14:textId="77777777" w:rsidR="000B06F0" w:rsidRDefault="000B06F0" w:rsidP="009D41E4">
      <w:pPr>
        <w:spacing w:line="240" w:lineRule="auto"/>
        <w:ind w:firstLine="556"/>
        <w:jc w:val="both"/>
        <w:rPr>
          <w:rFonts w:ascii="Times New Roman" w:hAnsi="Times New Roman" w:cs="Times New Roman"/>
          <w:sz w:val="24"/>
          <w:szCs w:val="24"/>
        </w:rPr>
      </w:pPr>
    </w:p>
    <w:p w14:paraId="6DAE2DDA" w14:textId="77777777" w:rsidR="000B06F0" w:rsidRDefault="000B06F0" w:rsidP="009D41E4">
      <w:pPr>
        <w:spacing w:line="240" w:lineRule="auto"/>
        <w:ind w:firstLine="556"/>
        <w:jc w:val="both"/>
        <w:rPr>
          <w:rFonts w:ascii="Times New Roman" w:hAnsi="Times New Roman" w:cs="Times New Roman"/>
          <w:sz w:val="24"/>
          <w:szCs w:val="24"/>
        </w:rPr>
      </w:pPr>
    </w:p>
    <w:p w14:paraId="07944B76" w14:textId="77777777" w:rsidR="000B06F0" w:rsidRDefault="000B06F0" w:rsidP="009D41E4">
      <w:pPr>
        <w:spacing w:line="240" w:lineRule="auto"/>
        <w:ind w:firstLine="556"/>
        <w:jc w:val="both"/>
        <w:rPr>
          <w:rFonts w:ascii="Times New Roman" w:hAnsi="Times New Roman" w:cs="Times New Roman"/>
          <w:sz w:val="24"/>
          <w:szCs w:val="24"/>
        </w:rPr>
      </w:pPr>
    </w:p>
    <w:p w14:paraId="55E95466" w14:textId="77777777" w:rsidR="009D41E4" w:rsidRDefault="009D41E4" w:rsidP="009D41E4">
      <w:pPr>
        <w:spacing w:line="240" w:lineRule="auto"/>
        <w:ind w:firstLine="556"/>
        <w:jc w:val="both"/>
        <w:rPr>
          <w:rFonts w:ascii="Times New Roman" w:hAnsi="Times New Roman" w:cs="Times New Roman"/>
          <w:sz w:val="24"/>
          <w:szCs w:val="24"/>
        </w:rPr>
      </w:pPr>
    </w:p>
    <w:p w14:paraId="69C1F12D" w14:textId="05AAD1D5" w:rsidR="00160EE9" w:rsidRDefault="00215724" w:rsidP="00215724">
      <w:pPr>
        <w:tabs>
          <w:tab w:val="left" w:pos="7380"/>
        </w:tabs>
        <w:spacing w:before="26" w:after="26" w:line="240" w:lineRule="auto"/>
        <w:ind w:left="1170" w:right="234" w:hanging="1170"/>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160EE9">
        <w:rPr>
          <w:rFonts w:ascii="Times New Roman" w:hAnsi="Times New Roman" w:cs="Times New Roman"/>
          <w:b/>
          <w:sz w:val="24"/>
          <w:szCs w:val="24"/>
        </w:rPr>
        <w:t xml:space="preserve">          </w:t>
      </w:r>
      <w:r>
        <w:rPr>
          <w:rFonts w:ascii="Times New Roman" w:hAnsi="Times New Roman" w:cs="Times New Roman"/>
          <w:b/>
          <w:sz w:val="24"/>
          <w:szCs w:val="24"/>
        </w:rPr>
        <w:t>Table 4.</w:t>
      </w:r>
      <w:r w:rsidR="00E34A26">
        <w:rPr>
          <w:rFonts w:ascii="Times New Roman" w:hAnsi="Times New Roman" w:cs="Times New Roman"/>
          <w:b/>
          <w:sz w:val="24"/>
          <w:szCs w:val="24"/>
        </w:rPr>
        <w:t>4</w:t>
      </w:r>
      <w:r w:rsidRPr="00785D5F">
        <w:rPr>
          <w:rFonts w:ascii="Times New Roman" w:hAnsi="Times New Roman" w:cs="Times New Roman"/>
          <w:sz w:val="24"/>
          <w:szCs w:val="24"/>
        </w:rPr>
        <w:t xml:space="preserve"> </w:t>
      </w:r>
      <w:r>
        <w:rPr>
          <w:rFonts w:ascii="Times New Roman" w:hAnsi="Times New Roman" w:cs="Times New Roman"/>
          <w:sz w:val="24"/>
          <w:szCs w:val="24"/>
        </w:rPr>
        <w:t xml:space="preserve">Frequency and Percentage Distribution of Scores Improvement of the </w:t>
      </w:r>
      <w:r w:rsidR="00160EE9">
        <w:rPr>
          <w:rFonts w:ascii="Times New Roman" w:hAnsi="Times New Roman" w:cs="Times New Roman"/>
          <w:sz w:val="24"/>
          <w:szCs w:val="24"/>
        </w:rPr>
        <w:t xml:space="preserve">  </w:t>
      </w:r>
    </w:p>
    <w:p w14:paraId="1DD4D81C" w14:textId="60C4C257" w:rsidR="00215724" w:rsidRDefault="00160EE9" w:rsidP="00215724">
      <w:pPr>
        <w:tabs>
          <w:tab w:val="left" w:pos="7380"/>
        </w:tabs>
        <w:spacing w:before="26" w:after="26" w:line="240" w:lineRule="auto"/>
        <w:ind w:left="1170" w:right="234" w:hanging="1170"/>
        <w:jc w:val="both"/>
        <w:rPr>
          <w:rFonts w:ascii="Times New Roman" w:hAnsi="Times New Roman" w:cs="Times New Roman"/>
          <w:sz w:val="24"/>
          <w:szCs w:val="24"/>
        </w:rPr>
      </w:pPr>
      <w:r>
        <w:rPr>
          <w:rFonts w:ascii="Times New Roman" w:hAnsi="Times New Roman" w:cs="Times New Roman"/>
          <w:b/>
          <w:sz w:val="24"/>
          <w:szCs w:val="24"/>
        </w:rPr>
        <w:t xml:space="preserve">                             </w:t>
      </w:r>
      <w:r w:rsidR="00215724">
        <w:rPr>
          <w:rFonts w:ascii="Times New Roman" w:hAnsi="Times New Roman" w:cs="Times New Roman"/>
          <w:sz w:val="24"/>
          <w:szCs w:val="24"/>
        </w:rPr>
        <w:t>R</w:t>
      </w:r>
      <w:r w:rsidR="00215724" w:rsidRPr="00785D5F">
        <w:rPr>
          <w:rFonts w:ascii="Times New Roman" w:hAnsi="Times New Roman" w:cs="Times New Roman"/>
          <w:sz w:val="24"/>
          <w:szCs w:val="24"/>
        </w:rPr>
        <w:t>espondents in Control and Experimental Group</w:t>
      </w:r>
      <w:r w:rsidR="00215724">
        <w:rPr>
          <w:rFonts w:ascii="Times New Roman" w:hAnsi="Times New Roman" w:cs="Times New Roman"/>
          <w:sz w:val="24"/>
          <w:szCs w:val="24"/>
        </w:rPr>
        <w:t xml:space="preserve"> (n=28).</w:t>
      </w:r>
    </w:p>
    <w:tbl>
      <w:tblPr>
        <w:tblStyle w:val="TableGrid4"/>
        <w:tblpPr w:leftFromText="180" w:rightFromText="180" w:vertAnchor="text" w:horzAnchor="margin" w:tblpXSpec="center" w:tblpY="13"/>
        <w:tblW w:w="7830" w:type="dxa"/>
        <w:tblLayout w:type="fixed"/>
        <w:tblLook w:val="04A0" w:firstRow="1" w:lastRow="0" w:firstColumn="1" w:lastColumn="0" w:noHBand="0" w:noVBand="1"/>
      </w:tblPr>
      <w:tblGrid>
        <w:gridCol w:w="1170"/>
        <w:gridCol w:w="1260"/>
        <w:gridCol w:w="1890"/>
        <w:gridCol w:w="1530"/>
        <w:gridCol w:w="1980"/>
      </w:tblGrid>
      <w:tr w:rsidR="00215724" w:rsidRPr="00215724" w14:paraId="1647DFD5" w14:textId="77777777" w:rsidTr="00215724">
        <w:trPr>
          <w:trHeight w:val="264"/>
        </w:trPr>
        <w:tc>
          <w:tcPr>
            <w:tcW w:w="4320" w:type="dxa"/>
            <w:gridSpan w:val="3"/>
            <w:tcBorders>
              <w:top w:val="double" w:sz="6" w:space="0" w:color="auto"/>
              <w:left w:val="nil"/>
              <w:bottom w:val="single" w:sz="6" w:space="0" w:color="auto"/>
            </w:tcBorders>
          </w:tcPr>
          <w:p w14:paraId="437B3643" w14:textId="77777777" w:rsidR="00215724" w:rsidRP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Control Group</w:t>
            </w:r>
          </w:p>
        </w:tc>
        <w:tc>
          <w:tcPr>
            <w:tcW w:w="3510" w:type="dxa"/>
            <w:gridSpan w:val="2"/>
            <w:tcBorders>
              <w:top w:val="double" w:sz="6" w:space="0" w:color="auto"/>
              <w:bottom w:val="single" w:sz="6" w:space="0" w:color="auto"/>
              <w:right w:val="nil"/>
            </w:tcBorders>
          </w:tcPr>
          <w:p w14:paraId="68DD8BC4" w14:textId="77777777" w:rsidR="00215724" w:rsidRP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Experimental Group</w:t>
            </w:r>
          </w:p>
        </w:tc>
      </w:tr>
      <w:tr w:rsidR="00215724" w:rsidRPr="00215724" w14:paraId="3C38DBE1" w14:textId="77777777" w:rsidTr="00215724">
        <w:trPr>
          <w:trHeight w:val="638"/>
        </w:trPr>
        <w:tc>
          <w:tcPr>
            <w:tcW w:w="1170" w:type="dxa"/>
            <w:tcBorders>
              <w:top w:val="single" w:sz="6" w:space="0" w:color="auto"/>
              <w:left w:val="nil"/>
              <w:bottom w:val="single" w:sz="6" w:space="0" w:color="auto"/>
              <w:right w:val="nil"/>
            </w:tcBorders>
          </w:tcPr>
          <w:p w14:paraId="5E62AAFF" w14:textId="77777777" w:rsidR="00215724" w:rsidRPr="00215724" w:rsidRDefault="00215724" w:rsidP="00215724">
            <w:pPr>
              <w:spacing w:line="240" w:lineRule="auto"/>
              <w:ind w:right="234"/>
              <w:jc w:val="center"/>
              <w:rPr>
                <w:rFonts w:ascii="Times New Roman" w:eastAsia="Calibri" w:hAnsi="Times New Roman" w:cs="Times New Roman"/>
                <w:kern w:val="0"/>
                <w:sz w:val="24"/>
              </w:rPr>
            </w:pPr>
            <w:r w:rsidRPr="00215724">
              <w:rPr>
                <w:rFonts w:ascii="Times New Roman" w:eastAsia="Calibri" w:hAnsi="Times New Roman" w:cs="Times New Roman"/>
                <w:kern w:val="0"/>
                <w:sz w:val="24"/>
              </w:rPr>
              <w:t>Scores</w:t>
            </w:r>
          </w:p>
          <w:p w14:paraId="0A46D075" w14:textId="77777777" w:rsidR="00215724" w:rsidRPr="00215724" w:rsidRDefault="00215724" w:rsidP="00215724">
            <w:pPr>
              <w:spacing w:line="240" w:lineRule="auto"/>
              <w:ind w:right="234"/>
              <w:jc w:val="center"/>
              <w:rPr>
                <w:rFonts w:ascii="Times New Roman" w:eastAsia="Calibri" w:hAnsi="Times New Roman" w:cs="Times New Roman"/>
                <w:kern w:val="0"/>
                <w:sz w:val="24"/>
              </w:rPr>
            </w:pPr>
          </w:p>
        </w:tc>
        <w:tc>
          <w:tcPr>
            <w:tcW w:w="1260" w:type="dxa"/>
            <w:tcBorders>
              <w:top w:val="single" w:sz="6" w:space="0" w:color="auto"/>
              <w:left w:val="nil"/>
              <w:bottom w:val="single" w:sz="6" w:space="0" w:color="auto"/>
              <w:right w:val="nil"/>
            </w:tcBorders>
          </w:tcPr>
          <w:p w14:paraId="59B7C77C" w14:textId="77777777" w:rsidR="00215724" w:rsidRPr="00215724" w:rsidRDefault="00215724" w:rsidP="00215724">
            <w:pPr>
              <w:spacing w:line="240" w:lineRule="auto"/>
              <w:ind w:right="252"/>
              <w:jc w:val="center"/>
              <w:rPr>
                <w:rFonts w:ascii="Times New Roman" w:eastAsia="Calibri" w:hAnsi="Times New Roman" w:cs="Times New Roman"/>
                <w:kern w:val="0"/>
                <w:sz w:val="24"/>
              </w:rPr>
            </w:pPr>
            <w:r w:rsidRPr="00215724">
              <w:rPr>
                <w:rFonts w:ascii="Times New Roman" w:eastAsia="Calibri" w:hAnsi="Times New Roman" w:cs="Times New Roman"/>
                <w:kern w:val="0"/>
                <w:sz w:val="24"/>
              </w:rPr>
              <w:t>f</w:t>
            </w:r>
          </w:p>
          <w:p w14:paraId="7A6CB59D" w14:textId="77777777" w:rsidR="00215724" w:rsidRPr="00215724" w:rsidRDefault="00215724" w:rsidP="00215724">
            <w:pPr>
              <w:spacing w:line="240" w:lineRule="auto"/>
              <w:ind w:right="234"/>
              <w:jc w:val="center"/>
              <w:rPr>
                <w:rFonts w:ascii="Times New Roman" w:eastAsia="Calibri" w:hAnsi="Times New Roman" w:cs="Times New Roman"/>
                <w:kern w:val="0"/>
                <w:sz w:val="24"/>
              </w:rPr>
            </w:pPr>
          </w:p>
        </w:tc>
        <w:tc>
          <w:tcPr>
            <w:tcW w:w="1890" w:type="dxa"/>
            <w:tcBorders>
              <w:top w:val="single" w:sz="6" w:space="0" w:color="auto"/>
              <w:left w:val="nil"/>
              <w:bottom w:val="single" w:sz="6" w:space="0" w:color="auto"/>
            </w:tcBorders>
          </w:tcPr>
          <w:p w14:paraId="37803282" w14:textId="77777777" w:rsidR="00215724" w:rsidRPr="00215724" w:rsidRDefault="00215724" w:rsidP="00215724">
            <w:pPr>
              <w:spacing w:line="240" w:lineRule="auto"/>
              <w:ind w:right="234"/>
              <w:jc w:val="center"/>
              <w:rPr>
                <w:rFonts w:ascii="Times New Roman" w:eastAsia="Calibri" w:hAnsi="Times New Roman" w:cs="Times New Roman"/>
                <w:kern w:val="0"/>
                <w:sz w:val="24"/>
              </w:rPr>
            </w:pPr>
            <w:r w:rsidRPr="00215724">
              <w:rPr>
                <w:rFonts w:ascii="Times New Roman" w:eastAsia="Calibri" w:hAnsi="Times New Roman" w:cs="Times New Roman"/>
                <w:kern w:val="0"/>
                <w:sz w:val="24"/>
              </w:rPr>
              <w:t>VI</w:t>
            </w:r>
          </w:p>
        </w:tc>
        <w:tc>
          <w:tcPr>
            <w:tcW w:w="1530" w:type="dxa"/>
            <w:tcBorders>
              <w:top w:val="single" w:sz="6" w:space="0" w:color="auto"/>
              <w:bottom w:val="single" w:sz="6" w:space="0" w:color="auto"/>
              <w:right w:val="nil"/>
            </w:tcBorders>
          </w:tcPr>
          <w:p w14:paraId="4C1E8369" w14:textId="77777777" w:rsidR="00215724" w:rsidRPr="00215724" w:rsidRDefault="00215724" w:rsidP="00215724">
            <w:pPr>
              <w:spacing w:line="240" w:lineRule="auto"/>
              <w:ind w:right="234"/>
              <w:jc w:val="center"/>
              <w:rPr>
                <w:rFonts w:ascii="Times New Roman" w:eastAsia="Calibri" w:hAnsi="Times New Roman" w:cs="Times New Roman"/>
                <w:kern w:val="0"/>
                <w:sz w:val="24"/>
              </w:rPr>
            </w:pPr>
            <w:r w:rsidRPr="00215724">
              <w:rPr>
                <w:rFonts w:ascii="Times New Roman" w:eastAsia="Calibri" w:hAnsi="Times New Roman" w:cs="Times New Roman"/>
                <w:kern w:val="0"/>
                <w:sz w:val="24"/>
              </w:rPr>
              <w:t>f</w:t>
            </w:r>
          </w:p>
        </w:tc>
        <w:tc>
          <w:tcPr>
            <w:tcW w:w="1980" w:type="dxa"/>
            <w:tcBorders>
              <w:top w:val="single" w:sz="6" w:space="0" w:color="auto"/>
              <w:left w:val="nil"/>
              <w:bottom w:val="single" w:sz="6" w:space="0" w:color="auto"/>
              <w:right w:val="nil"/>
            </w:tcBorders>
          </w:tcPr>
          <w:p w14:paraId="49A43959" w14:textId="77777777" w:rsidR="00215724" w:rsidRPr="00215724" w:rsidRDefault="00215724" w:rsidP="00215724">
            <w:pPr>
              <w:spacing w:line="240" w:lineRule="auto"/>
              <w:ind w:right="234"/>
              <w:jc w:val="center"/>
              <w:rPr>
                <w:rFonts w:ascii="Times New Roman" w:eastAsia="Calibri" w:hAnsi="Times New Roman" w:cs="Times New Roman"/>
                <w:kern w:val="0"/>
                <w:sz w:val="24"/>
              </w:rPr>
            </w:pPr>
            <w:r w:rsidRPr="00215724">
              <w:rPr>
                <w:rFonts w:ascii="Times New Roman" w:eastAsia="Calibri" w:hAnsi="Times New Roman" w:cs="Times New Roman"/>
                <w:kern w:val="0"/>
                <w:sz w:val="24"/>
              </w:rPr>
              <w:t>VI</w:t>
            </w:r>
          </w:p>
        </w:tc>
      </w:tr>
      <w:tr w:rsidR="00215724" w:rsidRPr="00215724" w14:paraId="4CB06698" w14:textId="77777777" w:rsidTr="00215724">
        <w:trPr>
          <w:trHeight w:val="396"/>
        </w:trPr>
        <w:tc>
          <w:tcPr>
            <w:tcW w:w="1170" w:type="dxa"/>
            <w:tcBorders>
              <w:top w:val="single" w:sz="6" w:space="0" w:color="auto"/>
              <w:left w:val="nil"/>
              <w:bottom w:val="nil"/>
              <w:right w:val="nil"/>
            </w:tcBorders>
          </w:tcPr>
          <w:p w14:paraId="6C582AB1"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17-20</w:t>
            </w:r>
          </w:p>
        </w:tc>
        <w:tc>
          <w:tcPr>
            <w:tcW w:w="1260" w:type="dxa"/>
            <w:tcBorders>
              <w:top w:val="single" w:sz="6" w:space="0" w:color="auto"/>
              <w:left w:val="nil"/>
              <w:bottom w:val="nil"/>
              <w:right w:val="nil"/>
            </w:tcBorders>
          </w:tcPr>
          <w:p w14:paraId="0D6AADFB"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p>
        </w:tc>
        <w:tc>
          <w:tcPr>
            <w:tcW w:w="1890" w:type="dxa"/>
            <w:tcBorders>
              <w:top w:val="single" w:sz="6" w:space="0" w:color="auto"/>
              <w:left w:val="nil"/>
              <w:bottom w:val="nil"/>
            </w:tcBorders>
          </w:tcPr>
          <w:p w14:paraId="50A13C64" w14:textId="77777777" w:rsidR="00215724" w:rsidRP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Highly Improved</w:t>
            </w:r>
          </w:p>
        </w:tc>
        <w:tc>
          <w:tcPr>
            <w:tcW w:w="1530" w:type="dxa"/>
            <w:tcBorders>
              <w:top w:val="single" w:sz="6" w:space="0" w:color="auto"/>
              <w:bottom w:val="nil"/>
              <w:right w:val="nil"/>
            </w:tcBorders>
          </w:tcPr>
          <w:p w14:paraId="5496A9BC"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3</w:t>
            </w:r>
          </w:p>
        </w:tc>
        <w:tc>
          <w:tcPr>
            <w:tcW w:w="1980" w:type="dxa"/>
            <w:tcBorders>
              <w:top w:val="single" w:sz="6" w:space="0" w:color="auto"/>
              <w:left w:val="nil"/>
              <w:bottom w:val="nil"/>
              <w:right w:val="nil"/>
            </w:tcBorders>
          </w:tcPr>
          <w:p w14:paraId="7BF73C0B" w14:textId="77777777" w:rsid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Highly Improved</w:t>
            </w:r>
          </w:p>
          <w:p w14:paraId="32FA703B" w14:textId="77777777" w:rsidR="00215724" w:rsidRP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p>
        </w:tc>
      </w:tr>
      <w:tr w:rsidR="00215724" w:rsidRPr="00215724" w14:paraId="6C34BE82" w14:textId="77777777" w:rsidTr="00215724">
        <w:trPr>
          <w:trHeight w:val="411"/>
        </w:trPr>
        <w:tc>
          <w:tcPr>
            <w:tcW w:w="1170" w:type="dxa"/>
            <w:tcBorders>
              <w:top w:val="nil"/>
              <w:left w:val="nil"/>
              <w:bottom w:val="nil"/>
              <w:right w:val="nil"/>
            </w:tcBorders>
          </w:tcPr>
          <w:p w14:paraId="265CA2EC"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13-16</w:t>
            </w:r>
          </w:p>
        </w:tc>
        <w:tc>
          <w:tcPr>
            <w:tcW w:w="1260" w:type="dxa"/>
            <w:tcBorders>
              <w:top w:val="nil"/>
              <w:left w:val="nil"/>
              <w:bottom w:val="nil"/>
              <w:right w:val="nil"/>
            </w:tcBorders>
          </w:tcPr>
          <w:p w14:paraId="4AE2F912"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2</w:t>
            </w:r>
          </w:p>
        </w:tc>
        <w:tc>
          <w:tcPr>
            <w:tcW w:w="1890" w:type="dxa"/>
            <w:tcBorders>
              <w:top w:val="nil"/>
              <w:left w:val="nil"/>
              <w:bottom w:val="nil"/>
            </w:tcBorders>
          </w:tcPr>
          <w:p w14:paraId="007A105E"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Improved</w:t>
            </w:r>
          </w:p>
        </w:tc>
        <w:tc>
          <w:tcPr>
            <w:tcW w:w="1530" w:type="dxa"/>
            <w:tcBorders>
              <w:top w:val="nil"/>
              <w:bottom w:val="nil"/>
              <w:right w:val="nil"/>
            </w:tcBorders>
          </w:tcPr>
          <w:p w14:paraId="65D29E0B"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6</w:t>
            </w:r>
          </w:p>
        </w:tc>
        <w:tc>
          <w:tcPr>
            <w:tcW w:w="1980" w:type="dxa"/>
            <w:tcBorders>
              <w:top w:val="nil"/>
              <w:left w:val="nil"/>
              <w:bottom w:val="nil"/>
              <w:right w:val="nil"/>
            </w:tcBorders>
          </w:tcPr>
          <w:p w14:paraId="5C05F92B"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Improved</w:t>
            </w:r>
          </w:p>
        </w:tc>
      </w:tr>
      <w:tr w:rsidR="00215724" w:rsidRPr="00215724" w14:paraId="7B1BE367" w14:textId="77777777" w:rsidTr="00215724">
        <w:trPr>
          <w:trHeight w:val="396"/>
        </w:trPr>
        <w:tc>
          <w:tcPr>
            <w:tcW w:w="1170" w:type="dxa"/>
            <w:tcBorders>
              <w:top w:val="nil"/>
              <w:left w:val="nil"/>
              <w:bottom w:val="nil"/>
              <w:right w:val="nil"/>
            </w:tcBorders>
          </w:tcPr>
          <w:p w14:paraId="3E7D83E7"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9-12</w:t>
            </w:r>
          </w:p>
        </w:tc>
        <w:tc>
          <w:tcPr>
            <w:tcW w:w="1260" w:type="dxa"/>
            <w:tcBorders>
              <w:top w:val="nil"/>
              <w:left w:val="nil"/>
              <w:bottom w:val="nil"/>
              <w:right w:val="nil"/>
            </w:tcBorders>
          </w:tcPr>
          <w:p w14:paraId="703A065D"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5</w:t>
            </w:r>
          </w:p>
        </w:tc>
        <w:tc>
          <w:tcPr>
            <w:tcW w:w="1890" w:type="dxa"/>
            <w:tcBorders>
              <w:top w:val="nil"/>
              <w:left w:val="nil"/>
              <w:bottom w:val="nil"/>
            </w:tcBorders>
          </w:tcPr>
          <w:p w14:paraId="473963D3" w14:textId="77777777" w:rsid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Moderately Improved</w:t>
            </w:r>
          </w:p>
          <w:p w14:paraId="7D1308A1" w14:textId="77777777" w:rsidR="00215724" w:rsidRP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p>
        </w:tc>
        <w:tc>
          <w:tcPr>
            <w:tcW w:w="1530" w:type="dxa"/>
            <w:tcBorders>
              <w:top w:val="nil"/>
              <w:bottom w:val="nil"/>
              <w:right w:val="nil"/>
            </w:tcBorders>
          </w:tcPr>
          <w:p w14:paraId="5E3F0997"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4</w:t>
            </w:r>
          </w:p>
        </w:tc>
        <w:tc>
          <w:tcPr>
            <w:tcW w:w="1980" w:type="dxa"/>
            <w:tcBorders>
              <w:top w:val="nil"/>
              <w:left w:val="nil"/>
              <w:bottom w:val="nil"/>
              <w:right w:val="nil"/>
            </w:tcBorders>
          </w:tcPr>
          <w:p w14:paraId="335FBE7F" w14:textId="77777777" w:rsidR="00215724" w:rsidRP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Moderately Improved</w:t>
            </w:r>
          </w:p>
        </w:tc>
      </w:tr>
      <w:tr w:rsidR="00215724" w:rsidRPr="00215724" w14:paraId="50E52DCF" w14:textId="77777777" w:rsidTr="00215724">
        <w:trPr>
          <w:trHeight w:val="411"/>
        </w:trPr>
        <w:tc>
          <w:tcPr>
            <w:tcW w:w="1170" w:type="dxa"/>
            <w:tcBorders>
              <w:top w:val="nil"/>
              <w:left w:val="nil"/>
              <w:bottom w:val="nil"/>
              <w:right w:val="nil"/>
            </w:tcBorders>
          </w:tcPr>
          <w:p w14:paraId="77EFDB61"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5-8</w:t>
            </w:r>
          </w:p>
        </w:tc>
        <w:tc>
          <w:tcPr>
            <w:tcW w:w="1260" w:type="dxa"/>
            <w:tcBorders>
              <w:top w:val="nil"/>
              <w:left w:val="nil"/>
              <w:bottom w:val="nil"/>
              <w:right w:val="nil"/>
            </w:tcBorders>
          </w:tcPr>
          <w:p w14:paraId="47C006E8"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2</w:t>
            </w:r>
          </w:p>
        </w:tc>
        <w:tc>
          <w:tcPr>
            <w:tcW w:w="1890" w:type="dxa"/>
            <w:tcBorders>
              <w:top w:val="nil"/>
              <w:left w:val="nil"/>
              <w:bottom w:val="nil"/>
            </w:tcBorders>
          </w:tcPr>
          <w:p w14:paraId="0F2EFAE0" w14:textId="77777777" w:rsid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Slightly Improved</w:t>
            </w:r>
          </w:p>
          <w:p w14:paraId="2CD5D710" w14:textId="77777777" w:rsidR="00215724" w:rsidRP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p>
        </w:tc>
        <w:tc>
          <w:tcPr>
            <w:tcW w:w="1530" w:type="dxa"/>
            <w:tcBorders>
              <w:top w:val="nil"/>
              <w:bottom w:val="nil"/>
              <w:right w:val="nil"/>
            </w:tcBorders>
          </w:tcPr>
          <w:p w14:paraId="22A8400E"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1</w:t>
            </w:r>
          </w:p>
        </w:tc>
        <w:tc>
          <w:tcPr>
            <w:tcW w:w="1980" w:type="dxa"/>
            <w:tcBorders>
              <w:top w:val="nil"/>
              <w:left w:val="nil"/>
              <w:bottom w:val="nil"/>
              <w:right w:val="nil"/>
            </w:tcBorders>
          </w:tcPr>
          <w:p w14:paraId="2BAE1841" w14:textId="77777777" w:rsidR="00215724" w:rsidRP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Slightly Improved</w:t>
            </w:r>
          </w:p>
        </w:tc>
      </w:tr>
      <w:tr w:rsidR="00215724" w:rsidRPr="00215724" w14:paraId="791601A7" w14:textId="77777777" w:rsidTr="00215724">
        <w:trPr>
          <w:trHeight w:val="411"/>
        </w:trPr>
        <w:tc>
          <w:tcPr>
            <w:tcW w:w="1170" w:type="dxa"/>
            <w:tcBorders>
              <w:top w:val="nil"/>
              <w:left w:val="nil"/>
              <w:bottom w:val="double" w:sz="6" w:space="0" w:color="auto"/>
              <w:right w:val="nil"/>
            </w:tcBorders>
          </w:tcPr>
          <w:p w14:paraId="031B40E2"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1-4</w:t>
            </w:r>
          </w:p>
        </w:tc>
        <w:tc>
          <w:tcPr>
            <w:tcW w:w="1260" w:type="dxa"/>
            <w:tcBorders>
              <w:top w:val="nil"/>
              <w:left w:val="nil"/>
              <w:bottom w:val="double" w:sz="6" w:space="0" w:color="auto"/>
              <w:right w:val="nil"/>
            </w:tcBorders>
          </w:tcPr>
          <w:p w14:paraId="4794DA0B"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5</w:t>
            </w:r>
          </w:p>
        </w:tc>
        <w:tc>
          <w:tcPr>
            <w:tcW w:w="1890" w:type="dxa"/>
            <w:tcBorders>
              <w:top w:val="nil"/>
              <w:left w:val="nil"/>
              <w:bottom w:val="double" w:sz="6" w:space="0" w:color="auto"/>
            </w:tcBorders>
          </w:tcPr>
          <w:p w14:paraId="347DBDD4" w14:textId="77777777" w:rsidR="00215724" w:rsidRP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No Improvement</w:t>
            </w:r>
          </w:p>
        </w:tc>
        <w:tc>
          <w:tcPr>
            <w:tcW w:w="1530" w:type="dxa"/>
            <w:tcBorders>
              <w:top w:val="nil"/>
              <w:bottom w:val="double" w:sz="6" w:space="0" w:color="auto"/>
              <w:right w:val="nil"/>
            </w:tcBorders>
          </w:tcPr>
          <w:p w14:paraId="56E832B9" w14:textId="77777777" w:rsidR="00215724" w:rsidRPr="00215724" w:rsidRDefault="00215724" w:rsidP="00215724">
            <w:pPr>
              <w:spacing w:line="360" w:lineRule="auto"/>
              <w:ind w:right="234"/>
              <w:jc w:val="center"/>
              <w:rPr>
                <w:rFonts w:ascii="Times New Roman" w:eastAsia="Times New Roman" w:hAnsi="Times New Roman" w:cs="Times New Roman"/>
                <w:sz w:val="24"/>
                <w:szCs w:val="24"/>
                <w14:ligatures w14:val="standardContextual"/>
              </w:rPr>
            </w:pPr>
          </w:p>
        </w:tc>
        <w:tc>
          <w:tcPr>
            <w:tcW w:w="1980" w:type="dxa"/>
            <w:tcBorders>
              <w:top w:val="nil"/>
              <w:left w:val="nil"/>
              <w:bottom w:val="double" w:sz="6" w:space="0" w:color="auto"/>
              <w:right w:val="nil"/>
            </w:tcBorders>
          </w:tcPr>
          <w:p w14:paraId="24EED2B4" w14:textId="77777777" w:rsidR="00215724" w:rsidRPr="00215724" w:rsidRDefault="00215724" w:rsidP="00215724">
            <w:pPr>
              <w:spacing w:line="240" w:lineRule="auto"/>
              <w:ind w:right="234"/>
              <w:jc w:val="center"/>
              <w:rPr>
                <w:rFonts w:ascii="Times New Roman" w:eastAsia="Times New Roman" w:hAnsi="Times New Roman" w:cs="Times New Roman"/>
                <w:sz w:val="24"/>
                <w:szCs w:val="24"/>
                <w14:ligatures w14:val="standardContextual"/>
              </w:rPr>
            </w:pPr>
            <w:r w:rsidRPr="00215724">
              <w:rPr>
                <w:rFonts w:ascii="Times New Roman" w:eastAsia="Times New Roman" w:hAnsi="Times New Roman" w:cs="Times New Roman"/>
                <w:sz w:val="24"/>
                <w:szCs w:val="24"/>
                <w14:ligatures w14:val="standardContextual"/>
              </w:rPr>
              <w:t>No Improvement</w:t>
            </w:r>
          </w:p>
        </w:tc>
      </w:tr>
    </w:tbl>
    <w:p w14:paraId="325EE359" w14:textId="77777777" w:rsidR="00215724" w:rsidRDefault="00215724" w:rsidP="00215724">
      <w:pPr>
        <w:tabs>
          <w:tab w:val="left" w:pos="7380"/>
        </w:tabs>
        <w:spacing w:before="26" w:after="26" w:line="240" w:lineRule="auto"/>
        <w:ind w:left="1170" w:right="234" w:hanging="1170"/>
        <w:jc w:val="both"/>
        <w:rPr>
          <w:rFonts w:ascii="Times New Roman" w:hAnsi="Times New Roman" w:cs="Times New Roman"/>
          <w:sz w:val="24"/>
          <w:szCs w:val="24"/>
        </w:rPr>
      </w:pPr>
    </w:p>
    <w:p w14:paraId="0E5E67C7" w14:textId="77777777" w:rsidR="00215724" w:rsidRDefault="00215724" w:rsidP="00215724">
      <w:pPr>
        <w:spacing w:line="240" w:lineRule="auto"/>
        <w:ind w:firstLine="556"/>
        <w:jc w:val="both"/>
        <w:rPr>
          <w:rFonts w:ascii="Times New Roman" w:hAnsi="Times New Roman" w:cs="Times New Roman"/>
          <w:sz w:val="24"/>
          <w:szCs w:val="24"/>
        </w:rPr>
      </w:pPr>
    </w:p>
    <w:p w14:paraId="710774C4" w14:textId="77777777" w:rsidR="00215724" w:rsidRPr="00215724" w:rsidRDefault="00215724" w:rsidP="00215724">
      <w:pPr>
        <w:spacing w:line="240" w:lineRule="auto"/>
        <w:ind w:firstLine="556"/>
        <w:jc w:val="both"/>
        <w:rPr>
          <w:rFonts w:ascii="Times New Roman" w:hAnsi="Times New Roman" w:cs="Times New Roman"/>
          <w:sz w:val="24"/>
          <w:szCs w:val="24"/>
        </w:rPr>
      </w:pPr>
    </w:p>
    <w:p w14:paraId="7E6FD706" w14:textId="77777777" w:rsidR="00347752" w:rsidRDefault="00347752">
      <w:pPr>
        <w:spacing w:after="0" w:line="240" w:lineRule="auto"/>
        <w:ind w:firstLine="431"/>
        <w:jc w:val="center"/>
        <w:rPr>
          <w:rFonts w:ascii="Times New Roman" w:eastAsia="Times New Roman" w:hAnsi="Times New Roman" w:cs="Times New Roman"/>
          <w:b/>
          <w:bCs/>
          <w:sz w:val="24"/>
          <w:szCs w:val="24"/>
          <w:lang w:eastAsia="en-PH"/>
        </w:rPr>
      </w:pPr>
    </w:p>
    <w:p w14:paraId="569FC9D0" w14:textId="7BBF135A" w:rsidR="00215724" w:rsidRDefault="00215724">
      <w:pPr>
        <w:spacing w:line="240" w:lineRule="auto"/>
        <w:ind w:firstLine="426"/>
        <w:jc w:val="both"/>
        <w:rPr>
          <w:rFonts w:ascii="Times New Roman" w:hAnsi="Times New Roman" w:cs="Times New Roman"/>
          <w:sz w:val="24"/>
          <w:szCs w:val="24"/>
        </w:rPr>
      </w:pPr>
    </w:p>
    <w:p w14:paraId="79765FF7" w14:textId="77777777" w:rsidR="00215724" w:rsidRDefault="00215724">
      <w:pPr>
        <w:spacing w:line="240" w:lineRule="auto"/>
        <w:ind w:firstLine="426"/>
        <w:jc w:val="both"/>
        <w:rPr>
          <w:rFonts w:ascii="Times New Roman" w:hAnsi="Times New Roman" w:cs="Times New Roman"/>
          <w:sz w:val="24"/>
          <w:szCs w:val="24"/>
        </w:rPr>
      </w:pPr>
    </w:p>
    <w:p w14:paraId="0857D93D" w14:textId="77777777" w:rsidR="00215724" w:rsidRDefault="00215724">
      <w:pPr>
        <w:spacing w:line="240" w:lineRule="auto"/>
        <w:ind w:firstLine="426"/>
        <w:jc w:val="both"/>
        <w:rPr>
          <w:rFonts w:ascii="Times New Roman" w:hAnsi="Times New Roman" w:cs="Times New Roman"/>
          <w:sz w:val="24"/>
          <w:szCs w:val="24"/>
        </w:rPr>
      </w:pPr>
    </w:p>
    <w:p w14:paraId="7E2CE665" w14:textId="77777777" w:rsidR="00215724" w:rsidRDefault="00215724">
      <w:pPr>
        <w:spacing w:line="240" w:lineRule="auto"/>
        <w:ind w:firstLine="426"/>
        <w:jc w:val="both"/>
        <w:rPr>
          <w:rFonts w:ascii="Times New Roman" w:hAnsi="Times New Roman" w:cs="Times New Roman"/>
          <w:sz w:val="24"/>
          <w:szCs w:val="24"/>
        </w:rPr>
      </w:pPr>
    </w:p>
    <w:p w14:paraId="0190F4F0" w14:textId="77777777" w:rsidR="00215724" w:rsidRDefault="00215724">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p w14:paraId="7CD34628" w14:textId="77777777" w:rsidR="00215724" w:rsidRDefault="00215724">
      <w:pPr>
        <w:spacing w:line="240" w:lineRule="auto"/>
        <w:ind w:firstLine="426"/>
        <w:jc w:val="both"/>
        <w:rPr>
          <w:rFonts w:ascii="Times New Roman" w:hAnsi="Times New Roman" w:cs="Times New Roman"/>
          <w:sz w:val="24"/>
          <w:szCs w:val="24"/>
        </w:rPr>
      </w:pPr>
    </w:p>
    <w:p w14:paraId="7826D798" w14:textId="77777777" w:rsidR="00215724" w:rsidRDefault="00215724">
      <w:pPr>
        <w:spacing w:line="240" w:lineRule="auto"/>
        <w:ind w:firstLine="426"/>
        <w:jc w:val="both"/>
        <w:rPr>
          <w:rFonts w:ascii="Times New Roman" w:hAnsi="Times New Roman" w:cs="Times New Roman"/>
          <w:sz w:val="24"/>
          <w:szCs w:val="24"/>
        </w:rPr>
      </w:pPr>
    </w:p>
    <w:p w14:paraId="4C2AE3B1" w14:textId="77777777" w:rsidR="00215724" w:rsidRDefault="00215724" w:rsidP="00215724">
      <w:pPr>
        <w:spacing w:before="26" w:after="26" w:line="480" w:lineRule="auto"/>
        <w:ind w:right="234"/>
        <w:jc w:val="both"/>
        <w:rPr>
          <w:rFonts w:ascii="Times New Roman" w:hAnsi="Times New Roman" w:cs="Times New Roman"/>
          <w:b/>
          <w:sz w:val="24"/>
          <w:szCs w:val="24"/>
        </w:rPr>
      </w:pPr>
    </w:p>
    <w:p w14:paraId="18246D7E" w14:textId="0B7615B1" w:rsidR="00215724" w:rsidRDefault="00215724" w:rsidP="00215724">
      <w:pPr>
        <w:spacing w:before="26" w:after="26" w:line="480" w:lineRule="auto"/>
        <w:ind w:right="234"/>
        <w:jc w:val="both"/>
        <w:rPr>
          <w:rFonts w:ascii="Times New Roman" w:hAnsi="Times New Roman" w:cs="Times New Roman"/>
          <w:b/>
          <w:sz w:val="24"/>
          <w:szCs w:val="24"/>
        </w:rPr>
      </w:pPr>
      <w:r>
        <w:rPr>
          <w:rFonts w:ascii="Times New Roman" w:hAnsi="Times New Roman" w:cs="Times New Roman"/>
          <w:b/>
          <w:sz w:val="24"/>
          <w:szCs w:val="24"/>
        </w:rPr>
        <w:t xml:space="preserve">4.5 </w:t>
      </w:r>
      <w:r w:rsidRPr="00BF13BF">
        <w:rPr>
          <w:rFonts w:ascii="Times New Roman" w:hAnsi="Times New Roman" w:cs="Times New Roman"/>
          <w:b/>
          <w:sz w:val="24"/>
          <w:szCs w:val="24"/>
        </w:rPr>
        <w:t xml:space="preserve">Significant Difference between Pre-test and Post-test of Control Group </w:t>
      </w:r>
    </w:p>
    <w:p w14:paraId="498E1DFA" w14:textId="15FD7C5B" w:rsidR="00160EE9" w:rsidRDefault="00215724" w:rsidP="000B06F0">
      <w:pPr>
        <w:spacing w:line="240" w:lineRule="auto"/>
        <w:ind w:firstLine="426"/>
        <w:jc w:val="both"/>
        <w:rPr>
          <w:rFonts w:ascii="Times New Roman" w:hAnsi="Times New Roman" w:cs="Times New Roman"/>
          <w:sz w:val="24"/>
          <w:szCs w:val="24"/>
        </w:rPr>
      </w:pPr>
      <w:r w:rsidRPr="00215724">
        <w:rPr>
          <w:rFonts w:ascii="Times New Roman" w:hAnsi="Times New Roman" w:cs="Times New Roman"/>
          <w:sz w:val="24"/>
          <w:szCs w:val="24"/>
        </w:rPr>
        <w:t>Table 4.</w:t>
      </w:r>
      <w:r w:rsidR="00E34A26">
        <w:rPr>
          <w:rFonts w:ascii="Times New Roman" w:hAnsi="Times New Roman" w:cs="Times New Roman"/>
          <w:sz w:val="24"/>
          <w:szCs w:val="24"/>
        </w:rPr>
        <w:t>5</w:t>
      </w:r>
      <w:r w:rsidRPr="00215724">
        <w:rPr>
          <w:rFonts w:ascii="Times New Roman" w:hAnsi="Times New Roman" w:cs="Times New Roman"/>
          <w:sz w:val="24"/>
          <w:szCs w:val="24"/>
        </w:rPr>
        <w:t xml:space="preserve">. presents the results of the Wilcoxon Signed-Rank Test used to determine the significant difference between the pre-test and post-test scores of the control group. The analysis revealed a test statistic of W = -6.88, with a degree of freedom of </w:t>
      </w:r>
      <w:proofErr w:type="spellStart"/>
      <w:r w:rsidRPr="00215724">
        <w:rPr>
          <w:rFonts w:ascii="Times New Roman" w:hAnsi="Times New Roman" w:cs="Times New Roman"/>
          <w:sz w:val="24"/>
          <w:szCs w:val="24"/>
        </w:rPr>
        <w:t>df</w:t>
      </w:r>
      <w:proofErr w:type="spellEnd"/>
      <w:r w:rsidRPr="00215724">
        <w:rPr>
          <w:rFonts w:ascii="Times New Roman" w:hAnsi="Times New Roman" w:cs="Times New Roman"/>
          <w:sz w:val="24"/>
          <w:szCs w:val="24"/>
        </w:rPr>
        <w:t xml:space="preserve"> = 13, and an effect size of ε² = -1.84, indicating a very strong practical effect. Furthermore, the obtained p-value (0.001) is considerably lower than the 0.05 level of significance. Therefore, the null hypothesis is rejected. These results confirm that there is a statistically significant improvement in the post-test scores of the control group.</w:t>
      </w:r>
      <w:r>
        <w:rPr>
          <w:rFonts w:ascii="Times New Roman" w:hAnsi="Times New Roman" w:cs="Times New Roman"/>
          <w:sz w:val="24"/>
          <w:szCs w:val="24"/>
        </w:rPr>
        <w:t xml:space="preserve"> </w:t>
      </w:r>
      <w:r w:rsidRPr="00215724">
        <w:rPr>
          <w:rFonts w:ascii="Times New Roman" w:hAnsi="Times New Roman" w:cs="Times New Roman"/>
          <w:sz w:val="24"/>
          <w:szCs w:val="24"/>
        </w:rPr>
        <w:t>This implies that, even without the integration of music as an instructional strategy, the participant demonstrated measurable improvement in their understanding and application of mathematical concepts. Such improvement may be attributed to factors such as traditional teaching methods, repeated practice, teacher guidance, or natural learning progression over time.</w:t>
      </w:r>
      <w:r>
        <w:rPr>
          <w:rFonts w:ascii="Times New Roman" w:hAnsi="Times New Roman" w:cs="Times New Roman"/>
          <w:sz w:val="24"/>
          <w:szCs w:val="24"/>
        </w:rPr>
        <w:t xml:space="preserve"> </w:t>
      </w:r>
      <w:r w:rsidRPr="00215724">
        <w:rPr>
          <w:rFonts w:ascii="Times New Roman" w:hAnsi="Times New Roman" w:cs="Times New Roman"/>
          <w:sz w:val="24"/>
          <w:szCs w:val="24"/>
        </w:rPr>
        <w:t>Before the integration of Music, the pre-test scores provided a baseline measure of the group's proficiency and knowledge in Mathematics. These scores served as a reference point for evaluating the effect of teaching methods on their learning outcomes. The group displayed a diverse range of abilities, from basic understanding to more advanced mathematical concepts. Following the study period, the post-test scores highlighted a notable improvement in the controlled group's comprehension and application of mathematical principles, suggesting that traditional teaching methods contributed to their learning progress (Smith and Johnson, 2021).</w:t>
      </w:r>
    </w:p>
    <w:p w14:paraId="6999C25D" w14:textId="77777777" w:rsidR="00BA31DF" w:rsidRDefault="00BA31DF" w:rsidP="000B06F0">
      <w:pPr>
        <w:spacing w:line="240" w:lineRule="auto"/>
        <w:ind w:firstLine="426"/>
        <w:jc w:val="both"/>
        <w:rPr>
          <w:rFonts w:ascii="Times New Roman" w:hAnsi="Times New Roman" w:cs="Times New Roman"/>
          <w:sz w:val="24"/>
          <w:szCs w:val="24"/>
        </w:rPr>
      </w:pPr>
    </w:p>
    <w:p w14:paraId="375DA3D4" w14:textId="77777777" w:rsidR="000B06F0" w:rsidRDefault="000B06F0" w:rsidP="000B06F0">
      <w:pPr>
        <w:spacing w:line="240" w:lineRule="auto"/>
        <w:ind w:firstLine="426"/>
        <w:jc w:val="both"/>
        <w:rPr>
          <w:rFonts w:ascii="Times New Roman" w:hAnsi="Times New Roman" w:cs="Times New Roman"/>
          <w:sz w:val="24"/>
          <w:szCs w:val="24"/>
        </w:rPr>
      </w:pPr>
    </w:p>
    <w:p w14:paraId="5198F9E2" w14:textId="77777777" w:rsidR="000B06F0" w:rsidRDefault="000B06F0" w:rsidP="000B06F0">
      <w:pPr>
        <w:spacing w:line="240" w:lineRule="auto"/>
        <w:ind w:firstLine="426"/>
        <w:jc w:val="both"/>
        <w:rPr>
          <w:rFonts w:ascii="Times New Roman" w:hAnsi="Times New Roman" w:cs="Times New Roman"/>
          <w:sz w:val="24"/>
          <w:szCs w:val="24"/>
        </w:rPr>
      </w:pPr>
    </w:p>
    <w:p w14:paraId="277A09E5" w14:textId="7985C8E7" w:rsidR="00160EE9" w:rsidRDefault="00160EE9" w:rsidP="00160EE9">
      <w:pPr>
        <w:spacing w:before="26" w:after="26" w:line="240" w:lineRule="auto"/>
        <w:ind w:right="234"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5C52BA">
        <w:rPr>
          <w:rFonts w:ascii="Times New Roman" w:hAnsi="Times New Roman" w:cs="Times New Roman"/>
          <w:b/>
          <w:sz w:val="24"/>
          <w:szCs w:val="24"/>
        </w:rPr>
        <w:t xml:space="preserve">Table </w:t>
      </w:r>
      <w:r>
        <w:rPr>
          <w:rFonts w:ascii="Times New Roman" w:hAnsi="Times New Roman" w:cs="Times New Roman"/>
          <w:b/>
          <w:sz w:val="24"/>
          <w:szCs w:val="24"/>
        </w:rPr>
        <w:t>4</w:t>
      </w:r>
      <w:r w:rsidR="00E34A26">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sz w:val="24"/>
          <w:szCs w:val="24"/>
        </w:rPr>
        <w:t xml:space="preserve"> </w:t>
      </w:r>
      <w:r w:rsidRPr="00482984">
        <w:rPr>
          <w:rFonts w:ascii="Times New Roman" w:hAnsi="Times New Roman" w:cs="Times New Roman"/>
          <w:sz w:val="24"/>
          <w:szCs w:val="24"/>
        </w:rPr>
        <w:t>Difference between Pre-test and Post-test of Control Group</w:t>
      </w:r>
      <w:r>
        <w:rPr>
          <w:rFonts w:ascii="Times New Roman" w:hAnsi="Times New Roman" w:cs="Times New Roman"/>
          <w:sz w:val="24"/>
          <w:szCs w:val="24"/>
        </w:rPr>
        <w:t xml:space="preserve"> (n=14).</w:t>
      </w:r>
    </w:p>
    <w:tbl>
      <w:tblPr>
        <w:tblStyle w:val="TableGrid5"/>
        <w:tblpPr w:leftFromText="180" w:rightFromText="180" w:vertAnchor="text" w:horzAnchor="margin" w:tblpXSpec="center" w:tblpY="46"/>
        <w:tblW w:w="7830" w:type="dxa"/>
        <w:tblBorders>
          <w:top w:val="double" w:sz="6" w:space="0" w:color="auto"/>
          <w:left w:val="none" w:sz="0" w:space="0" w:color="auto"/>
          <w:bottom w:val="double" w:sz="6" w:space="0" w:color="auto"/>
          <w:right w:val="none" w:sz="0" w:space="0" w:color="auto"/>
          <w:insideH w:val="single" w:sz="6" w:space="0" w:color="auto"/>
          <w:insideV w:val="none" w:sz="0" w:space="0" w:color="auto"/>
        </w:tblBorders>
        <w:tblLayout w:type="fixed"/>
        <w:tblLook w:val="04A0" w:firstRow="1" w:lastRow="0" w:firstColumn="1" w:lastColumn="0" w:noHBand="0" w:noVBand="1"/>
      </w:tblPr>
      <w:tblGrid>
        <w:gridCol w:w="1705"/>
        <w:gridCol w:w="1306"/>
        <w:gridCol w:w="1214"/>
        <w:gridCol w:w="728"/>
        <w:gridCol w:w="1162"/>
        <w:gridCol w:w="1715"/>
      </w:tblGrid>
      <w:tr w:rsidR="00160EE9" w:rsidRPr="00160EE9" w14:paraId="609CE4FE" w14:textId="77777777" w:rsidTr="00160EE9">
        <w:trPr>
          <w:trHeight w:val="226"/>
        </w:trPr>
        <w:tc>
          <w:tcPr>
            <w:tcW w:w="1705" w:type="dxa"/>
          </w:tcPr>
          <w:p w14:paraId="223C83CB"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Test</w:t>
            </w:r>
          </w:p>
        </w:tc>
        <w:tc>
          <w:tcPr>
            <w:tcW w:w="1306" w:type="dxa"/>
          </w:tcPr>
          <w:p w14:paraId="0698D5D8"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Statistic</w:t>
            </w:r>
          </w:p>
          <w:p w14:paraId="305083CE"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(W)</w:t>
            </w:r>
          </w:p>
        </w:tc>
        <w:tc>
          <w:tcPr>
            <w:tcW w:w="1214" w:type="dxa"/>
          </w:tcPr>
          <w:p w14:paraId="1BDD427D" w14:textId="77777777" w:rsidR="00160EE9" w:rsidRPr="00160EE9" w:rsidRDefault="00160EE9" w:rsidP="00160EE9">
            <w:pPr>
              <w:spacing w:before="26" w:after="26" w:line="240" w:lineRule="auto"/>
              <w:ind w:right="234"/>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p-value</w:t>
            </w:r>
          </w:p>
        </w:tc>
        <w:tc>
          <w:tcPr>
            <w:tcW w:w="728" w:type="dxa"/>
          </w:tcPr>
          <w:p w14:paraId="124C8849"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proofErr w:type="spellStart"/>
            <w:r w:rsidRPr="00160EE9">
              <w:rPr>
                <w:rFonts w:ascii="Times New Roman" w:eastAsia="Times New Roman" w:hAnsi="Times New Roman" w:cs="Times New Roman"/>
                <w:sz w:val="24"/>
                <w:szCs w:val="24"/>
                <w14:ligatures w14:val="standardContextual"/>
              </w:rPr>
              <w:t>df</w:t>
            </w:r>
            <w:proofErr w:type="spellEnd"/>
          </w:p>
        </w:tc>
        <w:tc>
          <w:tcPr>
            <w:tcW w:w="1162" w:type="dxa"/>
          </w:tcPr>
          <w:p w14:paraId="1D1507F4"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6"/>
                <w:szCs w:val="26"/>
                <w14:ligatures w14:val="standardContextual"/>
              </w:rPr>
            </w:pPr>
            <w:r w:rsidRPr="00160EE9">
              <w:rPr>
                <w:rFonts w:ascii="Times New Roman" w:eastAsia="Times New Roman" w:hAnsi="Times New Roman" w:cs="Times New Roman"/>
                <w:bCs/>
                <w:color w:val="333333"/>
                <w:sz w:val="26"/>
                <w:szCs w:val="26"/>
                <w:lang w:eastAsia="en-PH"/>
                <w14:ligatures w14:val="standardContextual"/>
              </w:rPr>
              <w:t>ε²</w:t>
            </w:r>
          </w:p>
        </w:tc>
        <w:tc>
          <w:tcPr>
            <w:tcW w:w="1715" w:type="dxa"/>
          </w:tcPr>
          <w:p w14:paraId="4ADECE4B"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Level of significance</w:t>
            </w:r>
          </w:p>
        </w:tc>
      </w:tr>
      <w:tr w:rsidR="00160EE9" w:rsidRPr="00160EE9" w14:paraId="20FD4DE3" w14:textId="77777777" w:rsidTr="00160EE9">
        <w:trPr>
          <w:trHeight w:val="416"/>
        </w:trPr>
        <w:tc>
          <w:tcPr>
            <w:tcW w:w="1705" w:type="dxa"/>
          </w:tcPr>
          <w:p w14:paraId="7E09C4A1"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Wilcoxon Signed-Rank</w:t>
            </w:r>
          </w:p>
        </w:tc>
        <w:tc>
          <w:tcPr>
            <w:tcW w:w="1306" w:type="dxa"/>
          </w:tcPr>
          <w:p w14:paraId="57C944F4"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-6.88</w:t>
            </w:r>
          </w:p>
        </w:tc>
        <w:tc>
          <w:tcPr>
            <w:tcW w:w="1214" w:type="dxa"/>
          </w:tcPr>
          <w:p w14:paraId="5F673734"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0.001*</w:t>
            </w:r>
          </w:p>
        </w:tc>
        <w:tc>
          <w:tcPr>
            <w:tcW w:w="728" w:type="dxa"/>
          </w:tcPr>
          <w:p w14:paraId="15BDBBAE"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13</w:t>
            </w:r>
          </w:p>
        </w:tc>
        <w:tc>
          <w:tcPr>
            <w:tcW w:w="1162" w:type="dxa"/>
          </w:tcPr>
          <w:p w14:paraId="2AD5CA5E"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-1.84</w:t>
            </w:r>
          </w:p>
        </w:tc>
        <w:tc>
          <w:tcPr>
            <w:tcW w:w="1715" w:type="dxa"/>
          </w:tcPr>
          <w:p w14:paraId="66C14EEA"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0.05</w:t>
            </w:r>
          </w:p>
        </w:tc>
      </w:tr>
    </w:tbl>
    <w:p w14:paraId="14D10156" w14:textId="77777777" w:rsidR="00160EE9" w:rsidRDefault="00160EE9" w:rsidP="00215724">
      <w:pPr>
        <w:spacing w:line="240" w:lineRule="auto"/>
        <w:ind w:firstLine="426"/>
        <w:jc w:val="both"/>
        <w:rPr>
          <w:rFonts w:ascii="Times New Roman" w:hAnsi="Times New Roman"/>
          <w:sz w:val="24"/>
          <w:szCs w:val="24"/>
        </w:rPr>
      </w:pPr>
    </w:p>
    <w:p w14:paraId="24FB2117" w14:textId="77777777" w:rsidR="00160EE9" w:rsidRDefault="00160EE9" w:rsidP="00215724">
      <w:pPr>
        <w:spacing w:line="240" w:lineRule="auto"/>
        <w:ind w:firstLine="426"/>
        <w:jc w:val="both"/>
        <w:rPr>
          <w:rFonts w:ascii="Times New Roman" w:hAnsi="Times New Roman"/>
          <w:sz w:val="24"/>
          <w:szCs w:val="24"/>
        </w:rPr>
      </w:pPr>
    </w:p>
    <w:p w14:paraId="07A3835B" w14:textId="77777777" w:rsidR="00347752" w:rsidRDefault="00347752">
      <w:pPr>
        <w:spacing w:after="0" w:line="480" w:lineRule="auto"/>
        <w:jc w:val="both"/>
        <w:rPr>
          <w:rFonts w:ascii="Times New Roman" w:eastAsia="Times New Roman" w:hAnsi="Times New Roman" w:cs="Times New Roman"/>
          <w:sz w:val="24"/>
          <w:szCs w:val="24"/>
        </w:rPr>
      </w:pPr>
    </w:p>
    <w:p w14:paraId="6FF51A33" w14:textId="2845E645" w:rsidR="00160EE9" w:rsidRPr="00160EE9" w:rsidRDefault="00160EE9" w:rsidP="00160EE9">
      <w:pPr>
        <w:spacing w:before="26" w:after="0" w:line="480" w:lineRule="auto"/>
        <w:ind w:right="234"/>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Pr="00CF3F8A">
        <w:rPr>
          <w:rFonts w:ascii="Times New Roman" w:hAnsi="Times New Roman" w:cs="Times New Roman"/>
          <w:sz w:val="24"/>
          <w:szCs w:val="24"/>
        </w:rPr>
        <w:t>significant</w:t>
      </w:r>
      <w:proofErr w:type="gramEnd"/>
    </w:p>
    <w:p w14:paraId="3F56E723" w14:textId="77777777" w:rsidR="00160EE9" w:rsidRDefault="00160EE9" w:rsidP="00160EE9">
      <w:pPr>
        <w:spacing w:before="26" w:after="26" w:line="240" w:lineRule="auto"/>
        <w:ind w:left="360" w:right="234" w:hanging="360"/>
        <w:jc w:val="both"/>
        <w:rPr>
          <w:rFonts w:ascii="Times New Roman" w:hAnsi="Times New Roman" w:cs="Times New Roman"/>
          <w:b/>
          <w:sz w:val="24"/>
          <w:szCs w:val="24"/>
        </w:rPr>
      </w:pPr>
      <w:r>
        <w:rPr>
          <w:rFonts w:ascii="Times New Roman" w:hAnsi="Times New Roman" w:cs="Times New Roman"/>
          <w:b/>
          <w:sz w:val="24"/>
          <w:szCs w:val="24"/>
        </w:rPr>
        <w:t xml:space="preserve">4.6 </w:t>
      </w:r>
      <w:r w:rsidRPr="00BF13BF">
        <w:rPr>
          <w:rFonts w:ascii="Times New Roman" w:hAnsi="Times New Roman" w:cs="Times New Roman"/>
          <w:b/>
          <w:sz w:val="24"/>
          <w:szCs w:val="24"/>
        </w:rPr>
        <w:t xml:space="preserve">Significant Difference between Pre-test and Post-test of </w:t>
      </w:r>
      <w:r>
        <w:rPr>
          <w:rFonts w:ascii="Times New Roman" w:hAnsi="Times New Roman" w:cs="Times New Roman"/>
          <w:b/>
          <w:sz w:val="24"/>
          <w:szCs w:val="24"/>
        </w:rPr>
        <w:t xml:space="preserve">Experimental </w:t>
      </w:r>
      <w:r w:rsidRPr="00BF13BF">
        <w:rPr>
          <w:rFonts w:ascii="Times New Roman" w:hAnsi="Times New Roman" w:cs="Times New Roman"/>
          <w:b/>
          <w:sz w:val="24"/>
          <w:szCs w:val="24"/>
        </w:rPr>
        <w:t>Group</w:t>
      </w:r>
    </w:p>
    <w:p w14:paraId="62CF23D4" w14:textId="2B643C23" w:rsidR="00347752" w:rsidRPr="00160EE9" w:rsidRDefault="00160EE9" w:rsidP="00160EE9">
      <w:pPr>
        <w:spacing w:before="26" w:after="26" w:line="240" w:lineRule="auto"/>
        <w:ind w:left="360" w:right="234" w:hanging="360"/>
        <w:jc w:val="both"/>
        <w:rPr>
          <w:rFonts w:ascii="Times New Roman" w:hAnsi="Times New Roman" w:cs="Times New Roman"/>
          <w:b/>
          <w:sz w:val="24"/>
          <w:szCs w:val="24"/>
        </w:rPr>
      </w:pPr>
      <w:r w:rsidRPr="00BF13BF">
        <w:rPr>
          <w:rFonts w:ascii="Times New Roman" w:hAnsi="Times New Roman" w:cs="Times New Roman"/>
          <w:b/>
          <w:sz w:val="24"/>
          <w:szCs w:val="24"/>
        </w:rPr>
        <w:t xml:space="preserve"> </w:t>
      </w:r>
    </w:p>
    <w:p w14:paraId="62234C01" w14:textId="6FE64EA6" w:rsidR="00160EE9" w:rsidRPr="00160EE9" w:rsidRDefault="00160EE9" w:rsidP="00160EE9">
      <w:pPr>
        <w:spacing w:after="0" w:line="240" w:lineRule="auto"/>
        <w:ind w:firstLine="360"/>
        <w:jc w:val="both"/>
        <w:rPr>
          <w:rFonts w:ascii="Times New Roman" w:eastAsia="Times New Roman" w:hAnsi="Times New Roman" w:cs="Times New Roman"/>
          <w:bCs/>
          <w:sz w:val="24"/>
          <w:szCs w:val="24"/>
          <w:lang w:eastAsia="en-PH"/>
        </w:rPr>
      </w:pPr>
      <w:r w:rsidRPr="00160EE9">
        <w:rPr>
          <w:rFonts w:ascii="Times New Roman" w:eastAsia="Times New Roman" w:hAnsi="Times New Roman" w:cs="Times New Roman"/>
          <w:bCs/>
          <w:sz w:val="24"/>
          <w:szCs w:val="24"/>
          <w:lang w:eastAsia="en-PH"/>
        </w:rPr>
        <w:t>Table 4.</w:t>
      </w:r>
      <w:r w:rsidR="00E34A26">
        <w:rPr>
          <w:rFonts w:ascii="Times New Roman" w:eastAsia="Times New Roman" w:hAnsi="Times New Roman" w:cs="Times New Roman"/>
          <w:bCs/>
          <w:sz w:val="24"/>
          <w:szCs w:val="24"/>
          <w:lang w:eastAsia="en-PH"/>
        </w:rPr>
        <w:t>6</w:t>
      </w:r>
      <w:r w:rsidRPr="00160EE9">
        <w:rPr>
          <w:rFonts w:ascii="Times New Roman" w:eastAsia="Times New Roman" w:hAnsi="Times New Roman" w:cs="Times New Roman"/>
          <w:bCs/>
          <w:sz w:val="24"/>
          <w:szCs w:val="24"/>
          <w:lang w:eastAsia="en-PH"/>
        </w:rPr>
        <w:t xml:space="preserve">. illustrates the significant difference between the pre-test and post-test scores of the experimental group using the Wilcoxon Signed-Rank Test. The analysis revealed a test statistic of W = -14.1, with a degree of freedom of </w:t>
      </w:r>
      <w:proofErr w:type="spellStart"/>
      <w:r w:rsidRPr="00160EE9">
        <w:rPr>
          <w:rFonts w:ascii="Times New Roman" w:eastAsia="Times New Roman" w:hAnsi="Times New Roman" w:cs="Times New Roman"/>
          <w:bCs/>
          <w:sz w:val="24"/>
          <w:szCs w:val="24"/>
          <w:lang w:eastAsia="en-PH"/>
        </w:rPr>
        <w:t>df</w:t>
      </w:r>
      <w:proofErr w:type="spellEnd"/>
      <w:r w:rsidRPr="00160EE9">
        <w:rPr>
          <w:rFonts w:ascii="Times New Roman" w:eastAsia="Times New Roman" w:hAnsi="Times New Roman" w:cs="Times New Roman"/>
          <w:bCs/>
          <w:sz w:val="24"/>
          <w:szCs w:val="24"/>
          <w:lang w:eastAsia="en-PH"/>
        </w:rPr>
        <w:t xml:space="preserve"> = 13, and an effect size of ε² = -3.77, indicating a very strong practical effect. The result shows that the pre-test scores have a highly significant difference compared to the post-test scores, as evidenced by the p-value (0.001), which is much lower than the 0.05 level of significance. Therefore, the null hypothesis is rejected.</w:t>
      </w:r>
      <w:r>
        <w:rPr>
          <w:rFonts w:ascii="Times New Roman" w:eastAsia="Times New Roman" w:hAnsi="Times New Roman" w:cs="Times New Roman"/>
          <w:bCs/>
          <w:sz w:val="24"/>
          <w:szCs w:val="24"/>
          <w:lang w:eastAsia="en-PH"/>
        </w:rPr>
        <w:t xml:space="preserve"> </w:t>
      </w:r>
      <w:r w:rsidRPr="00160EE9">
        <w:rPr>
          <w:rFonts w:ascii="Times New Roman" w:eastAsia="Times New Roman" w:hAnsi="Times New Roman" w:cs="Times New Roman"/>
          <w:bCs/>
          <w:sz w:val="24"/>
          <w:szCs w:val="24"/>
          <w:lang w:eastAsia="en-PH"/>
        </w:rPr>
        <w:t>These findings indicate a significant improvement between the pre-test and post-test scores of the experimental group, signifying a substantial enhancement in the students’ comprehension and problem-solving skills in Mathematics. The evident difference suggests that the integration of music as a teaching strategy had a measurable positive impact on the performance of the experimental group.</w:t>
      </w:r>
    </w:p>
    <w:p w14:paraId="30011EFD" w14:textId="77777777" w:rsidR="00160EE9" w:rsidRDefault="00160EE9" w:rsidP="00160EE9">
      <w:pPr>
        <w:spacing w:after="0" w:line="240" w:lineRule="auto"/>
        <w:ind w:firstLine="360"/>
        <w:jc w:val="both"/>
        <w:rPr>
          <w:rFonts w:ascii="Times New Roman" w:eastAsia="Times New Roman" w:hAnsi="Times New Roman" w:cs="Times New Roman"/>
          <w:bCs/>
          <w:sz w:val="24"/>
          <w:szCs w:val="24"/>
          <w:lang w:eastAsia="en-PH"/>
        </w:rPr>
      </w:pPr>
      <w:r w:rsidRPr="00160EE9">
        <w:rPr>
          <w:rFonts w:ascii="Times New Roman" w:eastAsia="Times New Roman" w:hAnsi="Times New Roman" w:cs="Times New Roman"/>
          <w:bCs/>
          <w:sz w:val="24"/>
          <w:szCs w:val="24"/>
          <w:lang w:eastAsia="en-PH"/>
        </w:rPr>
        <w:t>A study by Trujillo (2025), he examined the integration of Music into early childhood education, focusing on its impact on mathematical learning. The research found that incorporating music into Mathematics instruction not only enhanced children's cognitive development but also improved their motivation and engagement with mathematical concepts. Through a qualitative and descriptive approach, the study highlighted the benefits of using musical strategies to teach mathematical competencies, such as problem-solving and spatial reasoning. These findings suggest that integrating Music into the curriculum can be an effective strategy to support children's mathematical learning and development.</w:t>
      </w:r>
    </w:p>
    <w:p w14:paraId="7A911875" w14:textId="77777777" w:rsidR="00160EE9" w:rsidRDefault="00160EE9" w:rsidP="00160EE9">
      <w:pPr>
        <w:spacing w:after="0" w:line="240" w:lineRule="auto"/>
        <w:jc w:val="both"/>
        <w:rPr>
          <w:rFonts w:ascii="Times New Roman" w:eastAsia="Times New Roman" w:hAnsi="Times New Roman" w:cs="Times New Roman"/>
          <w:bCs/>
          <w:sz w:val="24"/>
          <w:szCs w:val="24"/>
          <w:lang w:eastAsia="en-PH"/>
        </w:rPr>
      </w:pPr>
    </w:p>
    <w:p w14:paraId="659D65E3" w14:textId="2B2A5ACF" w:rsidR="00160EE9" w:rsidRDefault="00160EE9" w:rsidP="00160EE9">
      <w:pPr>
        <w:spacing w:before="26" w:after="0" w:line="240" w:lineRule="auto"/>
        <w:ind w:right="234" w:firstLine="360"/>
        <w:jc w:val="both"/>
        <w:rPr>
          <w:rFonts w:ascii="Times New Roman" w:hAnsi="Times New Roman" w:cs="Times New Roman"/>
          <w:sz w:val="24"/>
          <w:szCs w:val="24"/>
        </w:rPr>
      </w:pPr>
      <w:r>
        <w:rPr>
          <w:rFonts w:ascii="Times New Roman" w:hAnsi="Times New Roman" w:cs="Times New Roman"/>
          <w:b/>
          <w:sz w:val="24"/>
          <w:szCs w:val="24"/>
        </w:rPr>
        <w:t xml:space="preserve">       Table 4.</w:t>
      </w:r>
      <w:r w:rsidR="00E34A26">
        <w:rPr>
          <w:rFonts w:ascii="Times New Roman" w:hAnsi="Times New Roman" w:cs="Times New Roman"/>
          <w:b/>
          <w:sz w:val="24"/>
          <w:szCs w:val="24"/>
        </w:rPr>
        <w:t>6</w:t>
      </w:r>
      <w:r>
        <w:rPr>
          <w:rFonts w:ascii="Times New Roman" w:hAnsi="Times New Roman" w:cs="Times New Roman"/>
          <w:b/>
          <w:sz w:val="24"/>
          <w:szCs w:val="24"/>
        </w:rPr>
        <w:t>.</w:t>
      </w:r>
      <w:r>
        <w:rPr>
          <w:rFonts w:ascii="Times New Roman" w:hAnsi="Times New Roman" w:cs="Times New Roman"/>
          <w:sz w:val="24"/>
          <w:szCs w:val="24"/>
        </w:rPr>
        <w:t xml:space="preserve"> </w:t>
      </w:r>
      <w:r w:rsidRPr="00482984">
        <w:rPr>
          <w:rFonts w:ascii="Times New Roman" w:hAnsi="Times New Roman" w:cs="Times New Roman"/>
          <w:sz w:val="24"/>
          <w:szCs w:val="24"/>
        </w:rPr>
        <w:t>Difference between Pre-test and Post-test of Experimental Group</w:t>
      </w:r>
      <w:r>
        <w:rPr>
          <w:rFonts w:ascii="Times New Roman" w:hAnsi="Times New Roman" w:cs="Times New Roman"/>
          <w:sz w:val="24"/>
          <w:szCs w:val="24"/>
        </w:rPr>
        <w:t xml:space="preserve"> (n=14).</w:t>
      </w:r>
    </w:p>
    <w:tbl>
      <w:tblPr>
        <w:tblStyle w:val="TableGrid6"/>
        <w:tblW w:w="7830" w:type="dxa"/>
        <w:tblInd w:w="779" w:type="dxa"/>
        <w:tblBorders>
          <w:top w:val="double" w:sz="6" w:space="0" w:color="auto"/>
          <w:left w:val="none" w:sz="0" w:space="0" w:color="auto"/>
          <w:bottom w:val="double" w:sz="6" w:space="0" w:color="auto"/>
          <w:right w:val="none" w:sz="0" w:space="0" w:color="auto"/>
          <w:insideH w:val="single" w:sz="6" w:space="0" w:color="auto"/>
          <w:insideV w:val="none" w:sz="0" w:space="0" w:color="auto"/>
        </w:tblBorders>
        <w:tblLayout w:type="fixed"/>
        <w:tblLook w:val="04A0" w:firstRow="1" w:lastRow="0" w:firstColumn="1" w:lastColumn="0" w:noHBand="0" w:noVBand="1"/>
      </w:tblPr>
      <w:tblGrid>
        <w:gridCol w:w="1705"/>
        <w:gridCol w:w="1306"/>
        <w:gridCol w:w="1214"/>
        <w:gridCol w:w="728"/>
        <w:gridCol w:w="1162"/>
        <w:gridCol w:w="1715"/>
      </w:tblGrid>
      <w:tr w:rsidR="00160EE9" w:rsidRPr="00160EE9" w14:paraId="37D4A9DC" w14:textId="77777777" w:rsidTr="00160EE9">
        <w:trPr>
          <w:trHeight w:val="450"/>
        </w:trPr>
        <w:tc>
          <w:tcPr>
            <w:tcW w:w="1705" w:type="dxa"/>
          </w:tcPr>
          <w:p w14:paraId="5E82889A"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Test</w:t>
            </w:r>
          </w:p>
        </w:tc>
        <w:tc>
          <w:tcPr>
            <w:tcW w:w="1306" w:type="dxa"/>
          </w:tcPr>
          <w:p w14:paraId="50BF7148"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Statistic</w:t>
            </w:r>
          </w:p>
          <w:p w14:paraId="5B69C23A"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(W)</w:t>
            </w:r>
          </w:p>
        </w:tc>
        <w:tc>
          <w:tcPr>
            <w:tcW w:w="1214" w:type="dxa"/>
          </w:tcPr>
          <w:p w14:paraId="034D1A91" w14:textId="77777777" w:rsidR="00160EE9" w:rsidRPr="00160EE9" w:rsidRDefault="00160EE9" w:rsidP="00160EE9">
            <w:pPr>
              <w:spacing w:before="26" w:after="26" w:line="240" w:lineRule="auto"/>
              <w:ind w:right="234"/>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p-value</w:t>
            </w:r>
          </w:p>
        </w:tc>
        <w:tc>
          <w:tcPr>
            <w:tcW w:w="728" w:type="dxa"/>
          </w:tcPr>
          <w:p w14:paraId="4000EAF1"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proofErr w:type="spellStart"/>
            <w:r w:rsidRPr="00160EE9">
              <w:rPr>
                <w:rFonts w:ascii="Times New Roman" w:eastAsia="Times New Roman" w:hAnsi="Times New Roman" w:cs="Times New Roman"/>
                <w:sz w:val="24"/>
                <w:szCs w:val="24"/>
                <w14:ligatures w14:val="standardContextual"/>
              </w:rPr>
              <w:t>df</w:t>
            </w:r>
            <w:proofErr w:type="spellEnd"/>
          </w:p>
        </w:tc>
        <w:tc>
          <w:tcPr>
            <w:tcW w:w="1162" w:type="dxa"/>
          </w:tcPr>
          <w:p w14:paraId="7E41F737"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6"/>
                <w:szCs w:val="26"/>
                <w14:ligatures w14:val="standardContextual"/>
              </w:rPr>
            </w:pPr>
            <w:r w:rsidRPr="00160EE9">
              <w:rPr>
                <w:rFonts w:ascii="Times New Roman" w:eastAsia="Times New Roman" w:hAnsi="Times New Roman" w:cs="Times New Roman"/>
                <w:bCs/>
                <w:color w:val="333333"/>
                <w:sz w:val="26"/>
                <w:szCs w:val="26"/>
                <w:lang w:eastAsia="en-PH"/>
                <w14:ligatures w14:val="standardContextual"/>
              </w:rPr>
              <w:t>ε²</w:t>
            </w:r>
          </w:p>
        </w:tc>
        <w:tc>
          <w:tcPr>
            <w:tcW w:w="1715" w:type="dxa"/>
          </w:tcPr>
          <w:p w14:paraId="43B5FDC1"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Level of significance</w:t>
            </w:r>
          </w:p>
        </w:tc>
      </w:tr>
      <w:tr w:rsidR="00160EE9" w:rsidRPr="00160EE9" w14:paraId="34D6BC05" w14:textId="77777777" w:rsidTr="00160EE9">
        <w:trPr>
          <w:trHeight w:val="416"/>
        </w:trPr>
        <w:tc>
          <w:tcPr>
            <w:tcW w:w="1705" w:type="dxa"/>
          </w:tcPr>
          <w:p w14:paraId="7485211B"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Wilcoxon Signed-Rank</w:t>
            </w:r>
          </w:p>
        </w:tc>
        <w:tc>
          <w:tcPr>
            <w:tcW w:w="1306" w:type="dxa"/>
          </w:tcPr>
          <w:p w14:paraId="3253EDE3"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-14.1</w:t>
            </w:r>
          </w:p>
        </w:tc>
        <w:tc>
          <w:tcPr>
            <w:tcW w:w="1214" w:type="dxa"/>
          </w:tcPr>
          <w:p w14:paraId="58D9F8A7"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0.001*</w:t>
            </w:r>
          </w:p>
        </w:tc>
        <w:tc>
          <w:tcPr>
            <w:tcW w:w="728" w:type="dxa"/>
          </w:tcPr>
          <w:p w14:paraId="3D24FAAE"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13</w:t>
            </w:r>
          </w:p>
        </w:tc>
        <w:tc>
          <w:tcPr>
            <w:tcW w:w="1162" w:type="dxa"/>
          </w:tcPr>
          <w:p w14:paraId="4EB1C126"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-3.77</w:t>
            </w:r>
          </w:p>
        </w:tc>
        <w:tc>
          <w:tcPr>
            <w:tcW w:w="1715" w:type="dxa"/>
          </w:tcPr>
          <w:p w14:paraId="144BA3C7" w14:textId="77777777" w:rsidR="00160EE9" w:rsidRPr="00160EE9" w:rsidRDefault="00160EE9" w:rsidP="00160EE9">
            <w:pPr>
              <w:spacing w:before="26" w:after="26" w:line="240" w:lineRule="auto"/>
              <w:ind w:right="234"/>
              <w:jc w:val="center"/>
              <w:rPr>
                <w:rFonts w:ascii="Times New Roman" w:eastAsia="Times New Roman" w:hAnsi="Times New Roman" w:cs="Times New Roman"/>
                <w:sz w:val="24"/>
                <w:szCs w:val="24"/>
                <w14:ligatures w14:val="standardContextual"/>
              </w:rPr>
            </w:pPr>
            <w:r w:rsidRPr="00160EE9">
              <w:rPr>
                <w:rFonts w:ascii="Times New Roman" w:eastAsia="Times New Roman" w:hAnsi="Times New Roman" w:cs="Times New Roman"/>
                <w:sz w:val="24"/>
                <w:szCs w:val="24"/>
                <w14:ligatures w14:val="standardContextual"/>
              </w:rPr>
              <w:t>0.05</w:t>
            </w:r>
          </w:p>
        </w:tc>
      </w:tr>
    </w:tbl>
    <w:p w14:paraId="40EC424F" w14:textId="04A085E3" w:rsidR="00160EE9" w:rsidRDefault="00160EE9" w:rsidP="00160EE9">
      <w:pPr>
        <w:spacing w:before="26" w:after="0" w:line="480" w:lineRule="auto"/>
        <w:ind w:right="234"/>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sz w:val="24"/>
          <w:szCs w:val="24"/>
        </w:rPr>
        <w:t>significant</w:t>
      </w:r>
      <w:proofErr w:type="gramEnd"/>
    </w:p>
    <w:p w14:paraId="3488911A" w14:textId="77777777" w:rsidR="000B06F0" w:rsidRDefault="000B06F0" w:rsidP="00160EE9">
      <w:pPr>
        <w:spacing w:before="26" w:after="0" w:line="480" w:lineRule="auto"/>
        <w:ind w:right="234"/>
        <w:jc w:val="both"/>
        <w:rPr>
          <w:rFonts w:ascii="Times New Roman" w:hAnsi="Times New Roman" w:cs="Times New Roman"/>
          <w:sz w:val="24"/>
          <w:szCs w:val="24"/>
        </w:rPr>
      </w:pPr>
    </w:p>
    <w:p w14:paraId="29B7AD45" w14:textId="77777777" w:rsidR="000B06F0" w:rsidRDefault="000B06F0" w:rsidP="00160EE9">
      <w:pPr>
        <w:spacing w:before="26" w:after="0" w:line="480" w:lineRule="auto"/>
        <w:ind w:right="234"/>
        <w:jc w:val="both"/>
        <w:rPr>
          <w:rFonts w:ascii="Times New Roman" w:hAnsi="Times New Roman" w:cs="Times New Roman"/>
          <w:sz w:val="24"/>
          <w:szCs w:val="24"/>
        </w:rPr>
      </w:pPr>
    </w:p>
    <w:p w14:paraId="4D7616F6" w14:textId="77777777" w:rsidR="000B06F0" w:rsidRDefault="000B06F0" w:rsidP="00160EE9">
      <w:pPr>
        <w:spacing w:before="26" w:after="0" w:line="480" w:lineRule="auto"/>
        <w:ind w:right="234"/>
        <w:jc w:val="both"/>
        <w:rPr>
          <w:rFonts w:ascii="Times New Roman" w:hAnsi="Times New Roman" w:cs="Times New Roman"/>
          <w:sz w:val="24"/>
          <w:szCs w:val="24"/>
        </w:rPr>
      </w:pPr>
    </w:p>
    <w:p w14:paraId="564B80B1" w14:textId="77777777" w:rsidR="009D41E4" w:rsidRDefault="009D41E4" w:rsidP="009D41E4">
      <w:pPr>
        <w:spacing w:before="26" w:after="26" w:line="240" w:lineRule="auto"/>
        <w:ind w:left="450" w:right="234" w:hanging="45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4.7 </w:t>
      </w:r>
      <w:r w:rsidRPr="00B34AF6">
        <w:rPr>
          <w:rFonts w:ascii="Times New Roman" w:hAnsi="Times New Roman" w:cs="Times New Roman"/>
          <w:b/>
          <w:sz w:val="24"/>
          <w:szCs w:val="24"/>
        </w:rPr>
        <w:t>Significant difference between the Responde</w:t>
      </w:r>
      <w:r>
        <w:rPr>
          <w:rFonts w:ascii="Times New Roman" w:hAnsi="Times New Roman" w:cs="Times New Roman"/>
          <w:b/>
          <w:sz w:val="24"/>
          <w:szCs w:val="24"/>
        </w:rPr>
        <w:t xml:space="preserve">nts’ Pre-test Scores in Control </w:t>
      </w:r>
      <w:r w:rsidRPr="00B34AF6">
        <w:rPr>
          <w:rFonts w:ascii="Times New Roman" w:hAnsi="Times New Roman" w:cs="Times New Roman"/>
          <w:b/>
          <w:sz w:val="24"/>
          <w:szCs w:val="24"/>
        </w:rPr>
        <w:t>and E</w:t>
      </w:r>
      <w:r>
        <w:rPr>
          <w:rFonts w:ascii="Times New Roman" w:hAnsi="Times New Roman" w:cs="Times New Roman"/>
          <w:b/>
          <w:sz w:val="24"/>
          <w:szCs w:val="24"/>
        </w:rPr>
        <w:t>xperimental G</w:t>
      </w:r>
      <w:r w:rsidRPr="00B34AF6">
        <w:rPr>
          <w:rFonts w:ascii="Times New Roman" w:hAnsi="Times New Roman" w:cs="Times New Roman"/>
          <w:b/>
          <w:sz w:val="24"/>
          <w:szCs w:val="24"/>
        </w:rPr>
        <w:t>roup</w:t>
      </w:r>
    </w:p>
    <w:p w14:paraId="181CDAE5" w14:textId="77777777" w:rsidR="009D41E4" w:rsidRDefault="009D41E4" w:rsidP="009D41E4">
      <w:pPr>
        <w:spacing w:before="26" w:after="26" w:line="240" w:lineRule="auto"/>
        <w:ind w:left="450" w:right="234" w:hanging="450"/>
        <w:jc w:val="both"/>
        <w:rPr>
          <w:rFonts w:ascii="Times New Roman" w:hAnsi="Times New Roman" w:cs="Times New Roman"/>
          <w:b/>
          <w:sz w:val="24"/>
          <w:szCs w:val="24"/>
        </w:rPr>
      </w:pPr>
    </w:p>
    <w:p w14:paraId="0A3582E1" w14:textId="47363312" w:rsidR="009D41E4" w:rsidRDefault="009D41E4" w:rsidP="009D41E4">
      <w:pPr>
        <w:spacing w:after="0" w:line="240" w:lineRule="auto"/>
        <w:ind w:firstLine="720"/>
        <w:jc w:val="both"/>
        <w:rPr>
          <w:rFonts w:ascii="Times New Roman" w:hAnsi="Times New Roman" w:cs="Times New Roman"/>
          <w:bCs/>
          <w:sz w:val="24"/>
          <w:szCs w:val="24"/>
        </w:rPr>
      </w:pPr>
      <w:r w:rsidRPr="009D41E4">
        <w:rPr>
          <w:rFonts w:ascii="Times New Roman" w:hAnsi="Times New Roman" w:cs="Times New Roman"/>
          <w:bCs/>
          <w:sz w:val="24"/>
          <w:szCs w:val="24"/>
        </w:rPr>
        <w:t>Table 4.</w:t>
      </w:r>
      <w:r w:rsidR="00E34A26">
        <w:rPr>
          <w:rFonts w:ascii="Times New Roman" w:hAnsi="Times New Roman" w:cs="Times New Roman"/>
          <w:bCs/>
          <w:sz w:val="24"/>
          <w:szCs w:val="24"/>
        </w:rPr>
        <w:t>7</w:t>
      </w:r>
      <w:r w:rsidRPr="009D41E4">
        <w:rPr>
          <w:rFonts w:ascii="Times New Roman" w:hAnsi="Times New Roman" w:cs="Times New Roman"/>
          <w:bCs/>
          <w:sz w:val="24"/>
          <w:szCs w:val="24"/>
        </w:rPr>
        <w:t xml:space="preserve">. revealed the significant difference between the pre-test scores of the control group and the experimental group using the Mann-Whitney U Test. The analysis yielded a test statistic of U = 98.0 with a degree of freedom of </w:t>
      </w:r>
      <w:proofErr w:type="spellStart"/>
      <w:r w:rsidRPr="009D41E4">
        <w:rPr>
          <w:rFonts w:ascii="Times New Roman" w:hAnsi="Times New Roman" w:cs="Times New Roman"/>
          <w:bCs/>
          <w:sz w:val="24"/>
          <w:szCs w:val="24"/>
        </w:rPr>
        <w:t>df</w:t>
      </w:r>
      <w:proofErr w:type="spellEnd"/>
      <w:r w:rsidRPr="009D41E4">
        <w:rPr>
          <w:rFonts w:ascii="Times New Roman" w:hAnsi="Times New Roman" w:cs="Times New Roman"/>
          <w:bCs/>
          <w:sz w:val="24"/>
          <w:szCs w:val="24"/>
        </w:rPr>
        <w:t xml:space="preserve"> = 26. The results show that the pre-test scores of the control group have no significant difference compared to the pre-test scores of the experimental group, as evidenced by the p-value (1.000), which is far above the 0.05 level of significance. Therefore, the null hypothesis is accepted.</w:t>
      </w:r>
      <w:r>
        <w:rPr>
          <w:rFonts w:ascii="Times New Roman" w:hAnsi="Times New Roman" w:cs="Times New Roman"/>
          <w:bCs/>
          <w:sz w:val="24"/>
          <w:szCs w:val="24"/>
        </w:rPr>
        <w:t xml:space="preserve"> </w:t>
      </w:r>
      <w:r w:rsidRPr="009D41E4">
        <w:rPr>
          <w:rFonts w:ascii="Times New Roman" w:hAnsi="Times New Roman" w:cs="Times New Roman"/>
          <w:bCs/>
          <w:sz w:val="24"/>
          <w:szCs w:val="24"/>
        </w:rPr>
        <w:t>These findings indicate that there is no significant difference between the pre-test scores of the control and experimental groups. This suggests that there was no considerable difference in the students’ understanding or performance in Mathematics at the pre-test stage. Consequently, the integration of music had not yet influenced the learners’ performance, as both groups started with similar levels of knowledge and skills.</w:t>
      </w:r>
      <w:r>
        <w:rPr>
          <w:rFonts w:ascii="Times New Roman" w:hAnsi="Times New Roman" w:cs="Times New Roman"/>
          <w:bCs/>
          <w:sz w:val="24"/>
          <w:szCs w:val="24"/>
        </w:rPr>
        <w:t xml:space="preserve"> </w:t>
      </w:r>
      <w:r w:rsidRPr="009D41E4">
        <w:rPr>
          <w:rFonts w:ascii="Times New Roman" w:hAnsi="Times New Roman" w:cs="Times New Roman"/>
          <w:bCs/>
          <w:sz w:val="24"/>
          <w:szCs w:val="24"/>
        </w:rPr>
        <w:t>A recent study by Milman and Paz-Baruch (2025), examined the effect of preferred background music on the mathematical performance of adolescents with difficulties in Mathematics. They found that students who completed mathematics tasks with self-selected background music significantly outperformed those who completed the same tasks without Music. Importantly, the study also reported that pre-test scores between the groups showed no significant difference, indicating that both groups started from similar levels of mathematical ability. This supports the idea that any improvements observed post-intervention can be more reliably attributed to the Music integration, not initial group differences.</w:t>
      </w:r>
    </w:p>
    <w:p w14:paraId="634F4F73" w14:textId="77777777" w:rsidR="009D41E4" w:rsidRDefault="009D41E4" w:rsidP="009D41E4">
      <w:pPr>
        <w:spacing w:after="0" w:line="240" w:lineRule="auto"/>
        <w:ind w:firstLine="720"/>
        <w:jc w:val="both"/>
        <w:rPr>
          <w:rFonts w:ascii="Times New Roman" w:hAnsi="Times New Roman" w:cs="Times New Roman"/>
          <w:bCs/>
          <w:sz w:val="24"/>
          <w:szCs w:val="24"/>
        </w:rPr>
      </w:pPr>
    </w:p>
    <w:p w14:paraId="7C5D3602" w14:textId="37B00E11" w:rsidR="009D41E4" w:rsidRDefault="009D41E4" w:rsidP="009D41E4">
      <w:pPr>
        <w:spacing w:before="26" w:after="26" w:line="240" w:lineRule="auto"/>
        <w:ind w:left="1260" w:right="234" w:hanging="1260"/>
        <w:jc w:val="both"/>
        <w:rPr>
          <w:rFonts w:ascii="Times New Roman" w:hAnsi="Times New Roman" w:cs="Times New Roman"/>
          <w:sz w:val="24"/>
          <w:szCs w:val="24"/>
        </w:rPr>
      </w:pPr>
      <w:r>
        <w:rPr>
          <w:rFonts w:ascii="Times New Roman" w:hAnsi="Times New Roman" w:cs="Times New Roman"/>
          <w:b/>
          <w:sz w:val="24"/>
          <w:szCs w:val="24"/>
        </w:rPr>
        <w:t xml:space="preserve">              </w:t>
      </w:r>
      <w:r w:rsidRPr="003C7DEE">
        <w:rPr>
          <w:rFonts w:ascii="Times New Roman" w:hAnsi="Times New Roman" w:cs="Times New Roman"/>
          <w:b/>
          <w:sz w:val="24"/>
          <w:szCs w:val="24"/>
        </w:rPr>
        <w:t>Table 4.</w:t>
      </w:r>
      <w:r w:rsidR="00E34A26">
        <w:rPr>
          <w:rFonts w:ascii="Times New Roman" w:hAnsi="Times New Roman" w:cs="Times New Roman"/>
          <w:b/>
          <w:sz w:val="24"/>
          <w:szCs w:val="24"/>
        </w:rPr>
        <w:t>7</w:t>
      </w:r>
      <w:r w:rsidRPr="003C7DEE">
        <w:rPr>
          <w:rFonts w:ascii="Times New Roman" w:hAnsi="Times New Roman" w:cs="Times New Roman"/>
          <w:b/>
          <w:sz w:val="24"/>
          <w:szCs w:val="24"/>
        </w:rPr>
        <w:t>.</w:t>
      </w:r>
      <w:r w:rsidRPr="00041ED2">
        <w:rPr>
          <w:rFonts w:ascii="Times New Roman" w:hAnsi="Times New Roman" w:cs="Times New Roman"/>
          <w:sz w:val="24"/>
          <w:szCs w:val="24"/>
        </w:rPr>
        <w:t xml:space="preserve"> Difference between the Respondents’</w:t>
      </w:r>
      <w:r>
        <w:rPr>
          <w:rFonts w:ascii="Times New Roman" w:hAnsi="Times New Roman" w:cs="Times New Roman"/>
          <w:sz w:val="24"/>
          <w:szCs w:val="24"/>
        </w:rPr>
        <w:t xml:space="preserve"> Pre-test Scores in Control and    </w:t>
      </w:r>
    </w:p>
    <w:p w14:paraId="591416E5" w14:textId="77777777" w:rsidR="00BB76CB" w:rsidRDefault="009D41E4" w:rsidP="009D41E4">
      <w:pPr>
        <w:spacing w:before="26" w:after="26" w:line="240" w:lineRule="auto"/>
        <w:ind w:left="1260" w:right="234" w:hanging="1260"/>
        <w:jc w:val="both"/>
        <w:rPr>
          <w:rFonts w:ascii="Times New Roman" w:hAnsi="Times New Roman" w:cs="Times New Roman"/>
          <w:sz w:val="24"/>
          <w:szCs w:val="24"/>
        </w:rPr>
      </w:pPr>
      <w:r>
        <w:rPr>
          <w:rFonts w:ascii="Times New Roman" w:hAnsi="Times New Roman" w:cs="Times New Roman"/>
          <w:b/>
          <w:sz w:val="24"/>
          <w:szCs w:val="24"/>
        </w:rPr>
        <w:t xml:space="preserve">                               </w:t>
      </w:r>
      <w:r w:rsidRPr="00041ED2">
        <w:rPr>
          <w:rFonts w:ascii="Times New Roman" w:hAnsi="Times New Roman" w:cs="Times New Roman"/>
          <w:sz w:val="24"/>
          <w:szCs w:val="24"/>
        </w:rPr>
        <w:t xml:space="preserve">Experimental Group </w:t>
      </w:r>
      <w:r>
        <w:rPr>
          <w:rFonts w:ascii="Times New Roman" w:hAnsi="Times New Roman" w:cs="Times New Roman"/>
          <w:sz w:val="24"/>
          <w:szCs w:val="24"/>
        </w:rPr>
        <w:t>(n=28).</w:t>
      </w:r>
    </w:p>
    <w:tbl>
      <w:tblPr>
        <w:tblStyle w:val="TableGrid7"/>
        <w:tblW w:w="7830" w:type="dxa"/>
        <w:tblInd w:w="779" w:type="dxa"/>
        <w:tblBorders>
          <w:top w:val="double" w:sz="6" w:space="0" w:color="auto"/>
          <w:left w:val="none" w:sz="0" w:space="0" w:color="auto"/>
          <w:bottom w:val="double" w:sz="6" w:space="0" w:color="auto"/>
          <w:right w:val="none" w:sz="0" w:space="0" w:color="auto"/>
          <w:insideH w:val="single" w:sz="6" w:space="0" w:color="auto"/>
          <w:insideV w:val="none" w:sz="0" w:space="0" w:color="auto"/>
        </w:tblBorders>
        <w:tblLayout w:type="fixed"/>
        <w:tblLook w:val="04A0" w:firstRow="1" w:lastRow="0" w:firstColumn="1" w:lastColumn="0" w:noHBand="0" w:noVBand="1"/>
      </w:tblPr>
      <w:tblGrid>
        <w:gridCol w:w="2160"/>
        <w:gridCol w:w="1260"/>
        <w:gridCol w:w="1170"/>
        <w:gridCol w:w="720"/>
        <w:gridCol w:w="2520"/>
      </w:tblGrid>
      <w:tr w:rsidR="00BB76CB" w:rsidRPr="00BB76CB" w14:paraId="642B3633" w14:textId="77777777" w:rsidTr="00BB76CB">
        <w:trPr>
          <w:trHeight w:val="450"/>
        </w:trPr>
        <w:tc>
          <w:tcPr>
            <w:tcW w:w="2160" w:type="dxa"/>
          </w:tcPr>
          <w:p w14:paraId="72BF3E75"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Test</w:t>
            </w:r>
          </w:p>
        </w:tc>
        <w:tc>
          <w:tcPr>
            <w:tcW w:w="1260" w:type="dxa"/>
          </w:tcPr>
          <w:p w14:paraId="2DCC0498"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Statistic</w:t>
            </w:r>
          </w:p>
          <w:p w14:paraId="06D8F8E3"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(U)</w:t>
            </w:r>
          </w:p>
        </w:tc>
        <w:tc>
          <w:tcPr>
            <w:tcW w:w="1170" w:type="dxa"/>
          </w:tcPr>
          <w:p w14:paraId="4CD0E2BF" w14:textId="77777777" w:rsidR="00BB76CB" w:rsidRPr="00BB76CB" w:rsidRDefault="00BB76CB" w:rsidP="00BB76CB">
            <w:pPr>
              <w:spacing w:before="26" w:after="26" w:line="240" w:lineRule="auto"/>
              <w:ind w:right="234"/>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p-value</w:t>
            </w:r>
          </w:p>
        </w:tc>
        <w:tc>
          <w:tcPr>
            <w:tcW w:w="720" w:type="dxa"/>
          </w:tcPr>
          <w:p w14:paraId="0497A1C4"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proofErr w:type="spellStart"/>
            <w:r w:rsidRPr="00BB76CB">
              <w:rPr>
                <w:rFonts w:ascii="Times New Roman" w:eastAsia="Times New Roman" w:hAnsi="Times New Roman" w:cs="Times New Roman"/>
                <w:sz w:val="24"/>
                <w:szCs w:val="24"/>
                <w14:ligatures w14:val="standardContextual"/>
              </w:rPr>
              <w:t>df</w:t>
            </w:r>
            <w:proofErr w:type="spellEnd"/>
          </w:p>
        </w:tc>
        <w:tc>
          <w:tcPr>
            <w:tcW w:w="2520" w:type="dxa"/>
          </w:tcPr>
          <w:p w14:paraId="482590A7"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Level of significance</w:t>
            </w:r>
          </w:p>
        </w:tc>
      </w:tr>
      <w:tr w:rsidR="00BB76CB" w:rsidRPr="00BB76CB" w14:paraId="612770AE" w14:textId="77777777" w:rsidTr="00BB76CB">
        <w:trPr>
          <w:trHeight w:val="416"/>
        </w:trPr>
        <w:tc>
          <w:tcPr>
            <w:tcW w:w="2160" w:type="dxa"/>
          </w:tcPr>
          <w:p w14:paraId="68CB3311" w14:textId="77777777" w:rsidR="00BB76CB" w:rsidRPr="00BB76CB" w:rsidRDefault="00BB76CB" w:rsidP="00BB76CB">
            <w:pPr>
              <w:spacing w:before="26" w:after="26" w:line="240" w:lineRule="auto"/>
              <w:ind w:right="234"/>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Mann-Whitney U</w:t>
            </w:r>
          </w:p>
        </w:tc>
        <w:tc>
          <w:tcPr>
            <w:tcW w:w="1260" w:type="dxa"/>
          </w:tcPr>
          <w:p w14:paraId="56730CA2"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98.0</w:t>
            </w:r>
          </w:p>
        </w:tc>
        <w:tc>
          <w:tcPr>
            <w:tcW w:w="1170" w:type="dxa"/>
          </w:tcPr>
          <w:p w14:paraId="16B88D8D"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1.000</w:t>
            </w:r>
            <w:r w:rsidRPr="00BB76CB">
              <w:rPr>
                <w:rFonts w:ascii="Times New Roman" w:eastAsia="Times New Roman" w:hAnsi="Times New Roman" w:cs="Times New Roman"/>
                <w:sz w:val="24"/>
                <w:szCs w:val="24"/>
                <w:vertAlign w:val="superscript"/>
                <w14:ligatures w14:val="standardContextual"/>
              </w:rPr>
              <w:t>ns</w:t>
            </w:r>
          </w:p>
        </w:tc>
        <w:tc>
          <w:tcPr>
            <w:tcW w:w="720" w:type="dxa"/>
          </w:tcPr>
          <w:p w14:paraId="411B26E0"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26</w:t>
            </w:r>
          </w:p>
        </w:tc>
        <w:tc>
          <w:tcPr>
            <w:tcW w:w="2520" w:type="dxa"/>
          </w:tcPr>
          <w:p w14:paraId="49AF323F"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0.05</w:t>
            </w:r>
          </w:p>
        </w:tc>
      </w:tr>
    </w:tbl>
    <w:p w14:paraId="1FA048B8" w14:textId="7A41C17A" w:rsidR="00BB76CB" w:rsidRDefault="00BB76CB" w:rsidP="00BB76CB">
      <w:pPr>
        <w:spacing w:before="26" w:after="26" w:line="240" w:lineRule="auto"/>
        <w:ind w:right="234"/>
        <w:jc w:val="both"/>
        <w:rPr>
          <w:rFonts w:ascii="Times New Roman" w:hAnsi="Times New Roman" w:cs="Times New Roman"/>
          <w:sz w:val="24"/>
          <w:szCs w:val="24"/>
        </w:rPr>
      </w:pPr>
      <w:r>
        <w:rPr>
          <w:rFonts w:ascii="Times New Roman" w:hAnsi="Times New Roman" w:cs="Times New Roman"/>
          <w:sz w:val="24"/>
          <w:szCs w:val="24"/>
        </w:rPr>
        <w:t xml:space="preserve">              </w:t>
      </w:r>
      <w:r w:rsidRPr="00BB76CB">
        <w:rPr>
          <w:rFonts w:ascii="Times New Roman" w:hAnsi="Times New Roman" w:cs="Times New Roman"/>
          <w:sz w:val="24"/>
          <w:szCs w:val="24"/>
        </w:rPr>
        <w:t>ns = not significant</w:t>
      </w:r>
    </w:p>
    <w:p w14:paraId="7F6443CA" w14:textId="77777777" w:rsidR="009D41E4" w:rsidRPr="00FF4767" w:rsidRDefault="009D41E4" w:rsidP="009D41E4">
      <w:pPr>
        <w:spacing w:before="26" w:after="26" w:line="240" w:lineRule="auto"/>
        <w:ind w:left="1260" w:right="234" w:hanging="1260"/>
        <w:jc w:val="both"/>
        <w:rPr>
          <w:rFonts w:ascii="Times New Roman" w:hAnsi="Times New Roman" w:cs="Times New Roman"/>
          <w:b/>
          <w:sz w:val="24"/>
          <w:szCs w:val="24"/>
        </w:rPr>
      </w:pPr>
    </w:p>
    <w:p w14:paraId="3D71BB98" w14:textId="77777777" w:rsidR="00BB76CB" w:rsidRDefault="00BB76CB" w:rsidP="00BB76CB">
      <w:pPr>
        <w:spacing w:before="26" w:after="26" w:line="240" w:lineRule="auto"/>
        <w:ind w:left="450" w:right="234" w:hanging="450"/>
        <w:jc w:val="both"/>
        <w:rPr>
          <w:rFonts w:ascii="Times New Roman" w:hAnsi="Times New Roman" w:cs="Times New Roman"/>
          <w:b/>
          <w:sz w:val="24"/>
          <w:szCs w:val="24"/>
        </w:rPr>
      </w:pPr>
      <w:r>
        <w:rPr>
          <w:rFonts w:ascii="Times New Roman" w:hAnsi="Times New Roman" w:cs="Times New Roman"/>
          <w:b/>
          <w:sz w:val="24"/>
          <w:szCs w:val="24"/>
        </w:rPr>
        <w:t>4.8</w:t>
      </w:r>
      <w:r w:rsidRPr="00897BC6">
        <w:rPr>
          <w:rFonts w:ascii="Times New Roman" w:hAnsi="Times New Roman" w:cs="Times New Roman"/>
          <w:b/>
          <w:sz w:val="24"/>
          <w:szCs w:val="24"/>
        </w:rPr>
        <w:t xml:space="preserve"> Significant Difference between the R</w:t>
      </w:r>
      <w:r>
        <w:rPr>
          <w:rFonts w:ascii="Times New Roman" w:hAnsi="Times New Roman" w:cs="Times New Roman"/>
          <w:b/>
          <w:sz w:val="24"/>
          <w:szCs w:val="24"/>
        </w:rPr>
        <w:t>espondents’ Post-test scores in Control and Experimental G</w:t>
      </w:r>
      <w:r w:rsidRPr="00897BC6">
        <w:rPr>
          <w:rFonts w:ascii="Times New Roman" w:hAnsi="Times New Roman" w:cs="Times New Roman"/>
          <w:b/>
          <w:sz w:val="24"/>
          <w:szCs w:val="24"/>
        </w:rPr>
        <w:t>roup</w:t>
      </w:r>
    </w:p>
    <w:p w14:paraId="3C51C58D" w14:textId="77777777" w:rsidR="00BB76CB" w:rsidRDefault="00BB76CB" w:rsidP="00BB76CB">
      <w:pPr>
        <w:spacing w:before="26" w:after="26" w:line="240" w:lineRule="auto"/>
        <w:ind w:left="450" w:right="234" w:hanging="450"/>
        <w:jc w:val="both"/>
        <w:rPr>
          <w:rFonts w:ascii="Times New Roman" w:hAnsi="Times New Roman" w:cs="Times New Roman"/>
          <w:b/>
          <w:sz w:val="24"/>
          <w:szCs w:val="24"/>
        </w:rPr>
      </w:pPr>
    </w:p>
    <w:p w14:paraId="4F369899" w14:textId="5ED8F16F" w:rsidR="00BB76CB" w:rsidRPr="00BB76CB" w:rsidRDefault="00BB76CB" w:rsidP="00BB76CB">
      <w:pPr>
        <w:spacing w:before="26" w:after="26" w:line="240" w:lineRule="auto"/>
        <w:ind w:right="234" w:firstLine="450"/>
        <w:jc w:val="both"/>
        <w:rPr>
          <w:rFonts w:ascii="Times New Roman" w:hAnsi="Times New Roman" w:cs="Times New Roman"/>
          <w:bCs/>
          <w:sz w:val="24"/>
          <w:szCs w:val="24"/>
        </w:rPr>
      </w:pPr>
      <w:r w:rsidRPr="00BB76CB">
        <w:rPr>
          <w:rFonts w:ascii="Times New Roman" w:hAnsi="Times New Roman" w:cs="Times New Roman"/>
          <w:bCs/>
          <w:sz w:val="24"/>
          <w:szCs w:val="24"/>
        </w:rPr>
        <w:t>Table 4.</w:t>
      </w:r>
      <w:r w:rsidR="00E34A26">
        <w:rPr>
          <w:rFonts w:ascii="Times New Roman" w:hAnsi="Times New Roman" w:cs="Times New Roman"/>
          <w:bCs/>
          <w:sz w:val="24"/>
          <w:szCs w:val="24"/>
        </w:rPr>
        <w:t>8</w:t>
      </w:r>
      <w:r w:rsidRPr="00BB76CB">
        <w:rPr>
          <w:rFonts w:ascii="Times New Roman" w:hAnsi="Times New Roman" w:cs="Times New Roman"/>
          <w:bCs/>
          <w:sz w:val="24"/>
          <w:szCs w:val="24"/>
        </w:rPr>
        <w:t xml:space="preserve">. revealed the significant difference between the post-test scores of the control group and the experimental group using the Mann-Whitney U Test. The analysis yielded a test statistic of U = 25.5 with a degree of freedom of </w:t>
      </w:r>
      <w:proofErr w:type="spellStart"/>
      <w:r w:rsidRPr="00BB76CB">
        <w:rPr>
          <w:rFonts w:ascii="Times New Roman" w:hAnsi="Times New Roman" w:cs="Times New Roman"/>
          <w:bCs/>
          <w:sz w:val="24"/>
          <w:szCs w:val="24"/>
        </w:rPr>
        <w:t>df</w:t>
      </w:r>
      <w:proofErr w:type="spellEnd"/>
      <w:r w:rsidRPr="00BB76CB">
        <w:rPr>
          <w:rFonts w:ascii="Times New Roman" w:hAnsi="Times New Roman" w:cs="Times New Roman"/>
          <w:bCs/>
          <w:sz w:val="24"/>
          <w:szCs w:val="24"/>
        </w:rPr>
        <w:t xml:space="preserve"> = 26 and a p-value of 0.001, which is well below the 0.05 level of significance. Therefore, the null hypothesis is rejected.</w:t>
      </w:r>
      <w:r>
        <w:rPr>
          <w:rFonts w:ascii="Times New Roman" w:hAnsi="Times New Roman" w:cs="Times New Roman"/>
          <w:bCs/>
          <w:sz w:val="24"/>
          <w:szCs w:val="24"/>
        </w:rPr>
        <w:t xml:space="preserve"> </w:t>
      </w:r>
      <w:r w:rsidRPr="00BB76CB">
        <w:rPr>
          <w:rFonts w:ascii="Times New Roman" w:hAnsi="Times New Roman" w:cs="Times New Roman"/>
          <w:bCs/>
          <w:sz w:val="24"/>
          <w:szCs w:val="24"/>
        </w:rPr>
        <w:t>These findings indicate a statistically significant difference between the post-test scores of the control and experimental groups. This suggests that the students who experienced the integration of Music in Mathematics lessons outperformed those who did not, demonstrating that the intervention had a strong positive effect on learning outcomes</w:t>
      </w:r>
      <w:r>
        <w:rPr>
          <w:rFonts w:ascii="Times New Roman" w:hAnsi="Times New Roman" w:cs="Times New Roman"/>
          <w:bCs/>
          <w:sz w:val="24"/>
          <w:szCs w:val="24"/>
        </w:rPr>
        <w:t xml:space="preserve">. </w:t>
      </w:r>
      <w:r w:rsidRPr="00BB76CB">
        <w:rPr>
          <w:rFonts w:ascii="Times New Roman" w:hAnsi="Times New Roman" w:cs="Times New Roman"/>
          <w:bCs/>
          <w:sz w:val="24"/>
          <w:szCs w:val="24"/>
        </w:rPr>
        <w:t xml:space="preserve">A recent study by Baykal et al. (2023), they conducted a meta-analysis on the effect of Music interventions on Mathematics achievement. They found that students who received Music-integrated Mathematics instruction achieved </w:t>
      </w:r>
      <w:r w:rsidRPr="00BB76CB">
        <w:rPr>
          <w:rFonts w:ascii="Times New Roman" w:hAnsi="Times New Roman" w:cs="Times New Roman"/>
          <w:bCs/>
          <w:sz w:val="24"/>
          <w:szCs w:val="24"/>
        </w:rPr>
        <w:lastRenderedPageBreak/>
        <w:t>significantly higher post-test scores compared to those taught through traditional methods. This supports the findings of the present study, underscoring that the integration of Music in Mathematics instruction can serve as an effective strategy to improve students’ comprehension and achievement.</w:t>
      </w:r>
    </w:p>
    <w:p w14:paraId="1A16AF58" w14:textId="77777777" w:rsidR="009D41E4" w:rsidRPr="00BB76CB" w:rsidRDefault="009D41E4" w:rsidP="009D41E4">
      <w:pPr>
        <w:spacing w:before="26" w:after="26" w:line="240" w:lineRule="auto"/>
        <w:ind w:left="450" w:right="234" w:hanging="450"/>
        <w:jc w:val="both"/>
        <w:rPr>
          <w:rFonts w:ascii="Times New Roman" w:hAnsi="Times New Roman" w:cs="Times New Roman"/>
          <w:bCs/>
          <w:sz w:val="24"/>
          <w:szCs w:val="24"/>
        </w:rPr>
      </w:pPr>
    </w:p>
    <w:p w14:paraId="0D15FC96" w14:textId="47FA5057" w:rsidR="00BB76CB" w:rsidRDefault="00BB76CB" w:rsidP="009D41E4">
      <w:pPr>
        <w:spacing w:before="26" w:after="26" w:line="240" w:lineRule="auto"/>
        <w:ind w:right="234"/>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F0821">
        <w:rPr>
          <w:rFonts w:ascii="Times New Roman" w:hAnsi="Times New Roman" w:cs="Times New Roman"/>
          <w:b/>
          <w:sz w:val="24"/>
          <w:szCs w:val="24"/>
        </w:rPr>
        <w:t>Table 4.</w:t>
      </w:r>
      <w:r w:rsidR="00E34A26">
        <w:rPr>
          <w:rFonts w:ascii="Times New Roman" w:hAnsi="Times New Roman" w:cs="Times New Roman"/>
          <w:b/>
          <w:sz w:val="24"/>
          <w:szCs w:val="24"/>
        </w:rPr>
        <w:t>8</w:t>
      </w:r>
      <w:r w:rsidRPr="006F0821">
        <w:rPr>
          <w:rFonts w:ascii="Times New Roman" w:hAnsi="Times New Roman" w:cs="Times New Roman"/>
          <w:b/>
          <w:sz w:val="24"/>
          <w:szCs w:val="24"/>
        </w:rPr>
        <w:t>.</w:t>
      </w:r>
      <w:r w:rsidRPr="00BB76CB">
        <w:rPr>
          <w:rFonts w:ascii="Times New Roman" w:hAnsi="Times New Roman" w:cs="Times New Roman"/>
          <w:bCs/>
          <w:sz w:val="24"/>
          <w:szCs w:val="24"/>
        </w:rPr>
        <w:t xml:space="preserve"> Significant Difference between the Respondents’ Post-test Scoring in </w:t>
      </w:r>
    </w:p>
    <w:p w14:paraId="2994DECB" w14:textId="07F2D1CD" w:rsidR="009D41E4" w:rsidRPr="00BB76CB" w:rsidRDefault="00BB76CB" w:rsidP="009D41E4">
      <w:pPr>
        <w:spacing w:before="26" w:after="26" w:line="240" w:lineRule="auto"/>
        <w:ind w:right="234"/>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B76CB">
        <w:rPr>
          <w:rFonts w:ascii="Times New Roman" w:hAnsi="Times New Roman" w:cs="Times New Roman"/>
          <w:bCs/>
          <w:sz w:val="24"/>
          <w:szCs w:val="24"/>
        </w:rPr>
        <w:t>Control and Experimental Group (n=28).</w:t>
      </w:r>
    </w:p>
    <w:tbl>
      <w:tblPr>
        <w:tblStyle w:val="TableGrid8"/>
        <w:tblW w:w="7830" w:type="dxa"/>
        <w:tblInd w:w="768" w:type="dxa"/>
        <w:tblBorders>
          <w:top w:val="double" w:sz="6" w:space="0" w:color="auto"/>
          <w:left w:val="none" w:sz="0" w:space="0" w:color="auto"/>
          <w:bottom w:val="double" w:sz="6" w:space="0" w:color="auto"/>
          <w:right w:val="none" w:sz="0" w:space="0" w:color="auto"/>
          <w:insideH w:val="single" w:sz="6" w:space="0" w:color="auto"/>
          <w:insideV w:val="none" w:sz="0" w:space="0" w:color="auto"/>
        </w:tblBorders>
        <w:tblLayout w:type="fixed"/>
        <w:tblLook w:val="04A0" w:firstRow="1" w:lastRow="0" w:firstColumn="1" w:lastColumn="0" w:noHBand="0" w:noVBand="1"/>
      </w:tblPr>
      <w:tblGrid>
        <w:gridCol w:w="2160"/>
        <w:gridCol w:w="1260"/>
        <w:gridCol w:w="1170"/>
        <w:gridCol w:w="720"/>
        <w:gridCol w:w="2520"/>
      </w:tblGrid>
      <w:tr w:rsidR="00BB76CB" w:rsidRPr="00BB76CB" w14:paraId="356AC453" w14:textId="77777777" w:rsidTr="00BB76CB">
        <w:trPr>
          <w:trHeight w:val="450"/>
        </w:trPr>
        <w:tc>
          <w:tcPr>
            <w:tcW w:w="2160" w:type="dxa"/>
          </w:tcPr>
          <w:p w14:paraId="725AA513"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Test</w:t>
            </w:r>
          </w:p>
        </w:tc>
        <w:tc>
          <w:tcPr>
            <w:tcW w:w="1260" w:type="dxa"/>
          </w:tcPr>
          <w:p w14:paraId="1A7BC670"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Statistic</w:t>
            </w:r>
          </w:p>
          <w:p w14:paraId="197865F8"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(U)</w:t>
            </w:r>
          </w:p>
        </w:tc>
        <w:tc>
          <w:tcPr>
            <w:tcW w:w="1170" w:type="dxa"/>
          </w:tcPr>
          <w:p w14:paraId="3AECA62C" w14:textId="77777777" w:rsidR="00BB76CB" w:rsidRPr="00BB76CB" w:rsidRDefault="00BB76CB" w:rsidP="00BB76CB">
            <w:pPr>
              <w:spacing w:before="26" w:after="26" w:line="240" w:lineRule="auto"/>
              <w:ind w:right="234"/>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p-value</w:t>
            </w:r>
          </w:p>
        </w:tc>
        <w:tc>
          <w:tcPr>
            <w:tcW w:w="720" w:type="dxa"/>
          </w:tcPr>
          <w:p w14:paraId="23AFBFFA"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proofErr w:type="spellStart"/>
            <w:r w:rsidRPr="00BB76CB">
              <w:rPr>
                <w:rFonts w:ascii="Times New Roman" w:eastAsia="Times New Roman" w:hAnsi="Times New Roman" w:cs="Times New Roman"/>
                <w:sz w:val="24"/>
                <w:szCs w:val="24"/>
                <w14:ligatures w14:val="standardContextual"/>
              </w:rPr>
              <w:t>df</w:t>
            </w:r>
            <w:proofErr w:type="spellEnd"/>
          </w:p>
        </w:tc>
        <w:tc>
          <w:tcPr>
            <w:tcW w:w="2520" w:type="dxa"/>
          </w:tcPr>
          <w:p w14:paraId="28649311"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Level of significance</w:t>
            </w:r>
          </w:p>
        </w:tc>
      </w:tr>
      <w:tr w:rsidR="00BB76CB" w:rsidRPr="00BB76CB" w14:paraId="17841B98" w14:textId="77777777" w:rsidTr="00BB76CB">
        <w:trPr>
          <w:trHeight w:val="416"/>
        </w:trPr>
        <w:tc>
          <w:tcPr>
            <w:tcW w:w="2160" w:type="dxa"/>
          </w:tcPr>
          <w:p w14:paraId="5BFA7320" w14:textId="77777777" w:rsidR="00BB76CB" w:rsidRPr="00BB76CB" w:rsidRDefault="00BB76CB" w:rsidP="00BB76CB">
            <w:pPr>
              <w:spacing w:before="26" w:after="26" w:line="240" w:lineRule="auto"/>
              <w:ind w:right="234"/>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Mann-Whitney U</w:t>
            </w:r>
          </w:p>
        </w:tc>
        <w:tc>
          <w:tcPr>
            <w:tcW w:w="1260" w:type="dxa"/>
          </w:tcPr>
          <w:p w14:paraId="321F7DB3"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25.5</w:t>
            </w:r>
          </w:p>
        </w:tc>
        <w:tc>
          <w:tcPr>
            <w:tcW w:w="1170" w:type="dxa"/>
          </w:tcPr>
          <w:p w14:paraId="7D260527"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0.001*</w:t>
            </w:r>
          </w:p>
        </w:tc>
        <w:tc>
          <w:tcPr>
            <w:tcW w:w="720" w:type="dxa"/>
          </w:tcPr>
          <w:p w14:paraId="36A0B429"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26</w:t>
            </w:r>
          </w:p>
        </w:tc>
        <w:tc>
          <w:tcPr>
            <w:tcW w:w="2520" w:type="dxa"/>
          </w:tcPr>
          <w:p w14:paraId="4E2C60A3"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0.05</w:t>
            </w:r>
          </w:p>
        </w:tc>
      </w:tr>
    </w:tbl>
    <w:p w14:paraId="795894A5" w14:textId="2FBCFB6C" w:rsidR="009D41E4" w:rsidRDefault="00BB76CB" w:rsidP="00160EE9">
      <w:pPr>
        <w:spacing w:before="26" w:after="0" w:line="480" w:lineRule="auto"/>
        <w:ind w:right="234"/>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B76CB">
        <w:rPr>
          <w:rFonts w:ascii="Times New Roman" w:hAnsi="Times New Roman" w:cs="Times New Roman"/>
          <w:bCs/>
          <w:sz w:val="24"/>
          <w:szCs w:val="24"/>
        </w:rPr>
        <w:t xml:space="preserve">   *</w:t>
      </w:r>
      <w:proofErr w:type="gramStart"/>
      <w:r w:rsidRPr="00BB76CB">
        <w:rPr>
          <w:rFonts w:ascii="Times New Roman" w:hAnsi="Times New Roman" w:cs="Times New Roman"/>
          <w:bCs/>
          <w:sz w:val="24"/>
          <w:szCs w:val="24"/>
        </w:rPr>
        <w:t>significant</w:t>
      </w:r>
      <w:proofErr w:type="gramEnd"/>
    </w:p>
    <w:p w14:paraId="0E73BFAD" w14:textId="77777777" w:rsidR="00BB76CB" w:rsidRDefault="00BB76CB" w:rsidP="00BB76CB">
      <w:pPr>
        <w:spacing w:before="26" w:after="26" w:line="240" w:lineRule="auto"/>
        <w:ind w:left="450" w:right="234" w:hanging="450"/>
        <w:jc w:val="both"/>
        <w:rPr>
          <w:rFonts w:ascii="Times New Roman" w:hAnsi="Times New Roman" w:cs="Times New Roman"/>
          <w:b/>
          <w:sz w:val="24"/>
          <w:szCs w:val="24"/>
        </w:rPr>
      </w:pPr>
      <w:r>
        <w:rPr>
          <w:rFonts w:ascii="Times New Roman" w:hAnsi="Times New Roman" w:cs="Times New Roman"/>
          <w:b/>
          <w:sz w:val="24"/>
          <w:szCs w:val="24"/>
        </w:rPr>
        <w:t>4.9</w:t>
      </w:r>
      <w:r w:rsidRPr="003E244F">
        <w:rPr>
          <w:rFonts w:ascii="Times New Roman" w:hAnsi="Times New Roman" w:cs="Times New Roman"/>
          <w:b/>
          <w:sz w:val="24"/>
          <w:szCs w:val="24"/>
        </w:rPr>
        <w:t xml:space="preserve"> Significant Difference in Sco</w:t>
      </w:r>
      <w:r>
        <w:rPr>
          <w:rFonts w:ascii="Times New Roman" w:hAnsi="Times New Roman" w:cs="Times New Roman"/>
          <w:b/>
          <w:sz w:val="24"/>
          <w:szCs w:val="24"/>
        </w:rPr>
        <w:t xml:space="preserve">re Improvement among Different Age </w:t>
      </w:r>
      <w:r w:rsidRPr="003E244F">
        <w:rPr>
          <w:rFonts w:ascii="Times New Roman" w:hAnsi="Times New Roman" w:cs="Times New Roman"/>
          <w:b/>
          <w:sz w:val="24"/>
          <w:szCs w:val="24"/>
        </w:rPr>
        <w:t>Groups in the Control Group</w:t>
      </w:r>
    </w:p>
    <w:p w14:paraId="098D0BF2" w14:textId="77777777" w:rsidR="00BB76CB" w:rsidRDefault="00BB76CB" w:rsidP="00BB76CB">
      <w:pPr>
        <w:spacing w:before="26" w:after="26" w:line="240" w:lineRule="auto"/>
        <w:ind w:right="234"/>
        <w:jc w:val="both"/>
        <w:rPr>
          <w:rFonts w:ascii="Times New Roman" w:hAnsi="Times New Roman" w:cs="Times New Roman"/>
          <w:b/>
          <w:sz w:val="24"/>
          <w:szCs w:val="24"/>
        </w:rPr>
      </w:pPr>
    </w:p>
    <w:p w14:paraId="6A5AA4DC" w14:textId="1DE11A2C" w:rsidR="00BB76CB" w:rsidRDefault="00BB76CB" w:rsidP="00BB76CB">
      <w:pPr>
        <w:spacing w:before="26" w:after="0" w:line="240" w:lineRule="auto"/>
        <w:ind w:right="234" w:firstLine="450"/>
        <w:jc w:val="both"/>
        <w:rPr>
          <w:rFonts w:ascii="Times New Roman" w:eastAsia="Times New Roman" w:hAnsi="Times New Roman" w:cs="Times New Roman"/>
          <w:b/>
          <w:sz w:val="24"/>
          <w:szCs w:val="24"/>
          <w14:ligatures w14:val="standardContextual"/>
        </w:rPr>
      </w:pPr>
      <w:r w:rsidRPr="00BB76CB">
        <w:rPr>
          <w:rFonts w:ascii="Times New Roman" w:hAnsi="Times New Roman" w:cs="Times New Roman"/>
          <w:bCs/>
          <w:sz w:val="24"/>
          <w:szCs w:val="24"/>
        </w:rPr>
        <w:t>Table 4.</w:t>
      </w:r>
      <w:r w:rsidR="00E34A26">
        <w:rPr>
          <w:rFonts w:ascii="Times New Roman" w:hAnsi="Times New Roman" w:cs="Times New Roman"/>
          <w:bCs/>
          <w:sz w:val="24"/>
          <w:szCs w:val="24"/>
        </w:rPr>
        <w:t>9</w:t>
      </w:r>
      <w:r w:rsidRPr="00BB76CB">
        <w:rPr>
          <w:rFonts w:ascii="Times New Roman" w:hAnsi="Times New Roman" w:cs="Times New Roman"/>
          <w:bCs/>
          <w:sz w:val="24"/>
          <w:szCs w:val="24"/>
        </w:rPr>
        <w:t xml:space="preserve">. present the results of the Kruskal-Wallis H test, which examine the difference in score improvement among the different age groups (8, 9, 10, and 11 years old) in the control group. The test revealed a Kruskal-Wallis H statistic of 2.72, with 3 </w:t>
      </w:r>
      <w:proofErr w:type="gramStart"/>
      <w:r w:rsidRPr="00BB76CB">
        <w:rPr>
          <w:rFonts w:ascii="Times New Roman" w:hAnsi="Times New Roman" w:cs="Times New Roman"/>
          <w:bCs/>
          <w:sz w:val="24"/>
          <w:szCs w:val="24"/>
        </w:rPr>
        <w:t>degree</w:t>
      </w:r>
      <w:proofErr w:type="gramEnd"/>
      <w:r w:rsidRPr="00BB76CB">
        <w:rPr>
          <w:rFonts w:ascii="Times New Roman" w:hAnsi="Times New Roman" w:cs="Times New Roman"/>
          <w:bCs/>
          <w:sz w:val="24"/>
          <w:szCs w:val="24"/>
        </w:rPr>
        <w:t xml:space="preserve"> of freedom (</w:t>
      </w:r>
      <w:proofErr w:type="spellStart"/>
      <w:r w:rsidRPr="00BB76CB">
        <w:rPr>
          <w:rFonts w:ascii="Times New Roman" w:hAnsi="Times New Roman" w:cs="Times New Roman"/>
          <w:bCs/>
          <w:sz w:val="24"/>
          <w:szCs w:val="24"/>
        </w:rPr>
        <w:t>df</w:t>
      </w:r>
      <w:proofErr w:type="spellEnd"/>
      <w:r w:rsidRPr="00BB76CB">
        <w:rPr>
          <w:rFonts w:ascii="Times New Roman" w:hAnsi="Times New Roman" w:cs="Times New Roman"/>
          <w:bCs/>
          <w:sz w:val="24"/>
          <w:szCs w:val="24"/>
        </w:rPr>
        <w:t xml:space="preserve"> = 3), and a p-value of 0.436, which is greater than the 0.05 level of significance. The effect size was 0.210. Therefore, the null hypothesis is accepted.</w:t>
      </w:r>
      <w:r>
        <w:rPr>
          <w:rFonts w:ascii="Times New Roman" w:hAnsi="Times New Roman" w:cs="Times New Roman"/>
          <w:bCs/>
          <w:sz w:val="24"/>
          <w:szCs w:val="24"/>
        </w:rPr>
        <w:t xml:space="preserve"> </w:t>
      </w:r>
      <w:r w:rsidRPr="00BB76CB">
        <w:rPr>
          <w:rFonts w:ascii="Times New Roman" w:hAnsi="Times New Roman" w:cs="Times New Roman"/>
          <w:bCs/>
          <w:sz w:val="24"/>
          <w:szCs w:val="24"/>
        </w:rPr>
        <w:t>This result indicates that there is no significant difference in score improvement among the different age groups in the control group. In other words, regardless of age, students in the control group showed similar levels of improvement, suggesting that without the integration of Music, age did not play a major role in influencing Mathematics performance</w:t>
      </w:r>
      <w:r>
        <w:rPr>
          <w:rFonts w:ascii="Times New Roman" w:hAnsi="Times New Roman" w:cs="Times New Roman"/>
          <w:bCs/>
          <w:sz w:val="24"/>
          <w:szCs w:val="24"/>
        </w:rPr>
        <w:t xml:space="preserve">. </w:t>
      </w:r>
      <w:r w:rsidRPr="00BB76CB">
        <w:rPr>
          <w:rFonts w:ascii="Times New Roman" w:hAnsi="Times New Roman" w:cs="Times New Roman"/>
          <w:bCs/>
          <w:sz w:val="24"/>
          <w:szCs w:val="24"/>
        </w:rPr>
        <w:t>A recent study by Colella et al. (2023), investigated the effects of Music-oriented versus conventional education plans on various skills in young students (elementary and middle school) according to age, sex, and weight status. They found that while Music-oriented education improved rhythmic perceptive capacity, motor creativity, and fitness components, age did not significantly moderate many of the effects; students across different age-levels showed similar patterns in improvement under both Music‐oriented and conventional plans. This supports the result in the present study that, among the control group, age alone did not account for meaningful variations in improvement.</w:t>
      </w:r>
      <w:r w:rsidRPr="00BB76CB">
        <w:rPr>
          <w:rFonts w:ascii="Times New Roman" w:eastAsia="Times New Roman" w:hAnsi="Times New Roman" w:cs="Times New Roman"/>
          <w:b/>
          <w:sz w:val="24"/>
          <w:szCs w:val="24"/>
          <w14:ligatures w14:val="standardContextual"/>
        </w:rPr>
        <w:t xml:space="preserve">   </w:t>
      </w:r>
    </w:p>
    <w:p w14:paraId="12E53B0E" w14:textId="77777777" w:rsidR="00BB76CB" w:rsidRDefault="00BB76CB" w:rsidP="00BB76CB">
      <w:pPr>
        <w:spacing w:before="26" w:after="0" w:line="240" w:lineRule="auto"/>
        <w:ind w:right="234" w:firstLine="450"/>
        <w:jc w:val="both"/>
        <w:rPr>
          <w:rFonts w:ascii="Times New Roman" w:eastAsia="Times New Roman" w:hAnsi="Times New Roman" w:cs="Times New Roman"/>
          <w:b/>
          <w:sz w:val="24"/>
          <w:szCs w:val="24"/>
          <w14:ligatures w14:val="standardContextual"/>
        </w:rPr>
      </w:pPr>
    </w:p>
    <w:p w14:paraId="397A334E" w14:textId="56C7C164" w:rsidR="00BB76CB" w:rsidRDefault="00BB76CB" w:rsidP="00BB76CB">
      <w:pPr>
        <w:spacing w:before="26" w:after="0" w:line="240" w:lineRule="auto"/>
        <w:ind w:right="234" w:firstLine="450"/>
        <w:jc w:val="both"/>
        <w:rPr>
          <w:rFonts w:ascii="Times New Roman" w:eastAsia="Times New Roman" w:hAnsi="Times New Roman" w:cs="Times New Roman"/>
          <w:sz w:val="24"/>
          <w:szCs w:val="24"/>
          <w14:ligatures w14:val="standardContextual"/>
        </w:rPr>
      </w:pPr>
      <w:r>
        <w:rPr>
          <w:rFonts w:ascii="Times New Roman" w:eastAsia="Times New Roman" w:hAnsi="Times New Roman" w:cs="Times New Roman"/>
          <w:b/>
          <w:sz w:val="24"/>
          <w:szCs w:val="24"/>
          <w14:ligatures w14:val="standardContextual"/>
        </w:rPr>
        <w:t xml:space="preserve">  </w:t>
      </w:r>
      <w:r w:rsidRPr="00BB76CB">
        <w:rPr>
          <w:rFonts w:ascii="Times New Roman" w:eastAsia="Times New Roman" w:hAnsi="Times New Roman" w:cs="Times New Roman"/>
          <w:b/>
          <w:sz w:val="24"/>
          <w:szCs w:val="24"/>
          <w14:ligatures w14:val="standardContextual"/>
        </w:rPr>
        <w:t>Table 4.</w:t>
      </w:r>
      <w:r w:rsidR="00E34A26">
        <w:rPr>
          <w:rFonts w:ascii="Times New Roman" w:eastAsia="Times New Roman" w:hAnsi="Times New Roman" w:cs="Times New Roman"/>
          <w:b/>
          <w:sz w:val="24"/>
          <w:szCs w:val="24"/>
          <w14:ligatures w14:val="standardContextual"/>
        </w:rPr>
        <w:t>9</w:t>
      </w:r>
      <w:r w:rsidRPr="00BB76CB">
        <w:rPr>
          <w:rFonts w:ascii="Times New Roman" w:eastAsia="Times New Roman" w:hAnsi="Times New Roman" w:cs="Times New Roman"/>
          <w:b/>
          <w:sz w:val="24"/>
          <w:szCs w:val="24"/>
          <w14:ligatures w14:val="standardContextual"/>
        </w:rPr>
        <w:t>.</w:t>
      </w:r>
      <w:r w:rsidRPr="00BB76CB">
        <w:rPr>
          <w:rFonts w:ascii="Times New Roman" w:eastAsia="Times New Roman" w:hAnsi="Times New Roman" w:cs="Times New Roman"/>
          <w:sz w:val="24"/>
          <w:szCs w:val="24"/>
          <w14:ligatures w14:val="standardContextual"/>
        </w:rPr>
        <w:t xml:space="preserve"> Significant Difference in Score Improvement among Different</w:t>
      </w:r>
      <w:r w:rsidRPr="00BB76CB">
        <w:rPr>
          <w:rFonts w:ascii="Times New Roman" w:eastAsia="Times New Roman" w:hAnsi="Times New Roman" w:cs="Times New Roman"/>
          <w:b/>
          <w:sz w:val="24"/>
          <w:szCs w:val="24"/>
          <w14:ligatures w14:val="standardContextual"/>
        </w:rPr>
        <w:t xml:space="preserve"> </w:t>
      </w:r>
      <w:r w:rsidRPr="00BB76CB">
        <w:rPr>
          <w:rFonts w:ascii="Times New Roman" w:eastAsia="Times New Roman" w:hAnsi="Times New Roman" w:cs="Times New Roman"/>
          <w:sz w:val="24"/>
          <w:szCs w:val="24"/>
          <w14:ligatures w14:val="standardContextual"/>
        </w:rPr>
        <w:t xml:space="preserve">Age Groups in </w:t>
      </w:r>
    </w:p>
    <w:p w14:paraId="17657F82" w14:textId="552E3B3A" w:rsidR="00BB76CB" w:rsidRDefault="00BB76CB" w:rsidP="00BB76CB">
      <w:pPr>
        <w:spacing w:before="26" w:after="0" w:line="240" w:lineRule="auto"/>
        <w:ind w:right="234" w:firstLine="450"/>
        <w:jc w:val="both"/>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 xml:space="preserve">                   </w:t>
      </w:r>
      <w:r w:rsidR="00502287">
        <w:rPr>
          <w:rFonts w:ascii="Times New Roman" w:eastAsia="Times New Roman" w:hAnsi="Times New Roman" w:cs="Times New Roman"/>
          <w:sz w:val="24"/>
          <w:szCs w:val="24"/>
          <w14:ligatures w14:val="standardContextual"/>
        </w:rPr>
        <w:t xml:space="preserve"> </w:t>
      </w:r>
      <w:r>
        <w:rPr>
          <w:rFonts w:ascii="Times New Roman" w:eastAsia="Times New Roman" w:hAnsi="Times New Roman" w:cs="Times New Roman"/>
          <w:sz w:val="24"/>
          <w:szCs w:val="24"/>
          <w14:ligatures w14:val="standardContextual"/>
        </w:rPr>
        <w:t xml:space="preserve"> </w:t>
      </w:r>
      <w:r w:rsidR="00502287">
        <w:rPr>
          <w:rFonts w:ascii="Times New Roman" w:eastAsia="Times New Roman" w:hAnsi="Times New Roman" w:cs="Times New Roman"/>
          <w:sz w:val="24"/>
          <w:szCs w:val="24"/>
          <w14:ligatures w14:val="standardContextual"/>
        </w:rPr>
        <w:t xml:space="preserve"> </w:t>
      </w:r>
      <w:r w:rsidRPr="00BB76CB">
        <w:rPr>
          <w:rFonts w:ascii="Times New Roman" w:eastAsia="Times New Roman" w:hAnsi="Times New Roman" w:cs="Times New Roman"/>
          <w:sz w:val="24"/>
          <w:szCs w:val="24"/>
          <w14:ligatures w14:val="standardContextual"/>
        </w:rPr>
        <w:t>the Control Group (n=14).</w:t>
      </w:r>
    </w:p>
    <w:tbl>
      <w:tblPr>
        <w:tblStyle w:val="TableGrid9"/>
        <w:tblW w:w="7830" w:type="dxa"/>
        <w:tblInd w:w="768" w:type="dxa"/>
        <w:tblBorders>
          <w:top w:val="double" w:sz="6" w:space="0" w:color="auto"/>
          <w:left w:val="none" w:sz="0" w:space="0" w:color="auto"/>
          <w:bottom w:val="double" w:sz="6" w:space="0" w:color="auto"/>
          <w:right w:val="none" w:sz="0" w:space="0" w:color="auto"/>
          <w:insideH w:val="single" w:sz="6" w:space="0" w:color="auto"/>
          <w:insideV w:val="none" w:sz="0" w:space="0" w:color="auto"/>
        </w:tblBorders>
        <w:tblLayout w:type="fixed"/>
        <w:tblLook w:val="04A0" w:firstRow="1" w:lastRow="0" w:firstColumn="1" w:lastColumn="0" w:noHBand="0" w:noVBand="1"/>
      </w:tblPr>
      <w:tblGrid>
        <w:gridCol w:w="1890"/>
        <w:gridCol w:w="1260"/>
        <w:gridCol w:w="1170"/>
        <w:gridCol w:w="720"/>
        <w:gridCol w:w="1080"/>
        <w:gridCol w:w="1710"/>
      </w:tblGrid>
      <w:tr w:rsidR="00BB76CB" w:rsidRPr="00BB76CB" w14:paraId="2527ED26" w14:textId="77777777" w:rsidTr="00BB76CB">
        <w:trPr>
          <w:trHeight w:val="450"/>
        </w:trPr>
        <w:tc>
          <w:tcPr>
            <w:tcW w:w="1890" w:type="dxa"/>
          </w:tcPr>
          <w:p w14:paraId="2BD9663C"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sz w:val="24"/>
                <w14:ligatures w14:val="standardContextual"/>
              </w:rPr>
              <w:t>Test</w:t>
            </w:r>
          </w:p>
        </w:tc>
        <w:tc>
          <w:tcPr>
            <w:tcW w:w="1260" w:type="dxa"/>
          </w:tcPr>
          <w:p w14:paraId="4E33D4A0"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sz w:val="24"/>
                <w14:ligatures w14:val="standardContextual"/>
              </w:rPr>
              <w:t>Statistic (H)</w:t>
            </w:r>
          </w:p>
        </w:tc>
        <w:tc>
          <w:tcPr>
            <w:tcW w:w="1170" w:type="dxa"/>
          </w:tcPr>
          <w:p w14:paraId="3570ED3F"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sz w:val="24"/>
                <w14:ligatures w14:val="standardContextual"/>
              </w:rPr>
              <w:t>p-value</w:t>
            </w:r>
          </w:p>
        </w:tc>
        <w:tc>
          <w:tcPr>
            <w:tcW w:w="720" w:type="dxa"/>
          </w:tcPr>
          <w:p w14:paraId="484A4BAC"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proofErr w:type="spellStart"/>
            <w:r w:rsidRPr="00BB76CB">
              <w:rPr>
                <w:rFonts w:ascii="Times New Roman" w:eastAsia="Times New Roman" w:hAnsi="Times New Roman" w:cs="Times New Roman"/>
                <w:sz w:val="24"/>
                <w14:ligatures w14:val="standardContextual"/>
              </w:rPr>
              <w:t>df</w:t>
            </w:r>
            <w:proofErr w:type="spellEnd"/>
          </w:p>
        </w:tc>
        <w:tc>
          <w:tcPr>
            <w:tcW w:w="1080" w:type="dxa"/>
          </w:tcPr>
          <w:p w14:paraId="6545F1C1"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bCs/>
                <w:color w:val="333333"/>
                <w:sz w:val="24"/>
                <w:lang w:eastAsia="en-PH"/>
                <w14:ligatures w14:val="standardContextual"/>
              </w:rPr>
              <w:t>ε²</w:t>
            </w:r>
          </w:p>
        </w:tc>
        <w:tc>
          <w:tcPr>
            <w:tcW w:w="1710" w:type="dxa"/>
          </w:tcPr>
          <w:p w14:paraId="47586503"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sz w:val="24"/>
                <w14:ligatures w14:val="standardContextual"/>
              </w:rPr>
              <w:t>Level of Significance</w:t>
            </w:r>
          </w:p>
        </w:tc>
      </w:tr>
      <w:tr w:rsidR="00BB76CB" w:rsidRPr="00BB76CB" w14:paraId="24DD2528" w14:textId="77777777" w:rsidTr="00BB76CB">
        <w:trPr>
          <w:trHeight w:val="416"/>
        </w:trPr>
        <w:tc>
          <w:tcPr>
            <w:tcW w:w="1890" w:type="dxa"/>
          </w:tcPr>
          <w:p w14:paraId="07C1821B"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sz w:val="24"/>
                <w14:ligatures w14:val="standardContextual"/>
              </w:rPr>
              <w:t>Kruskal-Wallis H</w:t>
            </w:r>
          </w:p>
        </w:tc>
        <w:tc>
          <w:tcPr>
            <w:tcW w:w="1260" w:type="dxa"/>
          </w:tcPr>
          <w:p w14:paraId="25A8FB3C"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sz w:val="24"/>
                <w14:ligatures w14:val="standardContextual"/>
              </w:rPr>
              <w:t>2.72</w:t>
            </w:r>
          </w:p>
        </w:tc>
        <w:tc>
          <w:tcPr>
            <w:tcW w:w="1170" w:type="dxa"/>
          </w:tcPr>
          <w:p w14:paraId="5EBAF3D4"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sz w:val="24"/>
                <w14:ligatures w14:val="standardContextual"/>
              </w:rPr>
              <w:t>0.436</w:t>
            </w:r>
            <w:r w:rsidRPr="00BB76CB">
              <w:rPr>
                <w:rFonts w:ascii="Times New Roman" w:eastAsia="Times New Roman" w:hAnsi="Times New Roman" w:cs="Times New Roman"/>
                <w:sz w:val="24"/>
                <w:vertAlign w:val="superscript"/>
                <w14:ligatures w14:val="standardContextual"/>
              </w:rPr>
              <w:t>ns</w:t>
            </w:r>
          </w:p>
        </w:tc>
        <w:tc>
          <w:tcPr>
            <w:tcW w:w="720" w:type="dxa"/>
          </w:tcPr>
          <w:p w14:paraId="4528ED59"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sz w:val="24"/>
                <w14:ligatures w14:val="standardContextual"/>
              </w:rPr>
              <w:t>3</w:t>
            </w:r>
          </w:p>
        </w:tc>
        <w:tc>
          <w:tcPr>
            <w:tcW w:w="1080" w:type="dxa"/>
          </w:tcPr>
          <w:p w14:paraId="4E26474C"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sz w:val="24"/>
                <w14:ligatures w14:val="standardContextual"/>
              </w:rPr>
              <w:t>0.210</w:t>
            </w:r>
          </w:p>
        </w:tc>
        <w:tc>
          <w:tcPr>
            <w:tcW w:w="1710" w:type="dxa"/>
          </w:tcPr>
          <w:p w14:paraId="2D8A11E4" w14:textId="77777777" w:rsidR="00BB76CB" w:rsidRPr="00BB76CB" w:rsidRDefault="00BB76CB" w:rsidP="00BB76CB">
            <w:pPr>
              <w:spacing w:before="26" w:after="26" w:line="240" w:lineRule="auto"/>
              <w:ind w:right="234"/>
              <w:jc w:val="center"/>
              <w:rPr>
                <w:rFonts w:ascii="Times New Roman" w:eastAsia="Times New Roman" w:hAnsi="Times New Roman" w:cs="Times New Roman"/>
                <w:sz w:val="24"/>
                <w14:ligatures w14:val="standardContextual"/>
              </w:rPr>
            </w:pPr>
            <w:r w:rsidRPr="00BB76CB">
              <w:rPr>
                <w:rFonts w:ascii="Times New Roman" w:eastAsia="Times New Roman" w:hAnsi="Times New Roman" w:cs="Times New Roman"/>
                <w:sz w:val="24"/>
                <w14:ligatures w14:val="standardContextual"/>
              </w:rPr>
              <w:t>0.05</w:t>
            </w:r>
          </w:p>
        </w:tc>
      </w:tr>
    </w:tbl>
    <w:p w14:paraId="19CAA6F5" w14:textId="00157026" w:rsidR="00BB76CB" w:rsidRDefault="00BB76CB" w:rsidP="00BB76CB">
      <w:pPr>
        <w:spacing w:before="26" w:after="0" w:line="240" w:lineRule="auto"/>
        <w:ind w:right="234" w:firstLine="450"/>
        <w:jc w:val="both"/>
        <w:rPr>
          <w:rFonts w:ascii="Times New Roman" w:eastAsia="Times New Roman" w:hAnsi="Times New Roman" w:cs="Times New Roman"/>
          <w:sz w:val="24"/>
          <w:szCs w:val="24"/>
          <w14:ligatures w14:val="standardContextual"/>
        </w:rPr>
      </w:pPr>
      <w:r w:rsidRPr="00BB76CB">
        <w:rPr>
          <w:rFonts w:ascii="Times New Roman" w:eastAsia="Times New Roman" w:hAnsi="Times New Roman" w:cs="Times New Roman"/>
          <w:sz w:val="24"/>
          <w:szCs w:val="24"/>
          <w14:ligatures w14:val="standardContextual"/>
        </w:rPr>
        <w:t xml:space="preserve"> </w:t>
      </w:r>
      <w:r>
        <w:rPr>
          <w:rFonts w:ascii="Times New Roman" w:eastAsia="Times New Roman" w:hAnsi="Times New Roman" w:cs="Times New Roman"/>
          <w:sz w:val="24"/>
          <w:szCs w:val="24"/>
          <w14:ligatures w14:val="standardContextual"/>
        </w:rPr>
        <w:t xml:space="preserve">     </w:t>
      </w:r>
      <w:r w:rsidRPr="00BB76CB">
        <w:rPr>
          <w:rFonts w:ascii="Times New Roman" w:eastAsia="Times New Roman" w:hAnsi="Times New Roman" w:cs="Times New Roman"/>
          <w:sz w:val="24"/>
          <w:szCs w:val="24"/>
          <w14:ligatures w14:val="standardContextual"/>
        </w:rPr>
        <w:t xml:space="preserve">  ns = not significant</w:t>
      </w:r>
    </w:p>
    <w:p w14:paraId="36149152" w14:textId="77777777" w:rsidR="00BB76CB" w:rsidRDefault="00BB76CB" w:rsidP="00BB76CB">
      <w:pPr>
        <w:spacing w:before="26" w:after="0" w:line="240" w:lineRule="auto"/>
        <w:ind w:right="234" w:firstLine="450"/>
        <w:jc w:val="both"/>
        <w:rPr>
          <w:rFonts w:ascii="Times New Roman" w:hAnsi="Times New Roman" w:cs="Times New Roman"/>
          <w:bCs/>
          <w:sz w:val="24"/>
          <w:szCs w:val="24"/>
        </w:rPr>
      </w:pPr>
    </w:p>
    <w:p w14:paraId="1A387A7A" w14:textId="77777777" w:rsidR="00BB76CB" w:rsidRDefault="00BB76CB" w:rsidP="00BB76CB">
      <w:pPr>
        <w:spacing w:before="26" w:after="0" w:line="240" w:lineRule="auto"/>
        <w:ind w:right="234" w:firstLine="450"/>
        <w:jc w:val="both"/>
        <w:rPr>
          <w:rFonts w:ascii="Times New Roman" w:hAnsi="Times New Roman" w:cs="Times New Roman"/>
          <w:bCs/>
          <w:sz w:val="24"/>
          <w:szCs w:val="24"/>
        </w:rPr>
      </w:pPr>
    </w:p>
    <w:p w14:paraId="4DCE986D" w14:textId="77777777" w:rsidR="00BB76CB" w:rsidRDefault="00BB76CB" w:rsidP="00BB76CB">
      <w:pPr>
        <w:tabs>
          <w:tab w:val="left" w:pos="7740"/>
        </w:tabs>
        <w:spacing w:before="26" w:after="26" w:line="240" w:lineRule="auto"/>
        <w:ind w:left="540" w:right="234" w:hanging="540"/>
        <w:jc w:val="both"/>
        <w:rPr>
          <w:rFonts w:ascii="Times New Roman" w:hAnsi="Times New Roman" w:cs="Times New Roman"/>
          <w:b/>
          <w:sz w:val="24"/>
          <w:szCs w:val="24"/>
        </w:rPr>
      </w:pPr>
      <w:r>
        <w:rPr>
          <w:rFonts w:ascii="Times New Roman" w:hAnsi="Times New Roman" w:cs="Times New Roman"/>
          <w:b/>
          <w:sz w:val="24"/>
          <w:szCs w:val="24"/>
        </w:rPr>
        <w:lastRenderedPageBreak/>
        <w:t>4.10</w:t>
      </w:r>
      <w:r w:rsidRPr="00F54A04">
        <w:rPr>
          <w:b/>
        </w:rPr>
        <w:t xml:space="preserve"> </w:t>
      </w:r>
      <w:r w:rsidRPr="00F54A04">
        <w:rPr>
          <w:rFonts w:ascii="Times New Roman" w:hAnsi="Times New Roman" w:cs="Times New Roman"/>
          <w:b/>
          <w:sz w:val="24"/>
          <w:szCs w:val="24"/>
        </w:rPr>
        <w:t xml:space="preserve">Significant Difference in Score </w:t>
      </w:r>
      <w:r>
        <w:rPr>
          <w:rFonts w:ascii="Times New Roman" w:hAnsi="Times New Roman" w:cs="Times New Roman"/>
          <w:b/>
          <w:sz w:val="24"/>
          <w:szCs w:val="24"/>
        </w:rPr>
        <w:t xml:space="preserve">Improvement among Different Age </w:t>
      </w:r>
      <w:r w:rsidRPr="00F54A04">
        <w:rPr>
          <w:rFonts w:ascii="Times New Roman" w:hAnsi="Times New Roman" w:cs="Times New Roman"/>
          <w:b/>
          <w:sz w:val="24"/>
          <w:szCs w:val="24"/>
        </w:rPr>
        <w:t>Groups in the Experimental Group</w:t>
      </w:r>
    </w:p>
    <w:p w14:paraId="4B4FF72C" w14:textId="77777777" w:rsidR="006F0821" w:rsidRDefault="006F0821" w:rsidP="00BB76CB">
      <w:pPr>
        <w:tabs>
          <w:tab w:val="left" w:pos="7740"/>
        </w:tabs>
        <w:spacing w:before="26" w:after="26" w:line="240" w:lineRule="auto"/>
        <w:ind w:left="540" w:right="234" w:hanging="540"/>
        <w:jc w:val="both"/>
        <w:rPr>
          <w:rFonts w:ascii="Times New Roman" w:hAnsi="Times New Roman" w:cs="Times New Roman"/>
          <w:b/>
          <w:sz w:val="24"/>
          <w:szCs w:val="24"/>
        </w:rPr>
      </w:pPr>
    </w:p>
    <w:p w14:paraId="6A78B5B1" w14:textId="350D5ED7" w:rsidR="006F0821" w:rsidRPr="0047147F" w:rsidRDefault="006F0821" w:rsidP="006F0821">
      <w:pPr>
        <w:tabs>
          <w:tab w:val="left" w:pos="7740"/>
        </w:tabs>
        <w:spacing w:before="26" w:after="26" w:line="240" w:lineRule="auto"/>
        <w:ind w:right="234" w:firstLine="720"/>
        <w:jc w:val="both"/>
        <w:rPr>
          <w:rFonts w:ascii="Times New Roman" w:hAnsi="Times New Roman" w:cs="Times New Roman"/>
          <w:sz w:val="24"/>
          <w:szCs w:val="24"/>
        </w:rPr>
      </w:pPr>
      <w:r>
        <w:rPr>
          <w:rFonts w:ascii="Times New Roman" w:hAnsi="Times New Roman" w:cs="Times New Roman"/>
          <w:sz w:val="24"/>
          <w:szCs w:val="24"/>
        </w:rPr>
        <w:t>Table 4.1</w:t>
      </w:r>
      <w:r w:rsidR="00E34A26">
        <w:rPr>
          <w:rFonts w:ascii="Times New Roman" w:hAnsi="Times New Roman" w:cs="Times New Roman"/>
          <w:sz w:val="24"/>
          <w:szCs w:val="24"/>
        </w:rPr>
        <w:t>0</w:t>
      </w:r>
      <w:r>
        <w:rPr>
          <w:rFonts w:ascii="Times New Roman" w:hAnsi="Times New Roman" w:cs="Times New Roman"/>
          <w:sz w:val="24"/>
          <w:szCs w:val="24"/>
        </w:rPr>
        <w:t>.</w:t>
      </w:r>
      <w:r w:rsidRPr="0047147F">
        <w:rPr>
          <w:rFonts w:ascii="Times New Roman" w:hAnsi="Times New Roman" w:cs="Times New Roman"/>
          <w:sz w:val="24"/>
          <w:szCs w:val="24"/>
        </w:rPr>
        <w:t xml:space="preserve"> shows a Kruskal-Wallis H test examining the difference in score improvement among age groups (8, 9, 10, and 11 years old) in the experimental group. The test </w:t>
      </w:r>
    </w:p>
    <w:p w14:paraId="177331EA" w14:textId="16CDA67D" w:rsidR="006F0821" w:rsidRDefault="006F0821" w:rsidP="00A64964">
      <w:pPr>
        <w:tabs>
          <w:tab w:val="left" w:pos="7740"/>
        </w:tabs>
        <w:spacing w:before="26" w:after="26" w:line="240" w:lineRule="auto"/>
        <w:ind w:right="234"/>
        <w:jc w:val="both"/>
        <w:rPr>
          <w:rFonts w:ascii="Times New Roman" w:hAnsi="Times New Roman" w:cs="Times New Roman"/>
          <w:sz w:val="24"/>
          <w:szCs w:val="24"/>
        </w:rPr>
      </w:pPr>
      <w:r w:rsidRPr="0047147F">
        <w:rPr>
          <w:rFonts w:ascii="Times New Roman" w:hAnsi="Times New Roman" w:cs="Times New Roman"/>
          <w:sz w:val="24"/>
          <w:szCs w:val="24"/>
        </w:rPr>
        <w:t xml:space="preserve">revealed a Kruskal-Wallis H statistic of 2.50, with 3 </w:t>
      </w:r>
      <w:proofErr w:type="gramStart"/>
      <w:r w:rsidRPr="0047147F">
        <w:rPr>
          <w:rFonts w:ascii="Times New Roman" w:hAnsi="Times New Roman" w:cs="Times New Roman"/>
          <w:sz w:val="24"/>
          <w:szCs w:val="24"/>
        </w:rPr>
        <w:t>d</w:t>
      </w:r>
      <w:r>
        <w:rPr>
          <w:rFonts w:ascii="Times New Roman" w:hAnsi="Times New Roman" w:cs="Times New Roman"/>
          <w:sz w:val="24"/>
          <w:szCs w:val="24"/>
        </w:rPr>
        <w:t>egree</w:t>
      </w:r>
      <w:proofErr w:type="gramEnd"/>
      <w:r w:rsidRPr="0047147F">
        <w:rPr>
          <w:rFonts w:ascii="Times New Roman" w:hAnsi="Times New Roman" w:cs="Times New Roman"/>
          <w:sz w:val="24"/>
          <w:szCs w:val="24"/>
        </w:rPr>
        <w:t xml:space="preserve"> of freedom, a p-value of 0.476, and an effect size of 0.192, which is greater than the 0.05 level of significance. Therefore, t</w:t>
      </w:r>
      <w:r>
        <w:rPr>
          <w:rFonts w:ascii="Times New Roman" w:hAnsi="Times New Roman" w:cs="Times New Roman"/>
          <w:sz w:val="24"/>
          <w:szCs w:val="24"/>
        </w:rPr>
        <w:t xml:space="preserve">he null hypothesis is accepted. </w:t>
      </w:r>
      <w:r w:rsidRPr="0047147F">
        <w:rPr>
          <w:rFonts w:ascii="Times New Roman" w:hAnsi="Times New Roman" w:cs="Times New Roman"/>
          <w:sz w:val="24"/>
          <w:szCs w:val="24"/>
        </w:rPr>
        <w:t>This result indicates that there is no significant difference in score improvement among the different age groups in the experimental group. In other words, even though these studen</w:t>
      </w:r>
      <w:r>
        <w:rPr>
          <w:rFonts w:ascii="Times New Roman" w:hAnsi="Times New Roman" w:cs="Times New Roman"/>
          <w:sz w:val="24"/>
          <w:szCs w:val="24"/>
        </w:rPr>
        <w:t>ts received the integration of M</w:t>
      </w:r>
      <w:r w:rsidRPr="0047147F">
        <w:rPr>
          <w:rFonts w:ascii="Times New Roman" w:hAnsi="Times New Roman" w:cs="Times New Roman"/>
          <w:sz w:val="24"/>
          <w:szCs w:val="24"/>
        </w:rPr>
        <w:t>usic in Mathematics lessons, improvement did not vary significantly by age; all age groups improved at similar levels.</w:t>
      </w:r>
      <w:r>
        <w:rPr>
          <w:rFonts w:ascii="Times New Roman" w:hAnsi="Times New Roman" w:cs="Times New Roman"/>
          <w:sz w:val="24"/>
          <w:szCs w:val="24"/>
        </w:rPr>
        <w:t xml:space="preserve"> </w:t>
      </w:r>
      <w:r w:rsidRPr="00F54A04">
        <w:rPr>
          <w:rFonts w:ascii="Times New Roman" w:hAnsi="Times New Roman" w:cs="Times New Roman"/>
          <w:sz w:val="24"/>
          <w:szCs w:val="24"/>
        </w:rPr>
        <w:t>A recent study by Azevedo da Silva et al. (2022)</w:t>
      </w:r>
      <w:r>
        <w:rPr>
          <w:rFonts w:ascii="Times New Roman" w:hAnsi="Times New Roman" w:cs="Times New Roman"/>
          <w:sz w:val="24"/>
          <w:szCs w:val="24"/>
        </w:rPr>
        <w:t>,</w:t>
      </w:r>
      <w:r w:rsidRPr="00F54A04">
        <w:rPr>
          <w:rFonts w:ascii="Times New Roman" w:hAnsi="Times New Roman" w:cs="Times New Roman"/>
          <w:sz w:val="24"/>
          <w:szCs w:val="24"/>
        </w:rPr>
        <w:t xml:space="preserve"> titled “Doing Mathematics with Music– Creating epistemic environments” investigated a quasi-experimental intervention where students were taught mathematics alongside music. Their findings showed that while t</w:t>
      </w:r>
      <w:r>
        <w:rPr>
          <w:rFonts w:ascii="Times New Roman" w:hAnsi="Times New Roman" w:cs="Times New Roman"/>
          <w:sz w:val="24"/>
          <w:szCs w:val="24"/>
        </w:rPr>
        <w:t>he “Mathematics with M</w:t>
      </w:r>
      <w:r w:rsidRPr="00F54A04">
        <w:rPr>
          <w:rFonts w:ascii="Times New Roman" w:hAnsi="Times New Roman" w:cs="Times New Roman"/>
          <w:sz w:val="24"/>
          <w:szCs w:val="24"/>
        </w:rPr>
        <w:t>usic” approach was more effective than conventional instruction, age did not significantly moderate the effects — students across the different age levels</w:t>
      </w:r>
      <w:r>
        <w:rPr>
          <w:rFonts w:ascii="Times New Roman" w:hAnsi="Times New Roman" w:cs="Times New Roman"/>
          <w:sz w:val="24"/>
          <w:szCs w:val="24"/>
        </w:rPr>
        <w:t xml:space="preserve"> benefitted similarly from the Music-M</w:t>
      </w:r>
      <w:r w:rsidRPr="00F54A04">
        <w:rPr>
          <w:rFonts w:ascii="Times New Roman" w:hAnsi="Times New Roman" w:cs="Times New Roman"/>
          <w:sz w:val="24"/>
          <w:szCs w:val="24"/>
        </w:rPr>
        <w:t xml:space="preserve">ath integration. This supports the present study’s result that age alone did not account for meaningful variations in improvement among the experimental group.  </w:t>
      </w:r>
    </w:p>
    <w:p w14:paraId="58453DF8" w14:textId="77777777" w:rsidR="006F0821" w:rsidRDefault="006F0821" w:rsidP="006F0821">
      <w:pPr>
        <w:tabs>
          <w:tab w:val="left" w:pos="7740"/>
        </w:tabs>
        <w:spacing w:before="26" w:after="26" w:line="240" w:lineRule="auto"/>
        <w:ind w:right="234" w:firstLine="720"/>
        <w:jc w:val="both"/>
        <w:rPr>
          <w:rFonts w:ascii="Times New Roman" w:hAnsi="Times New Roman" w:cs="Times New Roman"/>
          <w:sz w:val="24"/>
          <w:szCs w:val="24"/>
        </w:rPr>
      </w:pPr>
    </w:p>
    <w:p w14:paraId="4FCB123E" w14:textId="525FD792" w:rsidR="006F0821" w:rsidRDefault="006F0821" w:rsidP="006F0821">
      <w:pPr>
        <w:tabs>
          <w:tab w:val="left" w:pos="7740"/>
        </w:tabs>
        <w:spacing w:before="26" w:after="26" w:line="240" w:lineRule="auto"/>
        <w:ind w:right="234"/>
        <w:jc w:val="both"/>
        <w:rPr>
          <w:rFonts w:ascii="Times New Roman" w:hAnsi="Times New Roman" w:cs="Times New Roman"/>
          <w:sz w:val="24"/>
          <w:szCs w:val="24"/>
        </w:rPr>
      </w:pPr>
      <w:r>
        <w:rPr>
          <w:rFonts w:ascii="Times New Roman" w:hAnsi="Times New Roman" w:cs="Times New Roman"/>
          <w:sz w:val="24"/>
          <w:szCs w:val="24"/>
        </w:rPr>
        <w:t xml:space="preserve">             </w:t>
      </w:r>
      <w:r w:rsidRPr="006F0821">
        <w:rPr>
          <w:rFonts w:ascii="Times New Roman" w:hAnsi="Times New Roman" w:cs="Times New Roman"/>
          <w:b/>
          <w:bCs/>
          <w:sz w:val="24"/>
          <w:szCs w:val="24"/>
        </w:rPr>
        <w:t>Table 4.1</w:t>
      </w:r>
      <w:r w:rsidR="00E34A26">
        <w:rPr>
          <w:rFonts w:ascii="Times New Roman" w:hAnsi="Times New Roman" w:cs="Times New Roman"/>
          <w:b/>
          <w:bCs/>
          <w:sz w:val="24"/>
          <w:szCs w:val="24"/>
        </w:rPr>
        <w:t>0</w:t>
      </w:r>
      <w:r w:rsidRPr="006F0821">
        <w:rPr>
          <w:rFonts w:ascii="Times New Roman" w:hAnsi="Times New Roman" w:cs="Times New Roman"/>
          <w:b/>
          <w:bCs/>
          <w:sz w:val="24"/>
          <w:szCs w:val="24"/>
        </w:rPr>
        <w:t>.</w:t>
      </w:r>
      <w:r w:rsidRPr="006F0821">
        <w:rPr>
          <w:rFonts w:ascii="Times New Roman" w:hAnsi="Times New Roman" w:cs="Times New Roman"/>
          <w:sz w:val="24"/>
          <w:szCs w:val="24"/>
        </w:rPr>
        <w:t xml:space="preserve"> Significant Difference in Score Improvement among Different Age </w:t>
      </w:r>
    </w:p>
    <w:p w14:paraId="2648C355" w14:textId="755B0CFC" w:rsidR="006F0821" w:rsidRDefault="006F0821" w:rsidP="006F0821">
      <w:pPr>
        <w:tabs>
          <w:tab w:val="left" w:pos="7740"/>
        </w:tabs>
        <w:spacing w:before="26" w:after="26" w:line="240" w:lineRule="auto"/>
        <w:ind w:right="234"/>
        <w:jc w:val="both"/>
        <w:rPr>
          <w:rFonts w:ascii="Times New Roman" w:hAnsi="Times New Roman" w:cs="Times New Roman"/>
          <w:sz w:val="24"/>
          <w:szCs w:val="24"/>
        </w:rPr>
      </w:pPr>
      <w:r>
        <w:rPr>
          <w:rFonts w:ascii="Times New Roman" w:hAnsi="Times New Roman" w:cs="Times New Roman"/>
          <w:sz w:val="24"/>
          <w:szCs w:val="24"/>
        </w:rPr>
        <w:t xml:space="preserve">                                 </w:t>
      </w:r>
      <w:r w:rsidRPr="006F0821">
        <w:rPr>
          <w:rFonts w:ascii="Times New Roman" w:hAnsi="Times New Roman" w:cs="Times New Roman"/>
          <w:sz w:val="24"/>
          <w:szCs w:val="24"/>
        </w:rPr>
        <w:t>Groups in the Experimental Group (n=14).</w:t>
      </w:r>
    </w:p>
    <w:tbl>
      <w:tblPr>
        <w:tblStyle w:val="TableGrid10"/>
        <w:tblpPr w:leftFromText="180" w:rightFromText="180" w:vertAnchor="text" w:horzAnchor="margin" w:tblpXSpec="center" w:tblpY="31"/>
        <w:tblW w:w="7830" w:type="dxa"/>
        <w:tblBorders>
          <w:top w:val="double" w:sz="6" w:space="0" w:color="auto"/>
          <w:left w:val="none" w:sz="0" w:space="0" w:color="auto"/>
          <w:bottom w:val="double" w:sz="6" w:space="0" w:color="auto"/>
          <w:right w:val="none" w:sz="0" w:space="0" w:color="auto"/>
          <w:insideH w:val="single" w:sz="6" w:space="0" w:color="auto"/>
          <w:insideV w:val="none" w:sz="0" w:space="0" w:color="auto"/>
        </w:tblBorders>
        <w:tblLayout w:type="fixed"/>
        <w:tblLook w:val="04A0" w:firstRow="1" w:lastRow="0" w:firstColumn="1" w:lastColumn="0" w:noHBand="0" w:noVBand="1"/>
      </w:tblPr>
      <w:tblGrid>
        <w:gridCol w:w="1620"/>
        <w:gridCol w:w="1260"/>
        <w:gridCol w:w="1170"/>
        <w:gridCol w:w="810"/>
        <w:gridCol w:w="1080"/>
        <w:gridCol w:w="1890"/>
      </w:tblGrid>
      <w:tr w:rsidR="006F0821" w:rsidRPr="006F0821" w14:paraId="52E64740" w14:textId="77777777" w:rsidTr="006F0821">
        <w:trPr>
          <w:trHeight w:val="450"/>
        </w:trPr>
        <w:tc>
          <w:tcPr>
            <w:tcW w:w="1620" w:type="dxa"/>
          </w:tcPr>
          <w:p w14:paraId="3892A67F"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Test</w:t>
            </w:r>
          </w:p>
        </w:tc>
        <w:tc>
          <w:tcPr>
            <w:tcW w:w="1260" w:type="dxa"/>
          </w:tcPr>
          <w:p w14:paraId="6D0A1A18"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Statistic (H)</w:t>
            </w:r>
          </w:p>
        </w:tc>
        <w:tc>
          <w:tcPr>
            <w:tcW w:w="1170" w:type="dxa"/>
          </w:tcPr>
          <w:p w14:paraId="37980142"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p-value</w:t>
            </w:r>
          </w:p>
        </w:tc>
        <w:tc>
          <w:tcPr>
            <w:tcW w:w="810" w:type="dxa"/>
          </w:tcPr>
          <w:p w14:paraId="5D75023D"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proofErr w:type="spellStart"/>
            <w:r w:rsidRPr="006F0821">
              <w:rPr>
                <w:rFonts w:ascii="Times New Roman" w:eastAsia="Times New Roman" w:hAnsi="Times New Roman" w:cs="Times New Roman"/>
                <w:sz w:val="24"/>
                <w:szCs w:val="24"/>
                <w14:ligatures w14:val="standardContextual"/>
              </w:rPr>
              <w:t>df</w:t>
            </w:r>
            <w:proofErr w:type="spellEnd"/>
          </w:p>
        </w:tc>
        <w:tc>
          <w:tcPr>
            <w:tcW w:w="1080" w:type="dxa"/>
          </w:tcPr>
          <w:p w14:paraId="6CE3C004"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bCs/>
                <w:color w:val="333333"/>
                <w:sz w:val="28"/>
                <w:szCs w:val="18"/>
                <w:lang w:eastAsia="en-PH"/>
                <w14:ligatures w14:val="standardContextual"/>
              </w:rPr>
              <w:t>ε²</w:t>
            </w:r>
          </w:p>
        </w:tc>
        <w:tc>
          <w:tcPr>
            <w:tcW w:w="1890" w:type="dxa"/>
          </w:tcPr>
          <w:p w14:paraId="784A3BD5"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Level of Significance</w:t>
            </w:r>
          </w:p>
        </w:tc>
      </w:tr>
      <w:tr w:rsidR="006F0821" w:rsidRPr="006F0821" w14:paraId="3992109F" w14:textId="77777777" w:rsidTr="006F0821">
        <w:trPr>
          <w:trHeight w:val="416"/>
        </w:trPr>
        <w:tc>
          <w:tcPr>
            <w:tcW w:w="1620" w:type="dxa"/>
          </w:tcPr>
          <w:p w14:paraId="6748393D"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Kruskal-Wallis H</w:t>
            </w:r>
          </w:p>
        </w:tc>
        <w:tc>
          <w:tcPr>
            <w:tcW w:w="1260" w:type="dxa"/>
          </w:tcPr>
          <w:p w14:paraId="58C8D4F1"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2.50</w:t>
            </w:r>
          </w:p>
        </w:tc>
        <w:tc>
          <w:tcPr>
            <w:tcW w:w="1170" w:type="dxa"/>
          </w:tcPr>
          <w:p w14:paraId="2B9DFE17"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0.476</w:t>
            </w:r>
            <w:r w:rsidRPr="006F0821">
              <w:rPr>
                <w:rFonts w:ascii="Times New Roman" w:eastAsia="Times New Roman" w:hAnsi="Times New Roman" w:cs="Times New Roman"/>
                <w:sz w:val="24"/>
                <w:szCs w:val="24"/>
                <w:vertAlign w:val="superscript"/>
                <w14:ligatures w14:val="standardContextual"/>
              </w:rPr>
              <w:t>ns</w:t>
            </w:r>
          </w:p>
        </w:tc>
        <w:tc>
          <w:tcPr>
            <w:tcW w:w="810" w:type="dxa"/>
          </w:tcPr>
          <w:p w14:paraId="67297858"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3</w:t>
            </w:r>
          </w:p>
        </w:tc>
        <w:tc>
          <w:tcPr>
            <w:tcW w:w="1080" w:type="dxa"/>
          </w:tcPr>
          <w:p w14:paraId="3CFAA674"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0.192</w:t>
            </w:r>
          </w:p>
        </w:tc>
        <w:tc>
          <w:tcPr>
            <w:tcW w:w="1890" w:type="dxa"/>
          </w:tcPr>
          <w:p w14:paraId="76D08BDA"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0.05</w:t>
            </w:r>
          </w:p>
        </w:tc>
      </w:tr>
    </w:tbl>
    <w:p w14:paraId="00AB21BB" w14:textId="77777777" w:rsidR="006F0821" w:rsidRDefault="006F0821" w:rsidP="006F0821">
      <w:pPr>
        <w:tabs>
          <w:tab w:val="left" w:pos="7740"/>
        </w:tabs>
        <w:spacing w:after="26" w:line="240" w:lineRule="auto"/>
        <w:ind w:right="234"/>
        <w:jc w:val="both"/>
        <w:rPr>
          <w:rFonts w:ascii="Times New Roman" w:hAnsi="Times New Roman" w:cs="Times New Roman"/>
          <w:sz w:val="24"/>
          <w:szCs w:val="24"/>
        </w:rPr>
      </w:pPr>
    </w:p>
    <w:p w14:paraId="5684B945" w14:textId="77777777" w:rsidR="006F0821" w:rsidRDefault="006F0821" w:rsidP="006F0821">
      <w:pPr>
        <w:tabs>
          <w:tab w:val="left" w:pos="7740"/>
        </w:tabs>
        <w:spacing w:after="26" w:line="240" w:lineRule="auto"/>
        <w:ind w:right="234"/>
        <w:jc w:val="both"/>
        <w:rPr>
          <w:rFonts w:ascii="Times New Roman" w:hAnsi="Times New Roman" w:cs="Times New Roman"/>
          <w:sz w:val="24"/>
          <w:szCs w:val="24"/>
        </w:rPr>
      </w:pPr>
    </w:p>
    <w:p w14:paraId="5563C881" w14:textId="77777777" w:rsidR="006F0821" w:rsidRDefault="006F0821" w:rsidP="006F0821">
      <w:pPr>
        <w:tabs>
          <w:tab w:val="left" w:pos="7740"/>
        </w:tabs>
        <w:spacing w:after="26" w:line="240" w:lineRule="auto"/>
        <w:ind w:right="234"/>
        <w:jc w:val="both"/>
        <w:rPr>
          <w:rFonts w:ascii="Times New Roman" w:hAnsi="Times New Roman" w:cs="Times New Roman"/>
          <w:sz w:val="24"/>
          <w:szCs w:val="24"/>
        </w:rPr>
      </w:pPr>
    </w:p>
    <w:p w14:paraId="2B0BCABC" w14:textId="77777777" w:rsidR="006F0821" w:rsidRPr="00F54A04" w:rsidRDefault="006F0821" w:rsidP="006F0821">
      <w:pPr>
        <w:tabs>
          <w:tab w:val="left" w:pos="7740"/>
        </w:tabs>
        <w:spacing w:after="26" w:line="240" w:lineRule="auto"/>
        <w:ind w:left="540" w:right="234" w:hanging="540"/>
        <w:jc w:val="both"/>
        <w:rPr>
          <w:rFonts w:ascii="Times New Roman" w:hAnsi="Times New Roman" w:cs="Times New Roman"/>
          <w:b/>
          <w:sz w:val="24"/>
          <w:szCs w:val="24"/>
        </w:rPr>
      </w:pPr>
    </w:p>
    <w:p w14:paraId="2F0D096B" w14:textId="70B4DCFA" w:rsidR="006F0821" w:rsidRDefault="006F0821" w:rsidP="006F0821">
      <w:pPr>
        <w:spacing w:after="0" w:line="240" w:lineRule="auto"/>
        <w:ind w:right="234" w:firstLine="45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451084D" w14:textId="207EC967" w:rsidR="00BB76CB" w:rsidRDefault="006F0821" w:rsidP="006F0821">
      <w:pPr>
        <w:spacing w:after="0" w:line="240" w:lineRule="auto"/>
        <w:ind w:right="234" w:firstLine="450"/>
        <w:jc w:val="both"/>
        <w:rPr>
          <w:rFonts w:ascii="Times New Roman" w:hAnsi="Times New Roman" w:cs="Times New Roman"/>
          <w:bCs/>
          <w:sz w:val="24"/>
          <w:szCs w:val="24"/>
        </w:rPr>
      </w:pPr>
      <w:r>
        <w:rPr>
          <w:rFonts w:ascii="Times New Roman" w:hAnsi="Times New Roman" w:cs="Times New Roman"/>
          <w:bCs/>
          <w:sz w:val="24"/>
          <w:szCs w:val="24"/>
        </w:rPr>
        <w:t xml:space="preserve">      ns </w:t>
      </w:r>
      <w:r w:rsidRPr="006F0821">
        <w:rPr>
          <w:rFonts w:ascii="Times New Roman" w:hAnsi="Times New Roman" w:cs="Times New Roman"/>
          <w:bCs/>
          <w:sz w:val="24"/>
          <w:szCs w:val="24"/>
        </w:rPr>
        <w:t>= not significant</w:t>
      </w:r>
    </w:p>
    <w:p w14:paraId="0EBF5204" w14:textId="77777777" w:rsidR="006F0821" w:rsidRDefault="006F0821" w:rsidP="006F0821">
      <w:pPr>
        <w:spacing w:after="0" w:line="240" w:lineRule="auto"/>
        <w:ind w:right="234"/>
        <w:jc w:val="both"/>
        <w:rPr>
          <w:rFonts w:ascii="Times New Roman" w:hAnsi="Times New Roman" w:cs="Times New Roman"/>
          <w:bCs/>
          <w:sz w:val="24"/>
          <w:szCs w:val="24"/>
        </w:rPr>
      </w:pPr>
    </w:p>
    <w:p w14:paraId="4D0F9FBF" w14:textId="77777777" w:rsidR="006F0821" w:rsidRPr="006F0821" w:rsidRDefault="006F0821" w:rsidP="006F0821">
      <w:pPr>
        <w:rPr>
          <w:rFonts w:ascii="Times New Roman" w:hAnsi="Times New Roman" w:cs="Times New Roman"/>
          <w:b/>
          <w:sz w:val="24"/>
          <w:szCs w:val="24"/>
        </w:rPr>
      </w:pPr>
      <w:r w:rsidRPr="006F0821">
        <w:rPr>
          <w:rFonts w:ascii="Times New Roman" w:hAnsi="Times New Roman" w:cs="Times New Roman"/>
          <w:b/>
          <w:sz w:val="24"/>
          <w:szCs w:val="24"/>
        </w:rPr>
        <w:t>4.11 Gender significantly affect the Improvement in Scores after Music Integration</w:t>
      </w:r>
    </w:p>
    <w:p w14:paraId="6AFD0F65" w14:textId="752C7860" w:rsidR="006F0821" w:rsidRPr="006F0821" w:rsidRDefault="006F0821" w:rsidP="006F0821">
      <w:pPr>
        <w:spacing w:after="0" w:line="240" w:lineRule="auto"/>
        <w:ind w:right="234" w:firstLine="720"/>
        <w:jc w:val="both"/>
        <w:rPr>
          <w:rFonts w:ascii="Times New Roman" w:hAnsi="Times New Roman" w:cs="Times New Roman"/>
          <w:bCs/>
          <w:sz w:val="24"/>
          <w:szCs w:val="24"/>
        </w:rPr>
      </w:pPr>
      <w:r w:rsidRPr="006F0821">
        <w:rPr>
          <w:rFonts w:ascii="Times New Roman" w:hAnsi="Times New Roman" w:cs="Times New Roman"/>
          <w:bCs/>
          <w:sz w:val="24"/>
          <w:szCs w:val="24"/>
        </w:rPr>
        <w:t>Table 4.1</w:t>
      </w:r>
      <w:r w:rsidR="00E34A26">
        <w:rPr>
          <w:rFonts w:ascii="Times New Roman" w:hAnsi="Times New Roman" w:cs="Times New Roman"/>
          <w:bCs/>
          <w:sz w:val="24"/>
          <w:szCs w:val="24"/>
        </w:rPr>
        <w:t>1</w:t>
      </w:r>
      <w:r w:rsidRPr="006F0821">
        <w:rPr>
          <w:rFonts w:ascii="Times New Roman" w:hAnsi="Times New Roman" w:cs="Times New Roman"/>
          <w:bCs/>
          <w:sz w:val="24"/>
          <w:szCs w:val="24"/>
        </w:rPr>
        <w:t>. shows an independent samples t-test examining whether gender significantly affects the improvement in scores after Music integration. The test revealed a t statistic of (-2.27), with (12.0) degree of freedom, a p- value (0.043), and an effect size of (-1.21) which is less than the 0.05 level of significance. Therefore, the null hypothesis is rejected.</w:t>
      </w:r>
      <w:r>
        <w:rPr>
          <w:rFonts w:ascii="Times New Roman" w:hAnsi="Times New Roman" w:cs="Times New Roman"/>
          <w:bCs/>
          <w:sz w:val="24"/>
          <w:szCs w:val="24"/>
        </w:rPr>
        <w:t xml:space="preserve"> </w:t>
      </w:r>
      <w:r w:rsidRPr="006F0821">
        <w:rPr>
          <w:rFonts w:ascii="Times New Roman" w:hAnsi="Times New Roman" w:cs="Times New Roman"/>
          <w:bCs/>
          <w:sz w:val="24"/>
          <w:szCs w:val="24"/>
        </w:rPr>
        <w:t>This result indicates that there is a significant difference in score improvement between male and female students in the experimental group. In other words, gender played a role in the extent of improvement after the integration of Music into Mathematics lessons; one gender showed relatively greater gains than the other.</w:t>
      </w:r>
      <w:r>
        <w:rPr>
          <w:rFonts w:ascii="Times New Roman" w:hAnsi="Times New Roman" w:cs="Times New Roman"/>
          <w:bCs/>
          <w:sz w:val="24"/>
          <w:szCs w:val="24"/>
        </w:rPr>
        <w:t xml:space="preserve"> </w:t>
      </w:r>
      <w:r w:rsidRPr="006F0821">
        <w:rPr>
          <w:rFonts w:ascii="Times New Roman" w:hAnsi="Times New Roman" w:cs="Times New Roman"/>
          <w:bCs/>
          <w:sz w:val="24"/>
          <w:szCs w:val="24"/>
        </w:rPr>
        <w:t xml:space="preserve">A recent study by Luo and Chen (2024) titled “The Impact of Math-Gender Stereotypes on Students’ Academic Performance: Evidence from China” found that gender-related beliefs and stereotypes significantly influence Mathematics achievement. Although this study did not focus on music integration, it reported that female students’ performance was negatively affected by stereotypes, while male students were less impacted, especially in environments that do not explicitly address such beliefs. This supports the present </w:t>
      </w:r>
      <w:r w:rsidRPr="006F0821">
        <w:rPr>
          <w:rFonts w:ascii="Times New Roman" w:hAnsi="Times New Roman" w:cs="Times New Roman"/>
          <w:bCs/>
          <w:sz w:val="24"/>
          <w:szCs w:val="24"/>
        </w:rPr>
        <w:lastRenderedPageBreak/>
        <w:t>study’s finding that gender can significantly affect score improvement, potentially due to differing perceptions or attitudes associated with gender.</w:t>
      </w:r>
    </w:p>
    <w:p w14:paraId="5F8260F9" w14:textId="77777777" w:rsidR="00BB76CB" w:rsidRPr="006F0821" w:rsidRDefault="00BB76CB" w:rsidP="006F0821">
      <w:pPr>
        <w:spacing w:before="26" w:after="0" w:line="240" w:lineRule="auto"/>
        <w:ind w:right="234" w:firstLine="450"/>
        <w:jc w:val="both"/>
        <w:rPr>
          <w:rFonts w:ascii="Times New Roman" w:hAnsi="Times New Roman" w:cs="Times New Roman"/>
          <w:b/>
          <w:sz w:val="24"/>
          <w:szCs w:val="24"/>
        </w:rPr>
      </w:pPr>
    </w:p>
    <w:p w14:paraId="59FA5484" w14:textId="5EDB5B2B" w:rsidR="00E05A8D" w:rsidRDefault="006F0821" w:rsidP="006F0821">
      <w:pPr>
        <w:spacing w:before="26" w:after="26" w:line="240" w:lineRule="auto"/>
        <w:ind w:left="1440" w:right="234" w:hanging="720"/>
        <w:jc w:val="both"/>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b/>
          <w:sz w:val="24"/>
          <w:szCs w:val="24"/>
          <w14:ligatures w14:val="standardContextual"/>
        </w:rPr>
        <w:t>Table 4.1</w:t>
      </w:r>
      <w:r w:rsidR="00E34A26">
        <w:rPr>
          <w:rFonts w:ascii="Times New Roman" w:eastAsia="Times New Roman" w:hAnsi="Times New Roman" w:cs="Times New Roman"/>
          <w:b/>
          <w:sz w:val="24"/>
          <w:szCs w:val="24"/>
          <w14:ligatures w14:val="standardContextual"/>
        </w:rPr>
        <w:t>1</w:t>
      </w:r>
      <w:r w:rsidRPr="006F0821">
        <w:rPr>
          <w:rFonts w:ascii="Times New Roman" w:eastAsia="Times New Roman" w:hAnsi="Times New Roman" w:cs="Times New Roman"/>
          <w:b/>
          <w:sz w:val="24"/>
          <w:szCs w:val="24"/>
          <w14:ligatures w14:val="standardContextual"/>
        </w:rPr>
        <w:t>.</w:t>
      </w:r>
      <w:r w:rsidRPr="006F0821">
        <w:rPr>
          <w:rFonts w:ascii="Times New Roman" w:eastAsia="Times New Roman" w:hAnsi="Times New Roman" w:cs="Times New Roman"/>
          <w:sz w:val="24"/>
          <w:szCs w:val="24"/>
          <w14:ligatures w14:val="standardContextual"/>
        </w:rPr>
        <w:t xml:space="preserve"> Gender significantly </w:t>
      </w:r>
      <w:proofErr w:type="gramStart"/>
      <w:r w:rsidRPr="006F0821">
        <w:rPr>
          <w:rFonts w:ascii="Times New Roman" w:eastAsia="Times New Roman" w:hAnsi="Times New Roman" w:cs="Times New Roman"/>
          <w:sz w:val="24"/>
          <w:szCs w:val="24"/>
          <w14:ligatures w14:val="standardContextual"/>
        </w:rPr>
        <w:t>affect</w:t>
      </w:r>
      <w:proofErr w:type="gramEnd"/>
      <w:r w:rsidRPr="006F0821">
        <w:rPr>
          <w:rFonts w:ascii="Times New Roman" w:eastAsia="Times New Roman" w:hAnsi="Times New Roman" w:cs="Times New Roman"/>
          <w:sz w:val="24"/>
          <w:szCs w:val="24"/>
          <w14:ligatures w14:val="standardContextual"/>
        </w:rPr>
        <w:t xml:space="preserve"> the Improvement in Scores after Music </w:t>
      </w:r>
      <w:r w:rsidR="00E05A8D">
        <w:rPr>
          <w:rFonts w:ascii="Times New Roman" w:eastAsia="Times New Roman" w:hAnsi="Times New Roman" w:cs="Times New Roman"/>
          <w:sz w:val="24"/>
          <w:szCs w:val="24"/>
          <w14:ligatures w14:val="standardContextual"/>
        </w:rPr>
        <w:t xml:space="preserve">   </w:t>
      </w:r>
    </w:p>
    <w:p w14:paraId="30EE9289" w14:textId="52217002" w:rsidR="006F0821" w:rsidRPr="006F0821" w:rsidRDefault="00E05A8D" w:rsidP="006F0821">
      <w:pPr>
        <w:spacing w:before="26" w:after="26" w:line="240" w:lineRule="auto"/>
        <w:ind w:left="1440" w:right="234" w:hanging="720"/>
        <w:jc w:val="both"/>
        <w:rPr>
          <w:rFonts w:ascii="Times New Roman" w:eastAsia="Times New Roman" w:hAnsi="Times New Roman" w:cs="Times New Roman"/>
          <w:sz w:val="24"/>
          <w:szCs w:val="24"/>
          <w14:ligatures w14:val="standardContextual"/>
        </w:rPr>
      </w:pPr>
      <w:r>
        <w:rPr>
          <w:rFonts w:ascii="Times New Roman" w:eastAsia="Times New Roman" w:hAnsi="Times New Roman" w:cs="Times New Roman"/>
          <w:b/>
          <w:sz w:val="24"/>
          <w:szCs w:val="24"/>
          <w14:ligatures w14:val="standardContextual"/>
        </w:rPr>
        <w:t xml:space="preserve">                    </w:t>
      </w:r>
      <w:r w:rsidR="006F0821" w:rsidRPr="006F0821">
        <w:rPr>
          <w:rFonts w:ascii="Times New Roman" w:eastAsia="Times New Roman" w:hAnsi="Times New Roman" w:cs="Times New Roman"/>
          <w:sz w:val="24"/>
          <w:szCs w:val="24"/>
          <w14:ligatures w14:val="standardContextual"/>
        </w:rPr>
        <w:t>Integration (n=14).</w:t>
      </w:r>
    </w:p>
    <w:tbl>
      <w:tblPr>
        <w:tblStyle w:val="TableGrid12"/>
        <w:tblW w:w="7830" w:type="dxa"/>
        <w:tblInd w:w="779" w:type="dxa"/>
        <w:tblBorders>
          <w:top w:val="double" w:sz="6" w:space="0" w:color="auto"/>
          <w:left w:val="none" w:sz="0" w:space="0" w:color="auto"/>
          <w:bottom w:val="double" w:sz="6" w:space="0" w:color="auto"/>
          <w:right w:val="none" w:sz="0" w:space="0" w:color="auto"/>
          <w:insideH w:val="single" w:sz="6" w:space="0" w:color="auto"/>
          <w:insideV w:val="none" w:sz="0" w:space="0" w:color="auto"/>
        </w:tblBorders>
        <w:tblLayout w:type="fixed"/>
        <w:tblLook w:val="04A0" w:firstRow="1" w:lastRow="0" w:firstColumn="1" w:lastColumn="0" w:noHBand="0" w:noVBand="1"/>
      </w:tblPr>
      <w:tblGrid>
        <w:gridCol w:w="1710"/>
        <w:gridCol w:w="1260"/>
        <w:gridCol w:w="1170"/>
        <w:gridCol w:w="810"/>
        <w:gridCol w:w="1080"/>
        <w:gridCol w:w="1800"/>
      </w:tblGrid>
      <w:tr w:rsidR="006F0821" w:rsidRPr="006F0821" w14:paraId="1DB247BD" w14:textId="77777777" w:rsidTr="006F0821">
        <w:trPr>
          <w:trHeight w:val="450"/>
        </w:trPr>
        <w:tc>
          <w:tcPr>
            <w:tcW w:w="1710" w:type="dxa"/>
          </w:tcPr>
          <w:p w14:paraId="4B78616B"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Test</w:t>
            </w:r>
          </w:p>
        </w:tc>
        <w:tc>
          <w:tcPr>
            <w:tcW w:w="1260" w:type="dxa"/>
          </w:tcPr>
          <w:p w14:paraId="643E22EE"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Statistic</w:t>
            </w:r>
          </w:p>
          <w:p w14:paraId="3ECEF53A"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(t)</w:t>
            </w:r>
          </w:p>
        </w:tc>
        <w:tc>
          <w:tcPr>
            <w:tcW w:w="1170" w:type="dxa"/>
          </w:tcPr>
          <w:p w14:paraId="24A29A13"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p-value</w:t>
            </w:r>
          </w:p>
        </w:tc>
        <w:tc>
          <w:tcPr>
            <w:tcW w:w="810" w:type="dxa"/>
          </w:tcPr>
          <w:p w14:paraId="0CFD82E1"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proofErr w:type="spellStart"/>
            <w:r w:rsidRPr="006F0821">
              <w:rPr>
                <w:rFonts w:ascii="Times New Roman" w:eastAsia="Times New Roman" w:hAnsi="Times New Roman" w:cs="Times New Roman"/>
                <w:sz w:val="24"/>
                <w:szCs w:val="24"/>
                <w14:ligatures w14:val="standardContextual"/>
              </w:rPr>
              <w:t>df</w:t>
            </w:r>
            <w:proofErr w:type="spellEnd"/>
          </w:p>
        </w:tc>
        <w:tc>
          <w:tcPr>
            <w:tcW w:w="1080" w:type="dxa"/>
          </w:tcPr>
          <w:p w14:paraId="74929926"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bCs/>
                <w:color w:val="333333"/>
                <w:sz w:val="28"/>
                <w:szCs w:val="18"/>
                <w:lang w:eastAsia="en-PH"/>
                <w14:ligatures w14:val="standardContextual"/>
              </w:rPr>
              <w:t>ε²</w:t>
            </w:r>
          </w:p>
        </w:tc>
        <w:tc>
          <w:tcPr>
            <w:tcW w:w="1800" w:type="dxa"/>
          </w:tcPr>
          <w:p w14:paraId="370A357A"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Level of significance</w:t>
            </w:r>
          </w:p>
        </w:tc>
      </w:tr>
      <w:tr w:rsidR="006F0821" w:rsidRPr="006F0821" w14:paraId="31E11D10" w14:textId="77777777" w:rsidTr="006F0821">
        <w:trPr>
          <w:trHeight w:val="416"/>
        </w:trPr>
        <w:tc>
          <w:tcPr>
            <w:tcW w:w="1710" w:type="dxa"/>
          </w:tcPr>
          <w:p w14:paraId="5B76DCE6"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Independent T-test</w:t>
            </w:r>
          </w:p>
        </w:tc>
        <w:tc>
          <w:tcPr>
            <w:tcW w:w="1260" w:type="dxa"/>
          </w:tcPr>
          <w:p w14:paraId="7A054914"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-2.27</w:t>
            </w:r>
          </w:p>
        </w:tc>
        <w:tc>
          <w:tcPr>
            <w:tcW w:w="1170" w:type="dxa"/>
          </w:tcPr>
          <w:p w14:paraId="37D18930"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0.043</w:t>
            </w:r>
            <w:r w:rsidRPr="006F0821">
              <w:rPr>
                <w:rFonts w:ascii="Times New Roman" w:eastAsia="Times New Roman" w:hAnsi="Times New Roman" w:cs="Times New Roman"/>
                <w:sz w:val="24"/>
                <w:szCs w:val="24"/>
                <w:vertAlign w:val="superscript"/>
                <w14:ligatures w14:val="standardContextual"/>
              </w:rPr>
              <w:t>ns</w:t>
            </w:r>
          </w:p>
        </w:tc>
        <w:tc>
          <w:tcPr>
            <w:tcW w:w="810" w:type="dxa"/>
          </w:tcPr>
          <w:p w14:paraId="7C88D944"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12</w:t>
            </w:r>
          </w:p>
        </w:tc>
        <w:tc>
          <w:tcPr>
            <w:tcW w:w="1080" w:type="dxa"/>
          </w:tcPr>
          <w:p w14:paraId="2903F5F3"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-1.21</w:t>
            </w:r>
          </w:p>
        </w:tc>
        <w:tc>
          <w:tcPr>
            <w:tcW w:w="1800" w:type="dxa"/>
          </w:tcPr>
          <w:p w14:paraId="17FF22A7" w14:textId="77777777" w:rsidR="006F0821" w:rsidRPr="006F0821" w:rsidRDefault="006F0821" w:rsidP="006F0821">
            <w:pPr>
              <w:spacing w:before="26" w:after="26" w:line="240" w:lineRule="auto"/>
              <w:ind w:right="234"/>
              <w:jc w:val="center"/>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0.05</w:t>
            </w:r>
          </w:p>
        </w:tc>
      </w:tr>
    </w:tbl>
    <w:p w14:paraId="226877CB" w14:textId="666440D3" w:rsidR="00FD4F38" w:rsidRPr="00FD4F38" w:rsidRDefault="006F0821" w:rsidP="00FD4F38">
      <w:pPr>
        <w:spacing w:before="26" w:after="26" w:line="480" w:lineRule="auto"/>
        <w:ind w:right="234"/>
        <w:jc w:val="both"/>
        <w:rPr>
          <w:rFonts w:ascii="Times New Roman" w:eastAsia="Times New Roman" w:hAnsi="Times New Roman" w:cs="Times New Roman"/>
          <w:sz w:val="24"/>
          <w:szCs w:val="24"/>
          <w14:ligatures w14:val="standardContextual"/>
        </w:rPr>
      </w:pPr>
      <w:r w:rsidRPr="006F0821">
        <w:rPr>
          <w:rFonts w:ascii="Times New Roman" w:eastAsia="Times New Roman" w:hAnsi="Times New Roman" w:cs="Times New Roman"/>
          <w:sz w:val="24"/>
          <w:szCs w:val="24"/>
          <w14:ligatures w14:val="standardContextual"/>
        </w:rPr>
        <w:t xml:space="preserve">   </w:t>
      </w:r>
      <w:r>
        <w:rPr>
          <w:rFonts w:ascii="Times New Roman" w:eastAsia="Times New Roman" w:hAnsi="Times New Roman" w:cs="Times New Roman"/>
          <w:sz w:val="24"/>
          <w:szCs w:val="24"/>
          <w14:ligatures w14:val="standardContextual"/>
        </w:rPr>
        <w:t xml:space="preserve">           </w:t>
      </w:r>
      <w:r w:rsidRPr="006F0821">
        <w:rPr>
          <w:rFonts w:ascii="Times New Roman" w:eastAsia="Times New Roman" w:hAnsi="Times New Roman" w:cs="Times New Roman"/>
          <w:sz w:val="24"/>
          <w:szCs w:val="24"/>
          <w14:ligatures w14:val="standardContextual"/>
        </w:rPr>
        <w:t>*</w:t>
      </w:r>
      <w:proofErr w:type="gramStart"/>
      <w:r w:rsidRPr="006F0821">
        <w:rPr>
          <w:rFonts w:ascii="Times New Roman" w:eastAsia="Times New Roman" w:hAnsi="Times New Roman" w:cs="Times New Roman"/>
          <w:sz w:val="24"/>
          <w:szCs w:val="24"/>
          <w14:ligatures w14:val="standardContextual"/>
        </w:rPr>
        <w:t>significant</w:t>
      </w:r>
      <w:proofErr w:type="gramEnd"/>
    </w:p>
    <w:p w14:paraId="21898A41" w14:textId="632C9159" w:rsidR="00FD4F38" w:rsidRPr="00E34A26" w:rsidRDefault="00FD4F38" w:rsidP="00FD4F38">
      <w:pPr>
        <w:spacing w:before="26" w:after="26" w:line="240" w:lineRule="auto"/>
        <w:ind w:right="234"/>
        <w:jc w:val="both"/>
        <w:rPr>
          <w:b/>
          <w:bCs/>
        </w:rPr>
      </w:pPr>
    </w:p>
    <w:p w14:paraId="1A46A679" w14:textId="6E2A17F8" w:rsidR="00E34A26" w:rsidRDefault="00E34A26" w:rsidP="00E34A26">
      <w:pPr>
        <w:spacing w:before="26" w:after="26" w:line="240" w:lineRule="auto"/>
        <w:ind w:right="234"/>
        <w:jc w:val="both"/>
        <w:rPr>
          <w:rFonts w:ascii="Times New Roman" w:eastAsia="Times New Roman" w:hAnsi="Times New Roman" w:cs="Times New Roman"/>
          <w:b/>
          <w:bCs/>
          <w:sz w:val="24"/>
          <w:szCs w:val="24"/>
          <w14:ligatures w14:val="standardContextual"/>
        </w:rPr>
      </w:pPr>
      <w:r w:rsidRPr="00E34A26">
        <w:rPr>
          <w:rFonts w:ascii="Times New Roman" w:eastAsia="Times New Roman" w:hAnsi="Times New Roman" w:cs="Times New Roman"/>
          <w:b/>
          <w:bCs/>
          <w:sz w:val="24"/>
          <w:szCs w:val="24"/>
          <w14:ligatures w14:val="standardContextual"/>
        </w:rPr>
        <w:t>4. DISCUSSION</w:t>
      </w:r>
    </w:p>
    <w:p w14:paraId="25673678" w14:textId="77777777" w:rsidR="00E34A26" w:rsidRPr="00E34A26" w:rsidRDefault="00E34A26" w:rsidP="00E34A26">
      <w:pPr>
        <w:spacing w:before="26" w:after="26" w:line="240" w:lineRule="auto"/>
        <w:ind w:right="234"/>
        <w:jc w:val="both"/>
        <w:rPr>
          <w:rFonts w:ascii="Times New Roman" w:eastAsia="Times New Roman" w:hAnsi="Times New Roman" w:cs="Times New Roman"/>
          <w:b/>
          <w:bCs/>
          <w:sz w:val="24"/>
          <w:szCs w:val="24"/>
          <w14:ligatures w14:val="standardContextual"/>
        </w:rPr>
      </w:pPr>
    </w:p>
    <w:p w14:paraId="1AF10E1E"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 xml:space="preserve">This study was conducted to determine the influence of Music integration in teaching Mathematics among Grade 4 pupils of </w:t>
      </w:r>
      <w:proofErr w:type="spellStart"/>
      <w:r w:rsidRPr="00BA31DF">
        <w:rPr>
          <w:rFonts w:ascii="Times New Roman" w:eastAsia="Times New Roman" w:hAnsi="Times New Roman" w:cs="Times New Roman"/>
          <w:sz w:val="24"/>
          <w:szCs w:val="24"/>
          <w14:ligatures w14:val="standardContextual"/>
        </w:rPr>
        <w:t>Pikalawag</w:t>
      </w:r>
      <w:proofErr w:type="spellEnd"/>
      <w:r w:rsidRPr="00BA31DF">
        <w:rPr>
          <w:rFonts w:ascii="Times New Roman" w:eastAsia="Times New Roman" w:hAnsi="Times New Roman" w:cs="Times New Roman"/>
          <w:sz w:val="24"/>
          <w:szCs w:val="24"/>
          <w14:ligatures w14:val="standardContextual"/>
        </w:rPr>
        <w:t xml:space="preserve"> Integrated School during the School Year 2025–2026. Specifically, the study sought to examine the respondents’ demographic profile in terms of age and gender, assess their pre-test and post-test scores, determine their score improvements, and identify whether significant differences existed between the control and experimental groups after the implementation of Music-integrated instruction. Furthermore, the study investigated whether age and gender significantly affected the respondents’ improvement scores.</w:t>
      </w:r>
    </w:p>
    <w:p w14:paraId="2CB75051" w14:textId="04632C9B"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The findings of the study revealed that the majority of respondents in both the control and experimental groups were nine years old. In the control group, seven (7) respondents or 50.00% were aged nine, while in the experimental group, eight (</w:t>
      </w:r>
      <w:r>
        <w:rPr>
          <w:rFonts w:ascii="Segoe UI Emoji" w:eastAsia="Times New Roman" w:hAnsi="Segoe UI Emoji" w:cs="Segoe UI Emoji"/>
          <w:sz w:val="24"/>
          <w:szCs w:val="24"/>
          <w14:ligatures w14:val="standardContextual"/>
        </w:rPr>
        <w:t xml:space="preserve">8 </w:t>
      </w:r>
      <w:r w:rsidRPr="00BA31DF">
        <w:rPr>
          <w:rFonts w:ascii="Times New Roman" w:eastAsia="Times New Roman" w:hAnsi="Times New Roman" w:cs="Times New Roman"/>
          <w:sz w:val="24"/>
          <w:szCs w:val="24"/>
          <w14:ligatures w14:val="standardContextual"/>
        </w:rPr>
        <w:t>respondents or 57.14% belonged to the same age category. The remaining respondents were distributed among ages eight, ten, and eleven. These findings indicate that most respondents were within the expected developmental age for Grade 4 pupils. According to DepEd Order No. 20, s. 2018, Grade 4 learners are commonly within the age bracket of eight to eleven years old, with nine years old being the typical age placement. Therefore, the respondents’ age distribution confirms that the participants were developmentally appropriate for the grade level and that both groups were comparable in terms of maturity and cognitive readiness.</w:t>
      </w:r>
    </w:p>
    <w:p w14:paraId="0F910ED7"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In terms of gender, the findings showed that both the control and experimental groups had an equal distribution of male and female respondents. Each group consisted of seven (7) males and seven (7) females, representing 50.00% for each gender category. The balanced gender composition ensured fairness and comparability between groups. This equal distribution minimized gender bias and strengthened the reliability of the study findings. Zhou and Lian (2024) emphasized that instructional strategies, particularly Music-integrated learning, can improve learners’ performance regardless of gender differences. Hence, the equal gender representation in the present study supports the validity of the conclusion that changes in academic performance were more likely caused by the instructional intervention rather than demographic factors.</w:t>
      </w:r>
    </w:p>
    <w:p w14:paraId="4AF318A9"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lastRenderedPageBreak/>
        <w:t>The pre-test results revealed that the majority of respondents in both groups obtained scores categorized as “Fair.” In the control group, twelve (12) respondents or 85.71% scored within the range of 7–12, while one (1) respondent or 7.14% obtained a “Good” score and another one (1) respondent or 7.14% fell under the “Poor” category. Similarly, in the experimental group, thirteen (13) respondents or 92.86% obtained “Fair” scores, while one (1) respondent or 7.14% belonged to the “Poor” category. No respondents from either group achieved scores categorized as “Very Good” or “Excellent” during the pre-test.</w:t>
      </w:r>
    </w:p>
    <w:p w14:paraId="6B05DAF7"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These findings indicate that both groups had relatively low and comparable levels of prior knowledge and competencies in Mathematics before the intervention. The similarity in pre-test performance established that the respondents possessed nearly the same baseline understanding of the mathematical concepts covered in the study. This comparability is important because it ensures that subsequent differences in post-test performance can be attributed primarily to the intervention rather than pre-existing academic disparities. Hall and Behrens (2022) emphasized that pre-test assessments serve as essential baseline indicators in educational research because they measure students’ prior knowledge and readiness before implementing instructional interventions.</w:t>
      </w:r>
    </w:p>
    <w:p w14:paraId="5AAE322F"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The low pre-test scores observed among respondents may suggest that many pupils initially struggled with division concepts and problem-solving skills in Mathematics. Mathematics is often perceived by elementary learners as difficult and abstract, especially when lessons are delivered through traditional lecture-based methods alone. Learners at this stage typically require interactive and engaging strategies to maintain focus and facilitate deeper understanding. This supports the findings of Johnson and Lee (2022), who explained that meaningful learning occurs when instructional approaches connect abstract concepts to engaging and relatable experiences.</w:t>
      </w:r>
    </w:p>
    <w:p w14:paraId="67C82A09"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Following the implementation of Music-integrated instruction, the post-test results showed remarkable improvement in both groups, particularly in the experimental group. In the control group, seven (7) respondents or 50.00% achieved scores within the “Very Good” range, four (4) respondents or 28.57% obtained “Good” scores, and three (3) respondents or 21.43% remained under the “Fair” category. Notably, no respondents from the control group achieved “Excellent” scores.</w:t>
      </w:r>
    </w:p>
    <w:p w14:paraId="050189DE"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In contrast, the experimental group demonstrated significantly higher achievement levels. Nine (9) respondents or 64.29% obtained “Very Good” scores, while four (4) respondents or 28.57% achieved scores categorized as “Excellent.” Only one (1) respondent or 7.14% remained within the “Good” category, and none were categorized under “Fair” or “Poor.” These findings clearly indicate that the pupils exposed to Music-integrated instruction performed better academically compared to those who received traditional teaching methods.</w:t>
      </w:r>
    </w:p>
    <w:p w14:paraId="2712C106"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The substantial improvement in the experimental group suggests that Music integration positively influenced pupils’ comprehension, participation, and retention of mathematical concepts. The integration of songs, rhythmic chants, and patterned beats likely enhanced learners’ engagement and made lessons more enjoyable and meaningful. Music-based activities may have also stimulated pupils’ auditory and cognitive processing skills, helping them better understand mathematical procedures and operations.</w:t>
      </w:r>
    </w:p>
    <w:p w14:paraId="1583BF93"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 xml:space="preserve">This finding supports the study of Brown and Johnson (2021), who explained that rhythmic patterns and melodies improve cognitive processing and memory retention in </w:t>
      </w:r>
      <w:r w:rsidRPr="00BA31DF">
        <w:rPr>
          <w:rFonts w:ascii="Times New Roman" w:eastAsia="Times New Roman" w:hAnsi="Times New Roman" w:cs="Times New Roman"/>
          <w:sz w:val="24"/>
          <w:szCs w:val="24"/>
          <w14:ligatures w14:val="standardContextual"/>
        </w:rPr>
        <w:lastRenderedPageBreak/>
        <w:t>Mathematics instruction. Their study revealed that Music-based activities help students visualize abstract concepts and improve comprehension through multisensory engagement. Similarly, Anderson (2023) found that associating mathematical concepts with rhythmic patterns enhances learners’ understanding of numerical relationships and problem-solving strategies.</w:t>
      </w:r>
    </w:p>
    <w:p w14:paraId="7A592D4F"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Moreover, the findings align with the meta-analysis conducted by Dr. Akın (2023), which involved nearly 78,000 students worldwide. The study concluded that Music-Math integrated instruction significantly improves mathematical achievement and reduces anxiety related to learning Mathematics. According to the study, musical activities such as rhythmic exercises, chants, and songs create a stimulating learning environment that encourages active participation and increases students’ motivation to learn.</w:t>
      </w:r>
    </w:p>
    <w:p w14:paraId="4A2C37C5"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The score improvement results further reinforced the effectiveness of Music-integrated instruction. Pupils in the experimental group exhibited greater improvement compared to those in the control group. This indicates that integrating Music into Mathematics lessons contributed positively to learners’ academic development. The rhythmic and repetitive elements of Music may have strengthened learners’ memory retention and understanding of division procedures, allowing them to solve problems more efficiently.</w:t>
      </w:r>
    </w:p>
    <w:p w14:paraId="1D645503"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The findings are supported by Carmona (2023), who investigated the effectiveness of Music integration in early Mathematics education among kindergarten pupils in the Philippines. The study revealed that learners exposed to Music-based instruction demonstrated greater improvement in sequencing, pattern recognition, and mathematical comprehension compared to pupils taught through conventional approaches. Similarly, Liu et al. (2021) found that Music activities involving rhythm and repetition enhance children’s understanding of numerical relationships and mathematical structures.</w:t>
      </w:r>
    </w:p>
    <w:p w14:paraId="2D1E22C4"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Furthermore, the results showed that Music integration significantly enhanced learners’ classroom engagement and participation. During the intervention period, pupils in the experimental group appeared more attentive, enthusiastic, and motivated during discussions and activities. The use of Music transformed the classroom atmosphere into a more enjoyable and interactive learning environment. Instead of perceiving Mathematics as difficult or intimidating, pupils became more willing to participate and collaborate with their classmates.</w:t>
      </w:r>
    </w:p>
    <w:p w14:paraId="78288866"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This observation supports the findings of Roberts and Williams (2021), who explained that integrating Music into classroom instruction increases learners’ engagement and willingness to participate in discussions. Their study emphasized that Music makes learning more relatable and enjoyable, particularly for students who experience anxiety or low confidence in Mathematics.</w:t>
      </w:r>
    </w:p>
    <w:p w14:paraId="4605B108"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The Wilcoxon Signed-Rank Test further confirmed the effectiveness of Music-integrated instruction. The statistical analysis revealed a significant difference between the pre-test and post-test scores of the experimental group. This finding indicates that the intervention had a measurable and positive impact on pupils’ academic performance in Mathematics. The significant improvement observed among the respondents demonstrates that Music integration effectively enhanced learners’ comprehension and mastery of mathematical concepts.</w:t>
      </w:r>
    </w:p>
    <w:p w14:paraId="63656309"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 xml:space="preserve">The effectiveness of Music-integrated instruction can be explained through constructivist learning theory, which emphasizes active participation and meaningful engagement in the learning process. Music-based instruction allowed pupils to interact with mathematical concepts through rhythm, melody, repetition, and movement. These activities </w:t>
      </w:r>
      <w:r w:rsidRPr="00BA31DF">
        <w:rPr>
          <w:rFonts w:ascii="Times New Roman" w:eastAsia="Times New Roman" w:hAnsi="Times New Roman" w:cs="Times New Roman"/>
          <w:sz w:val="24"/>
          <w:szCs w:val="24"/>
          <w14:ligatures w14:val="standardContextual"/>
        </w:rPr>
        <w:lastRenderedPageBreak/>
        <w:t>promoted deeper cognitive processing and strengthened learners’ understanding of the lessons. According to Smith et al. (2024), integrating Music into instruction reduces cognitive overload by presenting difficult concepts in manageable and engaging ways, thereby improving long-term retention and understanding.</w:t>
      </w:r>
    </w:p>
    <w:p w14:paraId="43953606"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 xml:space="preserve">The study also examined whether age significantly affected respondents’ score improvements. The findings revealed no significant difference in improvement </w:t>
      </w:r>
      <w:proofErr w:type="spellStart"/>
      <w:r w:rsidRPr="00BA31DF">
        <w:rPr>
          <w:rFonts w:ascii="Times New Roman" w:eastAsia="Times New Roman" w:hAnsi="Times New Roman" w:cs="Times New Roman"/>
          <w:sz w:val="24"/>
          <w:szCs w:val="24"/>
          <w14:ligatures w14:val="standardContextual"/>
        </w:rPr>
        <w:t>scores</w:t>
      </w:r>
      <w:proofErr w:type="spellEnd"/>
      <w:r w:rsidRPr="00BA31DF">
        <w:rPr>
          <w:rFonts w:ascii="Times New Roman" w:eastAsia="Times New Roman" w:hAnsi="Times New Roman" w:cs="Times New Roman"/>
          <w:sz w:val="24"/>
          <w:szCs w:val="24"/>
          <w14:ligatures w14:val="standardContextual"/>
        </w:rPr>
        <w:t xml:space="preserve"> across different age groups. This indicates that Music-integrated instruction was effective regardless of the pupils’ age. Learners aged eight, nine, ten, and eleven all benefited similarly from the intervention. This finding implies that Music functions as a universally engaging instructional strategy that supports learning across varying developmental stages.</w:t>
      </w:r>
    </w:p>
    <w:p w14:paraId="4E465148"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The result is consistent with the findings of Moreno and Bidelman (2021), who described Music as a “cognitive equalizer” capable of engaging learners of different ages and developmental levels. Music provides opportunities for learners to process information through multiple sensory channels, making learning more accessible and meaningful regardless of age-related differences.</w:t>
      </w:r>
    </w:p>
    <w:p w14:paraId="7AA90D78"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Similarly, the findings showed that gender did not significantly influence respondents’ score improvement. Both male and female pupils demonstrated comparable levels of improvement after exposure to Music-integrated instruction. This suggests that the effectiveness of Music-based learning strategies is not dependent on gender. Instead, instructional quality, learner engagement, and meaningful classroom experiences appear to play more important roles in influencing academic performance.</w:t>
      </w:r>
    </w:p>
    <w:p w14:paraId="4276BE63"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This finding supports the study of Zhou and Lian (2024), which concluded that Music-enhanced learning strategies improve mathematical reasoning and comprehension among both male and female students. The balanced gender distribution in the present study further strengthens this conclusion by ensuring equal representation and reducing the influence of gender bias.</w:t>
      </w:r>
    </w:p>
    <w:p w14:paraId="6072B74D"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Overall, the findings of this study strongly support the use of Music integration as an effective instructional strategy in teaching Mathematics among elementary pupils. Music-based instruction significantly improved learners’ academic performance, engagement, participation, comprehension, and motivation. Through songs, rhythmic patterns, chants, and musical activities, pupils were able to understand mathematical concepts more effectively and retain information more efficiently.</w:t>
      </w:r>
    </w:p>
    <w:p w14:paraId="2BEEEEEC" w14:textId="77777777" w:rsidR="00BA31DF" w:rsidRPr="00BA31DF" w:rsidRDefault="00BA31DF" w:rsidP="00BA31DF">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The findings imply that integrating Music into Mathematics instruction can transform traditional classroom practices into more dynamic, interactive, and learner-centered experiences. Music not only enhances academic achievement but also creates a positive and enjoyable learning environment that encourages active participation and reduces learners’ anxiety toward Mathematics.</w:t>
      </w:r>
    </w:p>
    <w:p w14:paraId="5E5A1169" w14:textId="0020296E" w:rsidR="00FD4F38" w:rsidRPr="00254248" w:rsidRDefault="00BA31DF"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BA31DF">
        <w:rPr>
          <w:rFonts w:ascii="Times New Roman" w:eastAsia="Times New Roman" w:hAnsi="Times New Roman" w:cs="Times New Roman"/>
          <w:sz w:val="24"/>
          <w:szCs w:val="24"/>
          <w14:ligatures w14:val="standardContextual"/>
        </w:rPr>
        <w:t xml:space="preserve">In </w:t>
      </w:r>
      <w:r w:rsidR="00254248">
        <w:rPr>
          <w:rFonts w:ascii="Times New Roman" w:eastAsia="Times New Roman" w:hAnsi="Times New Roman" w:cs="Times New Roman"/>
          <w:sz w:val="24"/>
          <w:szCs w:val="24"/>
          <w14:ligatures w14:val="standardContextual"/>
        </w:rPr>
        <w:t>summary</w:t>
      </w:r>
      <w:r w:rsidRPr="00BA31DF">
        <w:rPr>
          <w:rFonts w:ascii="Times New Roman" w:eastAsia="Times New Roman" w:hAnsi="Times New Roman" w:cs="Times New Roman"/>
          <w:sz w:val="24"/>
          <w:szCs w:val="24"/>
          <w14:ligatures w14:val="standardContextual"/>
        </w:rPr>
        <w:t>, the study demonstrates that Music integration is a valuable pedagogical strategy that can significantly improve pupils’ learning outcomes in Mathematics. The results suggest that educators should consider incorporating Music-based activities into classroom instruction to enhance learners’ engagement, understanding, and overall academic performance. Schools and curriculum developers may also benefit from supporting innovative and interdisciplinary teaching approaches that promote meaningful and enjoyable learning experiences among elementary learners</w:t>
      </w:r>
      <w:r w:rsidR="00254248">
        <w:rPr>
          <w:rFonts w:ascii="Times New Roman" w:eastAsia="Times New Roman" w:hAnsi="Times New Roman" w:cs="Times New Roman"/>
          <w:sz w:val="24"/>
          <w:szCs w:val="24"/>
          <w14:ligatures w14:val="standardContextual"/>
        </w:rPr>
        <w:t>.</w:t>
      </w:r>
    </w:p>
    <w:p w14:paraId="0DE4DB55" w14:textId="48219310" w:rsidR="00D344F4" w:rsidRDefault="00D344F4" w:rsidP="00D344F4">
      <w:pPr>
        <w:spacing w:before="26" w:after="26" w:line="240" w:lineRule="auto"/>
        <w:ind w:right="234"/>
        <w:jc w:val="both"/>
        <w:rPr>
          <w:rFonts w:ascii="Times New Roman" w:eastAsia="Times New Roman" w:hAnsi="Times New Roman" w:cs="Times New Roman"/>
          <w:b/>
          <w:bCs/>
          <w:sz w:val="24"/>
          <w:szCs w:val="24"/>
          <w14:ligatures w14:val="standardContextual"/>
        </w:rPr>
      </w:pPr>
      <w:r>
        <w:rPr>
          <w:rFonts w:ascii="Times New Roman" w:eastAsia="Times New Roman" w:hAnsi="Times New Roman" w:cs="Times New Roman"/>
          <w:b/>
          <w:bCs/>
          <w:sz w:val="24"/>
          <w:szCs w:val="24"/>
          <w14:ligatures w14:val="standardContextual"/>
        </w:rPr>
        <w:lastRenderedPageBreak/>
        <w:t xml:space="preserve">5. </w:t>
      </w:r>
      <w:r w:rsidRPr="00D344F4">
        <w:rPr>
          <w:rFonts w:ascii="Times New Roman" w:eastAsia="Times New Roman" w:hAnsi="Times New Roman" w:cs="Times New Roman"/>
          <w:b/>
          <w:bCs/>
          <w:sz w:val="24"/>
          <w:szCs w:val="24"/>
          <w14:ligatures w14:val="standardContextual"/>
        </w:rPr>
        <w:t>CONCLUSION</w:t>
      </w:r>
    </w:p>
    <w:p w14:paraId="4A99F59A" w14:textId="77777777" w:rsidR="00D344F4" w:rsidRPr="00D344F4" w:rsidRDefault="00D344F4" w:rsidP="00D344F4">
      <w:pPr>
        <w:spacing w:before="26" w:after="26" w:line="240" w:lineRule="auto"/>
        <w:ind w:right="234"/>
        <w:jc w:val="both"/>
        <w:rPr>
          <w:rFonts w:ascii="Times New Roman" w:eastAsia="Times New Roman" w:hAnsi="Times New Roman" w:cs="Times New Roman"/>
          <w:b/>
          <w:bCs/>
          <w:sz w:val="24"/>
          <w:szCs w:val="24"/>
          <w14:ligatures w14:val="standardContextual"/>
        </w:rPr>
      </w:pPr>
    </w:p>
    <w:p w14:paraId="12E42194"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254248">
        <w:rPr>
          <w:rFonts w:ascii="Times New Roman" w:eastAsia="Times New Roman" w:hAnsi="Times New Roman" w:cs="Times New Roman"/>
          <w:sz w:val="24"/>
          <w:szCs w:val="24"/>
          <w14:ligatures w14:val="standardContextual"/>
        </w:rPr>
        <w:t>CONCLUSION</w:t>
      </w:r>
    </w:p>
    <w:p w14:paraId="54E8DD57"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p>
    <w:p w14:paraId="048043C0"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254248">
        <w:rPr>
          <w:rFonts w:ascii="Times New Roman" w:eastAsia="Times New Roman" w:hAnsi="Times New Roman" w:cs="Times New Roman"/>
          <w:sz w:val="24"/>
          <w:szCs w:val="24"/>
          <w14:ligatures w14:val="standardContextual"/>
        </w:rPr>
        <w:t xml:space="preserve">This study examined the influence of Music integration in teaching Mathematics among Grade 4 pupils of </w:t>
      </w:r>
      <w:proofErr w:type="spellStart"/>
      <w:r w:rsidRPr="00254248">
        <w:rPr>
          <w:rFonts w:ascii="Times New Roman" w:eastAsia="Times New Roman" w:hAnsi="Times New Roman" w:cs="Times New Roman"/>
          <w:sz w:val="24"/>
          <w:szCs w:val="24"/>
          <w14:ligatures w14:val="standardContextual"/>
        </w:rPr>
        <w:t>Pikalawag</w:t>
      </w:r>
      <w:proofErr w:type="spellEnd"/>
      <w:r w:rsidRPr="00254248">
        <w:rPr>
          <w:rFonts w:ascii="Times New Roman" w:eastAsia="Times New Roman" w:hAnsi="Times New Roman" w:cs="Times New Roman"/>
          <w:sz w:val="24"/>
          <w:szCs w:val="24"/>
          <w14:ligatures w14:val="standardContextual"/>
        </w:rPr>
        <w:t xml:space="preserve"> Integrated School during the School Year 2025–2026. Specifically, it aimed to determine whether integrating music into Mathematics instruction could improve pupils’ academic performance and enhance their learning experience compared to traditional teaching methods.</w:t>
      </w:r>
    </w:p>
    <w:p w14:paraId="47B3DADE"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p>
    <w:p w14:paraId="59E04060"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254248">
        <w:rPr>
          <w:rFonts w:ascii="Times New Roman" w:eastAsia="Times New Roman" w:hAnsi="Times New Roman" w:cs="Times New Roman"/>
          <w:sz w:val="24"/>
          <w:szCs w:val="24"/>
          <w14:ligatures w14:val="standardContextual"/>
        </w:rPr>
        <w:t>The findings of the study revealed that Music integration had a positive and significant influence on the academic performance of the respondents. Based on the demographic profile, the respondents were composed of Grade 4 pupils with varying ages and balanced gender representation. These learners were categorized into control and experimental groups to determine the effectiveness of music-integrated instruction in Mathematics.</w:t>
      </w:r>
    </w:p>
    <w:p w14:paraId="0B1298E4"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p>
    <w:p w14:paraId="63801986"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254248">
        <w:rPr>
          <w:rFonts w:ascii="Times New Roman" w:eastAsia="Times New Roman" w:hAnsi="Times New Roman" w:cs="Times New Roman"/>
          <w:sz w:val="24"/>
          <w:szCs w:val="24"/>
          <w14:ligatures w14:val="standardContextual"/>
        </w:rPr>
        <w:t>The pre-test results showed that both the control group and the experimental group had relatively similar levels of performance before the implementation of the intervention. Most of the pupils obtained scores interpreted as “Fair” and “Good,” indicating that learners initially experienced difficulties in understanding some mathematical concepts. This similarity in pre-test performance suggested that both groups started at nearly the same level of mathematical understanding prior to the conduct of the study.</w:t>
      </w:r>
    </w:p>
    <w:p w14:paraId="44601A72"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p>
    <w:p w14:paraId="35E36F6A"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254248">
        <w:rPr>
          <w:rFonts w:ascii="Times New Roman" w:eastAsia="Times New Roman" w:hAnsi="Times New Roman" w:cs="Times New Roman"/>
          <w:sz w:val="24"/>
          <w:szCs w:val="24"/>
          <w14:ligatures w14:val="standardContextual"/>
        </w:rPr>
        <w:t>After the implementation of the music-integrated lessons, the post-test results revealed a noticeable improvement in the academic performance of the experimental group compared to the control group. Pupils exposed to music-integrated instruction obtained higher scores and demonstrated better understanding of the mathematical lessons presented. The integration of songs, rhythmic chants, melodies, and patterned beats during instruction helped learners become more engaged, motivated, and active during classroom discussions. It also enhanced their memory retention and comprehension of mathematical concepts.</w:t>
      </w:r>
    </w:p>
    <w:p w14:paraId="713613D7"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p>
    <w:p w14:paraId="42A4133F"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254248">
        <w:rPr>
          <w:rFonts w:ascii="Times New Roman" w:eastAsia="Times New Roman" w:hAnsi="Times New Roman" w:cs="Times New Roman"/>
          <w:sz w:val="24"/>
          <w:szCs w:val="24"/>
          <w14:ligatures w14:val="standardContextual"/>
        </w:rPr>
        <w:t>Furthermore, the statistical analysis confirmed that there was a significant difference between the pre-test and post-test scores of the experimental group, indicating that Music integration was effective in improving pupils’ performance in Mathematics. In contrast, the control group, which was taught using traditional teaching methods, showed only minimal improvement. The findings imply that music-based instructional strategies provide a more meaningful and stimulating learning experience compared to conventional approaches.</w:t>
      </w:r>
    </w:p>
    <w:p w14:paraId="2B832058"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p>
    <w:p w14:paraId="607C9C3E"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254248">
        <w:rPr>
          <w:rFonts w:ascii="Times New Roman" w:eastAsia="Times New Roman" w:hAnsi="Times New Roman" w:cs="Times New Roman"/>
          <w:sz w:val="24"/>
          <w:szCs w:val="24"/>
          <w14:ligatures w14:val="standardContextual"/>
        </w:rPr>
        <w:t>The study also found that Music integration contributed positively to learner participation, confidence, and motivation. Pupils became more enthusiastic in answering activities and demonstrated greater interest in Mathematics lessons. The use of Music created a more enjoyable and less stressful classroom environment, helping learners feel comfortable and confident while solving mathematical tasks.</w:t>
      </w:r>
    </w:p>
    <w:p w14:paraId="2782F348"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p>
    <w:p w14:paraId="65BBD530"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254248">
        <w:rPr>
          <w:rFonts w:ascii="Times New Roman" w:eastAsia="Times New Roman" w:hAnsi="Times New Roman" w:cs="Times New Roman"/>
          <w:sz w:val="24"/>
          <w:szCs w:val="24"/>
          <w14:ligatures w14:val="standardContextual"/>
        </w:rPr>
        <w:t>Moreover, the findings support the theories underpinning the study, particularly Gardner’s Theory of Multiple Intelligences, which emphasizes Musical Intelligence as an important learning modality. The results likewise align with the Cognitive Multimedia Learning Theory and Transfer of Learning Theory, which explain that combining auditory and cognitive experiences can strengthen understanding, retention, and application of knowledge.</w:t>
      </w:r>
    </w:p>
    <w:p w14:paraId="71EE8FF1" w14:textId="77777777" w:rsidR="00254248" w:rsidRP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p>
    <w:p w14:paraId="08DCB140" w14:textId="77777777" w:rsid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r w:rsidRPr="00254248">
        <w:rPr>
          <w:rFonts w:ascii="Times New Roman" w:eastAsia="Times New Roman" w:hAnsi="Times New Roman" w:cs="Times New Roman"/>
          <w:sz w:val="24"/>
          <w:szCs w:val="24"/>
          <w14:ligatures w14:val="standardContextual"/>
        </w:rPr>
        <w:t>Overall, the study concludes that Music integration is an effective instructional strategy in teaching Mathematics among Grade 4 pupils. It significantly improves academic performance, increases learner engagement and motivation, and creates a more interactive and meaningful learning environment. Therefore, integrating Music into Mathematics instruction may be considered a valuable and innovative teaching approach that can help enhance the quality of learning among elementary pupils.</w:t>
      </w:r>
    </w:p>
    <w:p w14:paraId="32995E9C" w14:textId="77777777" w:rsidR="00254248" w:rsidRDefault="00254248" w:rsidP="00254248">
      <w:pPr>
        <w:spacing w:before="26" w:after="26" w:line="240" w:lineRule="auto"/>
        <w:ind w:right="234" w:firstLine="720"/>
        <w:jc w:val="both"/>
        <w:rPr>
          <w:rFonts w:ascii="Times New Roman" w:eastAsia="Times New Roman" w:hAnsi="Times New Roman" w:cs="Times New Roman"/>
          <w:sz w:val="24"/>
          <w:szCs w:val="24"/>
          <w14:ligatures w14:val="standardContextual"/>
        </w:rPr>
      </w:pPr>
    </w:p>
    <w:p w14:paraId="0E04EBA0" w14:textId="77777777" w:rsidR="00D344F4" w:rsidRDefault="00D344F4" w:rsidP="00254248">
      <w:pPr>
        <w:spacing w:before="26" w:after="26" w:line="240" w:lineRule="auto"/>
        <w:ind w:right="234"/>
        <w:jc w:val="both"/>
        <w:rPr>
          <w:rFonts w:ascii="Times New Roman" w:eastAsia="Times New Roman" w:hAnsi="Times New Roman" w:cs="Times New Roman"/>
          <w:sz w:val="24"/>
          <w:szCs w:val="24"/>
          <w14:ligatures w14:val="standardContextual"/>
        </w:rPr>
      </w:pPr>
    </w:p>
    <w:p w14:paraId="532ECEDD" w14:textId="4DEFE77C" w:rsidR="004F0E0F" w:rsidRDefault="00254248" w:rsidP="004F0E0F">
      <w:pPr>
        <w:spacing w:before="26" w:after="26" w:line="240" w:lineRule="auto"/>
        <w:ind w:left="720" w:right="90" w:hanging="720"/>
        <w:contextualSpacing/>
        <w:jc w:val="both"/>
        <w:rPr>
          <w:rFonts w:ascii="Times New Roman" w:hAnsi="Times New Roman" w:cs="Times New Roman"/>
          <w:b/>
          <w:bCs/>
          <w:sz w:val="24"/>
          <w:szCs w:val="24"/>
        </w:rPr>
      </w:pPr>
      <w:r>
        <w:rPr>
          <w:rFonts w:ascii="Times New Roman" w:hAnsi="Times New Roman" w:cs="Times New Roman"/>
          <w:b/>
          <w:bCs/>
          <w:sz w:val="24"/>
          <w:szCs w:val="24"/>
        </w:rPr>
        <w:t>6</w:t>
      </w:r>
      <w:r w:rsidR="00A64964">
        <w:rPr>
          <w:rFonts w:ascii="Times New Roman" w:hAnsi="Times New Roman" w:cs="Times New Roman"/>
          <w:b/>
          <w:bCs/>
          <w:sz w:val="24"/>
          <w:szCs w:val="24"/>
        </w:rPr>
        <w:t xml:space="preserve">. Reference </w:t>
      </w:r>
    </w:p>
    <w:p w14:paraId="5CE07981" w14:textId="77777777" w:rsidR="004F0E0F" w:rsidRDefault="004F0E0F" w:rsidP="004F0E0F">
      <w:pPr>
        <w:spacing w:before="26" w:after="26" w:line="240" w:lineRule="auto"/>
        <w:ind w:left="720" w:right="90" w:hanging="720"/>
        <w:contextualSpacing/>
        <w:jc w:val="both"/>
        <w:rPr>
          <w:rFonts w:ascii="Times New Roman" w:hAnsi="Times New Roman" w:cs="Times New Roman"/>
          <w:b/>
          <w:bCs/>
          <w:sz w:val="24"/>
          <w:szCs w:val="24"/>
        </w:rPr>
      </w:pPr>
    </w:p>
    <w:p w14:paraId="7DD9BF91" w14:textId="45C2CA87" w:rsidR="004F0E0F" w:rsidRPr="004F0E0F" w:rsidRDefault="004F0E0F"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r w:rsidRPr="004F0E0F">
        <w:rPr>
          <w:rFonts w:ascii="Times New Roman" w:eastAsia="Times New Roman" w:hAnsi="Times New Roman" w:cs="Times New Roman"/>
          <w:sz w:val="24"/>
          <w:szCs w:val="24"/>
          <w14:ligatures w14:val="standardContextual"/>
        </w:rPr>
        <w:t>Akın, A. (2023). Music integration in mathematics learning: A meta-analysis of global evidence. Educational Psychology Review, 35(4), 1123–1145.</w:t>
      </w:r>
    </w:p>
    <w:p w14:paraId="2CA4E9D0" w14:textId="77777777" w:rsidR="004F0E0F" w:rsidRPr="004F0E0F" w:rsidRDefault="004F0E0F"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p>
    <w:p w14:paraId="4DAAA7DA" w14:textId="77777777" w:rsidR="004F0E0F" w:rsidRPr="004F0E0F" w:rsidRDefault="004F0E0F"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r w:rsidRPr="004F0E0F">
        <w:rPr>
          <w:rFonts w:ascii="Times New Roman" w:eastAsia="Times New Roman" w:hAnsi="Times New Roman" w:cs="Times New Roman"/>
          <w:sz w:val="24"/>
          <w:szCs w:val="24"/>
          <w14:ligatures w14:val="standardContextual"/>
        </w:rPr>
        <w:t xml:space="preserve">Azevedo da Silva, A. C., Pacheco, M., and Moreira, J. (2022). Doing mathematics with music – Creating epistemic environments. Research in Mathematics Education, 24(3), 245–262. </w:t>
      </w:r>
    </w:p>
    <w:p w14:paraId="51215276" w14:textId="77777777" w:rsidR="004F0E0F" w:rsidRPr="004F0E0F" w:rsidRDefault="004F0E0F"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p>
    <w:p w14:paraId="3587B0EC" w14:textId="77777777" w:rsidR="004F0E0F" w:rsidRDefault="004F0E0F"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r w:rsidRPr="004F0E0F">
        <w:rPr>
          <w:rFonts w:ascii="Times New Roman" w:eastAsia="Times New Roman" w:hAnsi="Times New Roman" w:cs="Times New Roman"/>
          <w:sz w:val="24"/>
          <w:szCs w:val="24"/>
          <w14:ligatures w14:val="standardContextual"/>
        </w:rPr>
        <w:t>Baykal, E., Acar, A., and Özdemir, N. (2023). Effects of music interventions on mathematics achievement: A meta-analysis. International Journal of Educational Research, 122, 102145.</w:t>
      </w:r>
    </w:p>
    <w:p w14:paraId="44E92468" w14:textId="77777777" w:rsidR="00354507" w:rsidRDefault="00354507"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p>
    <w:p w14:paraId="39D39AD8" w14:textId="2832F9D1" w:rsidR="00354507" w:rsidRDefault="004F0E0F"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r w:rsidRPr="004F0E0F">
        <w:rPr>
          <w:rFonts w:ascii="Times New Roman" w:eastAsia="Times New Roman" w:hAnsi="Times New Roman" w:cs="Times New Roman"/>
          <w:sz w:val="24"/>
          <w:szCs w:val="24"/>
          <w14:ligatures w14:val="standardContextual"/>
        </w:rPr>
        <w:t xml:space="preserve">Colella, D., Bortoli, L., </w:t>
      </w:r>
      <w:proofErr w:type="spellStart"/>
      <w:r w:rsidRPr="004F0E0F">
        <w:rPr>
          <w:rFonts w:ascii="Times New Roman" w:eastAsia="Times New Roman" w:hAnsi="Times New Roman" w:cs="Times New Roman"/>
          <w:sz w:val="24"/>
          <w:szCs w:val="24"/>
          <w14:ligatures w14:val="standardContextual"/>
        </w:rPr>
        <w:t>Robazza</w:t>
      </w:r>
      <w:proofErr w:type="spellEnd"/>
      <w:r w:rsidRPr="004F0E0F">
        <w:rPr>
          <w:rFonts w:ascii="Times New Roman" w:eastAsia="Times New Roman" w:hAnsi="Times New Roman" w:cs="Times New Roman"/>
          <w:sz w:val="24"/>
          <w:szCs w:val="24"/>
          <w14:ligatures w14:val="standardContextual"/>
        </w:rPr>
        <w:t>, C., and Vitali, F. (2023). Effects of music-oriented versus conventional education on perceptive, creative, and fitness components in young students. Frontiers in Psychology.</w:t>
      </w:r>
    </w:p>
    <w:p w14:paraId="36167119" w14:textId="77777777" w:rsidR="00354507" w:rsidRDefault="00354507"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p>
    <w:p w14:paraId="718E6FC6" w14:textId="77777777" w:rsidR="00354507" w:rsidRDefault="00FE1762" w:rsidP="007C3FDB">
      <w:pPr>
        <w:spacing w:before="26" w:after="26" w:line="240" w:lineRule="auto"/>
        <w:ind w:left="1440" w:hanging="864"/>
        <w:contextualSpacing/>
        <w:jc w:val="both"/>
        <w:rPr>
          <w:rFonts w:ascii="Times New Roman" w:hAnsi="Times New Roman" w:cs="Times New Roman"/>
          <w:bCs/>
          <w:sz w:val="24"/>
          <w:szCs w:val="24"/>
        </w:rPr>
      </w:pPr>
      <w:r w:rsidRPr="00FE1762">
        <w:rPr>
          <w:rFonts w:ascii="Times New Roman" w:hAnsi="Times New Roman" w:cs="Times New Roman"/>
          <w:bCs/>
          <w:sz w:val="24"/>
          <w:szCs w:val="24"/>
        </w:rPr>
        <w:t>Department of Education. (2018). Amendment to DepEd Order No. 47, s. 2016: Clarifying the Cut-Off Age Policy for Kindergarten Enrollment in Public and Private Schools (DepEd Order No. 20, s. 2018).</w:t>
      </w:r>
    </w:p>
    <w:p w14:paraId="30F5C224" w14:textId="77777777" w:rsidR="00354507" w:rsidRDefault="00354507" w:rsidP="007C3FDB">
      <w:pPr>
        <w:spacing w:before="26" w:after="26" w:line="240" w:lineRule="auto"/>
        <w:ind w:left="1440" w:hanging="864"/>
        <w:contextualSpacing/>
        <w:jc w:val="both"/>
        <w:rPr>
          <w:rFonts w:ascii="Times New Roman" w:hAnsi="Times New Roman" w:cs="Times New Roman"/>
          <w:bCs/>
          <w:sz w:val="24"/>
          <w:szCs w:val="24"/>
        </w:rPr>
      </w:pPr>
    </w:p>
    <w:p w14:paraId="36C4C242" w14:textId="165C64A9" w:rsidR="00354507" w:rsidRPr="00354507" w:rsidRDefault="00FE1762"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r w:rsidRPr="00FE1762">
        <w:rPr>
          <w:rFonts w:ascii="Times New Roman" w:hAnsi="Times New Roman" w:cs="Times New Roman"/>
          <w:bCs/>
          <w:sz w:val="24"/>
          <w:szCs w:val="24"/>
        </w:rPr>
        <w:t xml:space="preserve">Department of Education (DepEd). (2023). Basic Education Report 2023. Department of </w:t>
      </w:r>
      <w:r w:rsidR="00354507">
        <w:rPr>
          <w:rFonts w:ascii="Times New Roman" w:hAnsi="Times New Roman" w:cs="Times New Roman"/>
          <w:bCs/>
          <w:sz w:val="24"/>
          <w:szCs w:val="24"/>
        </w:rPr>
        <w:t xml:space="preserve">           </w:t>
      </w:r>
    </w:p>
    <w:p w14:paraId="02A28263" w14:textId="0D45BEFF" w:rsidR="00354507" w:rsidRDefault="00354507" w:rsidP="007C3FDB">
      <w:pPr>
        <w:spacing w:after="0" w:line="240" w:lineRule="auto"/>
        <w:ind w:left="1440" w:hanging="86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E1762" w:rsidRPr="00FE1762">
        <w:rPr>
          <w:rFonts w:ascii="Times New Roman" w:hAnsi="Times New Roman" w:cs="Times New Roman"/>
          <w:bCs/>
          <w:sz w:val="24"/>
          <w:szCs w:val="24"/>
        </w:rPr>
        <w:t xml:space="preserve">Education. </w:t>
      </w:r>
      <w:hyperlink r:id="rId14" w:history="1">
        <w:r w:rsidR="004F0E0F" w:rsidRPr="008E42E1">
          <w:rPr>
            <w:rStyle w:val="Hyperlink"/>
            <w:rFonts w:ascii="Times New Roman" w:hAnsi="Times New Roman" w:cs="Times New Roman"/>
            <w:bCs/>
            <w:sz w:val="24"/>
            <w:szCs w:val="24"/>
          </w:rPr>
          <w:t>https://www.deped.gov.p</w:t>
        </w:r>
      </w:hyperlink>
      <w:r w:rsidRPr="00354507">
        <w:rPr>
          <w:rFonts w:ascii="Times New Roman" w:hAnsi="Times New Roman" w:cs="Times New Roman"/>
          <w:bCs/>
          <w:sz w:val="24"/>
          <w:szCs w:val="24"/>
        </w:rPr>
        <w:t xml:space="preserve"> </w:t>
      </w:r>
    </w:p>
    <w:p w14:paraId="7F40A87E" w14:textId="77777777" w:rsidR="00354507" w:rsidRDefault="00354507" w:rsidP="007C3FDB">
      <w:pPr>
        <w:spacing w:after="0" w:line="240" w:lineRule="auto"/>
        <w:ind w:left="1440" w:hanging="864"/>
        <w:jc w:val="both"/>
        <w:rPr>
          <w:rFonts w:ascii="Times New Roman" w:hAnsi="Times New Roman" w:cs="Times New Roman"/>
          <w:bCs/>
          <w:sz w:val="24"/>
          <w:szCs w:val="24"/>
        </w:rPr>
      </w:pPr>
    </w:p>
    <w:p w14:paraId="177848CE" w14:textId="77777777" w:rsidR="00354507" w:rsidRDefault="00354507" w:rsidP="007C3FDB">
      <w:pPr>
        <w:spacing w:after="0" w:line="240" w:lineRule="auto"/>
        <w:ind w:left="1440" w:hanging="864"/>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54507">
        <w:rPr>
          <w:rFonts w:ascii="Times New Roman" w:hAnsi="Times New Roman" w:cs="Times New Roman"/>
          <w:bCs/>
          <w:sz w:val="24"/>
          <w:szCs w:val="24"/>
        </w:rPr>
        <w:t xml:space="preserve">Gardner, H. (1999). Intelligence Reframed: Multiple Intelligences for the 21st Century. New </w:t>
      </w:r>
    </w:p>
    <w:p w14:paraId="039CEC6A" w14:textId="7981F864" w:rsidR="004F0E0F" w:rsidRDefault="00354507" w:rsidP="007C3FDB">
      <w:pPr>
        <w:spacing w:after="0" w:line="240" w:lineRule="auto"/>
        <w:ind w:left="1440" w:hanging="864"/>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54507">
        <w:rPr>
          <w:rFonts w:ascii="Times New Roman" w:hAnsi="Times New Roman" w:cs="Times New Roman"/>
          <w:bCs/>
          <w:sz w:val="24"/>
          <w:szCs w:val="24"/>
        </w:rPr>
        <w:t>York, NY: Basic Books.</w:t>
      </w:r>
    </w:p>
    <w:p w14:paraId="7893F1A9" w14:textId="77777777" w:rsidR="004F0E0F" w:rsidRDefault="004F0E0F" w:rsidP="007C3FDB">
      <w:pPr>
        <w:spacing w:before="26" w:after="26" w:line="240" w:lineRule="auto"/>
        <w:ind w:left="1440" w:hanging="864"/>
        <w:contextualSpacing/>
        <w:jc w:val="both"/>
        <w:rPr>
          <w:rFonts w:ascii="Times New Roman" w:hAnsi="Times New Roman" w:cs="Times New Roman"/>
          <w:bCs/>
          <w:sz w:val="24"/>
          <w:szCs w:val="24"/>
        </w:rPr>
      </w:pPr>
    </w:p>
    <w:p w14:paraId="156AF7C5" w14:textId="055F4976" w:rsidR="00FE1762" w:rsidRDefault="00A64964"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r w:rsidRPr="00FE1762">
        <w:rPr>
          <w:rFonts w:ascii="Times New Roman" w:hAnsi="Times New Roman" w:cs="Times New Roman"/>
          <w:bCs/>
          <w:sz w:val="24"/>
          <w:szCs w:val="24"/>
        </w:rPr>
        <w:lastRenderedPageBreak/>
        <w:t xml:space="preserve"> </w:t>
      </w:r>
      <w:r w:rsidR="004F0E0F" w:rsidRPr="004F0E0F">
        <w:rPr>
          <w:rFonts w:ascii="Times New Roman" w:eastAsia="Times New Roman" w:hAnsi="Times New Roman" w:cs="Times New Roman"/>
          <w:sz w:val="24"/>
          <w:szCs w:val="24"/>
          <w14:ligatures w14:val="standardContextual"/>
        </w:rPr>
        <w:t xml:space="preserve">Gülbahar, B., and Karataş, Z. (2021). The role of music in teaching mathematics: Effects on achievement and motivation. Journal of Educational Research and Practice, 11(2), 45–60. </w:t>
      </w:r>
    </w:p>
    <w:p w14:paraId="7E201B40" w14:textId="77777777" w:rsidR="004F0E0F" w:rsidRPr="004F0E0F" w:rsidRDefault="004F0E0F"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p>
    <w:p w14:paraId="1A8130D2" w14:textId="46A68916" w:rsidR="00354507" w:rsidRDefault="00354507" w:rsidP="007C3FDB">
      <w:pPr>
        <w:spacing w:before="26" w:after="26" w:line="240" w:lineRule="auto"/>
        <w:ind w:left="1440" w:hanging="864"/>
        <w:jc w:val="both"/>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 xml:space="preserve"> </w:t>
      </w:r>
      <w:r w:rsidR="00FE1762" w:rsidRPr="00354507">
        <w:rPr>
          <w:rFonts w:ascii="Times New Roman" w:eastAsia="Times New Roman" w:hAnsi="Times New Roman" w:cs="Times New Roman"/>
          <w:sz w:val="24"/>
          <w:szCs w:val="24"/>
          <w14:ligatures w14:val="standardContextual"/>
        </w:rPr>
        <w:t>Hallam, S. (2021). The power of music: Its impact on the intellectual, social and p</w:t>
      </w:r>
      <w:r w:rsidR="00FE1762" w:rsidRPr="00FE1762">
        <w:rPr>
          <w:rFonts w:ascii="Times New Roman" w:eastAsia="Times New Roman" w:hAnsi="Times New Roman" w:cs="Times New Roman"/>
          <w:sz w:val="24"/>
          <w:szCs w:val="24"/>
          <w14:ligatures w14:val="standardContextual"/>
        </w:rPr>
        <w:t xml:space="preserve">ersonal </w:t>
      </w:r>
    </w:p>
    <w:p w14:paraId="646B17B0" w14:textId="4AC5D920" w:rsidR="004F0E0F" w:rsidRDefault="00354507" w:rsidP="007C3FDB">
      <w:pPr>
        <w:spacing w:before="26" w:after="26" w:line="240" w:lineRule="auto"/>
        <w:ind w:left="1440" w:hanging="864"/>
        <w:jc w:val="both"/>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 xml:space="preserve"> </w:t>
      </w:r>
      <w:r w:rsidR="00FE1762" w:rsidRPr="00FE1762">
        <w:rPr>
          <w:rFonts w:ascii="Times New Roman" w:eastAsia="Times New Roman" w:hAnsi="Times New Roman" w:cs="Times New Roman"/>
          <w:sz w:val="24"/>
          <w:szCs w:val="24"/>
          <w14:ligatures w14:val="standardContextual"/>
        </w:rPr>
        <w:t>development of children and young people. Music Education Research, 23(4), 415–430.</w:t>
      </w:r>
      <w:r w:rsidR="004F0E0F" w:rsidRPr="004F0E0F">
        <w:rPr>
          <w:rFonts w:ascii="Times New Roman" w:eastAsia="Times New Roman" w:hAnsi="Times New Roman" w:cs="Times New Roman"/>
          <w:sz w:val="24"/>
          <w:szCs w:val="24"/>
          <w14:ligatures w14:val="standardContextual"/>
        </w:rPr>
        <w:t xml:space="preserve"> </w:t>
      </w:r>
    </w:p>
    <w:p w14:paraId="606E343C" w14:textId="77777777" w:rsidR="004F0E0F" w:rsidRDefault="004F0E0F"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p>
    <w:p w14:paraId="323EB164" w14:textId="77777777" w:rsidR="00354507" w:rsidRDefault="004F0E0F"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r w:rsidRPr="004F0E0F">
        <w:rPr>
          <w:rFonts w:ascii="Times New Roman" w:eastAsia="Times New Roman" w:hAnsi="Times New Roman" w:cs="Times New Roman"/>
          <w:sz w:val="24"/>
          <w:szCs w:val="24"/>
          <w14:ligatures w14:val="standardContextual"/>
        </w:rPr>
        <w:t>Luo, Y., and Chen, X. (2024). The impact of math-gender stereotypes on students’ academic performance: Evidence from China. Contemporary Educational Psychology, 70, 102210.</w:t>
      </w:r>
    </w:p>
    <w:p w14:paraId="65D81CFA" w14:textId="49229ACB" w:rsidR="004F0E0F" w:rsidRPr="00354507" w:rsidRDefault="00354507"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r w:rsidRPr="00354507">
        <w:rPr>
          <w:rFonts w:ascii="Times New Roman" w:eastAsia="Times New Roman" w:hAnsi="Times New Roman" w:cs="Times New Roman"/>
          <w:sz w:val="24"/>
          <w:szCs w:val="24"/>
          <w14:ligatures w14:val="standardContextual"/>
        </w:rPr>
        <w:t>Mayer, R. E. (2001). Multimedia Learning. Cambridge University Press.</w:t>
      </w:r>
    </w:p>
    <w:p w14:paraId="6ECF8F58" w14:textId="77777777" w:rsidR="00156618" w:rsidRDefault="00156618" w:rsidP="007C3FDB">
      <w:pPr>
        <w:spacing w:after="0" w:line="240" w:lineRule="auto"/>
        <w:ind w:left="1440" w:hanging="864"/>
        <w:jc w:val="both"/>
        <w:rPr>
          <w:rFonts w:ascii="Times New Roman" w:hAnsi="Times New Roman" w:cs="Times New Roman"/>
          <w:bCs/>
          <w:sz w:val="24"/>
          <w:szCs w:val="24"/>
        </w:rPr>
      </w:pPr>
    </w:p>
    <w:p w14:paraId="318D0008" w14:textId="6D4AEF69" w:rsidR="00354507" w:rsidRDefault="00FE1762" w:rsidP="007C3FDB">
      <w:pPr>
        <w:spacing w:after="0" w:line="240" w:lineRule="auto"/>
        <w:ind w:left="1440" w:hanging="864"/>
        <w:jc w:val="both"/>
        <w:rPr>
          <w:rFonts w:ascii="Times New Roman" w:hAnsi="Times New Roman" w:cs="Times New Roman"/>
          <w:bCs/>
          <w:sz w:val="24"/>
          <w:szCs w:val="24"/>
        </w:rPr>
      </w:pPr>
      <w:r w:rsidRPr="00FE1762">
        <w:rPr>
          <w:rFonts w:ascii="Times New Roman" w:eastAsia="Times New Roman" w:hAnsi="Times New Roman" w:cs="Times New Roman"/>
          <w:sz w:val="24"/>
          <w:szCs w:val="24"/>
          <w14:ligatures w14:val="standardContextual"/>
        </w:rPr>
        <w:t>Southeast Asia Primary Learning Metrics (SEA-PLM). (2020). SEA-PLM 2019 Main Regional Report: Children’s learning in 6 Southeast Asian countries. UNICEF &amp; SEAMEO. https//www.seaplm.org/</w:t>
      </w:r>
      <w:r w:rsidR="00354507" w:rsidRPr="00354507">
        <w:rPr>
          <w:rFonts w:ascii="Times New Roman" w:hAnsi="Times New Roman" w:cs="Times New Roman"/>
          <w:bCs/>
          <w:sz w:val="24"/>
          <w:szCs w:val="24"/>
        </w:rPr>
        <w:t xml:space="preserve"> </w:t>
      </w:r>
    </w:p>
    <w:p w14:paraId="46AFE030" w14:textId="4C46E909" w:rsidR="004F0E0F" w:rsidRPr="00354507" w:rsidRDefault="00354507" w:rsidP="007C3FDB">
      <w:pPr>
        <w:spacing w:after="0" w:line="240" w:lineRule="auto"/>
        <w:ind w:left="1440" w:hanging="864"/>
        <w:jc w:val="both"/>
        <w:rPr>
          <w:rFonts w:ascii="Times New Roman" w:hAnsi="Times New Roman" w:cs="Times New Roman"/>
          <w:bCs/>
          <w:sz w:val="24"/>
          <w:szCs w:val="24"/>
        </w:rPr>
      </w:pPr>
      <w:r w:rsidRPr="00354507">
        <w:rPr>
          <w:rFonts w:ascii="Times New Roman" w:hAnsi="Times New Roman" w:cs="Times New Roman"/>
          <w:bCs/>
          <w:sz w:val="24"/>
          <w:szCs w:val="24"/>
        </w:rPr>
        <w:t>Thorndike, E. L. (1913). Educational Psychology: The Psychology of Learning. New York, NY:</w:t>
      </w:r>
      <w:r>
        <w:rPr>
          <w:rFonts w:ascii="Times New Roman" w:hAnsi="Times New Roman" w:cs="Times New Roman"/>
          <w:bCs/>
          <w:sz w:val="24"/>
          <w:szCs w:val="24"/>
        </w:rPr>
        <w:t xml:space="preserve"> </w:t>
      </w:r>
      <w:r w:rsidRPr="00354507">
        <w:rPr>
          <w:rFonts w:ascii="Times New Roman" w:hAnsi="Times New Roman" w:cs="Times New Roman"/>
          <w:bCs/>
          <w:sz w:val="24"/>
          <w:szCs w:val="24"/>
        </w:rPr>
        <w:t>Teachers College, Columbia University.</w:t>
      </w:r>
    </w:p>
    <w:p w14:paraId="7FCB4E62" w14:textId="77777777" w:rsidR="00354507" w:rsidRDefault="00354507" w:rsidP="007C3FDB">
      <w:pPr>
        <w:spacing w:before="26" w:after="26" w:line="240" w:lineRule="auto"/>
        <w:ind w:left="1440" w:hanging="864"/>
        <w:contextualSpacing/>
        <w:jc w:val="both"/>
        <w:rPr>
          <w:rFonts w:ascii="Times New Roman" w:eastAsia="Times New Roman" w:hAnsi="Times New Roman" w:cs="Times New Roman"/>
          <w:sz w:val="24"/>
          <w:szCs w:val="24"/>
          <w14:ligatures w14:val="standardContextual"/>
        </w:rPr>
      </w:pPr>
    </w:p>
    <w:p w14:paraId="3EE0F18F" w14:textId="77777777" w:rsidR="00354507" w:rsidRDefault="004F0E0F" w:rsidP="007C3FDB">
      <w:pPr>
        <w:spacing w:after="0" w:line="240" w:lineRule="auto"/>
        <w:ind w:left="1440" w:hanging="864"/>
        <w:jc w:val="both"/>
        <w:rPr>
          <w:rFonts w:ascii="Times New Roman" w:eastAsia="Times New Roman" w:hAnsi="Times New Roman" w:cs="Times New Roman"/>
          <w:sz w:val="24"/>
          <w:szCs w:val="24"/>
          <w14:ligatures w14:val="standardContextual"/>
        </w:rPr>
      </w:pPr>
      <w:r w:rsidRPr="004F0E0F">
        <w:rPr>
          <w:rFonts w:ascii="Times New Roman" w:eastAsia="Times New Roman" w:hAnsi="Times New Roman" w:cs="Times New Roman"/>
          <w:sz w:val="24"/>
          <w:szCs w:val="24"/>
          <w14:ligatures w14:val="standardContextual"/>
        </w:rPr>
        <w:t xml:space="preserve">Trujillo, S. (2025). Integrating music into early childhood education: Implications for </w:t>
      </w:r>
      <w:r w:rsidR="00354507">
        <w:rPr>
          <w:rFonts w:ascii="Times New Roman" w:eastAsia="Times New Roman" w:hAnsi="Times New Roman" w:cs="Times New Roman"/>
          <w:sz w:val="24"/>
          <w:szCs w:val="24"/>
          <w14:ligatures w14:val="standardContextual"/>
        </w:rPr>
        <w:t xml:space="preserve">                </w:t>
      </w:r>
    </w:p>
    <w:p w14:paraId="348C8E3A" w14:textId="78A44663" w:rsidR="00354507" w:rsidRDefault="00354507" w:rsidP="007C3FDB">
      <w:pPr>
        <w:spacing w:after="0" w:line="240" w:lineRule="auto"/>
        <w:ind w:left="1440" w:hanging="864"/>
        <w:jc w:val="both"/>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 xml:space="preserve">               </w:t>
      </w:r>
      <w:r w:rsidR="004F0E0F" w:rsidRPr="004F0E0F">
        <w:rPr>
          <w:rFonts w:ascii="Times New Roman" w:eastAsia="Times New Roman" w:hAnsi="Times New Roman" w:cs="Times New Roman"/>
          <w:sz w:val="24"/>
          <w:szCs w:val="24"/>
          <w14:ligatures w14:val="standardContextual"/>
        </w:rPr>
        <w:t>mathematical learning. Early Childhood Research Quarterly, 63, 41–53.</w:t>
      </w:r>
      <w:r w:rsidRPr="00354507">
        <w:rPr>
          <w:rFonts w:ascii="Times New Roman" w:eastAsia="Times New Roman" w:hAnsi="Times New Roman" w:cs="Times New Roman"/>
          <w:sz w:val="24"/>
          <w:szCs w:val="24"/>
          <w14:ligatures w14:val="standardContextual"/>
        </w:rPr>
        <w:t xml:space="preserve"> </w:t>
      </w:r>
    </w:p>
    <w:p w14:paraId="1A634257" w14:textId="77777777" w:rsidR="00354507" w:rsidRDefault="00354507" w:rsidP="007C3FDB">
      <w:pPr>
        <w:spacing w:after="0" w:line="240" w:lineRule="auto"/>
        <w:ind w:left="1440" w:hanging="864"/>
        <w:jc w:val="both"/>
        <w:rPr>
          <w:rFonts w:ascii="Times New Roman" w:eastAsia="Times New Roman" w:hAnsi="Times New Roman" w:cs="Times New Roman"/>
          <w:sz w:val="24"/>
          <w:szCs w:val="24"/>
          <w14:ligatures w14:val="standardContextual"/>
        </w:rPr>
      </w:pPr>
    </w:p>
    <w:p w14:paraId="50210554" w14:textId="77777777" w:rsidR="00354507" w:rsidRDefault="00354507" w:rsidP="007C3FDB">
      <w:pPr>
        <w:spacing w:after="0" w:line="240" w:lineRule="auto"/>
        <w:ind w:left="1440" w:hanging="864"/>
        <w:jc w:val="both"/>
        <w:rPr>
          <w:rFonts w:ascii="Times New Roman" w:eastAsia="Times New Roman" w:hAnsi="Times New Roman" w:cs="Times New Roman"/>
          <w:sz w:val="24"/>
          <w:szCs w:val="24"/>
          <w14:ligatures w14:val="standardContextual"/>
        </w:rPr>
      </w:pPr>
      <w:r w:rsidRPr="00FE1762">
        <w:rPr>
          <w:rFonts w:ascii="Times New Roman" w:eastAsia="Times New Roman" w:hAnsi="Times New Roman" w:cs="Times New Roman"/>
          <w:sz w:val="24"/>
          <w:szCs w:val="24"/>
          <w14:ligatures w14:val="standardContextual"/>
        </w:rPr>
        <w:t xml:space="preserve">Southeast Asia Primary Learning Metrics (SEA-PLM). (2020). SEA-PLM 2019 Main Regional </w:t>
      </w:r>
      <w:r>
        <w:rPr>
          <w:rFonts w:ascii="Times New Roman" w:eastAsia="Times New Roman" w:hAnsi="Times New Roman" w:cs="Times New Roman"/>
          <w:sz w:val="24"/>
          <w:szCs w:val="24"/>
          <w14:ligatures w14:val="standardContextual"/>
        </w:rPr>
        <w:t xml:space="preserve">               </w:t>
      </w:r>
    </w:p>
    <w:p w14:paraId="7511E659" w14:textId="4442F4A1" w:rsidR="00354507" w:rsidRDefault="00354507" w:rsidP="007C3FDB">
      <w:pPr>
        <w:spacing w:after="0" w:line="240" w:lineRule="auto"/>
        <w:ind w:left="1440" w:hanging="864"/>
        <w:jc w:val="both"/>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 xml:space="preserve">               </w:t>
      </w:r>
      <w:r w:rsidRPr="00FE1762">
        <w:rPr>
          <w:rFonts w:ascii="Times New Roman" w:eastAsia="Times New Roman" w:hAnsi="Times New Roman" w:cs="Times New Roman"/>
          <w:sz w:val="24"/>
          <w:szCs w:val="24"/>
          <w14:ligatures w14:val="standardContextual"/>
        </w:rPr>
        <w:t xml:space="preserve">Report: Children’s learning in 6 Southeast Asian countries. UNICEF &amp; SEAMEO. </w:t>
      </w:r>
      <w:r>
        <w:rPr>
          <w:rFonts w:ascii="Times New Roman" w:eastAsia="Times New Roman" w:hAnsi="Times New Roman" w:cs="Times New Roman"/>
          <w:sz w:val="24"/>
          <w:szCs w:val="24"/>
          <w14:ligatures w14:val="standardContextual"/>
        </w:rPr>
        <w:t xml:space="preserve"> </w:t>
      </w:r>
    </w:p>
    <w:p w14:paraId="32C396F7" w14:textId="075778DB" w:rsidR="00354507" w:rsidRDefault="00354507" w:rsidP="007C3FDB">
      <w:pPr>
        <w:spacing w:after="0" w:line="240" w:lineRule="auto"/>
        <w:ind w:left="1440" w:hanging="864"/>
        <w:jc w:val="both"/>
        <w:rPr>
          <w:rFonts w:ascii="Times New Roman" w:hAnsi="Times New Roman" w:cs="Times New Roman"/>
          <w:bCs/>
          <w:sz w:val="24"/>
          <w:szCs w:val="24"/>
        </w:rPr>
      </w:pPr>
      <w:r>
        <w:rPr>
          <w:rFonts w:ascii="Times New Roman" w:eastAsia="Times New Roman" w:hAnsi="Times New Roman" w:cs="Times New Roman"/>
          <w:sz w:val="24"/>
          <w:szCs w:val="24"/>
          <w14:ligatures w14:val="standardContextual"/>
        </w:rPr>
        <w:t xml:space="preserve">               </w:t>
      </w:r>
      <w:r w:rsidRPr="00FE1762">
        <w:rPr>
          <w:rFonts w:ascii="Times New Roman" w:eastAsia="Times New Roman" w:hAnsi="Times New Roman" w:cs="Times New Roman"/>
          <w:sz w:val="24"/>
          <w:szCs w:val="24"/>
          <w14:ligatures w14:val="standardContextual"/>
        </w:rPr>
        <w:t>https//www.seaplm.org/</w:t>
      </w:r>
      <w:r w:rsidRPr="00354507">
        <w:rPr>
          <w:rFonts w:ascii="Times New Roman" w:hAnsi="Times New Roman" w:cs="Times New Roman"/>
          <w:bCs/>
          <w:sz w:val="24"/>
          <w:szCs w:val="24"/>
        </w:rPr>
        <w:t xml:space="preserve"> </w:t>
      </w:r>
    </w:p>
    <w:p w14:paraId="7CB2310B" w14:textId="77777777" w:rsidR="00FE1762" w:rsidRPr="00354507" w:rsidRDefault="00FE1762" w:rsidP="007C3FDB">
      <w:pPr>
        <w:spacing w:before="26" w:after="26" w:line="240" w:lineRule="auto"/>
        <w:ind w:left="1440" w:hanging="864"/>
        <w:jc w:val="both"/>
        <w:rPr>
          <w:rFonts w:ascii="Times New Roman" w:hAnsi="Times New Roman" w:cs="Times New Roman"/>
          <w:bCs/>
          <w:sz w:val="24"/>
          <w:szCs w:val="24"/>
        </w:rPr>
      </w:pPr>
    </w:p>
    <w:p w14:paraId="67BA9868" w14:textId="5AC6FF11" w:rsidR="00A64964" w:rsidRPr="008013C7" w:rsidRDefault="00FE1762" w:rsidP="008013C7">
      <w:pPr>
        <w:pStyle w:val="ListParagraph"/>
        <w:spacing w:before="26" w:after="26" w:line="240" w:lineRule="auto"/>
        <w:ind w:left="1440" w:hanging="864"/>
        <w:jc w:val="both"/>
        <w:rPr>
          <w:rFonts w:ascii="Times New Roman" w:eastAsia="Times New Roman" w:hAnsi="Times New Roman" w:cs="Times New Roman"/>
          <w:sz w:val="24"/>
          <w:szCs w:val="24"/>
          <w14:ligatures w14:val="standardContextual"/>
        </w:rPr>
        <w:sectPr w:rsidR="00A64964" w:rsidRPr="008013C7" w:rsidSect="00280200">
          <w:pgSz w:w="12240" w:h="15840"/>
          <w:pgMar w:top="2070" w:right="1440" w:bottom="1440" w:left="1440" w:header="1080" w:footer="0" w:gutter="0"/>
          <w:cols w:space="720"/>
          <w:titlePg/>
          <w:docGrid w:linePitch="299"/>
        </w:sectPr>
      </w:pPr>
      <w:r w:rsidRPr="00FE1762">
        <w:rPr>
          <w:rFonts w:ascii="Times New Roman" w:eastAsia="Times New Roman" w:hAnsi="Times New Roman" w:cs="Times New Roman"/>
          <w:sz w:val="24"/>
          <w:szCs w:val="24"/>
          <w14:ligatures w14:val="standardContextual"/>
        </w:rPr>
        <w:t xml:space="preserve"> Zhou, Y., and Lian, H. (2024). The effects of music training on mathematics performance across genders. Journal of Cognitive Education and Psychology, 23(2), 189–205</w:t>
      </w:r>
    </w:p>
    <w:p w14:paraId="31050DAD" w14:textId="77777777" w:rsidR="008013C7" w:rsidRDefault="008013C7" w:rsidP="008013C7">
      <w:pPr>
        <w:spacing w:after="0" w:line="240" w:lineRule="auto"/>
        <w:ind w:right="-13"/>
        <w:jc w:val="both"/>
        <w:rPr>
          <w:rFonts w:ascii="Times New Roman" w:hAnsi="Times New Roman" w:cs="Times New Roman"/>
          <w:bCs/>
          <w:sz w:val="24"/>
          <w:szCs w:val="24"/>
        </w:rPr>
      </w:pPr>
    </w:p>
    <w:sectPr w:rsidR="008013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1220" w14:textId="77777777" w:rsidR="00B57B06" w:rsidRDefault="00B57B06" w:rsidP="00A67C0F">
      <w:pPr>
        <w:spacing w:after="0" w:line="240" w:lineRule="auto"/>
      </w:pPr>
      <w:r>
        <w:separator/>
      </w:r>
    </w:p>
  </w:endnote>
  <w:endnote w:type="continuationSeparator" w:id="0">
    <w:p w14:paraId="2ACFF912" w14:textId="77777777" w:rsidR="00B57B06" w:rsidRDefault="00B57B06" w:rsidP="00A6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5547" w14:textId="77777777" w:rsidR="00B57B06" w:rsidRDefault="00B57B06" w:rsidP="00A67C0F">
      <w:pPr>
        <w:spacing w:after="0" w:line="240" w:lineRule="auto"/>
      </w:pPr>
      <w:r>
        <w:separator/>
      </w:r>
    </w:p>
  </w:footnote>
  <w:footnote w:type="continuationSeparator" w:id="0">
    <w:p w14:paraId="6F9A93A9" w14:textId="77777777" w:rsidR="00B57B06" w:rsidRDefault="00B57B06" w:rsidP="00A67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B79D4"/>
    <w:multiLevelType w:val="multilevel"/>
    <w:tmpl w:val="446B79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9223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52"/>
    <w:rsid w:val="000B06F0"/>
    <w:rsid w:val="00156618"/>
    <w:rsid w:val="00160EE9"/>
    <w:rsid w:val="0020687C"/>
    <w:rsid w:val="00215724"/>
    <w:rsid w:val="00254248"/>
    <w:rsid w:val="0027619E"/>
    <w:rsid w:val="00280200"/>
    <w:rsid w:val="002C657B"/>
    <w:rsid w:val="002D181A"/>
    <w:rsid w:val="002E707A"/>
    <w:rsid w:val="00321DD6"/>
    <w:rsid w:val="00347752"/>
    <w:rsid w:val="00354507"/>
    <w:rsid w:val="00367755"/>
    <w:rsid w:val="003E0741"/>
    <w:rsid w:val="00456D58"/>
    <w:rsid w:val="004F0E0F"/>
    <w:rsid w:val="00502287"/>
    <w:rsid w:val="005022E0"/>
    <w:rsid w:val="00533484"/>
    <w:rsid w:val="00534FAC"/>
    <w:rsid w:val="005F3069"/>
    <w:rsid w:val="006600E1"/>
    <w:rsid w:val="0069128C"/>
    <w:rsid w:val="006F0821"/>
    <w:rsid w:val="0074417A"/>
    <w:rsid w:val="007A002D"/>
    <w:rsid w:val="007C3FDB"/>
    <w:rsid w:val="008013C7"/>
    <w:rsid w:val="0080731D"/>
    <w:rsid w:val="00873FE0"/>
    <w:rsid w:val="008B2729"/>
    <w:rsid w:val="0091063B"/>
    <w:rsid w:val="00911595"/>
    <w:rsid w:val="00924B90"/>
    <w:rsid w:val="009B3B82"/>
    <w:rsid w:val="009D41E4"/>
    <w:rsid w:val="00A201FB"/>
    <w:rsid w:val="00A64964"/>
    <w:rsid w:val="00A67C0F"/>
    <w:rsid w:val="00AB64EF"/>
    <w:rsid w:val="00B57B06"/>
    <w:rsid w:val="00BA31DF"/>
    <w:rsid w:val="00BB6584"/>
    <w:rsid w:val="00BB76CB"/>
    <w:rsid w:val="00C1362F"/>
    <w:rsid w:val="00C32B32"/>
    <w:rsid w:val="00D344F4"/>
    <w:rsid w:val="00DF1956"/>
    <w:rsid w:val="00E05A8D"/>
    <w:rsid w:val="00E34A26"/>
    <w:rsid w:val="00E6033B"/>
    <w:rsid w:val="00E86C26"/>
    <w:rsid w:val="00E92013"/>
    <w:rsid w:val="00EA208A"/>
    <w:rsid w:val="00ED1109"/>
    <w:rsid w:val="00F22AFA"/>
    <w:rsid w:val="00FA0953"/>
    <w:rsid w:val="00FD4F38"/>
    <w:rsid w:val="00FE176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BBD186"/>
  <w15:docId w15:val="{546269FA-2840-4F0E-90EF-767D77D0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507"/>
    <w:pPr>
      <w:spacing w:line="259" w:lineRule="auto"/>
    </w:pPr>
    <w:rPr>
      <w:rFonts w:asciiTheme="minorHAnsi" w:eastAsiaTheme="minorHAnsi" w:hAnsiTheme="minorHAnsi" w:cstheme="minorBidi"/>
      <w:kern w:val="2"/>
      <w:sz w:val="22"/>
      <w:szCs w:val="22"/>
      <w:lang w:val="en-PH"/>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PH"/>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Quote1">
    <w:name w:val="Quote1"/>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1"/>
    <w:uiPriority w:val="29"/>
    <w:rPr>
      <w:i/>
      <w:iCs/>
      <w:color w:val="404040" w:themeColor="text1" w:themeTint="BF"/>
    </w:rPr>
  </w:style>
  <w:style w:type="paragraph" w:customStyle="1" w:styleId="ListParagraph1">
    <w:name w:val="List Paragraph1"/>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customStyle="1" w:styleId="IntenseQuote1">
    <w:name w:val="Intense Quote1"/>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1"/>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21">
    <w:name w:val="Plain Table 21"/>
    <w:basedOn w:val="TableNormal"/>
    <w:uiPriority w:val="42"/>
    <w:pPr>
      <w:spacing w:after="0" w:line="240" w:lineRule="auto"/>
    </w:pPr>
    <w:rPr>
      <w:rFonts w:ascii="Calibri" w:eastAsia="Calibri" w:hAnsi="Calibri" w:cs="Calibri"/>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pPr>
      <w:spacing w:before="100" w:beforeAutospacing="1" w:after="100" w:afterAutospacing="1" w:line="240" w:lineRule="auto"/>
    </w:pPr>
    <w:rPr>
      <w:rFonts w:ascii="Times New Roman" w:eastAsiaTheme="minorEastAsia" w:hAnsi="Times New Roman" w:cs="Times New Roman"/>
      <w:kern w:val="0"/>
      <w:sz w:val="24"/>
      <w:szCs w:val="24"/>
    </w:rPr>
  </w:style>
  <w:style w:type="character" w:customStyle="1" w:styleId="s1">
    <w:name w:val="s1"/>
    <w:basedOn w:val="DefaultParagraphFont"/>
  </w:style>
  <w:style w:type="character" w:customStyle="1" w:styleId="UnresolvedMention1">
    <w:name w:val="Unresolved Mention1"/>
    <w:basedOn w:val="DefaultParagraphFont"/>
    <w:uiPriority w:val="99"/>
    <w:unhideWhenUsed/>
    <w:rPr>
      <w:color w:val="605E5C"/>
      <w:shd w:val="clear" w:color="auto" w:fill="E1DFDD"/>
    </w:rPr>
  </w:style>
  <w:style w:type="table" w:customStyle="1" w:styleId="TableGrid1">
    <w:name w:val="Table Grid1"/>
    <w:basedOn w:val="TableNormal"/>
    <w:next w:val="TableGrid"/>
    <w:uiPriority w:val="39"/>
    <w:qFormat/>
    <w:rsid w:val="002D181A"/>
    <w:pPr>
      <w:spacing w:after="0" w:line="240" w:lineRule="auto"/>
    </w:pPr>
    <w:rPr>
      <w:rFonts w:ascii="Calibri" w:eastAsia="Calibri" w:hAnsi="Calibri" w:cs="SimSu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2D181A"/>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FA0953"/>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E0741"/>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215724"/>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160EE9"/>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160EE9"/>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128C"/>
    <w:rPr>
      <w:color w:val="605E5C"/>
      <w:shd w:val="clear" w:color="auto" w:fill="E1DFDD"/>
    </w:rPr>
  </w:style>
  <w:style w:type="table" w:customStyle="1" w:styleId="TableGrid7">
    <w:name w:val="Table Grid7"/>
    <w:basedOn w:val="TableNormal"/>
    <w:next w:val="TableGrid"/>
    <w:uiPriority w:val="39"/>
    <w:qFormat/>
    <w:rsid w:val="00BB76CB"/>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BB76CB"/>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BB76CB"/>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6F0821"/>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6F0821"/>
    <w:pPr>
      <w:spacing w:after="0" w:line="240" w:lineRule="auto"/>
    </w:pPr>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next w:val="ListParagraph"/>
    <w:uiPriority w:val="34"/>
    <w:qFormat/>
    <w:rsid w:val="00FE1762"/>
    <w:pPr>
      <w:ind w:left="720"/>
      <w:contextualSpacing/>
    </w:pPr>
    <w:rPr>
      <w:rFonts w:eastAsia="Times New Roman"/>
      <w14:ligatures w14:val="standardContextual"/>
    </w:rPr>
  </w:style>
  <w:style w:type="paragraph" w:styleId="ListParagraph">
    <w:name w:val="List Paragraph"/>
    <w:basedOn w:val="Normal"/>
    <w:uiPriority w:val="99"/>
    <w:unhideWhenUsed/>
    <w:rsid w:val="00FE1762"/>
    <w:pPr>
      <w:ind w:left="720"/>
      <w:contextualSpacing/>
    </w:pPr>
  </w:style>
  <w:style w:type="paragraph" w:styleId="BodyText">
    <w:name w:val="Body Text"/>
    <w:basedOn w:val="Normal"/>
    <w:link w:val="BodyTextChar"/>
    <w:uiPriority w:val="1"/>
    <w:qFormat/>
    <w:rsid w:val="000B06F0"/>
    <w:pPr>
      <w:widowControl w:val="0"/>
      <w:autoSpaceDE w:val="0"/>
      <w:autoSpaceDN w:val="0"/>
      <w:spacing w:after="0" w:line="240" w:lineRule="auto"/>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0B06F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jebaloyod@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eyadetalla@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cahsambaan1974@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gheneluage8@gmail.com" TargetMode="External"/><Relationship Id="rId4" Type="http://schemas.openxmlformats.org/officeDocument/2006/relationships/styles" Target="styles.xml"/><Relationship Id="rId9" Type="http://schemas.openxmlformats.org/officeDocument/2006/relationships/hyperlink" Target="mailto:arviegaylemicong16@gmail.com" TargetMode="External"/><Relationship Id="rId14" Type="http://schemas.openxmlformats.org/officeDocument/2006/relationships/hyperlink" Target="https://www.deped.gov.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0C06E-9D7A-481D-B74D-2CD6DE6D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8608</Words>
  <Characters>49070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pelt john macasarte</dc:creator>
  <cp:lastModifiedBy>Catherine Jean Henderin</cp:lastModifiedBy>
  <cp:revision>2</cp:revision>
  <dcterms:created xsi:type="dcterms:W3CDTF">2026-05-28T09:20:00Z</dcterms:created>
  <dcterms:modified xsi:type="dcterms:W3CDTF">2026-05-28T09:20:00Z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C86C981AB9DEAE4909BAF669A0CBCD5D_31</vt:lpwstr>
  </property>
  <property fmtid="{D5CDD505-2E9C-101B-9397-08002B2CF9AE}" pid="3" name="KSOProductBuildVer">
    <vt:lpwstr>3081-26.3.1</vt:lpwstr>
  </property>
</Properties>
</file>