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61CC" w14:textId="7CC32A42" w:rsidR="006768DF" w:rsidRDefault="006768DF" w:rsidP="006768DF">
      <w:pPr>
        <w:pStyle w:val="Title"/>
        <w:spacing w:line="237" w:lineRule="auto"/>
        <w:ind w:left="418" w:firstLine="0"/>
        <w:jc w:val="center"/>
      </w:pPr>
      <w:r w:rsidRPr="006768DF">
        <w:t>Determinants of Green Technology Adoption in Malaysian SMEs: Evidence from the TOE Framework</w:t>
      </w:r>
    </w:p>
    <w:p w14:paraId="4AC4870A" w14:textId="77777777" w:rsidR="008D0EF7" w:rsidRDefault="008D0EF7">
      <w:pPr>
        <w:pStyle w:val="BodyText"/>
        <w:spacing w:before="101"/>
        <w:ind w:left="0"/>
        <w:rPr>
          <w:sz w:val="34"/>
        </w:rPr>
      </w:pPr>
    </w:p>
    <w:p w14:paraId="707D746E" w14:textId="428FB29F" w:rsidR="008D0EF7" w:rsidRPr="002E43F6" w:rsidRDefault="00000000">
      <w:pPr>
        <w:ind w:right="171"/>
        <w:jc w:val="center"/>
        <w:rPr>
          <w:sz w:val="24"/>
          <w:vertAlign w:val="superscript"/>
        </w:rPr>
      </w:pPr>
      <w:r>
        <w:rPr>
          <w:sz w:val="24"/>
        </w:rPr>
        <w:t/>
      </w:r>
      <w:r>
        <w:rPr>
          <w:spacing w:val="-3"/>
          <w:sz w:val="24"/>
        </w:rPr>
        <w:t xml:space="preserve"/>
      </w:r>
      <w:r>
        <w:rPr>
          <w:sz w:val="24"/>
        </w:rPr>
        <w:t/>
      </w:r>
      <w:r>
        <w:rPr>
          <w:spacing w:val="-15"/>
          <w:sz w:val="24"/>
        </w:rPr>
        <w:t xml:space="preserve"/>
      </w:r>
      <w:r>
        <w:rPr>
          <w:sz w:val="24"/>
        </w:rPr>
        <w:t/>
      </w:r>
      <w:r>
        <w:rPr>
          <w:sz w:val="24"/>
          <w:vertAlign w:val="superscript"/>
        </w:rPr>
        <w:t/>
      </w:r>
      <w:r w:rsidR="006768DF">
        <w:rPr>
          <w:sz w:val="24"/>
        </w:rPr>
        <w:t xml:space="preserve"/>
      </w:r>
      <w:r>
        <w:rPr>
          <w:spacing w:val="-1"/>
          <w:sz w:val="24"/>
        </w:rPr>
        <w:t xml:space="preserve"/>
      </w:r>
      <w:r>
        <w:rPr>
          <w:sz w:val="24"/>
        </w:rPr>
        <w:t/>
      </w:r>
      <w:r>
        <w:rPr>
          <w:spacing w:val="-3"/>
          <w:sz w:val="24"/>
        </w:rPr>
        <w:t xml:space="preserve"/>
      </w:r>
      <w:r>
        <w:rPr>
          <w:sz w:val="24"/>
        </w:rPr>
        <w:t/>
      </w:r>
      <w:r>
        <w:rPr>
          <w:spacing w:val="-4"/>
          <w:sz w:val="24"/>
        </w:rPr>
        <w:t xml:space="preserve"/>
      </w:r>
      <w:r>
        <w:rPr>
          <w:spacing w:val="-2"/>
          <w:sz w:val="24"/>
        </w:rPr>
        <w:t/>
      </w:r>
      <w:r>
        <w:rPr>
          <w:spacing w:val="-2"/>
          <w:sz w:val="24"/>
          <w:vertAlign w:val="superscript"/>
        </w:rPr>
        <w:t/>
      </w:r>
      <w:r>
        <w:rPr>
          <w:spacing w:val="-2"/>
          <w:sz w:val="24"/>
        </w:rPr>
        <w:t/>
      </w:r>
    </w:p>
    <w:p w14:paraId="395B5506" w14:textId="488FC662" w:rsidR="008D0EF7" w:rsidRDefault="008D0EF7">
      <w:pPr>
        <w:spacing w:before="22"/>
        <w:ind w:left="3" w:right="171"/>
        <w:jc w:val="center"/>
        <w:rPr>
          <w:i/>
          <w:sz w:val="16"/>
        </w:rPr>
      </w:pPr>
    </w:p>
    <w:p w14:paraId="7FD99FF7" w14:textId="3B055D9D" w:rsidR="008D0EF7" w:rsidRDefault="002E43F6" w:rsidP="002E43F6">
      <w:pPr>
        <w:spacing w:before="27"/>
        <w:ind w:right="8"/>
        <w:jc w:val="center"/>
        <w:rPr>
          <w:i/>
          <w:sz w:val="16"/>
        </w:rPr>
      </w:pPr>
      <w:proofErr w:type="spellStart"/>
      <w:r>
        <w:rPr>
          <w:i/>
          <w:sz w:val="16"/>
          <w:vertAlign w:val="superscript"/>
        </w:rPr>
        <w:t/>
      </w:r>
      <w:r>
        <w:rPr>
          <w:i/>
          <w:sz w:val="16"/>
        </w:rPr>
        <w:t/>
      </w:r>
      <w:proofErr w:type="spellEnd"/>
      <w:r>
        <w:rPr>
          <w:i/>
          <w:spacing w:val="-3"/>
          <w:sz w:val="16"/>
        </w:rPr>
        <w:t xml:space="preserve"/>
      </w:r>
      <w:proofErr w:type="spellStart"/>
      <w:r>
        <w:rPr>
          <w:i/>
          <w:sz w:val="16"/>
        </w:rPr>
        <w:t/>
      </w:r>
      <w:proofErr w:type="spellEnd"/>
      <w:r>
        <w:rPr>
          <w:i/>
          <w:spacing w:val="-5"/>
          <w:sz w:val="16"/>
        </w:rPr>
        <w:t xml:space="preserve"/>
      </w:r>
      <w:proofErr w:type="spellStart"/>
      <w:r>
        <w:rPr>
          <w:i/>
          <w:sz w:val="16"/>
        </w:rPr>
        <w:t/>
      </w:r>
      <w:proofErr w:type="spellEnd"/>
      <w:r>
        <w:rPr>
          <w:i/>
          <w:spacing w:val="-2"/>
          <w:sz w:val="16"/>
        </w:rPr>
        <w:t xml:space="preserve"/>
      </w:r>
      <w:r>
        <w:rPr>
          <w:i/>
          <w:sz w:val="16"/>
        </w:rPr>
        <w:t/>
      </w:r>
      <w:r>
        <w:rPr>
          <w:i/>
          <w:spacing w:val="-9"/>
          <w:sz w:val="16"/>
        </w:rPr>
        <w:t xml:space="preserve"/>
      </w:r>
      <w:proofErr w:type="spellStart"/>
      <w:proofErr w:type="gramStart"/>
      <w:r>
        <w:rPr>
          <w:i/>
          <w:sz w:val="16"/>
        </w:rPr>
        <w:t/>
      </w:r>
      <w:proofErr w:type="spellEnd"/>
      <w:proofErr w:type="gramEnd"/>
      <w:r>
        <w:rPr>
          <w:i/>
          <w:sz w:val="16"/>
        </w:rPr>
        <w:t xml:space="preserve"/>
      </w:r>
      <w:proofErr w:type="spellStart"/>
      <w:r>
        <w:rPr>
          <w:i/>
          <w:sz w:val="16"/>
        </w:rPr>
        <w:t/>
      </w:r>
      <w:proofErr w:type="spellEnd"/>
      <w:r>
        <w:rPr>
          <w:i/>
          <w:sz w:val="16"/>
        </w:rPr>
        <w:t xml:space="preserve"/>
      </w:r>
      <w:r w:rsidR="00986C7A">
        <w:rPr>
          <w:i/>
          <w:sz w:val="16"/>
        </w:rPr>
        <w:t/>
      </w:r>
    </w:p>
    <w:p w14:paraId="5ADAD04C" w14:textId="77777777" w:rsidR="008D0EF7" w:rsidRDefault="008D0EF7">
      <w:pPr>
        <w:pStyle w:val="BodyText"/>
        <w:ind w:left="0"/>
        <w:rPr>
          <w:i/>
        </w:rPr>
      </w:pPr>
    </w:p>
    <w:p w14:paraId="46A54EAC" w14:textId="77777777" w:rsidR="002E43F6" w:rsidRDefault="002E43F6" w:rsidP="002E43F6">
      <w:pPr>
        <w:ind w:left="159"/>
        <w:jc w:val="both"/>
        <w:rPr>
          <w:sz w:val="16"/>
        </w:rPr>
      </w:pPr>
      <w:r>
        <w:rPr>
          <w:sz w:val="16"/>
        </w:rPr>
        <w:t/>
      </w:r>
      <w:r>
        <w:rPr>
          <w:spacing w:val="-8"/>
          <w:sz w:val="16"/>
        </w:rPr>
        <w:t xml:space="preserve"/>
      </w:r>
      <w:r>
        <w:rPr>
          <w:sz w:val="16"/>
        </w:rPr>
        <w:t/>
      </w:r>
      <w:r>
        <w:rPr>
          <w:spacing w:val="-8"/>
          <w:sz w:val="16"/>
        </w:rPr>
        <w:t xml:space="preserve"/>
      </w:r>
      <w:r>
        <w:rPr>
          <w:spacing w:val="-2"/>
          <w:sz w:val="16"/>
        </w:rPr>
        <w:t/>
      </w:r>
    </w:p>
    <w:p w14:paraId="4EC7FCD8" w14:textId="77777777" w:rsidR="002E43F6" w:rsidRDefault="002E43F6" w:rsidP="002E43F6">
      <w:pPr>
        <w:spacing w:before="75"/>
        <w:ind w:left="159"/>
        <w:jc w:val="both"/>
        <w:rPr>
          <w:sz w:val="16"/>
        </w:rPr>
      </w:pPr>
      <w:r>
        <w:rPr>
          <w:i/>
          <w:sz w:val="16"/>
        </w:rPr>
        <w:t/>
      </w:r>
      <w:r>
        <w:rPr>
          <w:i/>
          <w:spacing w:val="-7"/>
          <w:sz w:val="16"/>
        </w:rPr>
        <w:t xml:space="preserve"/>
      </w:r>
      <w:r>
        <w:rPr>
          <w:i/>
          <w:sz w:val="16"/>
        </w:rPr>
        <w:t/>
      </w:r>
      <w:r>
        <w:rPr>
          <w:i/>
          <w:spacing w:val="-3"/>
          <w:sz w:val="16"/>
        </w:rPr>
        <w:t xml:space="preserve"/>
      </w:r>
      <w:hyperlink r:id="rId8">
        <w:r>
          <w:rPr>
            <w:spacing w:val="-2"/>
            <w:sz w:val="16"/>
          </w:rPr>
          <w:t/>
        </w:r>
      </w:hyperlink>
    </w:p>
    <w:p w14:paraId="202BE5DD" w14:textId="77777777" w:rsidR="008D0EF7" w:rsidRDefault="00000000">
      <w:pPr>
        <w:pStyle w:val="BodyText"/>
        <w:spacing w:before="146"/>
        <w:ind w:left="0"/>
        <w:rPr>
          <w:i/>
        </w:rPr>
      </w:pPr>
      <w:r>
        <w:rPr>
          <w:i/>
          <w:noProof/>
        </w:rPr>
        <mc:AlternateContent>
          <mc:Choice Requires="wps">
            <w:drawing>
              <wp:anchor distT="0" distB="0" distL="0" distR="0" simplePos="0" relativeHeight="487582720" behindDoc="1" locked="0" layoutInCell="1" allowOverlap="1" wp14:anchorId="3D488478" wp14:editId="7F908D94">
                <wp:simplePos x="0" y="0"/>
                <wp:positionH relativeFrom="page">
                  <wp:posOffset>449580</wp:posOffset>
                </wp:positionH>
                <wp:positionV relativeFrom="paragraph">
                  <wp:posOffset>254586</wp:posOffset>
                </wp:positionV>
                <wp:extent cx="565404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8890"/>
                        </a:xfrm>
                        <a:custGeom>
                          <a:avLst/>
                          <a:gdLst/>
                          <a:ahLst/>
                          <a:cxnLst/>
                          <a:rect l="l" t="t" r="r" b="b"/>
                          <a:pathLst>
                            <a:path w="5654040" h="8890">
                              <a:moveTo>
                                <a:pt x="5654040" y="0"/>
                              </a:moveTo>
                              <a:lnTo>
                                <a:pt x="0" y="0"/>
                              </a:lnTo>
                              <a:lnTo>
                                <a:pt x="0" y="8636"/>
                              </a:lnTo>
                              <a:lnTo>
                                <a:pt x="5654040" y="8636"/>
                              </a:lnTo>
                              <a:lnTo>
                                <a:pt x="5654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34DA7" id="Graphic 3" o:spid="_x0000_s1026" style="position:absolute;margin-left:35.4pt;margin-top:20.05pt;width:445.2pt;height:.7pt;z-index:-15733760;visibility:visible;mso-wrap-style:square;mso-wrap-distance-left:0;mso-wrap-distance-top:0;mso-wrap-distance-right:0;mso-wrap-distance-bottom:0;mso-position-horizontal:absolute;mso-position-horizontal-relative:page;mso-position-vertical:absolute;mso-position-vertical-relative:text;v-text-anchor:top" coordsize="56540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" path="m5654040,l,,,8636r5654040,l5654040,xe" fillcolor="black" stroked="f">
                <v:path arrowok="t"/>
                <w10:wrap type="topAndBottom" anchorx="page"/>
              </v:shape>
            </w:pict>
          </mc:Fallback>
        </mc:AlternateContent>
      </w:r>
    </w:p>
    <w:p w14:paraId="4F1DFF9D" w14:textId="77777777" w:rsidR="008D0EF7" w:rsidRDefault="008D0EF7">
      <w:pPr>
        <w:pStyle w:val="BodyText"/>
        <w:spacing w:before="88"/>
        <w:ind w:left="0"/>
        <w:rPr>
          <w:i/>
          <w:sz w:val="16"/>
        </w:rPr>
      </w:pPr>
    </w:p>
    <w:p w14:paraId="4CE409F1" w14:textId="77777777" w:rsidR="008D0EF7" w:rsidRDefault="00000000">
      <w:pPr>
        <w:spacing w:before="1"/>
        <w:ind w:left="173"/>
        <w:rPr>
          <w:b/>
          <w:sz w:val="18"/>
        </w:rPr>
      </w:pPr>
      <w:bookmarkStart w:id="0" w:name="Abstract"/>
      <w:bookmarkEnd w:id="0"/>
      <w:r>
        <w:rPr>
          <w:b/>
          <w:spacing w:val="-2"/>
          <w:sz w:val="18"/>
        </w:rPr>
        <w:t>Abstract</w:t>
      </w:r>
    </w:p>
    <w:p w14:paraId="635E4F92" w14:textId="77777777" w:rsidR="008D0EF7" w:rsidRDefault="008D0EF7">
      <w:pPr>
        <w:pStyle w:val="BodyText"/>
        <w:spacing w:before="3"/>
        <w:ind w:left="0"/>
        <w:rPr>
          <w:b/>
          <w:sz w:val="18"/>
        </w:rPr>
      </w:pPr>
    </w:p>
    <w:p w14:paraId="341F78E5" w14:textId="04AB5887" w:rsidR="008D0EF7" w:rsidRDefault="006768DF">
      <w:pPr>
        <w:spacing w:line="249" w:lineRule="auto"/>
        <w:ind w:left="173" w:right="334"/>
        <w:jc w:val="both"/>
        <w:rPr>
          <w:sz w:val="18"/>
        </w:rPr>
      </w:pPr>
      <w:r w:rsidRPr="006768DF">
        <w:rPr>
          <w:sz w:val="18"/>
        </w:rPr>
        <w:t xml:space="preserve">This research examines the adoption of green technology and its effects on the economic and environmental sustainability of small and medium enterprises (SMEs) in Malaysia, particularly within the manufacturing sector. Although renewable energy and green technologies have experienced significant growth, the adoption rate among SMEs remains low due to financial constraints, limited technical expertise, and uncertainty regarding the long-term benefits of implementation. This study aims to evaluate the level of green technology adoption among Malaysian manufacturing SMEs, identify the determinants influencing its adoption, and examine the impact of adoption on SME performance. A quantitative research design was employed, targeting manufacturing SMEs in urban and semi-urban areas of Malaysia through a structured questionnaire survey. The study adopted the Technology–Organization–Environment (TOE) framework to investigate the determinants of green technology adoption. Data </w:t>
      </w:r>
      <w:proofErr w:type="gramStart"/>
      <w:r w:rsidRPr="006768DF">
        <w:rPr>
          <w:sz w:val="18"/>
        </w:rPr>
        <w:t>were</w:t>
      </w:r>
      <w:proofErr w:type="gramEnd"/>
      <w:r w:rsidRPr="006768DF">
        <w:rPr>
          <w:sz w:val="18"/>
        </w:rPr>
        <w:t xml:space="preserve"> analyzed using descriptive statistics, reliability analysis, correlation analysis, and regression analysis with SPSS. The findings reveal that technological fit, top management support, government regulations, and market demand are significant determinants of green technology adoption among SMEs. Furthermore, the results indicate that green technology adoption positively influences SME performance through improved operational efficiency, reduced operating costs, lower environmental impact, and enhanced competitiveness. Despite challenges such as financial limitations and inadequate technological expertise, the strategic adoption of green technology contributes positively to the long-term sustainability and performance of Malaysian manufacturing SMEs</w:t>
      </w:r>
      <w:r>
        <w:rPr>
          <w:sz w:val="18"/>
        </w:rPr>
        <w:t>.</w:t>
      </w:r>
    </w:p>
    <w:p w14:paraId="366DAF66" w14:textId="77777777" w:rsidR="008D0EF7" w:rsidRDefault="008D0EF7">
      <w:pPr>
        <w:pStyle w:val="BodyText"/>
        <w:spacing w:before="6"/>
        <w:ind w:left="0"/>
        <w:rPr>
          <w:sz w:val="18"/>
        </w:rPr>
      </w:pPr>
    </w:p>
    <w:p w14:paraId="28EEBD77" w14:textId="15FEF690" w:rsidR="008D0EF7" w:rsidRDefault="00000000">
      <w:pPr>
        <w:ind w:left="159"/>
        <w:rPr>
          <w:i/>
          <w:sz w:val="16"/>
        </w:rPr>
      </w:pPr>
      <w:proofErr w:type="gramStart"/>
      <w:r>
        <w:rPr>
          <w:i/>
          <w:spacing w:val="-2"/>
          <w:sz w:val="16"/>
        </w:rPr>
        <w:t>Keywords</w:t>
      </w:r>
      <w:r>
        <w:rPr>
          <w:i/>
          <w:spacing w:val="11"/>
          <w:sz w:val="16"/>
        </w:rPr>
        <w:t xml:space="preserve"> </w:t>
      </w:r>
      <w:r>
        <w:rPr>
          <w:i/>
          <w:spacing w:val="-2"/>
          <w:sz w:val="16"/>
        </w:rPr>
        <w:t>:</w:t>
      </w:r>
      <w:proofErr w:type="gramEnd"/>
      <w:r>
        <w:rPr>
          <w:i/>
          <w:spacing w:val="9"/>
          <w:sz w:val="16"/>
        </w:rPr>
        <w:t xml:space="preserve"> </w:t>
      </w:r>
      <w:r>
        <w:rPr>
          <w:i/>
          <w:spacing w:val="-2"/>
          <w:sz w:val="16"/>
        </w:rPr>
        <w:t>Green</w:t>
      </w:r>
      <w:r>
        <w:rPr>
          <w:i/>
          <w:spacing w:val="13"/>
          <w:sz w:val="16"/>
        </w:rPr>
        <w:t xml:space="preserve"> </w:t>
      </w:r>
      <w:r>
        <w:rPr>
          <w:i/>
          <w:spacing w:val="-2"/>
          <w:sz w:val="16"/>
        </w:rPr>
        <w:t>Technology;</w:t>
      </w:r>
      <w:r>
        <w:rPr>
          <w:i/>
          <w:spacing w:val="9"/>
          <w:sz w:val="16"/>
        </w:rPr>
        <w:t xml:space="preserve"> </w:t>
      </w:r>
      <w:r>
        <w:rPr>
          <w:i/>
          <w:spacing w:val="-2"/>
          <w:sz w:val="16"/>
        </w:rPr>
        <w:t>SMEs;</w:t>
      </w:r>
      <w:r>
        <w:rPr>
          <w:i/>
          <w:spacing w:val="10"/>
          <w:sz w:val="16"/>
        </w:rPr>
        <w:t xml:space="preserve"> </w:t>
      </w:r>
      <w:r>
        <w:rPr>
          <w:i/>
          <w:spacing w:val="-2"/>
          <w:sz w:val="16"/>
        </w:rPr>
        <w:t>Technology</w:t>
      </w:r>
      <w:r w:rsidR="002E43F6">
        <w:rPr>
          <w:i/>
          <w:spacing w:val="-2"/>
          <w:sz w:val="16"/>
        </w:rPr>
        <w:t xml:space="preserve">; </w:t>
      </w:r>
      <w:r>
        <w:rPr>
          <w:i/>
          <w:spacing w:val="-2"/>
          <w:sz w:val="16"/>
        </w:rPr>
        <w:t>Organization</w:t>
      </w:r>
      <w:r w:rsidR="002E43F6">
        <w:rPr>
          <w:i/>
          <w:spacing w:val="-2"/>
          <w:sz w:val="16"/>
        </w:rPr>
        <w:t xml:space="preserve">; </w:t>
      </w:r>
      <w:r>
        <w:rPr>
          <w:i/>
          <w:spacing w:val="-2"/>
          <w:sz w:val="16"/>
        </w:rPr>
        <w:t>Environment;</w:t>
      </w:r>
      <w:r>
        <w:rPr>
          <w:i/>
          <w:spacing w:val="10"/>
          <w:sz w:val="16"/>
        </w:rPr>
        <w:t xml:space="preserve"> </w:t>
      </w:r>
      <w:r>
        <w:rPr>
          <w:i/>
          <w:spacing w:val="-2"/>
          <w:sz w:val="16"/>
        </w:rPr>
        <w:t>Sustainability;</w:t>
      </w:r>
      <w:r>
        <w:rPr>
          <w:i/>
          <w:spacing w:val="16"/>
          <w:sz w:val="16"/>
        </w:rPr>
        <w:t xml:space="preserve"> </w:t>
      </w:r>
    </w:p>
    <w:p w14:paraId="69E736CD" w14:textId="77777777" w:rsidR="008D0EF7" w:rsidRDefault="00000000">
      <w:pPr>
        <w:pStyle w:val="BodyText"/>
        <w:spacing w:before="27"/>
        <w:ind w:left="0"/>
        <w:rPr>
          <w:i/>
        </w:rPr>
      </w:pPr>
      <w:r>
        <w:rPr>
          <w:i/>
          <w:noProof/>
        </w:rPr>
        <mc:AlternateContent>
          <mc:Choice Requires="wps">
            <w:drawing>
              <wp:anchor distT="0" distB="0" distL="0" distR="0" simplePos="0" relativeHeight="487583232" behindDoc="1" locked="0" layoutInCell="1" allowOverlap="1" wp14:anchorId="29055F05" wp14:editId="6794623F">
                <wp:simplePos x="0" y="0"/>
                <wp:positionH relativeFrom="page">
                  <wp:posOffset>449580</wp:posOffset>
                </wp:positionH>
                <wp:positionV relativeFrom="paragraph">
                  <wp:posOffset>178662</wp:posOffset>
                </wp:positionV>
                <wp:extent cx="5654040" cy="889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8890"/>
                        </a:xfrm>
                        <a:custGeom>
                          <a:avLst/>
                          <a:gdLst/>
                          <a:ahLst/>
                          <a:cxnLst/>
                          <a:rect l="l" t="t" r="r" b="b"/>
                          <a:pathLst>
                            <a:path w="5654040" h="8890">
                              <a:moveTo>
                                <a:pt x="5654040" y="0"/>
                              </a:moveTo>
                              <a:lnTo>
                                <a:pt x="0" y="0"/>
                              </a:lnTo>
                              <a:lnTo>
                                <a:pt x="0" y="8509"/>
                              </a:lnTo>
                              <a:lnTo>
                                <a:pt x="5654040" y="8509"/>
                              </a:lnTo>
                              <a:lnTo>
                                <a:pt x="5654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C537C" id="Graphic 4" o:spid="_x0000_s1026" style="position:absolute;margin-left:35.4pt;margin-top:14.05pt;width:445.2pt;height:.7pt;z-index:-15733248;visibility:visible;mso-wrap-style:square;mso-wrap-distance-left:0;mso-wrap-distance-top:0;mso-wrap-distance-right:0;mso-wrap-distance-bottom:0;mso-position-horizontal:absolute;mso-position-horizontal-relative:page;mso-position-vertical:absolute;mso-position-vertical-relative:text;v-text-anchor:top" coordsize="56540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" path="m5654040,l,,,8509r5654040,l5654040,xe" fillcolor="black" stroked="f">
                <v:path arrowok="t"/>
                <w10:wrap type="topAndBottom" anchorx="page"/>
              </v:shape>
            </w:pict>
          </mc:Fallback>
        </mc:AlternateContent>
      </w:r>
    </w:p>
    <w:p w14:paraId="662E35A1" w14:textId="77777777" w:rsidR="008D0EF7" w:rsidRDefault="008D0EF7">
      <w:pPr>
        <w:pStyle w:val="BodyText"/>
        <w:spacing w:before="126"/>
        <w:ind w:left="0"/>
        <w:rPr>
          <w:i/>
          <w:sz w:val="16"/>
        </w:rPr>
      </w:pPr>
    </w:p>
    <w:p w14:paraId="15CC558E" w14:textId="77777777" w:rsidR="008D0EF7" w:rsidRDefault="00000000">
      <w:pPr>
        <w:pStyle w:val="Heading1"/>
        <w:numPr>
          <w:ilvl w:val="0"/>
          <w:numId w:val="2"/>
        </w:numPr>
        <w:tabs>
          <w:tab w:val="left" w:pos="519"/>
        </w:tabs>
      </w:pPr>
      <w:bookmarkStart w:id="1" w:name="1._Introduction"/>
      <w:bookmarkEnd w:id="1"/>
      <w:r>
        <w:rPr>
          <w:spacing w:val="-2"/>
        </w:rPr>
        <w:t>Introduction</w:t>
      </w:r>
    </w:p>
    <w:p w14:paraId="5AFAE9EC" w14:textId="77777777" w:rsidR="008D0EF7" w:rsidRDefault="008D0EF7">
      <w:pPr>
        <w:pStyle w:val="BodyText"/>
        <w:spacing w:before="20"/>
        <w:ind w:left="0"/>
        <w:rPr>
          <w:b/>
        </w:rPr>
      </w:pPr>
    </w:p>
    <w:p w14:paraId="43F4CC37" w14:textId="77777777" w:rsidR="00986C7A" w:rsidRDefault="00986C7A" w:rsidP="00986C7A">
      <w:pPr>
        <w:pStyle w:val="BodyText"/>
        <w:spacing w:line="259" w:lineRule="auto"/>
        <w:ind w:left="159"/>
        <w:jc w:val="both"/>
      </w:pPr>
      <w:r>
        <w:t xml:space="preserve">Climate change, resource depletion, and environmental pollution have become critical global challenges that require immediate and sustainable solutions. According to the United Nations Environment </w:t>
      </w:r>
      <w:proofErr w:type="spellStart"/>
      <w:r>
        <w:t>Programme</w:t>
      </w:r>
      <w:proofErr w:type="spellEnd"/>
      <w:r>
        <w:t xml:space="preserve">, global greenhouse gas emissions continue to rise despite international efforts to achieve climate targets, highlighting the need for businesses to adopt environmentally sustainable technologies and practices. Green technology refers to the development and application of products, processes, and systems that minimize environmental impacts while promoting efficient use of energy and natural resources (United Nations Environment </w:t>
      </w:r>
      <w:proofErr w:type="spellStart"/>
      <w:r>
        <w:t>Programme</w:t>
      </w:r>
      <w:proofErr w:type="spellEnd"/>
      <w:r>
        <w:t xml:space="preserve"> [UNEP], 2023). The adoption of green technology has therefore become an important strategy for organizations seeking to balance economic growth with environmental sustainability.</w:t>
      </w:r>
    </w:p>
    <w:p w14:paraId="214B346C" w14:textId="77777777" w:rsidR="00986C7A" w:rsidRDefault="00986C7A" w:rsidP="00986C7A">
      <w:pPr>
        <w:pStyle w:val="BodyText"/>
        <w:spacing w:line="259" w:lineRule="auto"/>
        <w:jc w:val="both"/>
      </w:pPr>
    </w:p>
    <w:p w14:paraId="5D26CFED" w14:textId="77777777" w:rsidR="00986C7A" w:rsidRDefault="00986C7A" w:rsidP="00986C7A">
      <w:pPr>
        <w:pStyle w:val="BodyText"/>
        <w:spacing w:line="259" w:lineRule="auto"/>
        <w:jc w:val="both"/>
      </w:pPr>
      <w:r>
        <w:t xml:space="preserve">Small and medium-sized enterprises (SMEs) play a significant role in economic development due to their contribution to employment creation, innovation, and gross domestic </w:t>
      </w:r>
      <w:proofErr w:type="gramStart"/>
      <w:r>
        <w:t>product</w:t>
      </w:r>
      <w:proofErr w:type="gramEnd"/>
      <w:r>
        <w:t xml:space="preserve"> (GDP). In Malaysia, SMEs account for approximately 97% of all business establishments and contribute substantially to national economic growth </w:t>
      </w:r>
      <w:r>
        <w:lastRenderedPageBreak/>
        <w:t>(SME Corp Malaysia, 2024). According to the Department of Statistics Malaysia (DOSM, 2024), SMEs contributed 39.1% to Malaysia's GDP and employed more than 7.5 million workers, making them a crucial component of the country's economic structure. Given their large presence, SMEs are expected to contribute significantly to national sustainability and low-carbon development goals.</w:t>
      </w:r>
    </w:p>
    <w:p w14:paraId="350395E2" w14:textId="77777777" w:rsidR="00986C7A" w:rsidRDefault="00986C7A" w:rsidP="00986C7A">
      <w:pPr>
        <w:pStyle w:val="BodyText"/>
        <w:spacing w:line="259" w:lineRule="auto"/>
        <w:jc w:val="both"/>
      </w:pPr>
    </w:p>
    <w:p w14:paraId="6599D052" w14:textId="77777777" w:rsidR="00986C7A" w:rsidRDefault="00986C7A" w:rsidP="00986C7A">
      <w:pPr>
        <w:pStyle w:val="BodyText"/>
        <w:spacing w:line="259" w:lineRule="auto"/>
        <w:jc w:val="both"/>
      </w:pPr>
      <w:r>
        <w:t>Despite their importance, the adoption of green technology among Malaysian SMEs remains relatively low compared with firms in many developed economies. Recent reports indicate that many SMEs continue to face barriers such as high initial investment costs, limited financial resources, insufficient technical expertise, lack of awareness, and uncertainty regarding the long-term benefits of green technology adoption (OECD, 2023; World Bank, 2023). These constraints often result in SMEs prioritizing short-term operational survival over long-term sustainability investments. Consequently, the contribution of SMEs toward achieving Malaysia's environmental and climate objectives remains below its potential.</w:t>
      </w:r>
    </w:p>
    <w:p w14:paraId="58D9D618" w14:textId="77777777" w:rsidR="00986C7A" w:rsidRDefault="00986C7A" w:rsidP="00986C7A">
      <w:pPr>
        <w:pStyle w:val="BodyText"/>
        <w:spacing w:line="259" w:lineRule="auto"/>
        <w:jc w:val="both"/>
      </w:pPr>
    </w:p>
    <w:p w14:paraId="37F73DAC" w14:textId="77777777" w:rsidR="00986C7A" w:rsidRDefault="00986C7A" w:rsidP="00986C7A">
      <w:pPr>
        <w:pStyle w:val="BodyText"/>
        <w:spacing w:line="259" w:lineRule="auto"/>
        <w:jc w:val="both"/>
      </w:pPr>
      <w:r>
        <w:t>The manufacturing sector is particularly important in this context because it is associated with high levels of energy consumption, resource utilization, and waste generation. Manufacturing SMEs are increasingly under pressure from governments, customers, and supply-chain partners to adopt environmentally responsible practices. However, studies have shown that green technology adoption within manufacturing SMEs remains inconsistent due to financial, technological, and organizational challenges (</w:t>
      </w:r>
      <w:proofErr w:type="spellStart"/>
      <w:r>
        <w:t>Aboelmaged</w:t>
      </w:r>
      <w:proofErr w:type="spellEnd"/>
      <w:r>
        <w:t xml:space="preserve">, 2018; Manda &amp; </w:t>
      </w:r>
      <w:proofErr w:type="spellStart"/>
      <w:r>
        <w:t>Dhaou</w:t>
      </w:r>
      <w:proofErr w:type="spellEnd"/>
      <w:r>
        <w:t>, 2019). Furthermore, market uncertainties and insufficient sustainability-supporting infrastructure continue to discourage many SMEs from implementing green innovations.</w:t>
      </w:r>
    </w:p>
    <w:p w14:paraId="2305B8FE" w14:textId="77777777" w:rsidR="00986C7A" w:rsidRDefault="00986C7A" w:rsidP="00986C7A">
      <w:pPr>
        <w:pStyle w:val="BodyText"/>
        <w:spacing w:line="259" w:lineRule="auto"/>
        <w:jc w:val="both"/>
      </w:pPr>
    </w:p>
    <w:p w14:paraId="2D96A305" w14:textId="77777777" w:rsidR="00986C7A" w:rsidRDefault="00986C7A" w:rsidP="00986C7A">
      <w:pPr>
        <w:pStyle w:val="BodyText"/>
        <w:spacing w:line="259" w:lineRule="auto"/>
        <w:jc w:val="both"/>
      </w:pPr>
      <w:r>
        <w:t>The Malaysian government has introduced various initiatives to encourage green technology adoption, including the Green Technology Financing Scheme (GTFS), the National Energy Transition Roadmap (NETR), and the Twelfth Malaysia Plan, which emphasize sustainable industrial development and carbon reduction targets (Ministry of Economy Malaysia, 2023). Nevertheless, adoption rates remain modest, suggesting that policy interventions alone may not be sufficient to accelerate widespread implementation among SMEs. A clearer understanding of the factors influencing adoption decisions is therefore required to formulate more effective support mechanisms.</w:t>
      </w:r>
    </w:p>
    <w:p w14:paraId="06F8B9E2" w14:textId="77777777" w:rsidR="00986C7A" w:rsidRDefault="00986C7A" w:rsidP="00986C7A">
      <w:pPr>
        <w:pStyle w:val="BodyText"/>
        <w:spacing w:line="259" w:lineRule="auto"/>
        <w:jc w:val="both"/>
      </w:pPr>
    </w:p>
    <w:p w14:paraId="0EFFB605" w14:textId="77777777" w:rsidR="00986C7A" w:rsidRDefault="00986C7A" w:rsidP="00986C7A">
      <w:pPr>
        <w:pStyle w:val="BodyText"/>
        <w:spacing w:line="259" w:lineRule="auto"/>
        <w:jc w:val="both"/>
      </w:pPr>
      <w:r>
        <w:t>Although interest in green technology adoption has increased considerably, empirical studies focusing on Malaysian manufacturing SMEs remain limited. Existing studies have primarily examined environmental awareness or sustainability practices in general, while relatively few have investigated the specific technological, organizational, and environmental determinants influencing green technology adoption and their subsequent impact on SME performance. This research gap highlights the need for further empirical investigation within the Malaysian context.</w:t>
      </w:r>
    </w:p>
    <w:p w14:paraId="02F6AA06" w14:textId="77777777" w:rsidR="00986C7A" w:rsidRDefault="00986C7A" w:rsidP="00986C7A">
      <w:pPr>
        <w:pStyle w:val="BodyText"/>
        <w:spacing w:line="259" w:lineRule="auto"/>
        <w:jc w:val="both"/>
      </w:pPr>
    </w:p>
    <w:p w14:paraId="0BB123FC" w14:textId="77777777" w:rsidR="008D0EF7" w:rsidRDefault="00986C7A" w:rsidP="00986C7A">
      <w:pPr>
        <w:pStyle w:val="BodyText"/>
        <w:spacing w:line="259" w:lineRule="auto"/>
        <w:ind w:left="159"/>
        <w:jc w:val="both"/>
      </w:pPr>
      <w:r>
        <w:t>Accordingly, this study aims to examine the determinants of green technology adoption among Malaysian manufacturing SMEs and evaluate its impact on SME performance. Guided by the Technology–Organization–Environment (TOE) framework, the study investigates how technological factors, organizational factors, and environmental factors influence green technology adoption decisions and contribute to organizational performance. The findings are expected to provide valuable insights for policymakers, SME owners, and industry practitioners in designing effective strategies to promote green technology adoption, enhance business competitiveness, and support Malaysia's long-term sustainability objectives.</w:t>
      </w:r>
    </w:p>
    <w:p w14:paraId="762C467F" w14:textId="4BE5513D" w:rsidR="00986C7A" w:rsidRDefault="00986C7A" w:rsidP="00986C7A">
      <w:pPr>
        <w:pStyle w:val="BodyText"/>
        <w:spacing w:line="259" w:lineRule="auto"/>
        <w:ind w:left="159"/>
        <w:jc w:val="both"/>
        <w:sectPr w:rsidR="00986C7A" w:rsidSect="00986C7A">
          <w:headerReference w:type="default" r:id="rId9"/>
          <w:footerReference w:type="default" r:id="rId10"/>
          <w:type w:val="continuous"/>
          <w:pgSz w:w="10780" w:h="14750"/>
          <w:pgMar w:top="1240" w:right="850" w:bottom="1620" w:left="566" w:header="939" w:footer="1430" w:gutter="0"/>
          <w:cols w:space="720"/>
        </w:sectPr>
      </w:pPr>
    </w:p>
    <w:p w14:paraId="06571AC2" w14:textId="77777777" w:rsidR="008D0EF7" w:rsidRDefault="008D0EF7">
      <w:pPr>
        <w:pStyle w:val="BodyText"/>
        <w:spacing w:before="3"/>
        <w:ind w:left="0"/>
      </w:pPr>
      <w:bookmarkStart w:id="2" w:name="1.6._Significance_of_the_research"/>
      <w:bookmarkEnd w:id="2"/>
    </w:p>
    <w:p w14:paraId="56AA3388" w14:textId="77777777" w:rsidR="008D0EF7" w:rsidRDefault="00000000">
      <w:pPr>
        <w:pStyle w:val="Heading1"/>
        <w:numPr>
          <w:ilvl w:val="0"/>
          <w:numId w:val="2"/>
        </w:numPr>
        <w:tabs>
          <w:tab w:val="left" w:pos="370"/>
        </w:tabs>
        <w:ind w:left="370" w:hanging="211"/>
      </w:pPr>
      <w:bookmarkStart w:id="3" w:name="2._Literature_review"/>
      <w:bookmarkEnd w:id="3"/>
      <w:r>
        <w:rPr>
          <w:spacing w:val="-2"/>
        </w:rPr>
        <w:t>Literature</w:t>
      </w:r>
      <w:r>
        <w:rPr>
          <w:spacing w:val="1"/>
        </w:rPr>
        <w:t xml:space="preserve"> </w:t>
      </w:r>
      <w:r>
        <w:rPr>
          <w:spacing w:val="-2"/>
        </w:rPr>
        <w:t>review</w:t>
      </w:r>
    </w:p>
    <w:p w14:paraId="5A87C4F1" w14:textId="77777777" w:rsidR="008D0EF7" w:rsidRDefault="008D0EF7">
      <w:pPr>
        <w:pStyle w:val="BodyText"/>
        <w:spacing w:before="15"/>
        <w:ind w:left="0"/>
        <w:rPr>
          <w:b/>
        </w:rPr>
      </w:pPr>
    </w:p>
    <w:p w14:paraId="259B37E8" w14:textId="62394AD7" w:rsidR="008D0EF7" w:rsidRDefault="00000000" w:rsidP="00986C7A">
      <w:pPr>
        <w:pStyle w:val="BodyText"/>
        <w:spacing w:line="259" w:lineRule="auto"/>
        <w:ind w:right="93"/>
        <w:jc w:val="both"/>
      </w:pPr>
      <w:r>
        <w:t xml:space="preserve">Green </w:t>
      </w:r>
      <w:r w:rsidR="006768DF">
        <w:t>technology</w:t>
      </w:r>
      <w:r>
        <w:t xml:space="preserve"> has received growing focus in academic and policy discussions because of its potential to innovate and overcome environmental problems while at the same time improving business sustainability. In recent years, studies of the adoption of green technologies have become directed towards understanding the factors involved in the decision of organizations to implement environmentally friendly technologies, especially in the case of SMEs. SMEs have a critical role in economic development; however, the pace</w:t>
      </w:r>
      <w:r>
        <w:rPr>
          <w:spacing w:val="-13"/>
        </w:rPr>
        <w:t xml:space="preserve"> </w:t>
      </w:r>
      <w:r>
        <w:t>of</w:t>
      </w:r>
      <w:r>
        <w:rPr>
          <w:spacing w:val="-12"/>
        </w:rPr>
        <w:t xml:space="preserve"> </w:t>
      </w:r>
      <w:r>
        <w:t>adoption</w:t>
      </w:r>
      <w:r>
        <w:rPr>
          <w:spacing w:val="-13"/>
        </w:rPr>
        <w:t xml:space="preserve"> </w:t>
      </w:r>
      <w:r>
        <w:t>of</w:t>
      </w:r>
      <w:r>
        <w:rPr>
          <w:spacing w:val="-12"/>
        </w:rPr>
        <w:t xml:space="preserve"> </w:t>
      </w:r>
      <w:r>
        <w:t>green</w:t>
      </w:r>
      <w:r>
        <w:rPr>
          <w:spacing w:val="-13"/>
        </w:rPr>
        <w:t xml:space="preserve"> </w:t>
      </w:r>
      <w:r>
        <w:t>technology</w:t>
      </w:r>
      <w:r>
        <w:rPr>
          <w:spacing w:val="-12"/>
        </w:rPr>
        <w:t xml:space="preserve"> </w:t>
      </w:r>
      <w:r>
        <w:t>among</w:t>
      </w:r>
      <w:r>
        <w:rPr>
          <w:spacing w:val="-13"/>
        </w:rPr>
        <w:t xml:space="preserve"> </w:t>
      </w:r>
      <w:r>
        <w:t>these</w:t>
      </w:r>
      <w:r>
        <w:rPr>
          <w:spacing w:val="-12"/>
        </w:rPr>
        <w:t xml:space="preserve"> </w:t>
      </w:r>
      <w:r>
        <w:t>is</w:t>
      </w:r>
      <w:r>
        <w:rPr>
          <w:spacing w:val="-13"/>
        </w:rPr>
        <w:t xml:space="preserve"> </w:t>
      </w:r>
      <w:r>
        <w:t>slower</w:t>
      </w:r>
      <w:r>
        <w:rPr>
          <w:spacing w:val="-12"/>
        </w:rPr>
        <w:t xml:space="preserve"> </w:t>
      </w:r>
      <w:r>
        <w:t>as</w:t>
      </w:r>
      <w:r>
        <w:rPr>
          <w:spacing w:val="-13"/>
        </w:rPr>
        <w:t xml:space="preserve"> </w:t>
      </w:r>
      <w:r>
        <w:t>compared</w:t>
      </w:r>
      <w:r>
        <w:rPr>
          <w:spacing w:val="-12"/>
        </w:rPr>
        <w:t xml:space="preserve"> </w:t>
      </w:r>
      <w:r>
        <w:t>to</w:t>
      </w:r>
      <w:r>
        <w:rPr>
          <w:spacing w:val="-13"/>
        </w:rPr>
        <w:t xml:space="preserve"> </w:t>
      </w:r>
      <w:r>
        <w:t>large</w:t>
      </w:r>
      <w:r>
        <w:rPr>
          <w:spacing w:val="-12"/>
        </w:rPr>
        <w:t xml:space="preserve"> </w:t>
      </w:r>
      <w:r>
        <w:t>firms.</w:t>
      </w:r>
      <w:r>
        <w:rPr>
          <w:spacing w:val="-13"/>
        </w:rPr>
        <w:t xml:space="preserve"> </w:t>
      </w:r>
      <w:r>
        <w:t>Prior</w:t>
      </w:r>
      <w:r>
        <w:rPr>
          <w:spacing w:val="-12"/>
        </w:rPr>
        <w:t xml:space="preserve"> </w:t>
      </w:r>
      <w:r>
        <w:t>studies</w:t>
      </w:r>
      <w:r>
        <w:rPr>
          <w:spacing w:val="-13"/>
        </w:rPr>
        <w:t xml:space="preserve"> </w:t>
      </w:r>
      <w:r>
        <w:t>have</w:t>
      </w:r>
      <w:r>
        <w:rPr>
          <w:spacing w:val="-12"/>
        </w:rPr>
        <w:t xml:space="preserve"> </w:t>
      </w:r>
      <w:r>
        <w:t xml:space="preserve">indicated that decisions on adoption are influenced by a mix of technological capabilities, organizational readiness, and environmental pressures. </w:t>
      </w:r>
      <w:proofErr w:type="gramStart"/>
      <w:r>
        <w:t>In order to</w:t>
      </w:r>
      <w:proofErr w:type="gramEnd"/>
      <w:r>
        <w:t xml:space="preserve"> provide a structured understanding of the factors, this study uses the Technology</w:t>
      </w:r>
      <w:r>
        <w:rPr>
          <w:spacing w:val="-13"/>
        </w:rPr>
        <w:t xml:space="preserve"> </w:t>
      </w:r>
      <w:r>
        <w:t>-Organization</w:t>
      </w:r>
      <w:r>
        <w:rPr>
          <w:spacing w:val="-1"/>
        </w:rPr>
        <w:t xml:space="preserve"> </w:t>
      </w:r>
      <w:r>
        <w:t>-</w:t>
      </w:r>
      <w:r>
        <w:rPr>
          <w:spacing w:val="-9"/>
        </w:rPr>
        <w:t xml:space="preserve"> </w:t>
      </w:r>
      <w:r>
        <w:t>Environment</w:t>
      </w:r>
      <w:r>
        <w:rPr>
          <w:spacing w:val="-8"/>
        </w:rPr>
        <w:t xml:space="preserve"> </w:t>
      </w:r>
      <w:r>
        <w:t>(TOE)</w:t>
      </w:r>
      <w:r>
        <w:rPr>
          <w:spacing w:val="-6"/>
        </w:rPr>
        <w:t xml:space="preserve"> </w:t>
      </w:r>
      <w:r>
        <w:t>framework</w:t>
      </w:r>
      <w:r>
        <w:rPr>
          <w:spacing w:val="-9"/>
        </w:rPr>
        <w:t xml:space="preserve"> </w:t>
      </w:r>
      <w:r>
        <w:t>as</w:t>
      </w:r>
      <w:r>
        <w:rPr>
          <w:spacing w:val="-7"/>
        </w:rPr>
        <w:t xml:space="preserve"> </w:t>
      </w:r>
      <w:r>
        <w:t>the</w:t>
      </w:r>
      <w:r>
        <w:rPr>
          <w:spacing w:val="-12"/>
        </w:rPr>
        <w:t xml:space="preserve"> </w:t>
      </w:r>
      <w:r>
        <w:t>theoretical</w:t>
      </w:r>
      <w:r>
        <w:rPr>
          <w:spacing w:val="-4"/>
        </w:rPr>
        <w:t xml:space="preserve"> </w:t>
      </w:r>
      <w:r>
        <w:t>guide</w:t>
      </w:r>
      <w:r>
        <w:rPr>
          <w:spacing w:val="-8"/>
        </w:rPr>
        <w:t xml:space="preserve"> </w:t>
      </w:r>
      <w:r>
        <w:t>to</w:t>
      </w:r>
      <w:r>
        <w:rPr>
          <w:spacing w:val="-9"/>
        </w:rPr>
        <w:t xml:space="preserve"> </w:t>
      </w:r>
      <w:r>
        <w:t>study</w:t>
      </w:r>
      <w:r>
        <w:rPr>
          <w:spacing w:val="-13"/>
        </w:rPr>
        <w:t xml:space="preserve"> </w:t>
      </w:r>
      <w:r>
        <w:t>the</w:t>
      </w:r>
      <w:r>
        <w:rPr>
          <w:spacing w:val="-8"/>
        </w:rPr>
        <w:t xml:space="preserve"> </w:t>
      </w:r>
      <w:r>
        <w:t>adoption</w:t>
      </w:r>
      <w:r>
        <w:rPr>
          <w:spacing w:val="-1"/>
        </w:rPr>
        <w:t xml:space="preserve"> </w:t>
      </w:r>
      <w:r>
        <w:t>of</w:t>
      </w:r>
      <w:r>
        <w:rPr>
          <w:spacing w:val="-9"/>
        </w:rPr>
        <w:t xml:space="preserve"> </w:t>
      </w:r>
      <w:r>
        <w:t>green technology in Malaysian SMEs.</w:t>
      </w:r>
    </w:p>
    <w:p w14:paraId="664F866A" w14:textId="77777777" w:rsidR="008D0EF7" w:rsidRDefault="008D0EF7">
      <w:pPr>
        <w:pStyle w:val="BodyText"/>
        <w:spacing w:before="25"/>
        <w:ind w:left="0"/>
      </w:pPr>
    </w:p>
    <w:p w14:paraId="371F9894" w14:textId="77777777" w:rsidR="006768DF" w:rsidRDefault="00000000" w:rsidP="00986C7A">
      <w:pPr>
        <w:pStyle w:val="BodyText"/>
        <w:spacing w:before="87" w:line="249" w:lineRule="auto"/>
        <w:ind w:left="159" w:right="337"/>
        <w:jc w:val="both"/>
      </w:pPr>
      <w:r>
        <w:t xml:space="preserve">Green technology adoption has incurred a growing attention in the current world as </w:t>
      </w:r>
      <w:proofErr w:type="gramStart"/>
      <w:r>
        <w:t>organization</w:t>
      </w:r>
      <w:proofErr w:type="gramEnd"/>
      <w:r>
        <w:t xml:space="preserve"> seek to balance economic performance to that of environmental sustainability. Green technology usually means environmentally</w:t>
      </w:r>
      <w:r>
        <w:rPr>
          <w:spacing w:val="-13"/>
        </w:rPr>
        <w:t xml:space="preserve"> </w:t>
      </w:r>
      <w:r>
        <w:t>friendly</w:t>
      </w:r>
      <w:r>
        <w:rPr>
          <w:spacing w:val="-12"/>
        </w:rPr>
        <w:t xml:space="preserve"> </w:t>
      </w:r>
      <w:r>
        <w:t>technologies,</w:t>
      </w:r>
      <w:r>
        <w:rPr>
          <w:spacing w:val="-10"/>
        </w:rPr>
        <w:t xml:space="preserve"> </w:t>
      </w:r>
      <w:r>
        <w:t>systems</w:t>
      </w:r>
      <w:r>
        <w:rPr>
          <w:spacing w:val="-7"/>
        </w:rPr>
        <w:t xml:space="preserve"> </w:t>
      </w:r>
      <w:r>
        <w:t>and</w:t>
      </w:r>
      <w:r>
        <w:rPr>
          <w:spacing w:val="-7"/>
        </w:rPr>
        <w:t xml:space="preserve"> </w:t>
      </w:r>
      <w:r>
        <w:t>or</w:t>
      </w:r>
      <w:r>
        <w:rPr>
          <w:spacing w:val="-7"/>
        </w:rPr>
        <w:t xml:space="preserve"> </w:t>
      </w:r>
      <w:r>
        <w:t>practices</w:t>
      </w:r>
      <w:r>
        <w:rPr>
          <w:spacing w:val="-8"/>
        </w:rPr>
        <w:t xml:space="preserve"> </w:t>
      </w:r>
      <w:r>
        <w:t>meant</w:t>
      </w:r>
      <w:r>
        <w:rPr>
          <w:spacing w:val="-9"/>
        </w:rPr>
        <w:t xml:space="preserve"> </w:t>
      </w:r>
      <w:r>
        <w:t>to</w:t>
      </w:r>
      <w:r>
        <w:rPr>
          <w:spacing w:val="-13"/>
        </w:rPr>
        <w:t xml:space="preserve"> </w:t>
      </w:r>
      <w:r>
        <w:t>reduce</w:t>
      </w:r>
      <w:r>
        <w:rPr>
          <w:spacing w:val="-12"/>
        </w:rPr>
        <w:t xml:space="preserve"> </w:t>
      </w:r>
      <w:r>
        <w:t>the</w:t>
      </w:r>
      <w:r>
        <w:rPr>
          <w:spacing w:val="-13"/>
        </w:rPr>
        <w:t xml:space="preserve"> </w:t>
      </w:r>
      <w:r>
        <w:t>problem</w:t>
      </w:r>
      <w:r>
        <w:rPr>
          <w:spacing w:val="-4"/>
        </w:rPr>
        <w:t xml:space="preserve"> </w:t>
      </w:r>
      <w:r>
        <w:t>of</w:t>
      </w:r>
      <w:r>
        <w:rPr>
          <w:spacing w:val="-10"/>
        </w:rPr>
        <w:t xml:space="preserve"> </w:t>
      </w:r>
      <w:r>
        <w:t>pollution,</w:t>
      </w:r>
      <w:r>
        <w:rPr>
          <w:spacing w:val="-8"/>
        </w:rPr>
        <w:t xml:space="preserve"> </w:t>
      </w:r>
      <w:r>
        <w:t>boost efficiency of energy use and promote the sustainable use of natural resources (Rodrigues and Franco, 2023; Umar et al, 2021). In the situation of small and medium-sized enterprises (SMEs), the adoption of green technologies often involves the use of renewable energy, the use of energy-efficient machinery, the implementation</w:t>
      </w:r>
      <w:r>
        <w:rPr>
          <w:spacing w:val="36"/>
        </w:rPr>
        <w:t xml:space="preserve"> </w:t>
      </w:r>
      <w:r>
        <w:t>of</w:t>
      </w:r>
      <w:r>
        <w:rPr>
          <w:spacing w:val="28"/>
        </w:rPr>
        <w:t xml:space="preserve"> </w:t>
      </w:r>
      <w:r>
        <w:t>waste</w:t>
      </w:r>
      <w:r>
        <w:rPr>
          <w:spacing w:val="30"/>
        </w:rPr>
        <w:t xml:space="preserve"> </w:t>
      </w:r>
      <w:r>
        <w:t>minimization</w:t>
      </w:r>
      <w:r>
        <w:rPr>
          <w:spacing w:val="33"/>
        </w:rPr>
        <w:t xml:space="preserve"> </w:t>
      </w:r>
      <w:r>
        <w:t>techniques,</w:t>
      </w:r>
      <w:r>
        <w:rPr>
          <w:spacing w:val="30"/>
        </w:rPr>
        <w:t xml:space="preserve"> </w:t>
      </w:r>
      <w:r>
        <w:t>the</w:t>
      </w:r>
      <w:r>
        <w:rPr>
          <w:spacing w:val="25"/>
        </w:rPr>
        <w:t xml:space="preserve"> </w:t>
      </w:r>
      <w:r>
        <w:t>use</w:t>
      </w:r>
      <w:r>
        <w:rPr>
          <w:spacing w:val="30"/>
        </w:rPr>
        <w:t xml:space="preserve"> </w:t>
      </w:r>
      <w:r>
        <w:t>of</w:t>
      </w:r>
      <w:r>
        <w:rPr>
          <w:spacing w:val="28"/>
        </w:rPr>
        <w:t xml:space="preserve"> </w:t>
      </w:r>
      <w:r>
        <w:t>recycling</w:t>
      </w:r>
      <w:r>
        <w:rPr>
          <w:spacing w:val="28"/>
        </w:rPr>
        <w:t xml:space="preserve"> </w:t>
      </w:r>
      <w:r>
        <w:t>systems</w:t>
      </w:r>
      <w:r>
        <w:rPr>
          <w:spacing w:val="31"/>
        </w:rPr>
        <w:t xml:space="preserve"> </w:t>
      </w:r>
      <w:r>
        <w:t>as</w:t>
      </w:r>
      <w:r>
        <w:rPr>
          <w:spacing w:val="31"/>
        </w:rPr>
        <w:t xml:space="preserve"> </w:t>
      </w:r>
      <w:r>
        <w:t>well</w:t>
      </w:r>
      <w:r>
        <w:rPr>
          <w:spacing w:val="30"/>
        </w:rPr>
        <w:t xml:space="preserve"> </w:t>
      </w:r>
      <w:r>
        <w:t>as</w:t>
      </w:r>
      <w:r>
        <w:rPr>
          <w:spacing w:val="26"/>
        </w:rPr>
        <w:t xml:space="preserve"> </w:t>
      </w:r>
      <w:r>
        <w:t>the</w:t>
      </w:r>
      <w:r>
        <w:rPr>
          <w:spacing w:val="25"/>
        </w:rPr>
        <w:t xml:space="preserve"> </w:t>
      </w:r>
      <w:r>
        <w:t>creation</w:t>
      </w:r>
      <w:r>
        <w:rPr>
          <w:spacing w:val="33"/>
        </w:rPr>
        <w:t xml:space="preserve"> </w:t>
      </w:r>
      <w:r>
        <w:t>o</w:t>
      </w:r>
      <w:r w:rsidR="006768DF">
        <w:t>f environmentally responsible production processes. These initiatives are especially pertinent for the SMEs, where</w:t>
      </w:r>
      <w:r w:rsidR="006768DF">
        <w:rPr>
          <w:spacing w:val="-2"/>
        </w:rPr>
        <w:t xml:space="preserve"> </w:t>
      </w:r>
      <w:r w:rsidR="006768DF">
        <w:t>the</w:t>
      </w:r>
      <w:r w:rsidR="006768DF">
        <w:rPr>
          <w:spacing w:val="-7"/>
        </w:rPr>
        <w:t xml:space="preserve"> </w:t>
      </w:r>
      <w:r w:rsidR="006768DF">
        <w:t>collective</w:t>
      </w:r>
      <w:r w:rsidR="006768DF">
        <w:rPr>
          <w:spacing w:val="-2"/>
        </w:rPr>
        <w:t xml:space="preserve"> </w:t>
      </w:r>
      <w:r w:rsidR="006768DF">
        <w:t>environmental</w:t>
      </w:r>
      <w:r w:rsidR="006768DF">
        <w:rPr>
          <w:spacing w:val="-2"/>
        </w:rPr>
        <w:t xml:space="preserve"> </w:t>
      </w:r>
      <w:r w:rsidR="006768DF">
        <w:t>footprint</w:t>
      </w:r>
      <w:r w:rsidR="006768DF">
        <w:rPr>
          <w:spacing w:val="-2"/>
        </w:rPr>
        <w:t xml:space="preserve"> </w:t>
      </w:r>
      <w:r w:rsidR="006768DF">
        <w:t>is</w:t>
      </w:r>
      <w:r w:rsidR="006768DF">
        <w:rPr>
          <w:spacing w:val="-10"/>
        </w:rPr>
        <w:t xml:space="preserve"> </w:t>
      </w:r>
      <w:r w:rsidR="006768DF">
        <w:t xml:space="preserve">high </w:t>
      </w:r>
      <w:proofErr w:type="gramStart"/>
      <w:r w:rsidR="006768DF">
        <w:t>in spite</w:t>
      </w:r>
      <w:r w:rsidR="006768DF">
        <w:rPr>
          <w:spacing w:val="-7"/>
        </w:rPr>
        <w:t xml:space="preserve"> </w:t>
      </w:r>
      <w:r w:rsidR="006768DF">
        <w:t>of</w:t>
      </w:r>
      <w:proofErr w:type="gramEnd"/>
      <w:r w:rsidR="006768DF">
        <w:rPr>
          <w:spacing w:val="-4"/>
        </w:rPr>
        <w:t xml:space="preserve"> </w:t>
      </w:r>
      <w:r w:rsidR="006768DF">
        <w:t>the</w:t>
      </w:r>
      <w:r w:rsidR="006768DF">
        <w:rPr>
          <w:spacing w:val="-7"/>
        </w:rPr>
        <w:t xml:space="preserve"> </w:t>
      </w:r>
      <w:r w:rsidR="006768DF">
        <w:t>relatively</w:t>
      </w:r>
      <w:r w:rsidR="006768DF">
        <w:rPr>
          <w:spacing w:val="-9"/>
        </w:rPr>
        <w:t xml:space="preserve"> </w:t>
      </w:r>
      <w:r w:rsidR="006768DF">
        <w:t>small</w:t>
      </w:r>
      <w:r w:rsidR="006768DF">
        <w:rPr>
          <w:spacing w:val="-2"/>
        </w:rPr>
        <w:t xml:space="preserve"> </w:t>
      </w:r>
      <w:r w:rsidR="006768DF">
        <w:t>individual</w:t>
      </w:r>
      <w:r w:rsidR="006768DF">
        <w:rPr>
          <w:spacing w:val="-7"/>
        </w:rPr>
        <w:t xml:space="preserve"> </w:t>
      </w:r>
      <w:r w:rsidR="006768DF">
        <w:t>nature</w:t>
      </w:r>
      <w:r w:rsidR="006768DF">
        <w:rPr>
          <w:spacing w:val="-7"/>
        </w:rPr>
        <w:t xml:space="preserve"> </w:t>
      </w:r>
      <w:r w:rsidR="006768DF">
        <w:t>(Lin et</w:t>
      </w:r>
      <w:r w:rsidR="006768DF">
        <w:rPr>
          <w:spacing w:val="-2"/>
        </w:rPr>
        <w:t xml:space="preserve"> </w:t>
      </w:r>
      <w:r w:rsidR="006768DF">
        <w:t xml:space="preserve">al., </w:t>
      </w:r>
      <w:r w:rsidR="006768DF">
        <w:rPr>
          <w:spacing w:val="-2"/>
        </w:rPr>
        <w:t>2020).</w:t>
      </w:r>
    </w:p>
    <w:p w14:paraId="522D369D" w14:textId="77777777" w:rsidR="006768DF" w:rsidRDefault="006768DF" w:rsidP="006768DF">
      <w:pPr>
        <w:pStyle w:val="BodyText"/>
        <w:spacing w:before="18"/>
        <w:ind w:left="0"/>
      </w:pPr>
    </w:p>
    <w:p w14:paraId="2B94FE80" w14:textId="74A3B8DF" w:rsidR="006768DF" w:rsidRDefault="006768DF" w:rsidP="00986C7A">
      <w:pPr>
        <w:pStyle w:val="BodyText"/>
        <w:spacing w:line="249" w:lineRule="auto"/>
        <w:ind w:left="159" w:right="326"/>
        <w:jc w:val="both"/>
      </w:pPr>
      <w:r>
        <w:t>SMEs are</w:t>
      </w:r>
      <w:r>
        <w:rPr>
          <w:spacing w:val="-1"/>
        </w:rPr>
        <w:t xml:space="preserve"> </w:t>
      </w:r>
      <w:r>
        <w:t>of</w:t>
      </w:r>
      <w:r>
        <w:rPr>
          <w:spacing w:val="-3"/>
        </w:rPr>
        <w:t xml:space="preserve"> </w:t>
      </w:r>
      <w:r>
        <w:t>great importance</w:t>
      </w:r>
      <w:r>
        <w:rPr>
          <w:spacing w:val="-1"/>
        </w:rPr>
        <w:t xml:space="preserve"> </w:t>
      </w:r>
      <w:r>
        <w:t>to</w:t>
      </w:r>
      <w:r>
        <w:rPr>
          <w:spacing w:val="-3"/>
        </w:rPr>
        <w:t xml:space="preserve"> </w:t>
      </w:r>
      <w:r>
        <w:t>the</w:t>
      </w:r>
      <w:r>
        <w:rPr>
          <w:spacing w:val="-6"/>
        </w:rPr>
        <w:t xml:space="preserve"> </w:t>
      </w:r>
      <w:r>
        <w:t>national economic</w:t>
      </w:r>
      <w:r>
        <w:rPr>
          <w:spacing w:val="-1"/>
        </w:rPr>
        <w:t xml:space="preserve"> </w:t>
      </w:r>
      <w:r>
        <w:t>development</w:t>
      </w:r>
      <w:r>
        <w:rPr>
          <w:spacing w:val="-1"/>
        </w:rPr>
        <w:t xml:space="preserve"> </w:t>
      </w:r>
      <w:r>
        <w:t>through the</w:t>
      </w:r>
      <w:r>
        <w:rPr>
          <w:spacing w:val="-6"/>
        </w:rPr>
        <w:t xml:space="preserve"> </w:t>
      </w:r>
      <w:r>
        <w:t>number of</w:t>
      </w:r>
      <w:r>
        <w:rPr>
          <w:spacing w:val="-3"/>
        </w:rPr>
        <w:t xml:space="preserve"> </w:t>
      </w:r>
      <w:r>
        <w:t>jobs generated, innovation,</w:t>
      </w:r>
      <w:r>
        <w:rPr>
          <w:spacing w:val="-2"/>
        </w:rPr>
        <w:t xml:space="preserve"> </w:t>
      </w:r>
      <w:r>
        <w:t>and</w:t>
      </w:r>
      <w:r>
        <w:rPr>
          <w:spacing w:val="-5"/>
        </w:rPr>
        <w:t xml:space="preserve"> </w:t>
      </w:r>
      <w:r>
        <w:t>through their contribution to</w:t>
      </w:r>
      <w:r>
        <w:rPr>
          <w:spacing w:val="-5"/>
        </w:rPr>
        <w:t xml:space="preserve"> </w:t>
      </w:r>
      <w:r>
        <w:t>the</w:t>
      </w:r>
      <w:r>
        <w:rPr>
          <w:spacing w:val="-8"/>
        </w:rPr>
        <w:t xml:space="preserve"> </w:t>
      </w:r>
      <w:r>
        <w:t>gross</w:t>
      </w:r>
      <w:r>
        <w:rPr>
          <w:spacing w:val="-2"/>
        </w:rPr>
        <w:t xml:space="preserve"> </w:t>
      </w:r>
      <w:r>
        <w:t>domestic</w:t>
      </w:r>
      <w:r>
        <w:rPr>
          <w:spacing w:val="-3"/>
        </w:rPr>
        <w:t xml:space="preserve"> </w:t>
      </w:r>
      <w:r>
        <w:t>product.</w:t>
      </w:r>
      <w:r>
        <w:rPr>
          <w:spacing w:val="-2"/>
        </w:rPr>
        <w:t xml:space="preserve"> </w:t>
      </w:r>
      <w:r>
        <w:t>In Malaysia, SMEs</w:t>
      </w:r>
      <w:r>
        <w:rPr>
          <w:spacing w:val="-6"/>
        </w:rPr>
        <w:t xml:space="preserve"> </w:t>
      </w:r>
      <w:r>
        <w:t>have</w:t>
      </w:r>
      <w:r>
        <w:rPr>
          <w:spacing w:val="-3"/>
        </w:rPr>
        <w:t xml:space="preserve"> </w:t>
      </w:r>
      <w:r>
        <w:t>the</w:t>
      </w:r>
      <w:r>
        <w:rPr>
          <w:spacing w:val="-3"/>
        </w:rPr>
        <w:t xml:space="preserve"> </w:t>
      </w:r>
      <w:r>
        <w:t>majority share</w:t>
      </w:r>
      <w:r>
        <w:rPr>
          <w:spacing w:val="-7"/>
        </w:rPr>
        <w:t xml:space="preserve"> </w:t>
      </w:r>
      <w:r>
        <w:t>of</w:t>
      </w:r>
      <w:r>
        <w:rPr>
          <w:spacing w:val="-4"/>
        </w:rPr>
        <w:t xml:space="preserve"> </w:t>
      </w:r>
      <w:r>
        <w:t>business</w:t>
      </w:r>
      <w:r>
        <w:rPr>
          <w:spacing w:val="-1"/>
        </w:rPr>
        <w:t xml:space="preserve"> </w:t>
      </w:r>
      <w:r>
        <w:t>establishments</w:t>
      </w:r>
      <w:r>
        <w:rPr>
          <w:spacing w:val="-5"/>
        </w:rPr>
        <w:t xml:space="preserve"> </w:t>
      </w:r>
      <w:r>
        <w:t>and</w:t>
      </w:r>
      <w:r>
        <w:rPr>
          <w:spacing w:val="-4"/>
        </w:rPr>
        <w:t xml:space="preserve"> </w:t>
      </w:r>
      <w:r>
        <w:t>are</w:t>
      </w:r>
      <w:r>
        <w:rPr>
          <w:spacing w:val="-2"/>
        </w:rPr>
        <w:t xml:space="preserve"> </w:t>
      </w:r>
      <w:r>
        <w:t>engaged</w:t>
      </w:r>
      <w:r>
        <w:rPr>
          <w:spacing w:val="-4"/>
        </w:rPr>
        <w:t xml:space="preserve"> </w:t>
      </w:r>
      <w:r>
        <w:t>in various</w:t>
      </w:r>
      <w:r>
        <w:rPr>
          <w:spacing w:val="-5"/>
        </w:rPr>
        <w:t xml:space="preserve"> </w:t>
      </w:r>
      <w:r>
        <w:t>economic</w:t>
      </w:r>
      <w:r>
        <w:rPr>
          <w:spacing w:val="-2"/>
        </w:rPr>
        <w:t xml:space="preserve"> </w:t>
      </w:r>
      <w:r>
        <w:t xml:space="preserve">sectors, </w:t>
      </w:r>
      <w:proofErr w:type="gramStart"/>
      <w:r>
        <w:t>especially</w:t>
      </w:r>
      <w:proofErr w:type="gramEnd"/>
      <w:r>
        <w:rPr>
          <w:spacing w:val="-9"/>
        </w:rPr>
        <w:t xml:space="preserve"> </w:t>
      </w:r>
      <w:r>
        <w:t>manufacturing. However, previous research shows that SMEs have more difficulty in adopting green technology than large organizations due to low</w:t>
      </w:r>
      <w:r>
        <w:rPr>
          <w:spacing w:val="-2"/>
        </w:rPr>
        <w:t xml:space="preserve"> </w:t>
      </w:r>
      <w:r>
        <w:t>resources and restrictions</w:t>
      </w:r>
      <w:r>
        <w:rPr>
          <w:spacing w:val="-2"/>
        </w:rPr>
        <w:t xml:space="preserve"> </w:t>
      </w:r>
      <w:r>
        <w:t>in operation (</w:t>
      </w:r>
      <w:r w:rsidR="00906055" w:rsidRPr="00906055">
        <w:t>Bakar et al.</w:t>
      </w:r>
      <w:r w:rsidR="00906055">
        <w:t>,</w:t>
      </w:r>
      <w:r w:rsidR="00906055" w:rsidRPr="00906055">
        <w:t xml:space="preserve"> 2020</w:t>
      </w:r>
      <w:r>
        <w:t>). As a result, the adoption of green technologies among SMEs is uneven, especially in developing economies where structural and financial limitations are more significant (</w:t>
      </w:r>
      <w:proofErr w:type="spellStart"/>
      <w:r>
        <w:t>Aboelmaged</w:t>
      </w:r>
      <w:proofErr w:type="spellEnd"/>
      <w:r>
        <w:t>, 2018).</w:t>
      </w:r>
    </w:p>
    <w:p w14:paraId="0DF449B2" w14:textId="77777777" w:rsidR="006768DF" w:rsidRDefault="006768DF" w:rsidP="006768DF">
      <w:pPr>
        <w:pStyle w:val="BodyText"/>
        <w:spacing w:before="11"/>
        <w:ind w:left="0"/>
      </w:pPr>
    </w:p>
    <w:p w14:paraId="1957A4F7" w14:textId="56AA61B2" w:rsidR="006768DF" w:rsidRDefault="00792C3D" w:rsidP="00986C7A">
      <w:pPr>
        <w:pStyle w:val="BodyText"/>
        <w:spacing w:before="16"/>
        <w:ind w:left="142"/>
        <w:jc w:val="both"/>
      </w:pPr>
      <w:r w:rsidRPr="00792C3D">
        <w:t xml:space="preserve">Existing literature highlights several benefits associated with the adoption of green technologies among SMEs. These benefits include improved operational efficiency, reduced energy consumption, lower operating costs, and enhanced environmental performance (Lin et al., 2020; Zailani et al., 2015). Furthermore, green technology adoption can strengthen corporate image and brand reputation, enabling SMEs to attract environmentally conscious customers and improve their competitive advantage (Alam &amp; Islam, 2021; </w:t>
      </w:r>
      <w:proofErr w:type="spellStart"/>
      <w:r w:rsidRPr="00792C3D">
        <w:t>Górska-Warsewicz</w:t>
      </w:r>
      <w:proofErr w:type="spellEnd"/>
      <w:r w:rsidRPr="00792C3D">
        <w:t xml:space="preserve"> et al., 2021). Compliance with environmental regulations is another significant benefit, as green practices help SMEs avoid penalties, reduce operational disruptions, and meet stakeholder expectations regarding environmental sustainability (Govindan et al., 2015; Zailani et al., 2015).</w:t>
      </w:r>
    </w:p>
    <w:p w14:paraId="0A69E18C" w14:textId="77777777" w:rsidR="00792C3D" w:rsidRDefault="00792C3D" w:rsidP="006768DF">
      <w:pPr>
        <w:pStyle w:val="BodyText"/>
        <w:spacing w:before="16"/>
        <w:ind w:left="0"/>
      </w:pPr>
    </w:p>
    <w:p w14:paraId="53BBFBB8" w14:textId="01EABB6F" w:rsidR="006768DF" w:rsidRDefault="00792C3D" w:rsidP="00792C3D">
      <w:pPr>
        <w:pStyle w:val="BodyText"/>
        <w:spacing w:before="18"/>
        <w:ind w:left="142"/>
        <w:jc w:val="both"/>
      </w:pPr>
      <w:r w:rsidRPr="00792C3D">
        <w:t>Despite these potential benefits, SMEs often remain reluctant to adopt green technologies due to substantial financial and operational challenges. High initial investment costs are frequently identified as a major barrier, particularly for SMEs that operate under limited financial resources and tight budget constraints (</w:t>
      </w:r>
      <w:proofErr w:type="spellStart"/>
      <w:r w:rsidRPr="00792C3D">
        <w:t>Aboelmaged</w:t>
      </w:r>
      <w:proofErr w:type="spellEnd"/>
      <w:r w:rsidRPr="00792C3D">
        <w:t xml:space="preserve">, 2018; Zhang et al., 2019). Uncertainty regarding the long-term return on investment further discourages adoption, as the economic and environmental benefits of green technologies may not be immediately realized (Chen et al., 2022). These financial challenges are exacerbated by difficulties in accessing external financing, limited availability of green funding schemes, and complex procedures associated with obtaining government incentives </w:t>
      </w:r>
      <w:r w:rsidRPr="00792C3D">
        <w:lastRenderedPageBreak/>
        <w:t xml:space="preserve">and support programs (Singh et al., 2020; </w:t>
      </w:r>
      <w:proofErr w:type="spellStart"/>
      <w:r w:rsidRPr="00792C3D">
        <w:t>Aboelmaged</w:t>
      </w:r>
      <w:proofErr w:type="spellEnd"/>
      <w:r w:rsidRPr="00792C3D">
        <w:t xml:space="preserve"> &amp; Hashem, 2019).</w:t>
      </w:r>
    </w:p>
    <w:p w14:paraId="224318D9" w14:textId="77777777" w:rsidR="00792C3D" w:rsidRDefault="00792C3D" w:rsidP="006768DF">
      <w:pPr>
        <w:pStyle w:val="BodyText"/>
        <w:spacing w:before="18"/>
        <w:ind w:left="0"/>
      </w:pPr>
    </w:p>
    <w:p w14:paraId="43CE255E" w14:textId="32C72A81" w:rsidR="006768DF" w:rsidRDefault="00792C3D" w:rsidP="00986C7A">
      <w:pPr>
        <w:pStyle w:val="BodyText"/>
        <w:spacing w:before="14"/>
        <w:ind w:left="142"/>
        <w:jc w:val="both"/>
      </w:pPr>
      <w:r w:rsidRPr="00792C3D">
        <w:t>Technological factors play a crucial role in determining green technology adoption among SMEs. According to the Diffusion of Innovation theory, organizations are more likely to adopt an innovation when it is perceived as compatible with existing systems, offers clear relative advantages, and is relatively easy to implement (Rogers, 2003). Similarly, within the TOE framework, technological compatibility and perceived benefits have been found to positively influence the adoption of sustainable technologies among SMEs (Baker, 2012; Oliveira &amp; Martins, 2011). Conversely, technological complexity and the need for significant modifications to existing business processes may discourage adoption, particularly among SMEs with limited technical expertise and resources (Lin &amp; Ho, 2011). Furthermore, insufficient awareness and inadequate technical knowledge can hinder SMEs' ability to evaluate, select, and effectively implement appropriate green technology solutions (</w:t>
      </w:r>
      <w:proofErr w:type="spellStart"/>
      <w:r w:rsidRPr="00792C3D">
        <w:t>Aboelmaged</w:t>
      </w:r>
      <w:proofErr w:type="spellEnd"/>
      <w:r w:rsidRPr="00792C3D">
        <w:t>, 2018).</w:t>
      </w:r>
    </w:p>
    <w:p w14:paraId="79A44B5B" w14:textId="77777777" w:rsidR="00792C3D" w:rsidRDefault="00792C3D" w:rsidP="00986C7A">
      <w:pPr>
        <w:pStyle w:val="BodyText"/>
        <w:spacing w:before="14"/>
        <w:ind w:left="142"/>
        <w:jc w:val="both"/>
      </w:pPr>
    </w:p>
    <w:p w14:paraId="7DEF0C94" w14:textId="7200D910" w:rsidR="006768DF" w:rsidRDefault="00792C3D" w:rsidP="00986C7A">
      <w:pPr>
        <w:pStyle w:val="BodyText"/>
        <w:spacing w:before="18"/>
        <w:ind w:left="142"/>
        <w:jc w:val="both"/>
      </w:pPr>
      <w:r w:rsidRPr="00792C3D">
        <w:t>Organizational factors are widely recognized as key determinants of green technology adoption. The TOE framework highlights the importance of top management support, as leadership commitment influences strategic priorities, resource allocation, and the development of a sustainability-oriented organizational culture (</w:t>
      </w:r>
      <w:proofErr w:type="spellStart"/>
      <w:r w:rsidRPr="00792C3D">
        <w:t>Tornatzky</w:t>
      </w:r>
      <w:proofErr w:type="spellEnd"/>
      <w:r w:rsidRPr="00792C3D">
        <w:t xml:space="preserve"> &amp; Fleischer, 1990). Studies have shown that SMEs with strong managerial commitment toward environmental sustainability are more likely to invest in and successfully implement green technologies (</w:t>
      </w:r>
      <w:proofErr w:type="spellStart"/>
      <w:r w:rsidRPr="00792C3D">
        <w:t>Aboelmaged</w:t>
      </w:r>
      <w:proofErr w:type="spellEnd"/>
      <w:r w:rsidRPr="00792C3D">
        <w:t xml:space="preserve"> &amp; Hashem, 2019). In addition, organizational readiness, including financial capability, employee competence, and internal coordination, significantly affects adoption decisions because adequate resources and organizational support are essential for successful implementation (Gangwar et al., 2015; </w:t>
      </w:r>
      <w:proofErr w:type="spellStart"/>
      <w:r w:rsidRPr="00792C3D">
        <w:t>Katebi</w:t>
      </w:r>
      <w:proofErr w:type="spellEnd"/>
      <w:r w:rsidRPr="00792C3D">
        <w:t xml:space="preserve"> et al., 2022).</w:t>
      </w:r>
    </w:p>
    <w:p w14:paraId="42585DD2" w14:textId="77777777" w:rsidR="00792C3D" w:rsidRDefault="00792C3D" w:rsidP="006768DF">
      <w:pPr>
        <w:pStyle w:val="BodyText"/>
        <w:spacing w:before="18"/>
        <w:ind w:left="0"/>
      </w:pPr>
    </w:p>
    <w:p w14:paraId="5C281BF4" w14:textId="3F4833C3" w:rsidR="006768DF" w:rsidRDefault="00792C3D" w:rsidP="00986C7A">
      <w:pPr>
        <w:pStyle w:val="BodyText"/>
        <w:spacing w:before="1" w:line="259" w:lineRule="auto"/>
        <w:ind w:right="94"/>
        <w:jc w:val="both"/>
      </w:pPr>
      <w:r w:rsidRPr="00792C3D">
        <w:t xml:space="preserve">Environmental factors also play a significant role in shaping green technology adoption among SMEs. Government regulations, environmental policies, and sustainability initiatives create external pressures that encourage firms to adopt environmentally responsible practices (Manda &amp; </w:t>
      </w:r>
      <w:proofErr w:type="spellStart"/>
      <w:r w:rsidRPr="00792C3D">
        <w:t>Dhaou</w:t>
      </w:r>
      <w:proofErr w:type="spellEnd"/>
      <w:r w:rsidRPr="00792C3D">
        <w:t>, 2019). Furthermore, increasing customer demand for sustainable products and competitive pressure from environmentally proactive firms can motivate SMEs to embrace green technologies to maintain market competitiveness (Grandon &amp; Pearson, 2004; Zhu et al., 2013). However, inconsistent regulatory frameworks, limited government incentives, and weak institutional support may reduce the effectiveness of these external pressures, particularly for resource-constrained SMEs (</w:t>
      </w:r>
      <w:proofErr w:type="spellStart"/>
      <w:r w:rsidRPr="00792C3D">
        <w:t>Aboelmaged</w:t>
      </w:r>
      <w:proofErr w:type="spellEnd"/>
      <w:r w:rsidRPr="00792C3D">
        <w:t xml:space="preserve"> &amp; Hashem, 2019).</w:t>
      </w:r>
    </w:p>
    <w:p w14:paraId="43AEABA8" w14:textId="77777777" w:rsidR="00792C3D" w:rsidRDefault="00792C3D" w:rsidP="006768DF">
      <w:pPr>
        <w:pStyle w:val="BodyText"/>
        <w:spacing w:before="1" w:line="259" w:lineRule="auto"/>
        <w:ind w:right="94" w:firstLine="253"/>
        <w:jc w:val="both"/>
      </w:pPr>
    </w:p>
    <w:p w14:paraId="02DED481" w14:textId="77777777" w:rsidR="00792C3D" w:rsidRDefault="00792C3D" w:rsidP="006768DF">
      <w:pPr>
        <w:pStyle w:val="BodyText"/>
        <w:spacing w:before="1" w:line="259" w:lineRule="auto"/>
        <w:ind w:right="94"/>
        <w:jc w:val="both"/>
      </w:pPr>
      <w:r w:rsidRPr="00792C3D">
        <w:t>In developing economies such as Malaysia, the interaction between technological, organizational, and environmental factors presents unique challenges for SMEs. Limited access to advanced technologies, infrastructure constraints, financial limitations, and uncertainty regarding long-term policy support often impede green technology adoption (Bakar et al., 2020; Lu et al., 2022). Consequently, despite growing environmental awareness and increasing emphasis on sustainable development, the adoption of green technologies among Malaysian SMEs remains relatively low. These challenges highlight the need for an integrated analytical framework to better understand the determinants of green technology adoption and to identify effective strategies for promoting sustainable business practices among SMEs.</w:t>
      </w:r>
    </w:p>
    <w:p w14:paraId="23A21719" w14:textId="77777777" w:rsidR="00792C3D" w:rsidRDefault="00792C3D" w:rsidP="006768DF">
      <w:pPr>
        <w:pStyle w:val="BodyText"/>
        <w:spacing w:before="1" w:line="259" w:lineRule="auto"/>
        <w:ind w:right="94"/>
        <w:jc w:val="both"/>
      </w:pPr>
    </w:p>
    <w:p w14:paraId="3241FA2D" w14:textId="398AF9E8" w:rsidR="006768DF" w:rsidRPr="006768DF" w:rsidRDefault="006768DF" w:rsidP="006768DF">
      <w:pPr>
        <w:pStyle w:val="BodyText"/>
        <w:spacing w:before="1" w:line="259" w:lineRule="auto"/>
        <w:ind w:right="94"/>
        <w:jc w:val="both"/>
        <w:rPr>
          <w:i/>
          <w:iCs/>
        </w:rPr>
      </w:pPr>
      <w:r w:rsidRPr="006768DF">
        <w:rPr>
          <w:i/>
          <w:iCs/>
        </w:rPr>
        <w:t>2.1</w:t>
      </w:r>
      <w:r w:rsidRPr="006768DF">
        <w:rPr>
          <w:i/>
          <w:iCs/>
        </w:rPr>
        <w:tab/>
        <w:t>Technology–Organization–Environment (TOE) Framework</w:t>
      </w:r>
    </w:p>
    <w:p w14:paraId="41B973EF" w14:textId="77777777" w:rsidR="006768DF" w:rsidRDefault="006768DF" w:rsidP="006768DF">
      <w:pPr>
        <w:pStyle w:val="BodyText"/>
        <w:spacing w:before="1" w:line="259" w:lineRule="auto"/>
        <w:ind w:right="94"/>
        <w:jc w:val="both"/>
      </w:pPr>
    </w:p>
    <w:p w14:paraId="28275FD9" w14:textId="58F60AC2" w:rsidR="006768DF" w:rsidRDefault="006768DF" w:rsidP="00986C7A">
      <w:pPr>
        <w:pStyle w:val="BodyText"/>
        <w:spacing w:before="1" w:line="259" w:lineRule="auto"/>
        <w:ind w:right="94"/>
        <w:jc w:val="both"/>
      </w:pPr>
      <w:r>
        <w:t xml:space="preserve">Technology-Organization-Environment (TOE) framework proposed by Tornatzky and Fleischer (1990) is a commonly used theoretical model for analyzing the organizational adoption of technological innovations. The framework alludes to the fact that the decisions regarding adoption are influenced by three different dimensions of the </w:t>
      </w:r>
      <w:proofErr w:type="gramStart"/>
      <w:r>
        <w:t>context</w:t>
      </w:r>
      <w:proofErr w:type="gramEnd"/>
      <w:r>
        <w:t xml:space="preserve"> namely the technological factors, the organizational factors and the environmental factors. As opposed to models that only address individual perceptions, the TOE framework emphasizes organizational- level decision-making making representing the framework most suitable for studying technology adoption among firms. Previous research has successfully applied the TOE framework to study different forms of innovation adoption such as information systems, digital technologies and technologies that focus on </w:t>
      </w:r>
      <w:r>
        <w:lastRenderedPageBreak/>
        <w:t>sustainability (Baker, 201</w:t>
      </w:r>
      <w:r w:rsidR="0023002D">
        <w:t>1</w:t>
      </w:r>
      <w:r>
        <w:t xml:space="preserve">; </w:t>
      </w:r>
      <w:proofErr w:type="spellStart"/>
      <w:r>
        <w:t>Aboelmaged</w:t>
      </w:r>
      <w:proofErr w:type="spellEnd"/>
      <w:r>
        <w:t>, 2018).</w:t>
      </w:r>
    </w:p>
    <w:p w14:paraId="0994D6F6" w14:textId="77777777" w:rsidR="006768DF" w:rsidRDefault="006768DF" w:rsidP="006768DF">
      <w:pPr>
        <w:pStyle w:val="BodyText"/>
        <w:spacing w:before="1" w:line="259" w:lineRule="auto"/>
        <w:ind w:right="94" w:firstLine="253"/>
        <w:jc w:val="both"/>
      </w:pPr>
    </w:p>
    <w:p w14:paraId="2E0747A7" w14:textId="77777777" w:rsidR="006768DF" w:rsidRDefault="006768DF" w:rsidP="00986C7A">
      <w:pPr>
        <w:pStyle w:val="BodyText"/>
        <w:spacing w:before="1" w:line="259" w:lineRule="auto"/>
        <w:ind w:right="94"/>
        <w:jc w:val="both"/>
      </w:pPr>
      <w:r>
        <w:t xml:space="preserve">Within the TOE framework, the technological context refers to characteristics of the technology which may influence decisions about adoption, including perceived benefits, compatibility, and complexity. Technologies therefore that can integrate well with existing systems, with real benefits, can be more likely to be successfully adopted by organizations (Rogers, 2003; Lin et al., 2011). The organizational context is concerned </w:t>
      </w:r>
      <w:proofErr w:type="gramStart"/>
      <w:r>
        <w:t>to</w:t>
      </w:r>
      <w:proofErr w:type="gramEnd"/>
      <w:r>
        <w:t xml:space="preserve"> internal organizational characteristics such as support from top management, availability of financial resources, organizational readiness, and employee capability. Prior studies emphasize the importance of strong managerial commitment and sufficient financial capacity which has a positive effect on the ability to implement new technologies especially among resource constrained SMEs (Kant &amp; Johannsen, 2022; </w:t>
      </w:r>
      <w:proofErr w:type="spellStart"/>
      <w:r>
        <w:t>Katebi</w:t>
      </w:r>
      <w:proofErr w:type="spellEnd"/>
      <w:r>
        <w:t xml:space="preserve"> et al., 2022).</w:t>
      </w:r>
    </w:p>
    <w:p w14:paraId="6854928E" w14:textId="77777777" w:rsidR="006768DF" w:rsidRDefault="006768DF" w:rsidP="006768DF">
      <w:pPr>
        <w:pStyle w:val="BodyText"/>
        <w:spacing w:before="1" w:line="259" w:lineRule="auto"/>
        <w:ind w:right="94" w:firstLine="253"/>
        <w:jc w:val="both"/>
      </w:pPr>
    </w:p>
    <w:p w14:paraId="0F8736F8" w14:textId="77777777" w:rsidR="006768DF" w:rsidRDefault="006768DF" w:rsidP="00986C7A">
      <w:pPr>
        <w:pStyle w:val="BodyText"/>
        <w:spacing w:before="1" w:line="259" w:lineRule="auto"/>
        <w:ind w:right="94"/>
        <w:jc w:val="both"/>
      </w:pPr>
      <w:r>
        <w:t xml:space="preserve">The environmental context refers to the external factors that put pressure on organizations to adopt new technologies such as government regulations, industry competition, customer demand, and support from external stakeholders. Environmental regulations and sustainability policies are often major driving forces for the uptake of green technology as they make the firms comply with the environmental standards set (Manda &amp; </w:t>
      </w:r>
      <w:proofErr w:type="spellStart"/>
      <w:r>
        <w:t>Dhaou</w:t>
      </w:r>
      <w:proofErr w:type="spellEnd"/>
      <w:r>
        <w:t xml:space="preserve"> 2019). In addition, competitive pressure and rising market demand for environmentally responsible products are encouraging firms to incorporate green technologies to keep them competitive (Grandon and Pearson 2004; Wong et al. 2020). By bringing these three dimensions together, TOE framework offers a comprehensive and system-wide approach to look for green technology adoption among SMEs, rendering it an appropriate foundation for this study.</w:t>
      </w:r>
    </w:p>
    <w:p w14:paraId="5154725A" w14:textId="77777777" w:rsidR="006768DF" w:rsidRDefault="006768DF" w:rsidP="006768DF">
      <w:pPr>
        <w:pStyle w:val="BodyText"/>
        <w:spacing w:before="1" w:line="259" w:lineRule="auto"/>
        <w:ind w:right="94" w:firstLine="253"/>
        <w:jc w:val="both"/>
      </w:pPr>
      <w:r>
        <w:t xml:space="preserve"> </w:t>
      </w:r>
    </w:p>
    <w:p w14:paraId="2FB3D19F" w14:textId="080A0035" w:rsidR="006768DF" w:rsidRDefault="006768DF" w:rsidP="003E326C">
      <w:pPr>
        <w:pStyle w:val="BodyText"/>
        <w:spacing w:before="1" w:line="259" w:lineRule="auto"/>
        <w:ind w:left="0" w:right="94" w:firstLine="142"/>
        <w:jc w:val="both"/>
      </w:pPr>
      <w:r>
        <w:t>2.2</w:t>
      </w:r>
      <w:r w:rsidR="003E326C">
        <w:t xml:space="preserve"> </w:t>
      </w:r>
      <w:r>
        <w:t>Conceptual Framework</w:t>
      </w:r>
    </w:p>
    <w:p w14:paraId="207D7BF5" w14:textId="77777777" w:rsidR="006768DF" w:rsidRDefault="006768DF" w:rsidP="006768DF">
      <w:pPr>
        <w:pStyle w:val="BodyText"/>
        <w:spacing w:before="1" w:line="259" w:lineRule="auto"/>
        <w:ind w:right="94" w:firstLine="253"/>
        <w:jc w:val="both"/>
      </w:pPr>
    </w:p>
    <w:p w14:paraId="56C277D6" w14:textId="2A1346C2" w:rsidR="006768DF" w:rsidRDefault="006768DF" w:rsidP="00986C7A">
      <w:pPr>
        <w:pStyle w:val="BodyText"/>
        <w:spacing w:before="1" w:line="259" w:lineRule="auto"/>
        <w:ind w:right="94"/>
        <w:jc w:val="both"/>
      </w:pPr>
      <w:r>
        <w:t>Based on the Technology–Organization–Environment (TOE) framework and the literature reviewed, this study proposes a conceptual framework to examine green technology adoption among small and medium-sized enterprises (SMEs) in Malaysia. The framework suggests that technological, organizational, and environmental factors directly influence green technology adoption, which in turn affects SME performance. Technological factors relate to the characteristics of green technology, organizational factors reflect internal firm capabilities and managerial support, while environmental factors represent external pressures such as government regulations and market demand (</w:t>
      </w:r>
      <w:proofErr w:type="spellStart"/>
      <w:r>
        <w:t>Tornatzky</w:t>
      </w:r>
      <w:proofErr w:type="spellEnd"/>
      <w:r>
        <w:t xml:space="preserve"> &amp; Fleischer, 1990; Baker, 201</w:t>
      </w:r>
      <w:r w:rsidR="0023002D">
        <w:t>1</w:t>
      </w:r>
      <w:r>
        <w:t>). Green technology adoption is expected to contribute positively to SME performance by improving operational efficiency, reducing costs, and enhancing environmental sustainability.</w:t>
      </w:r>
    </w:p>
    <w:p w14:paraId="23667701" w14:textId="34AB9FE2" w:rsidR="006768DF" w:rsidRDefault="006768DF" w:rsidP="006768DF">
      <w:pPr>
        <w:pStyle w:val="BodyText"/>
        <w:spacing w:line="259" w:lineRule="auto"/>
        <w:ind w:left="0"/>
        <w:jc w:val="both"/>
      </w:pPr>
      <w:r>
        <w:t xml:space="preserve"> </w:t>
      </w:r>
    </w:p>
    <w:p w14:paraId="1F61AC63" w14:textId="05780885" w:rsidR="003E326C" w:rsidRDefault="005E6C1A" w:rsidP="003E326C">
      <w:pPr>
        <w:pStyle w:val="BodyText"/>
        <w:spacing w:before="100"/>
        <w:ind w:left="0"/>
      </w:pPr>
      <w:r>
        <w:rPr>
          <w:noProof/>
        </w:rPr>
        <mc:AlternateContent>
          <mc:Choice Requires="wps">
            <w:drawing>
              <wp:anchor distT="0" distB="0" distL="114300" distR="114300" simplePos="0" relativeHeight="251687936" behindDoc="0" locked="0" layoutInCell="1" allowOverlap="1" wp14:anchorId="6B398D46" wp14:editId="38A252A5">
                <wp:simplePos x="0" y="0"/>
                <wp:positionH relativeFrom="column">
                  <wp:posOffset>3539490</wp:posOffset>
                </wp:positionH>
                <wp:positionV relativeFrom="paragraph">
                  <wp:posOffset>797560</wp:posOffset>
                </wp:positionV>
                <wp:extent cx="1767840" cy="1069340"/>
                <wp:effectExtent l="0" t="0" r="22860" b="16510"/>
                <wp:wrapTopAndBottom/>
                <wp:docPr id="1884833234" name="Textbox 13"/>
                <wp:cNvGraphicFramePr/>
                <a:graphic xmlns:a="http://schemas.openxmlformats.org/drawingml/2006/main">
                  <a:graphicData uri="http://schemas.microsoft.com/office/word/2010/wordprocessingShape">
                    <wps:wsp>
                      <wps:cNvSpPr txBox="1"/>
                      <wps:spPr>
                        <a:xfrm>
                          <a:off x="0" y="0"/>
                          <a:ext cx="1767840" cy="1069340"/>
                        </a:xfrm>
                        <a:prstGeom prst="rect">
                          <a:avLst/>
                        </a:prstGeom>
                        <a:solidFill>
                          <a:schemeClr val="bg1"/>
                        </a:solidFill>
                        <a:ln>
                          <a:solidFill>
                            <a:schemeClr val="tx1"/>
                          </a:solidFill>
                        </a:ln>
                      </wps:spPr>
                      <wps:txbx>
                        <w:txbxContent>
                          <w:p w14:paraId="1D26CF3F" w14:textId="77777777" w:rsidR="006768DF" w:rsidRPr="003E326C" w:rsidRDefault="006768DF" w:rsidP="006768DF">
                            <w:pPr>
                              <w:spacing w:before="203"/>
                              <w:rPr>
                                <w:sz w:val="20"/>
                              </w:rPr>
                            </w:pPr>
                          </w:p>
                          <w:p w14:paraId="74E9599B" w14:textId="77777777" w:rsidR="006768DF" w:rsidRPr="003E326C" w:rsidRDefault="006768DF" w:rsidP="006768DF">
                            <w:pPr>
                              <w:spacing w:line="288" w:lineRule="auto"/>
                              <w:ind w:left="709" w:right="895" w:firstLine="33"/>
                              <w:jc w:val="center"/>
                              <w:rPr>
                                <w:sz w:val="20"/>
                              </w:rPr>
                            </w:pPr>
                            <w:r w:rsidRPr="003E326C">
                              <w:rPr>
                                <w:sz w:val="20"/>
                              </w:rPr>
                              <w:t xml:space="preserve">Factors of </w:t>
                            </w:r>
                            <w:r w:rsidRPr="003E326C">
                              <w:rPr>
                                <w:spacing w:val="-2"/>
                                <w:sz w:val="20"/>
                              </w:rPr>
                              <w:t>Technology Adoption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398D46" id="_x0000_t202" coordsize="21600,21600" o:spt="202" path="m,l,21600r21600,l21600,xe">
                <v:stroke joinstyle="miter"/>
                <v:path gradientshapeok="t" o:connecttype="rect"/>
              </v:shapetype>
              <v:shape id="Textbox 13" o:spid="_x0000_s1026" type="#_x0000_t202" style="position:absolute;margin-left:278.7pt;margin-top:62.8pt;width:139.2pt;height:8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" fillcolor="white [3212]" strokecolor="black [3213]">
                <v:textbox inset="0,0,0,0">
                  <w:txbxContent>
                    <w:p w14:paraId="1D26CF3F" w14:textId="77777777" w:rsidR="006768DF" w:rsidRPr="003E326C" w:rsidRDefault="006768DF" w:rsidP="006768DF">
                      <w:pPr>
                        <w:spacing w:before="203"/>
                        <w:rPr>
                          <w:sz w:val="20"/>
                        </w:rPr>
                      </w:pPr>
                    </w:p>
                    <w:p w14:paraId="74E9599B" w14:textId="77777777" w:rsidR="006768DF" w:rsidRPr="003E326C" w:rsidRDefault="006768DF" w:rsidP="006768DF">
                      <w:pPr>
                        <w:spacing w:line="288" w:lineRule="auto"/>
                        <w:ind w:left="709" w:right="895" w:firstLine="33"/>
                        <w:jc w:val="center"/>
                        <w:rPr>
                          <w:sz w:val="20"/>
                        </w:rPr>
                      </w:pPr>
                      <w:r w:rsidRPr="003E326C">
                        <w:rPr>
                          <w:sz w:val="20"/>
                        </w:rPr>
                        <w:t xml:space="preserve">Factors of </w:t>
                      </w:r>
                      <w:r w:rsidRPr="003E326C">
                        <w:rPr>
                          <w:spacing w:val="-2"/>
                          <w:sz w:val="20"/>
                        </w:rPr>
                        <w:t>Technology Adoption</w:t>
                      </w:r>
                    </w:p>
                  </w:txbxContent>
                </v:textbox>
                <w10:wrap type="topAndBottom"/>
              </v:shape>
            </w:pict>
          </mc:Fallback>
        </mc:AlternateContent>
      </w:r>
      <w:r w:rsidR="003E326C">
        <w:rPr>
          <w:noProof/>
        </w:rPr>
        <mc:AlternateContent>
          <mc:Choice Requires="wps">
            <w:drawing>
              <wp:anchor distT="0" distB="0" distL="114300" distR="114300" simplePos="0" relativeHeight="251639808" behindDoc="0" locked="0" layoutInCell="1" allowOverlap="1" wp14:anchorId="1EC95D18" wp14:editId="10027E89">
                <wp:simplePos x="0" y="0"/>
                <wp:positionH relativeFrom="column">
                  <wp:posOffset>1960880</wp:posOffset>
                </wp:positionH>
                <wp:positionV relativeFrom="paragraph">
                  <wp:posOffset>478155</wp:posOffset>
                </wp:positionV>
                <wp:extent cx="1578610" cy="1753235"/>
                <wp:effectExtent l="0" t="0" r="2540" b="0"/>
                <wp:wrapTopAndBottom/>
                <wp:docPr id="794124276" name="Graphic 6"/>
                <wp:cNvGraphicFramePr/>
                <a:graphic xmlns:a="http://schemas.openxmlformats.org/drawingml/2006/main">
                  <a:graphicData uri="http://schemas.microsoft.com/office/word/2010/wordprocessingShape">
                    <wps:wsp>
                      <wps:cNvSpPr/>
                      <wps:spPr>
                        <a:xfrm>
                          <a:off x="0" y="0"/>
                          <a:ext cx="1578610" cy="1753235"/>
                        </a:xfrm>
                        <a:custGeom>
                          <a:avLst/>
                          <a:gdLst/>
                          <a:ahLst/>
                          <a:cxnLst/>
                          <a:rect l="l" t="t" r="r" b="b"/>
                          <a:pathLst>
                            <a:path w="1586865" h="2136140">
                              <a:moveTo>
                                <a:pt x="1533144" y="863854"/>
                              </a:moveTo>
                              <a:lnTo>
                                <a:pt x="1485392" y="793242"/>
                              </a:lnTo>
                              <a:lnTo>
                                <a:pt x="1468247" y="823722"/>
                              </a:lnTo>
                              <a:lnTo>
                                <a:pt x="3048" y="0"/>
                              </a:lnTo>
                              <a:lnTo>
                                <a:pt x="0" y="5588"/>
                              </a:lnTo>
                              <a:lnTo>
                                <a:pt x="1465072" y="829183"/>
                              </a:lnTo>
                              <a:lnTo>
                                <a:pt x="1448054" y="859663"/>
                              </a:lnTo>
                              <a:lnTo>
                                <a:pt x="1533144" y="863854"/>
                              </a:lnTo>
                              <a:close/>
                            </a:path>
                            <a:path w="1586865" h="2136140">
                              <a:moveTo>
                                <a:pt x="1586484" y="1282827"/>
                              </a:moveTo>
                              <a:lnTo>
                                <a:pt x="1501394" y="1285621"/>
                              </a:lnTo>
                              <a:lnTo>
                                <a:pt x="1517904" y="1316355"/>
                              </a:lnTo>
                              <a:lnTo>
                                <a:pt x="15240" y="2130552"/>
                              </a:lnTo>
                              <a:lnTo>
                                <a:pt x="18288" y="2136140"/>
                              </a:lnTo>
                              <a:lnTo>
                                <a:pt x="1520952" y="1321943"/>
                              </a:lnTo>
                              <a:lnTo>
                                <a:pt x="1537589" y="1352677"/>
                              </a:lnTo>
                              <a:lnTo>
                                <a:pt x="1586484" y="1282827"/>
                              </a:lnTo>
                              <a:close/>
                            </a:path>
                            <a:path w="1586865" h="2136140">
                              <a:moveTo>
                                <a:pt x="1586484" y="1046607"/>
                              </a:moveTo>
                              <a:lnTo>
                                <a:pt x="1510284" y="1008507"/>
                              </a:lnTo>
                              <a:lnTo>
                                <a:pt x="1510284" y="1043432"/>
                              </a:lnTo>
                              <a:lnTo>
                                <a:pt x="16764" y="1043432"/>
                              </a:lnTo>
                              <a:lnTo>
                                <a:pt x="16764" y="1049782"/>
                              </a:lnTo>
                              <a:lnTo>
                                <a:pt x="1510284" y="1049782"/>
                              </a:lnTo>
                              <a:lnTo>
                                <a:pt x="1510284" y="1084707"/>
                              </a:lnTo>
                              <a:lnTo>
                                <a:pt x="1586484" y="1046607"/>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B0F8B" id="Graphic 6" o:spid="_x0000_s1026" style="position:absolute;margin-left:154.4pt;margin-top:37.65pt;width:124.3pt;height:13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86865,213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" path="m1533144,863854r-47752,-70612l1468247,823722,3048,,,5588,1465072,829183r-17018,30480l1533144,863854xem1586484,1282827r-85090,2794l1517904,1316355,15240,2130552r3048,5588l1520952,1321943r16637,30734l1586484,1282827xem1586484,1046607r-76200,-38100l1510284,1043432r-1493520,l16764,1049782r1493520,l1510284,1084707r76200,-38100xe" fillcolor="black" stroked="f">
                <v:path arrowok="t"/>
                <w10:wrap type="topAndBottom"/>
              </v:shape>
            </w:pict>
          </mc:Fallback>
        </mc:AlternateContent>
      </w:r>
      <w:r w:rsidR="003E326C">
        <w:rPr>
          <w:noProof/>
        </w:rPr>
        <mc:AlternateContent>
          <mc:Choice Requires="wps">
            <w:drawing>
              <wp:anchor distT="0" distB="0" distL="114300" distR="114300" simplePos="0" relativeHeight="251662336" behindDoc="0" locked="0" layoutInCell="1" allowOverlap="1" wp14:anchorId="5FFAEDA7" wp14:editId="41903514">
                <wp:simplePos x="0" y="0"/>
                <wp:positionH relativeFrom="column">
                  <wp:posOffset>833120</wp:posOffset>
                </wp:positionH>
                <wp:positionV relativeFrom="paragraph">
                  <wp:posOffset>1028065</wp:posOffset>
                </wp:positionV>
                <wp:extent cx="1135380" cy="574040"/>
                <wp:effectExtent l="0" t="0" r="26670" b="16510"/>
                <wp:wrapTopAndBottom/>
                <wp:docPr id="1478364944" name="Textbox 8"/>
                <wp:cNvGraphicFramePr/>
                <a:graphic xmlns:a="http://schemas.openxmlformats.org/drawingml/2006/main">
                  <a:graphicData uri="http://schemas.microsoft.com/office/word/2010/wordprocessingShape">
                    <wps:wsp>
                      <wps:cNvSpPr txBox="1"/>
                      <wps:spPr>
                        <a:xfrm>
                          <a:off x="0" y="0"/>
                          <a:ext cx="1135380" cy="574040"/>
                        </a:xfrm>
                        <a:prstGeom prst="rect">
                          <a:avLst/>
                        </a:prstGeom>
                        <a:noFill/>
                        <a:ln w="12700">
                          <a:solidFill>
                            <a:srgbClr val="172C51"/>
                          </a:solidFill>
                          <a:prstDash val="solid"/>
                        </a:ln>
                      </wps:spPr>
                      <wps:txbx>
                        <w:txbxContent>
                          <w:p w14:paraId="5EDA5307" w14:textId="77777777" w:rsidR="006768DF" w:rsidRPr="003E326C" w:rsidRDefault="006768DF" w:rsidP="006768DF">
                            <w:pPr>
                              <w:spacing w:before="20"/>
                              <w:rPr>
                                <w:sz w:val="20"/>
                              </w:rPr>
                            </w:pPr>
                          </w:p>
                          <w:p w14:paraId="78B016AC" w14:textId="77777777" w:rsidR="006768DF" w:rsidRPr="003E326C" w:rsidRDefault="006768DF" w:rsidP="006768DF">
                            <w:pPr>
                              <w:ind w:left="170"/>
                              <w:rPr>
                                <w:sz w:val="20"/>
                              </w:rPr>
                            </w:pPr>
                            <w:r w:rsidRPr="003E326C">
                              <w:rPr>
                                <w:spacing w:val="-2"/>
                                <w:sz w:val="20"/>
                              </w:rPr>
                              <w:t>Organizational</w:t>
                            </w:r>
                          </w:p>
                          <w:p w14:paraId="1662AA3D" w14:textId="77777777" w:rsidR="006768DF" w:rsidRPr="003E326C" w:rsidRDefault="006768DF" w:rsidP="006768DF">
                            <w:pPr>
                              <w:spacing w:before="44"/>
                              <w:ind w:left="530"/>
                              <w:rPr>
                                <w:sz w:val="20"/>
                              </w:rPr>
                            </w:pPr>
                            <w:r w:rsidRPr="003E326C">
                              <w:rPr>
                                <w:spacing w:val="-2"/>
                                <w:sz w:val="20"/>
                              </w:rPr>
                              <w:t>Factors</w:t>
                            </w:r>
                          </w:p>
                        </w:txbxContent>
                      </wps:txbx>
                      <wps:bodyPr wrap="square" lIns="0" tIns="0" rIns="0" bIns="0" rtlCol="0">
                        <a:noAutofit/>
                      </wps:bodyPr>
                    </wps:wsp>
                  </a:graphicData>
                </a:graphic>
              </wp:anchor>
            </w:drawing>
          </mc:Choice>
          <mc:Fallback>
            <w:pict>
              <v:shape w14:anchorId="5FFAEDA7" id="Textbox 8" o:spid="_x0000_s1027" type="#_x0000_t202" style="position:absolute;margin-left:65.6pt;margin-top:80.95pt;width:89.4pt;height:4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" filled="f" strokecolor="#172c51" strokeweight="1pt">
                <v:textbox inset="0,0,0,0">
                  <w:txbxContent>
                    <w:p w14:paraId="5EDA5307" w14:textId="77777777" w:rsidR="006768DF" w:rsidRPr="003E326C" w:rsidRDefault="006768DF" w:rsidP="006768DF">
                      <w:pPr>
                        <w:spacing w:before="20"/>
                        <w:rPr>
                          <w:sz w:val="20"/>
                        </w:rPr>
                      </w:pPr>
                    </w:p>
                    <w:p w14:paraId="78B016AC" w14:textId="77777777" w:rsidR="006768DF" w:rsidRPr="003E326C" w:rsidRDefault="006768DF" w:rsidP="006768DF">
                      <w:pPr>
                        <w:ind w:left="170"/>
                        <w:rPr>
                          <w:sz w:val="20"/>
                        </w:rPr>
                      </w:pPr>
                      <w:r w:rsidRPr="003E326C">
                        <w:rPr>
                          <w:spacing w:val="-2"/>
                          <w:sz w:val="20"/>
                        </w:rPr>
                        <w:t>Organizational</w:t>
                      </w:r>
                    </w:p>
                    <w:p w14:paraId="1662AA3D" w14:textId="77777777" w:rsidR="006768DF" w:rsidRPr="003E326C" w:rsidRDefault="006768DF" w:rsidP="006768DF">
                      <w:pPr>
                        <w:spacing w:before="44"/>
                        <w:ind w:left="530"/>
                        <w:rPr>
                          <w:sz w:val="20"/>
                        </w:rPr>
                      </w:pPr>
                      <w:r w:rsidRPr="003E326C">
                        <w:rPr>
                          <w:spacing w:val="-2"/>
                          <w:sz w:val="20"/>
                        </w:rPr>
                        <w:t>Factors</w:t>
                      </w:r>
                    </w:p>
                  </w:txbxContent>
                </v:textbox>
                <w10:wrap type="topAndBottom"/>
              </v:shape>
            </w:pict>
          </mc:Fallback>
        </mc:AlternateContent>
      </w:r>
      <w:r w:rsidR="003E326C">
        <w:rPr>
          <w:noProof/>
        </w:rPr>
        <mc:AlternateContent>
          <mc:Choice Requires="wps">
            <w:drawing>
              <wp:anchor distT="0" distB="0" distL="114300" distR="114300" simplePos="0" relativeHeight="251682816" behindDoc="0" locked="0" layoutInCell="1" allowOverlap="1" wp14:anchorId="68AB8D15" wp14:editId="36511019">
                <wp:simplePos x="0" y="0"/>
                <wp:positionH relativeFrom="column">
                  <wp:posOffset>833120</wp:posOffset>
                </wp:positionH>
                <wp:positionV relativeFrom="paragraph">
                  <wp:posOffset>1869440</wp:posOffset>
                </wp:positionV>
                <wp:extent cx="1135380" cy="574040"/>
                <wp:effectExtent l="0" t="0" r="26670" b="16510"/>
                <wp:wrapTopAndBottom/>
                <wp:docPr id="1304793912" name="Textbox 9"/>
                <wp:cNvGraphicFramePr/>
                <a:graphic xmlns:a="http://schemas.openxmlformats.org/drawingml/2006/main">
                  <a:graphicData uri="http://schemas.microsoft.com/office/word/2010/wordprocessingShape">
                    <wps:wsp>
                      <wps:cNvSpPr txBox="1"/>
                      <wps:spPr>
                        <a:xfrm>
                          <a:off x="0" y="0"/>
                          <a:ext cx="1135380" cy="574040"/>
                        </a:xfrm>
                        <a:prstGeom prst="rect">
                          <a:avLst/>
                        </a:prstGeom>
                        <a:noFill/>
                        <a:ln w="12700">
                          <a:solidFill>
                            <a:srgbClr val="172C51"/>
                          </a:solidFill>
                          <a:prstDash val="solid"/>
                        </a:ln>
                      </wps:spPr>
                      <wps:txbx>
                        <w:txbxContent>
                          <w:p w14:paraId="6229B369" w14:textId="77777777" w:rsidR="006768DF" w:rsidRPr="003E326C" w:rsidRDefault="006768DF" w:rsidP="006768DF">
                            <w:pPr>
                              <w:spacing w:before="21"/>
                              <w:rPr>
                                <w:sz w:val="20"/>
                              </w:rPr>
                            </w:pPr>
                          </w:p>
                          <w:p w14:paraId="74D4A765" w14:textId="77777777" w:rsidR="006768DF" w:rsidRPr="003E326C" w:rsidRDefault="006768DF" w:rsidP="006768DF">
                            <w:pPr>
                              <w:spacing w:line="290" w:lineRule="auto"/>
                              <w:ind w:left="530" w:hanging="360"/>
                              <w:rPr>
                                <w:sz w:val="20"/>
                              </w:rPr>
                            </w:pPr>
                            <w:r w:rsidRPr="003E326C">
                              <w:rPr>
                                <w:spacing w:val="-2"/>
                                <w:sz w:val="20"/>
                              </w:rPr>
                              <w:t>Environmental Factors</w:t>
                            </w:r>
                          </w:p>
                        </w:txbxContent>
                      </wps:txbx>
                      <wps:bodyPr wrap="square" lIns="0" tIns="0" rIns="0" bIns="0" rtlCol="0">
                        <a:noAutofit/>
                      </wps:bodyPr>
                    </wps:wsp>
                  </a:graphicData>
                </a:graphic>
              </wp:anchor>
            </w:drawing>
          </mc:Choice>
          <mc:Fallback>
            <w:pict>
              <v:shape w14:anchorId="68AB8D15" id="Textbox 9" o:spid="_x0000_s1028" type="#_x0000_t202" style="position:absolute;margin-left:65.6pt;margin-top:147.2pt;width:89.4pt;height:45.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" filled="f" strokecolor="#172c51" strokeweight="1pt">
                <v:textbox inset="0,0,0,0">
                  <w:txbxContent>
                    <w:p w14:paraId="6229B369" w14:textId="77777777" w:rsidR="006768DF" w:rsidRPr="003E326C" w:rsidRDefault="006768DF" w:rsidP="006768DF">
                      <w:pPr>
                        <w:spacing w:before="21"/>
                        <w:rPr>
                          <w:sz w:val="20"/>
                        </w:rPr>
                      </w:pPr>
                    </w:p>
                    <w:p w14:paraId="74D4A765" w14:textId="77777777" w:rsidR="006768DF" w:rsidRPr="003E326C" w:rsidRDefault="006768DF" w:rsidP="006768DF">
                      <w:pPr>
                        <w:spacing w:line="290" w:lineRule="auto"/>
                        <w:ind w:left="530" w:hanging="360"/>
                        <w:rPr>
                          <w:sz w:val="20"/>
                        </w:rPr>
                      </w:pPr>
                      <w:r w:rsidRPr="003E326C">
                        <w:rPr>
                          <w:spacing w:val="-2"/>
                          <w:sz w:val="20"/>
                        </w:rPr>
                        <w:t>Environmental Factors</w:t>
                      </w:r>
                    </w:p>
                  </w:txbxContent>
                </v:textbox>
                <w10:wrap type="topAndBottom"/>
              </v:shape>
            </w:pict>
          </mc:Fallback>
        </mc:AlternateContent>
      </w:r>
      <w:r w:rsidR="003E326C">
        <w:rPr>
          <w:noProof/>
        </w:rPr>
        <mc:AlternateContent>
          <mc:Choice Requires="wps">
            <w:drawing>
              <wp:anchor distT="0" distB="0" distL="114300" distR="114300" simplePos="0" relativeHeight="251649024" behindDoc="0" locked="0" layoutInCell="1" allowOverlap="1" wp14:anchorId="56E3DE45" wp14:editId="30D099FD">
                <wp:simplePos x="0" y="0"/>
                <wp:positionH relativeFrom="column">
                  <wp:posOffset>833120</wp:posOffset>
                </wp:positionH>
                <wp:positionV relativeFrom="paragraph">
                  <wp:posOffset>229870</wp:posOffset>
                </wp:positionV>
                <wp:extent cx="1135380" cy="574040"/>
                <wp:effectExtent l="0" t="0" r="26670" b="16510"/>
                <wp:wrapTopAndBottom/>
                <wp:docPr id="1505518854" name="Textbox 7"/>
                <wp:cNvGraphicFramePr/>
                <a:graphic xmlns:a="http://schemas.openxmlformats.org/drawingml/2006/main">
                  <a:graphicData uri="http://schemas.microsoft.com/office/word/2010/wordprocessingShape">
                    <wps:wsp>
                      <wps:cNvSpPr txBox="1"/>
                      <wps:spPr>
                        <a:xfrm>
                          <a:off x="0" y="0"/>
                          <a:ext cx="1135380" cy="574040"/>
                        </a:xfrm>
                        <a:prstGeom prst="rect">
                          <a:avLst/>
                        </a:prstGeom>
                        <a:noFill/>
                        <a:ln w="12700">
                          <a:solidFill>
                            <a:srgbClr val="172C51"/>
                          </a:solidFill>
                          <a:prstDash val="solid"/>
                        </a:ln>
                      </wps:spPr>
                      <wps:txbx>
                        <w:txbxContent>
                          <w:p w14:paraId="1BDBC84B" w14:textId="77777777" w:rsidR="006768DF" w:rsidRDefault="006768DF" w:rsidP="006768DF">
                            <w:pPr>
                              <w:spacing w:before="17"/>
                              <w:rPr>
                                <w:color w:val="000000"/>
                                <w:sz w:val="20"/>
                              </w:rPr>
                            </w:pPr>
                          </w:p>
                          <w:p w14:paraId="599FB472" w14:textId="77777777" w:rsidR="006768DF" w:rsidRPr="003E326C" w:rsidRDefault="006768DF" w:rsidP="006768DF">
                            <w:pPr>
                              <w:spacing w:line="290" w:lineRule="auto"/>
                              <w:ind w:left="530" w:right="432" w:hanging="332"/>
                              <w:rPr>
                                <w:sz w:val="20"/>
                              </w:rPr>
                            </w:pPr>
                            <w:r w:rsidRPr="003E326C">
                              <w:rPr>
                                <w:spacing w:val="-2"/>
                                <w:sz w:val="20"/>
                              </w:rPr>
                              <w:t>Technological Factors</w:t>
                            </w:r>
                          </w:p>
                        </w:txbxContent>
                      </wps:txbx>
                      <wps:bodyPr wrap="square" lIns="0" tIns="0" rIns="0" bIns="0" rtlCol="0">
                        <a:noAutofit/>
                      </wps:bodyPr>
                    </wps:wsp>
                  </a:graphicData>
                </a:graphic>
              </wp:anchor>
            </w:drawing>
          </mc:Choice>
          <mc:Fallback>
            <w:pict>
              <v:shape w14:anchorId="56E3DE45" id="Textbox 7" o:spid="_x0000_s1029" type="#_x0000_t202" style="position:absolute;margin-left:65.6pt;margin-top:18.1pt;width:89.4pt;height:45.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" filled="f" strokecolor="#172c51" strokeweight="1pt">
                <v:textbox inset="0,0,0,0">
                  <w:txbxContent>
                    <w:p w14:paraId="1BDBC84B" w14:textId="77777777" w:rsidR="006768DF" w:rsidRDefault="006768DF" w:rsidP="006768DF">
                      <w:pPr>
                        <w:spacing w:before="17"/>
                        <w:rPr>
                          <w:color w:val="000000"/>
                          <w:sz w:val="20"/>
                        </w:rPr>
                      </w:pPr>
                    </w:p>
                    <w:p w14:paraId="599FB472" w14:textId="77777777" w:rsidR="006768DF" w:rsidRPr="003E326C" w:rsidRDefault="006768DF" w:rsidP="006768DF">
                      <w:pPr>
                        <w:spacing w:line="290" w:lineRule="auto"/>
                        <w:ind w:left="530" w:right="432" w:hanging="332"/>
                        <w:rPr>
                          <w:sz w:val="20"/>
                        </w:rPr>
                      </w:pPr>
                      <w:r w:rsidRPr="003E326C">
                        <w:rPr>
                          <w:spacing w:val="-2"/>
                          <w:sz w:val="20"/>
                        </w:rPr>
                        <w:t>Technological Factors</w:t>
                      </w:r>
                    </w:p>
                  </w:txbxContent>
                </v:textbox>
                <w10:wrap type="topAndBottom"/>
              </v:shape>
            </w:pict>
          </mc:Fallback>
        </mc:AlternateContent>
      </w:r>
    </w:p>
    <w:p w14:paraId="7E822D2B" w14:textId="77777777" w:rsidR="006768DF" w:rsidRDefault="003E326C" w:rsidP="005E6C1A">
      <w:pPr>
        <w:pStyle w:val="BodyText"/>
        <w:spacing w:before="100"/>
        <w:ind w:left="364"/>
        <w:jc w:val="center"/>
        <w:rPr>
          <w:spacing w:val="-2"/>
        </w:rPr>
      </w:pPr>
      <w:r>
        <w:lastRenderedPageBreak/>
        <w:t>Figure</w:t>
      </w:r>
      <w:r>
        <w:rPr>
          <w:spacing w:val="-5"/>
        </w:rPr>
        <w:t xml:space="preserve"> </w:t>
      </w:r>
      <w:r>
        <w:t>1:</w:t>
      </w:r>
      <w:r>
        <w:rPr>
          <w:spacing w:val="-5"/>
        </w:rPr>
        <w:t xml:space="preserve"> </w:t>
      </w:r>
      <w:r>
        <w:t>Conceptual</w:t>
      </w:r>
      <w:r>
        <w:rPr>
          <w:spacing w:val="-5"/>
        </w:rPr>
        <w:t xml:space="preserve"> </w:t>
      </w:r>
      <w:r>
        <w:rPr>
          <w:spacing w:val="-2"/>
        </w:rPr>
        <w:t>Framework</w:t>
      </w:r>
    </w:p>
    <w:p w14:paraId="1EF619FE" w14:textId="624FF8D1" w:rsidR="00792C3D" w:rsidRDefault="00792C3D" w:rsidP="005E6C1A">
      <w:pPr>
        <w:pStyle w:val="BodyText"/>
        <w:spacing w:before="100"/>
        <w:ind w:left="364"/>
        <w:jc w:val="both"/>
        <w:rPr>
          <w:spacing w:val="-2"/>
        </w:rPr>
      </w:pPr>
      <w:r>
        <w:rPr>
          <w:spacing w:val="-2"/>
        </w:rPr>
        <w:t>T</w:t>
      </w:r>
      <w:r w:rsidRPr="00792C3D">
        <w:rPr>
          <w:spacing w:val="-2"/>
        </w:rPr>
        <w:t>echnological factors describe how green technologies are perceived by SMEs and include characteristics such as compatibility with existing systems, implementation complexity, and relative advantage (Oliveira &amp; Martins, 2011; Baker, 2012). Green technologies that are perceived as easy to use, cost-effective, and environmentally beneficial are more likely to be adopted by SMEs (Lin &amp; Ho, 2011; Bakar et al., 2020). However, concerns regarding high initial investment costs, implementation risks, and technological complexity often discourage adoption, particularly among resource-constrained SMEs (</w:t>
      </w:r>
      <w:proofErr w:type="spellStart"/>
      <w:r w:rsidRPr="00792C3D">
        <w:rPr>
          <w:spacing w:val="-2"/>
        </w:rPr>
        <w:t>Aboelmaged</w:t>
      </w:r>
      <w:proofErr w:type="spellEnd"/>
      <w:r w:rsidRPr="00792C3D">
        <w:rPr>
          <w:spacing w:val="-2"/>
        </w:rPr>
        <w:t xml:space="preserve"> &amp; Hashem, 2019). Conversely, SMEs are more likely to adopt green technologies when they perceive tangible benefits such as reduced energy consumption, cost savings, enhanced operational efficiency, and improved compliance with environmental regulations (Zailani et al., 2015).</w:t>
      </w:r>
    </w:p>
    <w:p w14:paraId="3E150C47" w14:textId="7B00B23A" w:rsidR="005E6C1A" w:rsidRDefault="005E6C1A" w:rsidP="005E6C1A">
      <w:pPr>
        <w:pStyle w:val="BodyText"/>
        <w:spacing w:before="100"/>
        <w:ind w:left="364"/>
        <w:jc w:val="both"/>
        <w:rPr>
          <w:spacing w:val="-2"/>
        </w:rPr>
      </w:pPr>
      <w:r w:rsidRPr="005E6C1A">
        <w:rPr>
          <w:spacing w:val="-2"/>
        </w:rPr>
        <w:t xml:space="preserve">H1: </w:t>
      </w:r>
      <w:r w:rsidR="00E43001" w:rsidRPr="00E43001">
        <w:rPr>
          <w:spacing w:val="-2"/>
        </w:rPr>
        <w:t>Technological factors positively influence green technology adoption among SMEs.</w:t>
      </w:r>
    </w:p>
    <w:p w14:paraId="11CA87D3" w14:textId="77777777" w:rsidR="00792C3D" w:rsidRDefault="00792C3D" w:rsidP="00792C3D">
      <w:pPr>
        <w:pStyle w:val="BodyText"/>
        <w:spacing w:before="100"/>
        <w:ind w:left="364"/>
        <w:jc w:val="both"/>
        <w:rPr>
          <w:spacing w:val="-2"/>
        </w:rPr>
      </w:pPr>
      <w:r w:rsidRPr="00792C3D">
        <w:rPr>
          <w:spacing w:val="-2"/>
        </w:rPr>
        <w:t>Organizational factors encompass resource availability, leadership commitment, organizational readiness, and sustainability-oriented culture. Given the financial and human resource constraints typically faced by SMEs, managerial commitment plays a crucial role in facilitating innovation adoption (</w:t>
      </w:r>
      <w:proofErr w:type="spellStart"/>
      <w:r w:rsidRPr="00792C3D">
        <w:rPr>
          <w:spacing w:val="-2"/>
        </w:rPr>
        <w:t>Aboelmaged</w:t>
      </w:r>
      <w:proofErr w:type="spellEnd"/>
      <w:r w:rsidRPr="00792C3D">
        <w:rPr>
          <w:spacing w:val="-2"/>
        </w:rPr>
        <w:t xml:space="preserve"> &amp; Hashem, 2019). Top management support influences strategic decision-making, resource allocation, and employee engagement in sustainability initiatives (</w:t>
      </w:r>
      <w:proofErr w:type="spellStart"/>
      <w:r w:rsidRPr="00792C3D">
        <w:rPr>
          <w:spacing w:val="-2"/>
        </w:rPr>
        <w:t>Tornatzky</w:t>
      </w:r>
      <w:proofErr w:type="spellEnd"/>
      <w:r w:rsidRPr="00792C3D">
        <w:rPr>
          <w:spacing w:val="-2"/>
        </w:rPr>
        <w:t xml:space="preserve"> &amp; Fleischer, 1990). Studies have shown that SMEs with clear environmental objectives, employee training programs, and strong internal awareness of sustainability are more likely to adopt green technologies and environmental innovations (Bakar et al., 2020; Gangwar et al., 2015).</w:t>
      </w:r>
    </w:p>
    <w:p w14:paraId="219CBC06" w14:textId="219E6AEB" w:rsidR="005E6C1A" w:rsidRDefault="005E6C1A" w:rsidP="00792C3D">
      <w:pPr>
        <w:pStyle w:val="BodyText"/>
        <w:spacing w:before="100"/>
        <w:ind w:left="364"/>
        <w:jc w:val="both"/>
        <w:rPr>
          <w:spacing w:val="-2"/>
        </w:rPr>
      </w:pPr>
      <w:r w:rsidRPr="005E6C1A">
        <w:rPr>
          <w:spacing w:val="-2"/>
        </w:rPr>
        <w:t xml:space="preserve">H2: </w:t>
      </w:r>
      <w:r w:rsidR="00E43001" w:rsidRPr="00E43001">
        <w:rPr>
          <w:spacing w:val="-2"/>
        </w:rPr>
        <w:t>Organizational factors positively influence green technology adoption among SMEs.</w:t>
      </w:r>
    </w:p>
    <w:p w14:paraId="29B1CAF8" w14:textId="77777777" w:rsidR="00792C3D" w:rsidRDefault="00792C3D" w:rsidP="005E6C1A">
      <w:pPr>
        <w:pStyle w:val="BodyText"/>
        <w:spacing w:before="100"/>
        <w:ind w:left="364"/>
        <w:jc w:val="both"/>
        <w:rPr>
          <w:spacing w:val="-2"/>
        </w:rPr>
      </w:pPr>
      <w:r w:rsidRPr="00792C3D">
        <w:rPr>
          <w:spacing w:val="-2"/>
        </w:rPr>
        <w:t xml:space="preserve">Environmental factors include government regulations, market competition, customer expectations, and external support mechanisms. Government policies and environmental regulations encourage SMEs to adopt sustainable technologies by creating both compliance requirements and incentive structures (Manda &amp; </w:t>
      </w:r>
      <w:proofErr w:type="spellStart"/>
      <w:r w:rsidRPr="00792C3D">
        <w:rPr>
          <w:spacing w:val="-2"/>
        </w:rPr>
        <w:t>Dhaou</w:t>
      </w:r>
      <w:proofErr w:type="spellEnd"/>
      <w:r w:rsidRPr="00792C3D">
        <w:rPr>
          <w:spacing w:val="-2"/>
        </w:rPr>
        <w:t>, 2019). In Malaysia, initiatives such as the Green Technology Financing Scheme (GTFS) and tax incentives have been introduced to reduce financial barriers associated with green technology adoption. In addition, increasing pressure from environmentally conscious consumers, multinational corporations, and sustainability-focused supply chains motivates SMEs to improve their environmental performance (OECD, 2022; Zhu et al., 2013). These external pressures create both incentives and competitive motivations for SMEs to adopt green technologies.</w:t>
      </w:r>
    </w:p>
    <w:p w14:paraId="55C32A05" w14:textId="277522D2" w:rsidR="005E6C1A" w:rsidRDefault="005E6C1A" w:rsidP="00792C3D">
      <w:pPr>
        <w:pStyle w:val="BodyText"/>
        <w:spacing w:before="100"/>
        <w:ind w:left="327"/>
        <w:jc w:val="both"/>
        <w:rPr>
          <w:spacing w:val="-2"/>
        </w:rPr>
      </w:pPr>
      <w:r w:rsidRPr="005E6C1A">
        <w:rPr>
          <w:spacing w:val="-2"/>
        </w:rPr>
        <w:t xml:space="preserve">H3: </w:t>
      </w:r>
      <w:r w:rsidR="00E43001" w:rsidRPr="00E43001">
        <w:rPr>
          <w:spacing w:val="-2"/>
        </w:rPr>
        <w:t>Environmental factors positively influence green technology adoption among SMEs.</w:t>
      </w:r>
    </w:p>
    <w:p w14:paraId="2920AE61" w14:textId="77777777" w:rsidR="005E6C1A" w:rsidRDefault="005E6C1A" w:rsidP="005E6C1A">
      <w:pPr>
        <w:pStyle w:val="BodyText"/>
        <w:spacing w:before="100"/>
        <w:ind w:left="364"/>
        <w:jc w:val="both"/>
        <w:rPr>
          <w:spacing w:val="-2"/>
        </w:rPr>
      </w:pPr>
    </w:p>
    <w:p w14:paraId="2B13FA2D" w14:textId="77777777" w:rsidR="005E6C1A" w:rsidRDefault="005E6C1A" w:rsidP="005E6C1A">
      <w:pPr>
        <w:pStyle w:val="Heading1"/>
        <w:numPr>
          <w:ilvl w:val="0"/>
          <w:numId w:val="2"/>
        </w:numPr>
        <w:tabs>
          <w:tab w:val="left" w:pos="364"/>
        </w:tabs>
        <w:spacing w:before="87"/>
        <w:ind w:left="532" w:hanging="205"/>
      </w:pPr>
      <w:r>
        <w:rPr>
          <w:spacing w:val="-2"/>
        </w:rPr>
        <w:t>Research Methodology</w:t>
      </w:r>
    </w:p>
    <w:p w14:paraId="748702AC" w14:textId="77777777" w:rsidR="00F34265" w:rsidRDefault="00F34265" w:rsidP="00F34265">
      <w:pPr>
        <w:pStyle w:val="BodyText"/>
        <w:spacing w:line="259" w:lineRule="auto"/>
        <w:ind w:left="341"/>
        <w:jc w:val="both"/>
        <w:rPr>
          <w:bCs/>
        </w:rPr>
      </w:pPr>
      <w:bookmarkStart w:id="4" w:name="3._Research_Methodology"/>
      <w:bookmarkEnd w:id="4"/>
    </w:p>
    <w:p w14:paraId="7D09BB46" w14:textId="23AB0FB9" w:rsidR="00F34265" w:rsidRPr="00F34265" w:rsidRDefault="00F34265" w:rsidP="00F34265">
      <w:pPr>
        <w:pStyle w:val="BodyText"/>
        <w:spacing w:line="259" w:lineRule="auto"/>
        <w:ind w:left="341" w:firstLine="226"/>
        <w:jc w:val="both"/>
        <w:rPr>
          <w:bCs/>
        </w:rPr>
      </w:pPr>
      <w:r w:rsidRPr="00F34265">
        <w:rPr>
          <w:bCs/>
        </w:rPr>
        <w:t xml:space="preserve">This study employed a quantitative research approach to investigate the determinants of green technology adoption among SMEs in Malaysia and to examine the effect of green technology adoption on SME performance. Quantitative research is appropriate for examining relationships between variables through systematic measurement and statistical analysis, allowing researchers to test hypotheses and generalize findings across a larger population (Creswell &amp; Creswell, 2018). A cross-sectional research design was adopted, whereby data were collected at a single point in time to capture the current perceptions, adoption </w:t>
      </w:r>
      <w:proofErr w:type="spellStart"/>
      <w:r w:rsidRPr="00F34265">
        <w:rPr>
          <w:bCs/>
        </w:rPr>
        <w:t>behaviours</w:t>
      </w:r>
      <w:proofErr w:type="spellEnd"/>
      <w:r w:rsidRPr="00F34265">
        <w:rPr>
          <w:bCs/>
        </w:rPr>
        <w:t>, and performance outcomes associated with green technology implementation among SMEs (Sekaran &amp; Bougie, 2019).</w:t>
      </w:r>
    </w:p>
    <w:p w14:paraId="79625CAB" w14:textId="77777777" w:rsidR="00F34265" w:rsidRPr="00F34265" w:rsidRDefault="00F34265" w:rsidP="00F34265">
      <w:pPr>
        <w:pStyle w:val="BodyText"/>
        <w:spacing w:line="259" w:lineRule="auto"/>
        <w:ind w:left="341"/>
        <w:jc w:val="both"/>
        <w:rPr>
          <w:bCs/>
        </w:rPr>
      </w:pPr>
    </w:p>
    <w:p w14:paraId="4D8A1038" w14:textId="77777777" w:rsidR="00F34265" w:rsidRPr="00F34265" w:rsidRDefault="00F34265" w:rsidP="00F34265">
      <w:pPr>
        <w:pStyle w:val="BodyText"/>
        <w:spacing w:line="259" w:lineRule="auto"/>
        <w:ind w:left="341"/>
        <w:jc w:val="both"/>
        <w:rPr>
          <w:bCs/>
        </w:rPr>
      </w:pPr>
      <w:r w:rsidRPr="00F34265">
        <w:rPr>
          <w:bCs/>
        </w:rPr>
        <w:t xml:space="preserve">The target population comprised manufacturing SMEs in Malaysia. Manufacturing SMEs were selected because of their significant environmental impact in terms of energy consumption, resource utilization, and waste generation (Zailani et al., 2015). Respondents included SME owners, managers, and key decision-makers who were directly involved in operational, environmental, and technological decision-making processes within their organizations. This selection ensured that the information collected reflected informed perspectives regarding green technology adoption practices and organizational performance. SMEs operating in both urban and semi-urban areas were included to provide a more representative understanding of different business environments </w:t>
      </w:r>
      <w:r w:rsidRPr="00F34265">
        <w:rPr>
          <w:bCs/>
        </w:rPr>
        <w:lastRenderedPageBreak/>
        <w:t>(Bakar et al., 2020).</w:t>
      </w:r>
    </w:p>
    <w:p w14:paraId="449D172D" w14:textId="77777777" w:rsidR="00F34265" w:rsidRPr="00F34265" w:rsidRDefault="00F34265" w:rsidP="00F34265">
      <w:pPr>
        <w:pStyle w:val="BodyText"/>
        <w:spacing w:line="259" w:lineRule="auto"/>
        <w:ind w:left="341"/>
        <w:jc w:val="both"/>
        <w:rPr>
          <w:bCs/>
        </w:rPr>
      </w:pPr>
    </w:p>
    <w:p w14:paraId="598EE33A" w14:textId="77777777" w:rsidR="00F34265" w:rsidRPr="00F34265" w:rsidRDefault="00F34265" w:rsidP="00F34265">
      <w:pPr>
        <w:pStyle w:val="BodyText"/>
        <w:spacing w:line="259" w:lineRule="auto"/>
        <w:ind w:left="341"/>
        <w:jc w:val="both"/>
        <w:rPr>
          <w:bCs/>
        </w:rPr>
      </w:pPr>
      <w:r w:rsidRPr="00F34265">
        <w:rPr>
          <w:bCs/>
        </w:rPr>
        <w:t>Data were collected using a structured questionnaire adapted from established measurement scales used in previous TOE-based technology adoption studies (</w:t>
      </w:r>
      <w:proofErr w:type="spellStart"/>
      <w:r w:rsidRPr="00F34265">
        <w:rPr>
          <w:bCs/>
        </w:rPr>
        <w:t>Tornatzky</w:t>
      </w:r>
      <w:proofErr w:type="spellEnd"/>
      <w:r w:rsidRPr="00F34265">
        <w:rPr>
          <w:bCs/>
        </w:rPr>
        <w:t xml:space="preserve"> &amp; Fleischer, 1990; </w:t>
      </w:r>
      <w:proofErr w:type="spellStart"/>
      <w:r w:rsidRPr="00F34265">
        <w:rPr>
          <w:bCs/>
        </w:rPr>
        <w:t>Aboelmaged</w:t>
      </w:r>
      <w:proofErr w:type="spellEnd"/>
      <w:r w:rsidRPr="00F34265">
        <w:rPr>
          <w:bCs/>
        </w:rPr>
        <w:t xml:space="preserve"> &amp; Hashem, 2019). The questionnaire consisted of five sections measuring technological factors, organizational factors, environmental factors, green technology adoption, and SME performance. All items were measured using a five-point Likert scale ranging from 1 ("strongly disagree") to 5 ("strongly agree"), which is commonly used in organizational and technology adoption research due to its reliability and ease of interpretation (Joshi et al., 2015). Prior to the main survey, the questionnaire was reviewed and refined to ensure clarity, relevance, and alignment with the study objectives.</w:t>
      </w:r>
    </w:p>
    <w:p w14:paraId="59B005A8" w14:textId="77777777" w:rsidR="00F34265" w:rsidRPr="00F34265" w:rsidRDefault="00F34265" w:rsidP="00F34265">
      <w:pPr>
        <w:pStyle w:val="BodyText"/>
        <w:spacing w:line="259" w:lineRule="auto"/>
        <w:ind w:left="341"/>
        <w:jc w:val="both"/>
        <w:rPr>
          <w:bCs/>
        </w:rPr>
      </w:pPr>
    </w:p>
    <w:p w14:paraId="50D5D2D9" w14:textId="77777777" w:rsidR="00F34265" w:rsidRPr="00F34265" w:rsidRDefault="00F34265" w:rsidP="00F34265">
      <w:pPr>
        <w:pStyle w:val="BodyText"/>
        <w:spacing w:line="259" w:lineRule="auto"/>
        <w:ind w:left="341"/>
        <w:jc w:val="both"/>
        <w:rPr>
          <w:bCs/>
        </w:rPr>
      </w:pPr>
      <w:r w:rsidRPr="00F34265">
        <w:rPr>
          <w:bCs/>
        </w:rPr>
        <w:t>A non-probability purposive sampling technique was employed because respondents were required to possess decision-making authority and relevant knowledge regarding technology adoption within their firms (</w:t>
      </w:r>
      <w:proofErr w:type="spellStart"/>
      <w:r w:rsidRPr="00F34265">
        <w:rPr>
          <w:bCs/>
        </w:rPr>
        <w:t>Etikan</w:t>
      </w:r>
      <w:proofErr w:type="spellEnd"/>
      <w:r w:rsidRPr="00F34265">
        <w:rPr>
          <w:bCs/>
        </w:rPr>
        <w:t xml:space="preserve"> et al., 2016). The sample size was determined based on recommendations for multiple regression analysis, which suggest that an adequate sample is necessary to ensure sufficient statistical power and reliable parameter estimation (Hair et al., 2022). Data collection was conducted through both online and physical questionnaire distribution to maximize participation and response rates. Participation was voluntary, and respondents were assured of confidentiality and anonymity to minimize response bias and encourage honest responses (Saunders et al., 2019).</w:t>
      </w:r>
    </w:p>
    <w:p w14:paraId="3606C059" w14:textId="77777777" w:rsidR="00F34265" w:rsidRPr="00F34265" w:rsidRDefault="00F34265" w:rsidP="00F34265">
      <w:pPr>
        <w:pStyle w:val="BodyText"/>
        <w:spacing w:line="259" w:lineRule="auto"/>
        <w:ind w:left="341"/>
        <w:jc w:val="both"/>
        <w:rPr>
          <w:bCs/>
        </w:rPr>
      </w:pPr>
    </w:p>
    <w:p w14:paraId="1D459596" w14:textId="3C0DF74A" w:rsidR="006768DF" w:rsidRPr="00F34265" w:rsidRDefault="00F34265" w:rsidP="00F34265">
      <w:pPr>
        <w:pStyle w:val="BodyText"/>
        <w:spacing w:line="259" w:lineRule="auto"/>
        <w:ind w:left="341"/>
        <w:jc w:val="both"/>
        <w:rPr>
          <w:bCs/>
        </w:rPr>
      </w:pPr>
      <w:r w:rsidRPr="00F34265">
        <w:rPr>
          <w:bCs/>
        </w:rPr>
        <w:t xml:space="preserve">The </w:t>
      </w:r>
      <w:proofErr w:type="gramStart"/>
      <w:r w:rsidRPr="00F34265">
        <w:rPr>
          <w:bCs/>
        </w:rPr>
        <w:t>collected data</w:t>
      </w:r>
      <w:proofErr w:type="gramEnd"/>
      <w:r w:rsidRPr="00F34265">
        <w:rPr>
          <w:bCs/>
        </w:rPr>
        <w:t xml:space="preserve"> were analyzed using the Statistical Package for the Social Sciences (SPSS). Descriptive statistics were used to summarize respondents' demographic profiles and organizational characteristics. Reliability analysis using Cronbach's alpha was conducted to assess the internal consistency of the measurement scales, with values exceeding 0.70 considered acceptable (Nunnally &amp; Bernstein, 1994). Pearson correlation analysis was performed to examine relationships among the study variables, while multiple regression analysis was employed to test the hypothesized relationships between technological, organizational, and environmental factors, green technology adoption, and SME performance (Hair et al., 2022).</w:t>
      </w:r>
    </w:p>
    <w:p w14:paraId="400BE709" w14:textId="77777777" w:rsidR="00F34265" w:rsidRDefault="00F34265" w:rsidP="00F34265">
      <w:pPr>
        <w:pStyle w:val="BodyText"/>
        <w:spacing w:line="259" w:lineRule="auto"/>
        <w:ind w:left="341"/>
        <w:jc w:val="both"/>
      </w:pPr>
    </w:p>
    <w:p w14:paraId="54B2FE69" w14:textId="77777777" w:rsidR="005E6C1A" w:rsidRDefault="005E6C1A" w:rsidP="005E6C1A">
      <w:pPr>
        <w:pStyle w:val="Heading1"/>
        <w:numPr>
          <w:ilvl w:val="0"/>
          <w:numId w:val="2"/>
        </w:numPr>
        <w:tabs>
          <w:tab w:val="left" w:pos="365"/>
        </w:tabs>
        <w:spacing w:before="1"/>
        <w:ind w:hanging="206"/>
      </w:pPr>
      <w:r>
        <w:t>Data</w:t>
      </w:r>
      <w:r>
        <w:rPr>
          <w:spacing w:val="-7"/>
        </w:rPr>
        <w:t xml:space="preserve"> </w:t>
      </w:r>
      <w:r>
        <w:t>Result</w:t>
      </w:r>
      <w:r>
        <w:rPr>
          <w:spacing w:val="-6"/>
        </w:rPr>
        <w:t xml:space="preserve"> </w:t>
      </w:r>
      <w:r>
        <w:t>and</w:t>
      </w:r>
      <w:r>
        <w:rPr>
          <w:spacing w:val="-7"/>
        </w:rPr>
        <w:t xml:space="preserve"> </w:t>
      </w:r>
      <w:r>
        <w:rPr>
          <w:spacing w:val="-2"/>
        </w:rPr>
        <w:t>Finding</w:t>
      </w:r>
    </w:p>
    <w:p w14:paraId="027143E2" w14:textId="77777777" w:rsidR="00F34265" w:rsidRDefault="00F34265" w:rsidP="00F34265">
      <w:pPr>
        <w:pStyle w:val="BodyText"/>
        <w:spacing w:before="39"/>
        <w:ind w:left="313"/>
        <w:jc w:val="both"/>
        <w:rPr>
          <w:bCs/>
        </w:rPr>
      </w:pPr>
    </w:p>
    <w:p w14:paraId="4505F383" w14:textId="6C816124" w:rsidR="005E6C1A" w:rsidRDefault="007B2A23" w:rsidP="007B2A23">
      <w:pPr>
        <w:pStyle w:val="BodyText"/>
        <w:spacing w:line="259" w:lineRule="auto"/>
        <w:ind w:left="313" w:right="97"/>
        <w:jc w:val="both"/>
      </w:pPr>
      <w:r w:rsidRPr="007B2A23">
        <w:t xml:space="preserve">Table </w:t>
      </w:r>
      <w:r>
        <w:t>1</w:t>
      </w:r>
      <w:r w:rsidRPr="007B2A23">
        <w:t xml:space="preserve"> presents the demographic profile of the respondents. </w:t>
      </w:r>
      <w:proofErr w:type="gramStart"/>
      <w:r w:rsidRPr="007B2A23">
        <w:t>The majority of</w:t>
      </w:r>
      <w:proofErr w:type="gramEnd"/>
      <w:r w:rsidRPr="007B2A23">
        <w:t xml:space="preserve"> SMEs surveyed had adopted green technology (84.7%). Most respondents were female (49.5%), aged between 25 and 34 years (64.9%), and possessed at least a bachelor's degree (50.0%). More than half of the respondents occupied top management positions (52.0%), indicating that the data were obtained from individuals directly involved in strategic decision-making. The Electrical and Electronics sector represented the largest manufacturing segment (17.8%). Most participating firms were small-sized enterprises with 5–74 employees (68.8%), annual sales turnover between RM300,000 and RM15 million (68.3%), and had been operating for 3–5 years (47.5%). These findings suggest that the sample predominantly consists of relatively young, educated decision-makers from small manufacturing SMEs actively engaged in green technology adoption initiatives.</w:t>
      </w:r>
    </w:p>
    <w:p w14:paraId="1F1AC129" w14:textId="77777777" w:rsidR="007B2A23" w:rsidRDefault="007B2A23" w:rsidP="005E6C1A">
      <w:pPr>
        <w:pStyle w:val="BodyText"/>
        <w:spacing w:line="259" w:lineRule="auto"/>
        <w:ind w:right="97"/>
        <w:jc w:val="both"/>
      </w:pPr>
    </w:p>
    <w:p w14:paraId="3F80C6B7" w14:textId="69F2C197" w:rsidR="007B2A23" w:rsidRDefault="007B2A23" w:rsidP="005E6C1A">
      <w:pPr>
        <w:pStyle w:val="BodyText"/>
        <w:spacing w:line="259" w:lineRule="auto"/>
        <w:ind w:right="97"/>
        <w:jc w:val="both"/>
      </w:pPr>
      <w:r w:rsidRPr="007B2A23">
        <w:t xml:space="preserve">Table </w:t>
      </w:r>
      <w:r>
        <w:t>1</w:t>
      </w:r>
      <w:r w:rsidRPr="007B2A23">
        <w:t>. Summary of Respondents' Demographic Profile (N = 202)</w:t>
      </w:r>
    </w:p>
    <w:tbl>
      <w:tblPr>
        <w:tblW w:w="8786" w:type="dxa"/>
        <w:tblCellSpacing w:w="15" w:type="dxa"/>
        <w:tblInd w:w="187" w:type="dxa"/>
        <w:tblCellMar>
          <w:top w:w="15" w:type="dxa"/>
          <w:left w:w="15" w:type="dxa"/>
          <w:bottom w:w="15" w:type="dxa"/>
          <w:right w:w="15" w:type="dxa"/>
        </w:tblCellMar>
        <w:tblLook w:val="04A0" w:firstRow="1" w:lastRow="0" w:firstColumn="1" w:lastColumn="0" w:noHBand="0" w:noVBand="1"/>
      </w:tblPr>
      <w:tblGrid>
        <w:gridCol w:w="2768"/>
        <w:gridCol w:w="2809"/>
        <w:gridCol w:w="1536"/>
        <w:gridCol w:w="1673"/>
      </w:tblGrid>
      <w:tr w:rsidR="007B2A23" w:rsidRPr="007B2A23" w14:paraId="56BD9778" w14:textId="77777777" w:rsidTr="007B2A23">
        <w:trPr>
          <w:tblHeader/>
          <w:tblCellSpacing w:w="15" w:type="dxa"/>
        </w:trPr>
        <w:tc>
          <w:tcPr>
            <w:tcW w:w="0" w:type="auto"/>
            <w:tcBorders>
              <w:top w:val="single" w:sz="4" w:space="0" w:color="auto"/>
              <w:bottom w:val="single" w:sz="4" w:space="0" w:color="auto"/>
            </w:tcBorders>
            <w:vAlign w:val="center"/>
            <w:hideMark/>
          </w:tcPr>
          <w:p w14:paraId="7F12230E" w14:textId="77777777" w:rsidR="007B2A23" w:rsidRPr="007B2A23" w:rsidRDefault="007B2A23" w:rsidP="007B2A23">
            <w:pPr>
              <w:pStyle w:val="BodyText"/>
              <w:spacing w:line="259" w:lineRule="auto"/>
              <w:ind w:right="97"/>
              <w:jc w:val="both"/>
              <w:rPr>
                <w:b/>
                <w:bCs/>
                <w:lang w:val="en-MY"/>
              </w:rPr>
            </w:pPr>
            <w:r w:rsidRPr="007B2A23">
              <w:rPr>
                <w:b/>
                <w:bCs/>
                <w:lang w:val="en-MY"/>
              </w:rPr>
              <w:t>Demographic Variable</w:t>
            </w:r>
          </w:p>
        </w:tc>
        <w:tc>
          <w:tcPr>
            <w:tcW w:w="0" w:type="auto"/>
            <w:tcBorders>
              <w:top w:val="single" w:sz="4" w:space="0" w:color="auto"/>
              <w:bottom w:val="single" w:sz="4" w:space="0" w:color="auto"/>
            </w:tcBorders>
            <w:vAlign w:val="center"/>
            <w:hideMark/>
          </w:tcPr>
          <w:p w14:paraId="75D7CA97" w14:textId="77777777" w:rsidR="007B2A23" w:rsidRPr="007B2A23" w:rsidRDefault="007B2A23" w:rsidP="007B2A23">
            <w:pPr>
              <w:pStyle w:val="BodyText"/>
              <w:spacing w:line="259" w:lineRule="auto"/>
              <w:ind w:right="97"/>
              <w:jc w:val="both"/>
              <w:rPr>
                <w:b/>
                <w:bCs/>
                <w:lang w:val="en-MY"/>
              </w:rPr>
            </w:pPr>
            <w:r w:rsidRPr="007B2A23">
              <w:rPr>
                <w:b/>
                <w:bCs/>
                <w:lang w:val="en-MY"/>
              </w:rPr>
              <w:t>Category</w:t>
            </w:r>
          </w:p>
        </w:tc>
        <w:tc>
          <w:tcPr>
            <w:tcW w:w="0" w:type="auto"/>
            <w:tcBorders>
              <w:top w:val="single" w:sz="4" w:space="0" w:color="auto"/>
              <w:bottom w:val="single" w:sz="4" w:space="0" w:color="auto"/>
            </w:tcBorders>
            <w:vAlign w:val="center"/>
            <w:hideMark/>
          </w:tcPr>
          <w:p w14:paraId="72840275" w14:textId="77777777" w:rsidR="007B2A23" w:rsidRPr="007B2A23" w:rsidRDefault="007B2A23" w:rsidP="007B2A23">
            <w:pPr>
              <w:pStyle w:val="BodyText"/>
              <w:spacing w:line="259" w:lineRule="auto"/>
              <w:ind w:right="97"/>
              <w:jc w:val="both"/>
              <w:rPr>
                <w:b/>
                <w:bCs/>
                <w:lang w:val="en-MY"/>
              </w:rPr>
            </w:pPr>
            <w:r w:rsidRPr="007B2A23">
              <w:rPr>
                <w:b/>
                <w:bCs/>
                <w:lang w:val="en-MY"/>
              </w:rPr>
              <w:t>Frequency (n)</w:t>
            </w:r>
          </w:p>
        </w:tc>
        <w:tc>
          <w:tcPr>
            <w:tcW w:w="0" w:type="auto"/>
            <w:tcBorders>
              <w:top w:val="single" w:sz="4" w:space="0" w:color="auto"/>
              <w:bottom w:val="single" w:sz="4" w:space="0" w:color="auto"/>
            </w:tcBorders>
            <w:vAlign w:val="center"/>
            <w:hideMark/>
          </w:tcPr>
          <w:p w14:paraId="4D5F293B" w14:textId="77777777" w:rsidR="007B2A23" w:rsidRPr="007B2A23" w:rsidRDefault="007B2A23" w:rsidP="007B2A23">
            <w:pPr>
              <w:pStyle w:val="BodyText"/>
              <w:spacing w:line="259" w:lineRule="auto"/>
              <w:ind w:right="97"/>
              <w:jc w:val="both"/>
              <w:rPr>
                <w:b/>
                <w:bCs/>
                <w:lang w:val="en-MY"/>
              </w:rPr>
            </w:pPr>
            <w:r w:rsidRPr="007B2A23">
              <w:rPr>
                <w:b/>
                <w:bCs/>
                <w:lang w:val="en-MY"/>
              </w:rPr>
              <w:t>Percentage (%)</w:t>
            </w:r>
          </w:p>
        </w:tc>
      </w:tr>
      <w:tr w:rsidR="007B2A23" w:rsidRPr="007B2A23" w14:paraId="5533AA63" w14:textId="77777777" w:rsidTr="007B2A23">
        <w:trPr>
          <w:tblCellSpacing w:w="15" w:type="dxa"/>
        </w:trPr>
        <w:tc>
          <w:tcPr>
            <w:tcW w:w="0" w:type="auto"/>
            <w:vAlign w:val="center"/>
            <w:hideMark/>
          </w:tcPr>
          <w:p w14:paraId="4268CB08" w14:textId="77777777" w:rsidR="007B2A23" w:rsidRPr="007B2A23" w:rsidRDefault="007B2A23" w:rsidP="007B2A23">
            <w:pPr>
              <w:pStyle w:val="BodyText"/>
              <w:spacing w:line="259" w:lineRule="auto"/>
              <w:ind w:right="97"/>
              <w:jc w:val="both"/>
              <w:rPr>
                <w:lang w:val="en-MY"/>
              </w:rPr>
            </w:pPr>
            <w:r w:rsidRPr="007B2A23">
              <w:rPr>
                <w:b/>
                <w:bCs/>
                <w:lang w:val="en-MY"/>
              </w:rPr>
              <w:t>Green Technology Adoption</w:t>
            </w:r>
          </w:p>
        </w:tc>
        <w:tc>
          <w:tcPr>
            <w:tcW w:w="0" w:type="auto"/>
            <w:vAlign w:val="center"/>
            <w:hideMark/>
          </w:tcPr>
          <w:p w14:paraId="4941D616" w14:textId="77777777" w:rsidR="007B2A23" w:rsidRPr="007B2A23" w:rsidRDefault="007B2A23" w:rsidP="007B2A23">
            <w:pPr>
              <w:pStyle w:val="BodyText"/>
              <w:spacing w:line="259" w:lineRule="auto"/>
              <w:ind w:right="97"/>
              <w:jc w:val="both"/>
              <w:rPr>
                <w:lang w:val="en-MY"/>
              </w:rPr>
            </w:pPr>
            <w:r w:rsidRPr="007B2A23">
              <w:rPr>
                <w:lang w:val="en-MY"/>
              </w:rPr>
              <w:t>Yes</w:t>
            </w:r>
          </w:p>
        </w:tc>
        <w:tc>
          <w:tcPr>
            <w:tcW w:w="0" w:type="auto"/>
            <w:vAlign w:val="center"/>
            <w:hideMark/>
          </w:tcPr>
          <w:p w14:paraId="7DBEDE35" w14:textId="77777777" w:rsidR="007B2A23" w:rsidRPr="007B2A23" w:rsidRDefault="007B2A23" w:rsidP="007B2A23">
            <w:pPr>
              <w:pStyle w:val="BodyText"/>
              <w:spacing w:line="259" w:lineRule="auto"/>
              <w:ind w:right="97"/>
              <w:jc w:val="both"/>
              <w:rPr>
                <w:lang w:val="en-MY"/>
              </w:rPr>
            </w:pPr>
            <w:r w:rsidRPr="007B2A23">
              <w:rPr>
                <w:lang w:val="en-MY"/>
              </w:rPr>
              <w:t>171</w:t>
            </w:r>
          </w:p>
        </w:tc>
        <w:tc>
          <w:tcPr>
            <w:tcW w:w="0" w:type="auto"/>
            <w:vAlign w:val="center"/>
            <w:hideMark/>
          </w:tcPr>
          <w:p w14:paraId="1E5F9DC1" w14:textId="77777777" w:rsidR="007B2A23" w:rsidRPr="007B2A23" w:rsidRDefault="007B2A23" w:rsidP="007B2A23">
            <w:pPr>
              <w:pStyle w:val="BodyText"/>
              <w:spacing w:line="259" w:lineRule="auto"/>
              <w:ind w:right="97"/>
              <w:jc w:val="both"/>
              <w:rPr>
                <w:lang w:val="en-MY"/>
              </w:rPr>
            </w:pPr>
            <w:r w:rsidRPr="007B2A23">
              <w:rPr>
                <w:lang w:val="en-MY"/>
              </w:rPr>
              <w:t>84.7</w:t>
            </w:r>
          </w:p>
        </w:tc>
      </w:tr>
      <w:tr w:rsidR="007B2A23" w:rsidRPr="007B2A23" w14:paraId="6536328D" w14:textId="77777777" w:rsidTr="007B2A23">
        <w:trPr>
          <w:tblCellSpacing w:w="15" w:type="dxa"/>
        </w:trPr>
        <w:tc>
          <w:tcPr>
            <w:tcW w:w="0" w:type="auto"/>
            <w:vAlign w:val="center"/>
            <w:hideMark/>
          </w:tcPr>
          <w:p w14:paraId="3A1C776D"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711E53CE" w14:textId="77777777" w:rsidR="007B2A23" w:rsidRPr="007B2A23" w:rsidRDefault="007B2A23" w:rsidP="007B2A23">
            <w:pPr>
              <w:pStyle w:val="BodyText"/>
              <w:spacing w:line="259" w:lineRule="auto"/>
              <w:ind w:right="97"/>
              <w:jc w:val="both"/>
              <w:rPr>
                <w:lang w:val="en-MY"/>
              </w:rPr>
            </w:pPr>
            <w:r w:rsidRPr="007B2A23">
              <w:rPr>
                <w:lang w:val="en-MY"/>
              </w:rPr>
              <w:t>No</w:t>
            </w:r>
          </w:p>
        </w:tc>
        <w:tc>
          <w:tcPr>
            <w:tcW w:w="0" w:type="auto"/>
            <w:vAlign w:val="center"/>
            <w:hideMark/>
          </w:tcPr>
          <w:p w14:paraId="3382036B"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1DC9E3D5"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0F531DEC" w14:textId="77777777" w:rsidTr="007B2A23">
        <w:trPr>
          <w:tblCellSpacing w:w="15" w:type="dxa"/>
        </w:trPr>
        <w:tc>
          <w:tcPr>
            <w:tcW w:w="0" w:type="auto"/>
            <w:vAlign w:val="center"/>
            <w:hideMark/>
          </w:tcPr>
          <w:p w14:paraId="6B3E32B2" w14:textId="77777777" w:rsidR="007B2A23" w:rsidRPr="007B2A23" w:rsidRDefault="007B2A23" w:rsidP="007B2A23">
            <w:pPr>
              <w:pStyle w:val="BodyText"/>
              <w:spacing w:line="259" w:lineRule="auto"/>
              <w:ind w:right="97"/>
              <w:jc w:val="both"/>
              <w:rPr>
                <w:lang w:val="en-MY"/>
              </w:rPr>
            </w:pPr>
            <w:r w:rsidRPr="007B2A23">
              <w:rPr>
                <w:b/>
                <w:bCs/>
                <w:lang w:val="en-MY"/>
              </w:rPr>
              <w:t>Gender</w:t>
            </w:r>
          </w:p>
        </w:tc>
        <w:tc>
          <w:tcPr>
            <w:tcW w:w="0" w:type="auto"/>
            <w:vAlign w:val="center"/>
            <w:hideMark/>
          </w:tcPr>
          <w:p w14:paraId="4C2BD0F2" w14:textId="77777777" w:rsidR="007B2A23" w:rsidRPr="007B2A23" w:rsidRDefault="007B2A23" w:rsidP="007B2A23">
            <w:pPr>
              <w:pStyle w:val="BodyText"/>
              <w:spacing w:line="259" w:lineRule="auto"/>
              <w:ind w:right="97"/>
              <w:jc w:val="both"/>
              <w:rPr>
                <w:lang w:val="en-MY"/>
              </w:rPr>
            </w:pPr>
            <w:r w:rsidRPr="007B2A23">
              <w:rPr>
                <w:lang w:val="en-MY"/>
              </w:rPr>
              <w:t>Female</w:t>
            </w:r>
          </w:p>
        </w:tc>
        <w:tc>
          <w:tcPr>
            <w:tcW w:w="0" w:type="auto"/>
            <w:vAlign w:val="center"/>
            <w:hideMark/>
          </w:tcPr>
          <w:p w14:paraId="47FBBE89" w14:textId="77777777" w:rsidR="007B2A23" w:rsidRPr="007B2A23" w:rsidRDefault="007B2A23" w:rsidP="007B2A23">
            <w:pPr>
              <w:pStyle w:val="BodyText"/>
              <w:spacing w:line="259" w:lineRule="auto"/>
              <w:ind w:right="97"/>
              <w:jc w:val="both"/>
              <w:rPr>
                <w:lang w:val="en-MY"/>
              </w:rPr>
            </w:pPr>
            <w:r w:rsidRPr="007B2A23">
              <w:rPr>
                <w:lang w:val="en-MY"/>
              </w:rPr>
              <w:t>100</w:t>
            </w:r>
          </w:p>
        </w:tc>
        <w:tc>
          <w:tcPr>
            <w:tcW w:w="0" w:type="auto"/>
            <w:vAlign w:val="center"/>
            <w:hideMark/>
          </w:tcPr>
          <w:p w14:paraId="1FC979D2" w14:textId="77777777" w:rsidR="007B2A23" w:rsidRPr="007B2A23" w:rsidRDefault="007B2A23" w:rsidP="007B2A23">
            <w:pPr>
              <w:pStyle w:val="BodyText"/>
              <w:spacing w:line="259" w:lineRule="auto"/>
              <w:ind w:right="97"/>
              <w:jc w:val="both"/>
              <w:rPr>
                <w:lang w:val="en-MY"/>
              </w:rPr>
            </w:pPr>
            <w:r w:rsidRPr="007B2A23">
              <w:rPr>
                <w:lang w:val="en-MY"/>
              </w:rPr>
              <w:t>49.5</w:t>
            </w:r>
          </w:p>
        </w:tc>
      </w:tr>
      <w:tr w:rsidR="007B2A23" w:rsidRPr="007B2A23" w14:paraId="66DDC44F" w14:textId="77777777" w:rsidTr="007B2A23">
        <w:trPr>
          <w:tblCellSpacing w:w="15" w:type="dxa"/>
        </w:trPr>
        <w:tc>
          <w:tcPr>
            <w:tcW w:w="0" w:type="auto"/>
            <w:vAlign w:val="center"/>
            <w:hideMark/>
          </w:tcPr>
          <w:p w14:paraId="02AF95CB"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251242EC" w14:textId="77777777" w:rsidR="007B2A23" w:rsidRPr="007B2A23" w:rsidRDefault="007B2A23" w:rsidP="007B2A23">
            <w:pPr>
              <w:pStyle w:val="BodyText"/>
              <w:spacing w:line="259" w:lineRule="auto"/>
              <w:ind w:right="97"/>
              <w:jc w:val="both"/>
              <w:rPr>
                <w:lang w:val="en-MY"/>
              </w:rPr>
            </w:pPr>
            <w:r w:rsidRPr="007B2A23">
              <w:rPr>
                <w:lang w:val="en-MY"/>
              </w:rPr>
              <w:t>Male</w:t>
            </w:r>
          </w:p>
        </w:tc>
        <w:tc>
          <w:tcPr>
            <w:tcW w:w="0" w:type="auto"/>
            <w:vAlign w:val="center"/>
            <w:hideMark/>
          </w:tcPr>
          <w:p w14:paraId="489E17BA" w14:textId="77777777" w:rsidR="007B2A23" w:rsidRPr="007B2A23" w:rsidRDefault="007B2A23" w:rsidP="007B2A23">
            <w:pPr>
              <w:pStyle w:val="BodyText"/>
              <w:spacing w:line="259" w:lineRule="auto"/>
              <w:ind w:right="97"/>
              <w:jc w:val="both"/>
              <w:rPr>
                <w:lang w:val="en-MY"/>
              </w:rPr>
            </w:pPr>
            <w:r w:rsidRPr="007B2A23">
              <w:rPr>
                <w:lang w:val="en-MY"/>
              </w:rPr>
              <w:t>71</w:t>
            </w:r>
          </w:p>
        </w:tc>
        <w:tc>
          <w:tcPr>
            <w:tcW w:w="0" w:type="auto"/>
            <w:vAlign w:val="center"/>
            <w:hideMark/>
          </w:tcPr>
          <w:p w14:paraId="740109B1" w14:textId="77777777" w:rsidR="007B2A23" w:rsidRPr="007B2A23" w:rsidRDefault="007B2A23" w:rsidP="007B2A23">
            <w:pPr>
              <w:pStyle w:val="BodyText"/>
              <w:spacing w:line="259" w:lineRule="auto"/>
              <w:ind w:right="97"/>
              <w:jc w:val="both"/>
              <w:rPr>
                <w:lang w:val="en-MY"/>
              </w:rPr>
            </w:pPr>
            <w:r w:rsidRPr="007B2A23">
              <w:rPr>
                <w:lang w:val="en-MY"/>
              </w:rPr>
              <w:t>35.1</w:t>
            </w:r>
          </w:p>
        </w:tc>
      </w:tr>
      <w:tr w:rsidR="007B2A23" w:rsidRPr="007B2A23" w14:paraId="6D19D7C7" w14:textId="77777777" w:rsidTr="007B2A23">
        <w:trPr>
          <w:tblCellSpacing w:w="15" w:type="dxa"/>
        </w:trPr>
        <w:tc>
          <w:tcPr>
            <w:tcW w:w="0" w:type="auto"/>
            <w:vAlign w:val="center"/>
            <w:hideMark/>
          </w:tcPr>
          <w:p w14:paraId="64C0F206"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911BC86"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187A538C"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27E3E6CC"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189801C8" w14:textId="77777777" w:rsidTr="007B2A23">
        <w:trPr>
          <w:tblCellSpacing w:w="15" w:type="dxa"/>
        </w:trPr>
        <w:tc>
          <w:tcPr>
            <w:tcW w:w="0" w:type="auto"/>
            <w:vAlign w:val="center"/>
            <w:hideMark/>
          </w:tcPr>
          <w:p w14:paraId="1377EBED" w14:textId="77777777" w:rsidR="007B2A23" w:rsidRPr="007B2A23" w:rsidRDefault="007B2A23" w:rsidP="007B2A23">
            <w:pPr>
              <w:pStyle w:val="BodyText"/>
              <w:spacing w:line="259" w:lineRule="auto"/>
              <w:ind w:right="97"/>
              <w:jc w:val="both"/>
              <w:rPr>
                <w:lang w:val="en-MY"/>
              </w:rPr>
            </w:pPr>
            <w:r w:rsidRPr="007B2A23">
              <w:rPr>
                <w:b/>
                <w:bCs/>
                <w:lang w:val="en-MY"/>
              </w:rPr>
              <w:t>Age</w:t>
            </w:r>
          </w:p>
        </w:tc>
        <w:tc>
          <w:tcPr>
            <w:tcW w:w="0" w:type="auto"/>
            <w:vAlign w:val="center"/>
            <w:hideMark/>
          </w:tcPr>
          <w:p w14:paraId="7AA295AC" w14:textId="77777777" w:rsidR="007B2A23" w:rsidRPr="007B2A23" w:rsidRDefault="007B2A23" w:rsidP="007B2A23">
            <w:pPr>
              <w:pStyle w:val="BodyText"/>
              <w:spacing w:line="259" w:lineRule="auto"/>
              <w:ind w:right="97"/>
              <w:jc w:val="both"/>
              <w:rPr>
                <w:lang w:val="en-MY"/>
              </w:rPr>
            </w:pPr>
            <w:r w:rsidRPr="007B2A23">
              <w:rPr>
                <w:lang w:val="en-MY"/>
              </w:rPr>
              <w:t>25–34 years</w:t>
            </w:r>
          </w:p>
        </w:tc>
        <w:tc>
          <w:tcPr>
            <w:tcW w:w="0" w:type="auto"/>
            <w:vAlign w:val="center"/>
            <w:hideMark/>
          </w:tcPr>
          <w:p w14:paraId="4A54D8A0" w14:textId="77777777" w:rsidR="007B2A23" w:rsidRPr="007B2A23" w:rsidRDefault="007B2A23" w:rsidP="007B2A23">
            <w:pPr>
              <w:pStyle w:val="BodyText"/>
              <w:spacing w:line="259" w:lineRule="auto"/>
              <w:ind w:right="97"/>
              <w:jc w:val="both"/>
              <w:rPr>
                <w:lang w:val="en-MY"/>
              </w:rPr>
            </w:pPr>
            <w:r w:rsidRPr="007B2A23">
              <w:rPr>
                <w:lang w:val="en-MY"/>
              </w:rPr>
              <w:t>131</w:t>
            </w:r>
          </w:p>
        </w:tc>
        <w:tc>
          <w:tcPr>
            <w:tcW w:w="0" w:type="auto"/>
            <w:vAlign w:val="center"/>
            <w:hideMark/>
          </w:tcPr>
          <w:p w14:paraId="340756C1" w14:textId="77777777" w:rsidR="007B2A23" w:rsidRPr="007B2A23" w:rsidRDefault="007B2A23" w:rsidP="007B2A23">
            <w:pPr>
              <w:pStyle w:val="BodyText"/>
              <w:spacing w:line="259" w:lineRule="auto"/>
              <w:ind w:right="97"/>
              <w:jc w:val="both"/>
              <w:rPr>
                <w:lang w:val="en-MY"/>
              </w:rPr>
            </w:pPr>
            <w:r w:rsidRPr="007B2A23">
              <w:rPr>
                <w:lang w:val="en-MY"/>
              </w:rPr>
              <w:t>64.9</w:t>
            </w:r>
          </w:p>
        </w:tc>
      </w:tr>
      <w:tr w:rsidR="007B2A23" w:rsidRPr="007B2A23" w14:paraId="3541399C" w14:textId="77777777" w:rsidTr="007B2A23">
        <w:trPr>
          <w:tblCellSpacing w:w="15" w:type="dxa"/>
        </w:trPr>
        <w:tc>
          <w:tcPr>
            <w:tcW w:w="0" w:type="auto"/>
            <w:vAlign w:val="center"/>
            <w:hideMark/>
          </w:tcPr>
          <w:p w14:paraId="1A891D11"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192CCCA0" w14:textId="77777777" w:rsidR="007B2A23" w:rsidRPr="007B2A23" w:rsidRDefault="007B2A23" w:rsidP="007B2A23">
            <w:pPr>
              <w:pStyle w:val="BodyText"/>
              <w:spacing w:line="259" w:lineRule="auto"/>
              <w:ind w:right="97"/>
              <w:jc w:val="both"/>
              <w:rPr>
                <w:lang w:val="en-MY"/>
              </w:rPr>
            </w:pPr>
            <w:r w:rsidRPr="007B2A23">
              <w:rPr>
                <w:lang w:val="en-MY"/>
              </w:rPr>
              <w:t>35–44 years</w:t>
            </w:r>
          </w:p>
        </w:tc>
        <w:tc>
          <w:tcPr>
            <w:tcW w:w="0" w:type="auto"/>
            <w:vAlign w:val="center"/>
            <w:hideMark/>
          </w:tcPr>
          <w:p w14:paraId="66B2D97C" w14:textId="77777777" w:rsidR="007B2A23" w:rsidRPr="007B2A23" w:rsidRDefault="007B2A23" w:rsidP="007B2A23">
            <w:pPr>
              <w:pStyle w:val="BodyText"/>
              <w:spacing w:line="259" w:lineRule="auto"/>
              <w:ind w:right="97"/>
              <w:jc w:val="both"/>
              <w:rPr>
                <w:lang w:val="en-MY"/>
              </w:rPr>
            </w:pPr>
            <w:r w:rsidRPr="007B2A23">
              <w:rPr>
                <w:lang w:val="en-MY"/>
              </w:rPr>
              <w:t>37</w:t>
            </w:r>
          </w:p>
        </w:tc>
        <w:tc>
          <w:tcPr>
            <w:tcW w:w="0" w:type="auto"/>
            <w:vAlign w:val="center"/>
            <w:hideMark/>
          </w:tcPr>
          <w:p w14:paraId="764E4F32" w14:textId="77777777" w:rsidR="007B2A23" w:rsidRPr="007B2A23" w:rsidRDefault="007B2A23" w:rsidP="007B2A23">
            <w:pPr>
              <w:pStyle w:val="BodyText"/>
              <w:spacing w:line="259" w:lineRule="auto"/>
              <w:ind w:right="97"/>
              <w:jc w:val="both"/>
              <w:rPr>
                <w:lang w:val="en-MY"/>
              </w:rPr>
            </w:pPr>
            <w:r w:rsidRPr="007B2A23">
              <w:rPr>
                <w:lang w:val="en-MY"/>
              </w:rPr>
              <w:t>18.3</w:t>
            </w:r>
          </w:p>
        </w:tc>
      </w:tr>
      <w:tr w:rsidR="007B2A23" w:rsidRPr="007B2A23" w14:paraId="196D481C" w14:textId="77777777" w:rsidTr="007B2A23">
        <w:trPr>
          <w:tblCellSpacing w:w="15" w:type="dxa"/>
        </w:trPr>
        <w:tc>
          <w:tcPr>
            <w:tcW w:w="0" w:type="auto"/>
            <w:vAlign w:val="center"/>
            <w:hideMark/>
          </w:tcPr>
          <w:p w14:paraId="224BE6AC"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4DD1585" w14:textId="77777777" w:rsidR="007B2A23" w:rsidRPr="007B2A23" w:rsidRDefault="007B2A23" w:rsidP="007B2A23">
            <w:pPr>
              <w:pStyle w:val="BodyText"/>
              <w:spacing w:line="259" w:lineRule="auto"/>
              <w:ind w:right="97"/>
              <w:jc w:val="both"/>
              <w:rPr>
                <w:lang w:val="en-MY"/>
              </w:rPr>
            </w:pPr>
            <w:r w:rsidRPr="007B2A23">
              <w:rPr>
                <w:lang w:val="en-MY"/>
              </w:rPr>
              <w:t>45–54 years</w:t>
            </w:r>
          </w:p>
        </w:tc>
        <w:tc>
          <w:tcPr>
            <w:tcW w:w="0" w:type="auto"/>
            <w:vAlign w:val="center"/>
            <w:hideMark/>
          </w:tcPr>
          <w:p w14:paraId="408F82A2" w14:textId="77777777" w:rsidR="007B2A23" w:rsidRPr="007B2A23" w:rsidRDefault="007B2A23" w:rsidP="007B2A23">
            <w:pPr>
              <w:pStyle w:val="BodyText"/>
              <w:spacing w:line="259" w:lineRule="auto"/>
              <w:ind w:right="97"/>
              <w:jc w:val="both"/>
              <w:rPr>
                <w:lang w:val="en-MY"/>
              </w:rPr>
            </w:pPr>
            <w:r w:rsidRPr="007B2A23">
              <w:rPr>
                <w:lang w:val="en-MY"/>
              </w:rPr>
              <w:t>3</w:t>
            </w:r>
          </w:p>
        </w:tc>
        <w:tc>
          <w:tcPr>
            <w:tcW w:w="0" w:type="auto"/>
            <w:vAlign w:val="center"/>
            <w:hideMark/>
          </w:tcPr>
          <w:p w14:paraId="5C93493B" w14:textId="77777777" w:rsidR="007B2A23" w:rsidRPr="007B2A23" w:rsidRDefault="007B2A23" w:rsidP="007B2A23">
            <w:pPr>
              <w:pStyle w:val="BodyText"/>
              <w:spacing w:line="259" w:lineRule="auto"/>
              <w:ind w:right="97"/>
              <w:jc w:val="both"/>
              <w:rPr>
                <w:lang w:val="en-MY"/>
              </w:rPr>
            </w:pPr>
            <w:r w:rsidRPr="007B2A23">
              <w:rPr>
                <w:lang w:val="en-MY"/>
              </w:rPr>
              <w:t>1.5</w:t>
            </w:r>
          </w:p>
        </w:tc>
      </w:tr>
      <w:tr w:rsidR="007B2A23" w:rsidRPr="007B2A23" w14:paraId="13F8CF8C" w14:textId="77777777" w:rsidTr="007B2A23">
        <w:trPr>
          <w:tblCellSpacing w:w="15" w:type="dxa"/>
        </w:trPr>
        <w:tc>
          <w:tcPr>
            <w:tcW w:w="0" w:type="auto"/>
            <w:vAlign w:val="center"/>
            <w:hideMark/>
          </w:tcPr>
          <w:p w14:paraId="10740E53"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4F5649D0"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3C5A8B3A"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789C01AA"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2A3FBF03" w14:textId="77777777" w:rsidTr="007B2A23">
        <w:trPr>
          <w:tblCellSpacing w:w="15" w:type="dxa"/>
        </w:trPr>
        <w:tc>
          <w:tcPr>
            <w:tcW w:w="0" w:type="auto"/>
            <w:vAlign w:val="center"/>
            <w:hideMark/>
          </w:tcPr>
          <w:p w14:paraId="4B3ED9D8" w14:textId="77777777" w:rsidR="007B2A23" w:rsidRPr="007B2A23" w:rsidRDefault="007B2A23" w:rsidP="007B2A23">
            <w:pPr>
              <w:pStyle w:val="BodyText"/>
              <w:spacing w:line="259" w:lineRule="auto"/>
              <w:ind w:right="97"/>
              <w:jc w:val="both"/>
              <w:rPr>
                <w:lang w:val="en-MY"/>
              </w:rPr>
            </w:pPr>
            <w:r w:rsidRPr="007B2A23">
              <w:rPr>
                <w:b/>
                <w:bCs/>
                <w:lang w:val="en-MY"/>
              </w:rPr>
              <w:t>Education Level</w:t>
            </w:r>
          </w:p>
        </w:tc>
        <w:tc>
          <w:tcPr>
            <w:tcW w:w="0" w:type="auto"/>
            <w:vAlign w:val="center"/>
            <w:hideMark/>
          </w:tcPr>
          <w:p w14:paraId="4537FED9" w14:textId="77777777" w:rsidR="007B2A23" w:rsidRPr="007B2A23" w:rsidRDefault="007B2A23" w:rsidP="007B2A23">
            <w:pPr>
              <w:pStyle w:val="BodyText"/>
              <w:spacing w:line="259" w:lineRule="auto"/>
              <w:ind w:right="97"/>
              <w:jc w:val="both"/>
              <w:rPr>
                <w:lang w:val="en-MY"/>
              </w:rPr>
            </w:pPr>
            <w:r w:rsidRPr="007B2A23">
              <w:rPr>
                <w:lang w:val="en-MY"/>
              </w:rPr>
              <w:t>Bachelor's Degree</w:t>
            </w:r>
          </w:p>
        </w:tc>
        <w:tc>
          <w:tcPr>
            <w:tcW w:w="0" w:type="auto"/>
            <w:vAlign w:val="center"/>
            <w:hideMark/>
          </w:tcPr>
          <w:p w14:paraId="10389A56" w14:textId="77777777" w:rsidR="007B2A23" w:rsidRPr="007B2A23" w:rsidRDefault="007B2A23" w:rsidP="007B2A23">
            <w:pPr>
              <w:pStyle w:val="BodyText"/>
              <w:spacing w:line="259" w:lineRule="auto"/>
              <w:ind w:right="97"/>
              <w:jc w:val="both"/>
              <w:rPr>
                <w:lang w:val="en-MY"/>
              </w:rPr>
            </w:pPr>
            <w:r w:rsidRPr="007B2A23">
              <w:rPr>
                <w:lang w:val="en-MY"/>
              </w:rPr>
              <w:t>101</w:t>
            </w:r>
          </w:p>
        </w:tc>
        <w:tc>
          <w:tcPr>
            <w:tcW w:w="0" w:type="auto"/>
            <w:vAlign w:val="center"/>
            <w:hideMark/>
          </w:tcPr>
          <w:p w14:paraId="66857E00" w14:textId="77777777" w:rsidR="007B2A23" w:rsidRPr="007B2A23" w:rsidRDefault="007B2A23" w:rsidP="007B2A23">
            <w:pPr>
              <w:pStyle w:val="BodyText"/>
              <w:spacing w:line="259" w:lineRule="auto"/>
              <w:ind w:right="97"/>
              <w:jc w:val="both"/>
              <w:rPr>
                <w:lang w:val="en-MY"/>
              </w:rPr>
            </w:pPr>
            <w:r w:rsidRPr="007B2A23">
              <w:rPr>
                <w:lang w:val="en-MY"/>
              </w:rPr>
              <w:t>50.0</w:t>
            </w:r>
          </w:p>
        </w:tc>
      </w:tr>
      <w:tr w:rsidR="007B2A23" w:rsidRPr="007B2A23" w14:paraId="14F38C21" w14:textId="77777777" w:rsidTr="007B2A23">
        <w:trPr>
          <w:tblCellSpacing w:w="15" w:type="dxa"/>
        </w:trPr>
        <w:tc>
          <w:tcPr>
            <w:tcW w:w="0" w:type="auto"/>
            <w:vAlign w:val="center"/>
            <w:hideMark/>
          </w:tcPr>
          <w:p w14:paraId="6A8F96FA"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219FDA33" w14:textId="77777777" w:rsidR="007B2A23" w:rsidRPr="007B2A23" w:rsidRDefault="007B2A23" w:rsidP="007B2A23">
            <w:pPr>
              <w:pStyle w:val="BodyText"/>
              <w:spacing w:line="259" w:lineRule="auto"/>
              <w:ind w:right="97"/>
              <w:jc w:val="both"/>
              <w:rPr>
                <w:lang w:val="en-MY"/>
              </w:rPr>
            </w:pPr>
            <w:r w:rsidRPr="007B2A23">
              <w:rPr>
                <w:lang w:val="en-MY"/>
              </w:rPr>
              <w:t>Master's Degree</w:t>
            </w:r>
          </w:p>
        </w:tc>
        <w:tc>
          <w:tcPr>
            <w:tcW w:w="0" w:type="auto"/>
            <w:vAlign w:val="center"/>
            <w:hideMark/>
          </w:tcPr>
          <w:p w14:paraId="0C82A727" w14:textId="77777777" w:rsidR="007B2A23" w:rsidRPr="007B2A23" w:rsidRDefault="007B2A23" w:rsidP="007B2A23">
            <w:pPr>
              <w:pStyle w:val="BodyText"/>
              <w:spacing w:line="259" w:lineRule="auto"/>
              <w:ind w:right="97"/>
              <w:jc w:val="both"/>
              <w:rPr>
                <w:lang w:val="en-MY"/>
              </w:rPr>
            </w:pPr>
            <w:r w:rsidRPr="007B2A23">
              <w:rPr>
                <w:lang w:val="en-MY"/>
              </w:rPr>
              <w:t>68</w:t>
            </w:r>
          </w:p>
        </w:tc>
        <w:tc>
          <w:tcPr>
            <w:tcW w:w="0" w:type="auto"/>
            <w:vAlign w:val="center"/>
            <w:hideMark/>
          </w:tcPr>
          <w:p w14:paraId="0B5347BB" w14:textId="77777777" w:rsidR="007B2A23" w:rsidRPr="007B2A23" w:rsidRDefault="007B2A23" w:rsidP="007B2A23">
            <w:pPr>
              <w:pStyle w:val="BodyText"/>
              <w:spacing w:line="259" w:lineRule="auto"/>
              <w:ind w:right="97"/>
              <w:jc w:val="both"/>
              <w:rPr>
                <w:lang w:val="en-MY"/>
              </w:rPr>
            </w:pPr>
            <w:r w:rsidRPr="007B2A23">
              <w:rPr>
                <w:lang w:val="en-MY"/>
              </w:rPr>
              <w:t>33.7</w:t>
            </w:r>
          </w:p>
        </w:tc>
      </w:tr>
      <w:tr w:rsidR="007B2A23" w:rsidRPr="007B2A23" w14:paraId="618D9193" w14:textId="77777777" w:rsidTr="007B2A23">
        <w:trPr>
          <w:tblCellSpacing w:w="15" w:type="dxa"/>
        </w:trPr>
        <w:tc>
          <w:tcPr>
            <w:tcW w:w="0" w:type="auto"/>
            <w:vAlign w:val="center"/>
            <w:hideMark/>
          </w:tcPr>
          <w:p w14:paraId="5E53947F"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4774A30E" w14:textId="77777777" w:rsidR="007B2A23" w:rsidRPr="007B2A23" w:rsidRDefault="007B2A23" w:rsidP="007B2A23">
            <w:pPr>
              <w:pStyle w:val="BodyText"/>
              <w:spacing w:line="259" w:lineRule="auto"/>
              <w:ind w:right="97"/>
              <w:jc w:val="both"/>
              <w:rPr>
                <w:lang w:val="en-MY"/>
              </w:rPr>
            </w:pPr>
            <w:r w:rsidRPr="007B2A23">
              <w:rPr>
                <w:lang w:val="en-MY"/>
              </w:rPr>
              <w:t>PhD/Doctorate</w:t>
            </w:r>
          </w:p>
        </w:tc>
        <w:tc>
          <w:tcPr>
            <w:tcW w:w="0" w:type="auto"/>
            <w:vAlign w:val="center"/>
            <w:hideMark/>
          </w:tcPr>
          <w:p w14:paraId="60A01E89" w14:textId="77777777" w:rsidR="007B2A23" w:rsidRPr="007B2A23" w:rsidRDefault="007B2A23" w:rsidP="007B2A23">
            <w:pPr>
              <w:pStyle w:val="BodyText"/>
              <w:spacing w:line="259" w:lineRule="auto"/>
              <w:ind w:right="97"/>
              <w:jc w:val="both"/>
              <w:rPr>
                <w:lang w:val="en-MY"/>
              </w:rPr>
            </w:pPr>
            <w:r w:rsidRPr="007B2A23">
              <w:rPr>
                <w:lang w:val="en-MY"/>
              </w:rPr>
              <w:t>2</w:t>
            </w:r>
          </w:p>
        </w:tc>
        <w:tc>
          <w:tcPr>
            <w:tcW w:w="0" w:type="auto"/>
            <w:vAlign w:val="center"/>
            <w:hideMark/>
          </w:tcPr>
          <w:p w14:paraId="79C04E6C" w14:textId="77777777" w:rsidR="007B2A23" w:rsidRPr="007B2A23" w:rsidRDefault="007B2A23" w:rsidP="007B2A23">
            <w:pPr>
              <w:pStyle w:val="BodyText"/>
              <w:spacing w:line="259" w:lineRule="auto"/>
              <w:ind w:right="97"/>
              <w:jc w:val="both"/>
              <w:rPr>
                <w:lang w:val="en-MY"/>
              </w:rPr>
            </w:pPr>
            <w:r w:rsidRPr="007B2A23">
              <w:rPr>
                <w:lang w:val="en-MY"/>
              </w:rPr>
              <w:t>1.0</w:t>
            </w:r>
          </w:p>
        </w:tc>
      </w:tr>
      <w:tr w:rsidR="007B2A23" w:rsidRPr="007B2A23" w14:paraId="14D8CBC7" w14:textId="77777777" w:rsidTr="007B2A23">
        <w:trPr>
          <w:tblCellSpacing w:w="15" w:type="dxa"/>
        </w:trPr>
        <w:tc>
          <w:tcPr>
            <w:tcW w:w="0" w:type="auto"/>
            <w:vAlign w:val="center"/>
            <w:hideMark/>
          </w:tcPr>
          <w:p w14:paraId="0F16967D"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7097E3F7"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0E118188"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50A2E931"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6D473565" w14:textId="77777777" w:rsidTr="007B2A23">
        <w:trPr>
          <w:tblCellSpacing w:w="15" w:type="dxa"/>
        </w:trPr>
        <w:tc>
          <w:tcPr>
            <w:tcW w:w="0" w:type="auto"/>
            <w:vAlign w:val="center"/>
            <w:hideMark/>
          </w:tcPr>
          <w:p w14:paraId="5C0E5600" w14:textId="77777777" w:rsidR="007B2A23" w:rsidRPr="007B2A23" w:rsidRDefault="007B2A23" w:rsidP="007B2A23">
            <w:pPr>
              <w:pStyle w:val="BodyText"/>
              <w:spacing w:line="259" w:lineRule="auto"/>
              <w:ind w:right="97"/>
              <w:jc w:val="both"/>
              <w:rPr>
                <w:lang w:val="en-MY"/>
              </w:rPr>
            </w:pPr>
            <w:r w:rsidRPr="007B2A23">
              <w:rPr>
                <w:b/>
                <w:bCs/>
                <w:lang w:val="en-MY"/>
              </w:rPr>
              <w:t>Position in Company</w:t>
            </w:r>
          </w:p>
        </w:tc>
        <w:tc>
          <w:tcPr>
            <w:tcW w:w="0" w:type="auto"/>
            <w:vAlign w:val="center"/>
            <w:hideMark/>
          </w:tcPr>
          <w:p w14:paraId="2D062D7F" w14:textId="77777777" w:rsidR="007B2A23" w:rsidRPr="007B2A23" w:rsidRDefault="007B2A23" w:rsidP="007B2A23">
            <w:pPr>
              <w:pStyle w:val="BodyText"/>
              <w:spacing w:line="259" w:lineRule="auto"/>
              <w:ind w:right="97"/>
              <w:jc w:val="both"/>
              <w:rPr>
                <w:lang w:val="en-MY"/>
              </w:rPr>
            </w:pPr>
            <w:r w:rsidRPr="007B2A23">
              <w:rPr>
                <w:lang w:val="en-MY"/>
              </w:rPr>
              <w:t>Top Management</w:t>
            </w:r>
          </w:p>
        </w:tc>
        <w:tc>
          <w:tcPr>
            <w:tcW w:w="0" w:type="auto"/>
            <w:vAlign w:val="center"/>
            <w:hideMark/>
          </w:tcPr>
          <w:p w14:paraId="610C1F67" w14:textId="77777777" w:rsidR="007B2A23" w:rsidRPr="007B2A23" w:rsidRDefault="007B2A23" w:rsidP="007B2A23">
            <w:pPr>
              <w:pStyle w:val="BodyText"/>
              <w:spacing w:line="259" w:lineRule="auto"/>
              <w:ind w:right="97"/>
              <w:jc w:val="both"/>
              <w:rPr>
                <w:lang w:val="en-MY"/>
              </w:rPr>
            </w:pPr>
            <w:r w:rsidRPr="007B2A23">
              <w:rPr>
                <w:lang w:val="en-MY"/>
              </w:rPr>
              <w:t>105</w:t>
            </w:r>
          </w:p>
        </w:tc>
        <w:tc>
          <w:tcPr>
            <w:tcW w:w="0" w:type="auto"/>
            <w:vAlign w:val="center"/>
            <w:hideMark/>
          </w:tcPr>
          <w:p w14:paraId="291D8A16" w14:textId="77777777" w:rsidR="007B2A23" w:rsidRPr="007B2A23" w:rsidRDefault="007B2A23" w:rsidP="007B2A23">
            <w:pPr>
              <w:pStyle w:val="BodyText"/>
              <w:spacing w:line="259" w:lineRule="auto"/>
              <w:ind w:right="97"/>
              <w:jc w:val="both"/>
              <w:rPr>
                <w:lang w:val="en-MY"/>
              </w:rPr>
            </w:pPr>
            <w:r w:rsidRPr="007B2A23">
              <w:rPr>
                <w:lang w:val="en-MY"/>
              </w:rPr>
              <w:t>52.0</w:t>
            </w:r>
          </w:p>
        </w:tc>
      </w:tr>
      <w:tr w:rsidR="007B2A23" w:rsidRPr="007B2A23" w14:paraId="369B9636" w14:textId="77777777" w:rsidTr="007B2A23">
        <w:trPr>
          <w:tblCellSpacing w:w="15" w:type="dxa"/>
        </w:trPr>
        <w:tc>
          <w:tcPr>
            <w:tcW w:w="0" w:type="auto"/>
            <w:vAlign w:val="center"/>
            <w:hideMark/>
          </w:tcPr>
          <w:p w14:paraId="5FD867DD"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0C157303" w14:textId="77777777" w:rsidR="007B2A23" w:rsidRPr="007B2A23" w:rsidRDefault="007B2A23" w:rsidP="007B2A23">
            <w:pPr>
              <w:pStyle w:val="BodyText"/>
              <w:spacing w:line="259" w:lineRule="auto"/>
              <w:ind w:right="97"/>
              <w:jc w:val="both"/>
              <w:rPr>
                <w:lang w:val="en-MY"/>
              </w:rPr>
            </w:pPr>
            <w:r w:rsidRPr="007B2A23">
              <w:rPr>
                <w:lang w:val="en-MY"/>
              </w:rPr>
              <w:t>Executive Officer</w:t>
            </w:r>
          </w:p>
        </w:tc>
        <w:tc>
          <w:tcPr>
            <w:tcW w:w="0" w:type="auto"/>
            <w:vAlign w:val="center"/>
            <w:hideMark/>
          </w:tcPr>
          <w:p w14:paraId="2DE9F8E2" w14:textId="77777777" w:rsidR="007B2A23" w:rsidRPr="007B2A23" w:rsidRDefault="007B2A23" w:rsidP="007B2A23">
            <w:pPr>
              <w:pStyle w:val="BodyText"/>
              <w:spacing w:line="259" w:lineRule="auto"/>
              <w:ind w:right="97"/>
              <w:jc w:val="both"/>
              <w:rPr>
                <w:lang w:val="en-MY"/>
              </w:rPr>
            </w:pPr>
            <w:r w:rsidRPr="007B2A23">
              <w:rPr>
                <w:lang w:val="en-MY"/>
              </w:rPr>
              <w:t>52</w:t>
            </w:r>
          </w:p>
        </w:tc>
        <w:tc>
          <w:tcPr>
            <w:tcW w:w="0" w:type="auto"/>
            <w:vAlign w:val="center"/>
            <w:hideMark/>
          </w:tcPr>
          <w:p w14:paraId="03FDB1D3" w14:textId="77777777" w:rsidR="007B2A23" w:rsidRPr="007B2A23" w:rsidRDefault="007B2A23" w:rsidP="007B2A23">
            <w:pPr>
              <w:pStyle w:val="BodyText"/>
              <w:spacing w:line="259" w:lineRule="auto"/>
              <w:ind w:right="97"/>
              <w:jc w:val="both"/>
              <w:rPr>
                <w:lang w:val="en-MY"/>
              </w:rPr>
            </w:pPr>
            <w:r w:rsidRPr="007B2A23">
              <w:rPr>
                <w:lang w:val="en-MY"/>
              </w:rPr>
              <w:t>25.7</w:t>
            </w:r>
          </w:p>
        </w:tc>
      </w:tr>
      <w:tr w:rsidR="007B2A23" w:rsidRPr="007B2A23" w14:paraId="162F68B1" w14:textId="77777777" w:rsidTr="007B2A23">
        <w:trPr>
          <w:tblCellSpacing w:w="15" w:type="dxa"/>
        </w:trPr>
        <w:tc>
          <w:tcPr>
            <w:tcW w:w="0" w:type="auto"/>
            <w:vAlign w:val="center"/>
            <w:hideMark/>
          </w:tcPr>
          <w:p w14:paraId="09DE760E"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663A1CC" w14:textId="77777777" w:rsidR="007B2A23" w:rsidRPr="007B2A23" w:rsidRDefault="007B2A23" w:rsidP="007B2A23">
            <w:pPr>
              <w:pStyle w:val="BodyText"/>
              <w:spacing w:line="259" w:lineRule="auto"/>
              <w:ind w:right="97"/>
              <w:jc w:val="both"/>
              <w:rPr>
                <w:lang w:val="en-MY"/>
              </w:rPr>
            </w:pPr>
            <w:r w:rsidRPr="007B2A23">
              <w:rPr>
                <w:lang w:val="en-MY"/>
              </w:rPr>
              <w:t>Non-Executive Staff</w:t>
            </w:r>
          </w:p>
        </w:tc>
        <w:tc>
          <w:tcPr>
            <w:tcW w:w="0" w:type="auto"/>
            <w:vAlign w:val="center"/>
            <w:hideMark/>
          </w:tcPr>
          <w:p w14:paraId="2742D71E" w14:textId="77777777" w:rsidR="007B2A23" w:rsidRPr="007B2A23" w:rsidRDefault="007B2A23" w:rsidP="007B2A23">
            <w:pPr>
              <w:pStyle w:val="BodyText"/>
              <w:spacing w:line="259" w:lineRule="auto"/>
              <w:ind w:right="97"/>
              <w:jc w:val="both"/>
              <w:rPr>
                <w:lang w:val="en-MY"/>
              </w:rPr>
            </w:pPr>
            <w:r w:rsidRPr="007B2A23">
              <w:rPr>
                <w:lang w:val="en-MY"/>
              </w:rPr>
              <w:t>7</w:t>
            </w:r>
          </w:p>
        </w:tc>
        <w:tc>
          <w:tcPr>
            <w:tcW w:w="0" w:type="auto"/>
            <w:vAlign w:val="center"/>
            <w:hideMark/>
          </w:tcPr>
          <w:p w14:paraId="4A4362BA" w14:textId="77777777" w:rsidR="007B2A23" w:rsidRPr="007B2A23" w:rsidRDefault="007B2A23" w:rsidP="007B2A23">
            <w:pPr>
              <w:pStyle w:val="BodyText"/>
              <w:spacing w:line="259" w:lineRule="auto"/>
              <w:ind w:right="97"/>
              <w:jc w:val="both"/>
              <w:rPr>
                <w:lang w:val="en-MY"/>
              </w:rPr>
            </w:pPr>
            <w:r w:rsidRPr="007B2A23">
              <w:rPr>
                <w:lang w:val="en-MY"/>
              </w:rPr>
              <w:t>3.5</w:t>
            </w:r>
          </w:p>
        </w:tc>
      </w:tr>
      <w:tr w:rsidR="007B2A23" w:rsidRPr="007B2A23" w14:paraId="543D82A4" w14:textId="77777777" w:rsidTr="007B2A23">
        <w:trPr>
          <w:tblCellSpacing w:w="15" w:type="dxa"/>
        </w:trPr>
        <w:tc>
          <w:tcPr>
            <w:tcW w:w="0" w:type="auto"/>
            <w:vAlign w:val="center"/>
            <w:hideMark/>
          </w:tcPr>
          <w:p w14:paraId="33D01017"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0060843" w14:textId="77777777" w:rsidR="007B2A23" w:rsidRPr="007B2A23" w:rsidRDefault="007B2A23" w:rsidP="007B2A23">
            <w:pPr>
              <w:pStyle w:val="BodyText"/>
              <w:spacing w:line="259" w:lineRule="auto"/>
              <w:ind w:right="97"/>
              <w:jc w:val="both"/>
              <w:rPr>
                <w:lang w:val="en-MY"/>
              </w:rPr>
            </w:pPr>
            <w:r w:rsidRPr="007B2A23">
              <w:rPr>
                <w:lang w:val="en-MY"/>
              </w:rPr>
              <w:t>Owner/Founder</w:t>
            </w:r>
          </w:p>
        </w:tc>
        <w:tc>
          <w:tcPr>
            <w:tcW w:w="0" w:type="auto"/>
            <w:vAlign w:val="center"/>
            <w:hideMark/>
          </w:tcPr>
          <w:p w14:paraId="1277DE3D" w14:textId="77777777" w:rsidR="007B2A23" w:rsidRPr="007B2A23" w:rsidRDefault="007B2A23" w:rsidP="007B2A23">
            <w:pPr>
              <w:pStyle w:val="BodyText"/>
              <w:spacing w:line="259" w:lineRule="auto"/>
              <w:ind w:right="97"/>
              <w:jc w:val="both"/>
              <w:rPr>
                <w:lang w:val="en-MY"/>
              </w:rPr>
            </w:pPr>
            <w:r w:rsidRPr="007B2A23">
              <w:rPr>
                <w:lang w:val="en-MY"/>
              </w:rPr>
              <w:t>7</w:t>
            </w:r>
          </w:p>
        </w:tc>
        <w:tc>
          <w:tcPr>
            <w:tcW w:w="0" w:type="auto"/>
            <w:vAlign w:val="center"/>
            <w:hideMark/>
          </w:tcPr>
          <w:p w14:paraId="1B959338" w14:textId="77777777" w:rsidR="007B2A23" w:rsidRPr="007B2A23" w:rsidRDefault="007B2A23" w:rsidP="007B2A23">
            <w:pPr>
              <w:pStyle w:val="BodyText"/>
              <w:spacing w:line="259" w:lineRule="auto"/>
              <w:ind w:right="97"/>
              <w:jc w:val="both"/>
              <w:rPr>
                <w:lang w:val="en-MY"/>
              </w:rPr>
            </w:pPr>
            <w:r w:rsidRPr="007B2A23">
              <w:rPr>
                <w:lang w:val="en-MY"/>
              </w:rPr>
              <w:t>3.5</w:t>
            </w:r>
          </w:p>
        </w:tc>
      </w:tr>
      <w:tr w:rsidR="007B2A23" w:rsidRPr="007B2A23" w14:paraId="7487E9A5" w14:textId="77777777" w:rsidTr="007B2A23">
        <w:trPr>
          <w:tblCellSpacing w:w="15" w:type="dxa"/>
        </w:trPr>
        <w:tc>
          <w:tcPr>
            <w:tcW w:w="0" w:type="auto"/>
            <w:vAlign w:val="center"/>
            <w:hideMark/>
          </w:tcPr>
          <w:p w14:paraId="56C9A95D"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1173422F"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0DBEC00C"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69DA3DF6"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03286049" w14:textId="77777777" w:rsidTr="007B2A23">
        <w:trPr>
          <w:tblCellSpacing w:w="15" w:type="dxa"/>
        </w:trPr>
        <w:tc>
          <w:tcPr>
            <w:tcW w:w="0" w:type="auto"/>
            <w:vAlign w:val="center"/>
            <w:hideMark/>
          </w:tcPr>
          <w:p w14:paraId="1D1B52A2" w14:textId="77777777" w:rsidR="007B2A23" w:rsidRPr="007B2A23" w:rsidRDefault="007B2A23" w:rsidP="007B2A23">
            <w:pPr>
              <w:pStyle w:val="BodyText"/>
              <w:spacing w:line="259" w:lineRule="auto"/>
              <w:ind w:right="97"/>
              <w:jc w:val="both"/>
              <w:rPr>
                <w:lang w:val="en-MY"/>
              </w:rPr>
            </w:pPr>
            <w:r w:rsidRPr="007B2A23">
              <w:rPr>
                <w:b/>
                <w:bCs/>
                <w:lang w:val="en-MY"/>
              </w:rPr>
              <w:t>Manufacturing Sector</w:t>
            </w:r>
          </w:p>
        </w:tc>
        <w:tc>
          <w:tcPr>
            <w:tcW w:w="0" w:type="auto"/>
            <w:vAlign w:val="center"/>
            <w:hideMark/>
          </w:tcPr>
          <w:p w14:paraId="3C3DD5B6" w14:textId="77777777" w:rsidR="007B2A23" w:rsidRPr="007B2A23" w:rsidRDefault="007B2A23" w:rsidP="007B2A23">
            <w:pPr>
              <w:pStyle w:val="BodyText"/>
              <w:spacing w:line="259" w:lineRule="auto"/>
              <w:ind w:right="97"/>
              <w:jc w:val="both"/>
              <w:rPr>
                <w:lang w:val="en-MY"/>
              </w:rPr>
            </w:pPr>
            <w:r w:rsidRPr="007B2A23">
              <w:rPr>
                <w:lang w:val="en-MY"/>
              </w:rPr>
              <w:t>Electrical &amp; Electronics</w:t>
            </w:r>
          </w:p>
        </w:tc>
        <w:tc>
          <w:tcPr>
            <w:tcW w:w="0" w:type="auto"/>
            <w:vAlign w:val="center"/>
            <w:hideMark/>
          </w:tcPr>
          <w:p w14:paraId="2B3C7E2F" w14:textId="77777777" w:rsidR="007B2A23" w:rsidRPr="007B2A23" w:rsidRDefault="007B2A23" w:rsidP="007B2A23">
            <w:pPr>
              <w:pStyle w:val="BodyText"/>
              <w:spacing w:line="259" w:lineRule="auto"/>
              <w:ind w:right="97"/>
              <w:jc w:val="both"/>
              <w:rPr>
                <w:lang w:val="en-MY"/>
              </w:rPr>
            </w:pPr>
            <w:r w:rsidRPr="007B2A23">
              <w:rPr>
                <w:lang w:val="en-MY"/>
              </w:rPr>
              <w:t>36</w:t>
            </w:r>
          </w:p>
        </w:tc>
        <w:tc>
          <w:tcPr>
            <w:tcW w:w="0" w:type="auto"/>
            <w:vAlign w:val="center"/>
            <w:hideMark/>
          </w:tcPr>
          <w:p w14:paraId="4AC1AD76" w14:textId="77777777" w:rsidR="007B2A23" w:rsidRPr="007B2A23" w:rsidRDefault="007B2A23" w:rsidP="007B2A23">
            <w:pPr>
              <w:pStyle w:val="BodyText"/>
              <w:spacing w:line="259" w:lineRule="auto"/>
              <w:ind w:right="97"/>
              <w:jc w:val="both"/>
              <w:rPr>
                <w:lang w:val="en-MY"/>
              </w:rPr>
            </w:pPr>
            <w:r w:rsidRPr="007B2A23">
              <w:rPr>
                <w:lang w:val="en-MY"/>
              </w:rPr>
              <w:t>17.8</w:t>
            </w:r>
          </w:p>
        </w:tc>
      </w:tr>
      <w:tr w:rsidR="007B2A23" w:rsidRPr="007B2A23" w14:paraId="2E5F5AC9" w14:textId="77777777" w:rsidTr="007B2A23">
        <w:trPr>
          <w:tblCellSpacing w:w="15" w:type="dxa"/>
        </w:trPr>
        <w:tc>
          <w:tcPr>
            <w:tcW w:w="0" w:type="auto"/>
            <w:vAlign w:val="center"/>
            <w:hideMark/>
          </w:tcPr>
          <w:p w14:paraId="3F0290E2"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607D0911" w14:textId="77777777" w:rsidR="007B2A23" w:rsidRPr="007B2A23" w:rsidRDefault="007B2A23" w:rsidP="007B2A23">
            <w:pPr>
              <w:pStyle w:val="BodyText"/>
              <w:spacing w:line="259" w:lineRule="auto"/>
              <w:ind w:right="97"/>
              <w:jc w:val="both"/>
              <w:rPr>
                <w:lang w:val="en-MY"/>
              </w:rPr>
            </w:pPr>
            <w:r w:rsidRPr="007B2A23">
              <w:rPr>
                <w:lang w:val="en-MY"/>
              </w:rPr>
              <w:t>Automotive &amp; Machinery</w:t>
            </w:r>
          </w:p>
        </w:tc>
        <w:tc>
          <w:tcPr>
            <w:tcW w:w="0" w:type="auto"/>
            <w:vAlign w:val="center"/>
            <w:hideMark/>
          </w:tcPr>
          <w:p w14:paraId="37D1AF49" w14:textId="77777777" w:rsidR="007B2A23" w:rsidRPr="007B2A23" w:rsidRDefault="007B2A23" w:rsidP="007B2A23">
            <w:pPr>
              <w:pStyle w:val="BodyText"/>
              <w:spacing w:line="259" w:lineRule="auto"/>
              <w:ind w:right="97"/>
              <w:jc w:val="both"/>
              <w:rPr>
                <w:lang w:val="en-MY"/>
              </w:rPr>
            </w:pPr>
            <w:r w:rsidRPr="007B2A23">
              <w:rPr>
                <w:lang w:val="en-MY"/>
              </w:rPr>
              <w:t>32</w:t>
            </w:r>
          </w:p>
        </w:tc>
        <w:tc>
          <w:tcPr>
            <w:tcW w:w="0" w:type="auto"/>
            <w:vAlign w:val="center"/>
            <w:hideMark/>
          </w:tcPr>
          <w:p w14:paraId="023E62C2" w14:textId="77777777" w:rsidR="007B2A23" w:rsidRPr="007B2A23" w:rsidRDefault="007B2A23" w:rsidP="007B2A23">
            <w:pPr>
              <w:pStyle w:val="BodyText"/>
              <w:spacing w:line="259" w:lineRule="auto"/>
              <w:ind w:right="97"/>
              <w:jc w:val="both"/>
              <w:rPr>
                <w:lang w:val="en-MY"/>
              </w:rPr>
            </w:pPr>
            <w:r w:rsidRPr="007B2A23">
              <w:rPr>
                <w:lang w:val="en-MY"/>
              </w:rPr>
              <w:t>15.8</w:t>
            </w:r>
          </w:p>
        </w:tc>
      </w:tr>
      <w:tr w:rsidR="007B2A23" w:rsidRPr="007B2A23" w14:paraId="72EB1F99" w14:textId="77777777" w:rsidTr="007B2A23">
        <w:trPr>
          <w:tblCellSpacing w:w="15" w:type="dxa"/>
        </w:trPr>
        <w:tc>
          <w:tcPr>
            <w:tcW w:w="0" w:type="auto"/>
            <w:vAlign w:val="center"/>
            <w:hideMark/>
          </w:tcPr>
          <w:p w14:paraId="1B2A8E3E"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4A9F9400" w14:textId="77777777" w:rsidR="007B2A23" w:rsidRPr="007B2A23" w:rsidRDefault="007B2A23" w:rsidP="007B2A23">
            <w:pPr>
              <w:pStyle w:val="BodyText"/>
              <w:spacing w:line="259" w:lineRule="auto"/>
              <w:ind w:right="97"/>
              <w:jc w:val="both"/>
              <w:rPr>
                <w:lang w:val="en-MY"/>
              </w:rPr>
            </w:pPr>
            <w:r w:rsidRPr="007B2A23">
              <w:rPr>
                <w:lang w:val="en-MY"/>
              </w:rPr>
              <w:t>Textiles &amp; Apparel</w:t>
            </w:r>
          </w:p>
        </w:tc>
        <w:tc>
          <w:tcPr>
            <w:tcW w:w="0" w:type="auto"/>
            <w:vAlign w:val="center"/>
            <w:hideMark/>
          </w:tcPr>
          <w:p w14:paraId="66FD95AB" w14:textId="77777777" w:rsidR="007B2A23" w:rsidRPr="007B2A23" w:rsidRDefault="007B2A23" w:rsidP="007B2A23">
            <w:pPr>
              <w:pStyle w:val="BodyText"/>
              <w:spacing w:line="259" w:lineRule="auto"/>
              <w:ind w:right="97"/>
              <w:jc w:val="both"/>
              <w:rPr>
                <w:lang w:val="en-MY"/>
              </w:rPr>
            </w:pPr>
            <w:r w:rsidRPr="007B2A23">
              <w:rPr>
                <w:lang w:val="en-MY"/>
              </w:rPr>
              <w:t>28</w:t>
            </w:r>
          </w:p>
        </w:tc>
        <w:tc>
          <w:tcPr>
            <w:tcW w:w="0" w:type="auto"/>
            <w:vAlign w:val="center"/>
            <w:hideMark/>
          </w:tcPr>
          <w:p w14:paraId="2963C0E0" w14:textId="77777777" w:rsidR="007B2A23" w:rsidRPr="007B2A23" w:rsidRDefault="007B2A23" w:rsidP="007B2A23">
            <w:pPr>
              <w:pStyle w:val="BodyText"/>
              <w:spacing w:line="259" w:lineRule="auto"/>
              <w:ind w:right="97"/>
              <w:jc w:val="both"/>
              <w:rPr>
                <w:lang w:val="en-MY"/>
              </w:rPr>
            </w:pPr>
            <w:r w:rsidRPr="007B2A23">
              <w:rPr>
                <w:lang w:val="en-MY"/>
              </w:rPr>
              <w:t>13.9</w:t>
            </w:r>
          </w:p>
        </w:tc>
      </w:tr>
      <w:tr w:rsidR="007B2A23" w:rsidRPr="007B2A23" w14:paraId="789328A0" w14:textId="77777777" w:rsidTr="007B2A23">
        <w:trPr>
          <w:tblCellSpacing w:w="15" w:type="dxa"/>
        </w:trPr>
        <w:tc>
          <w:tcPr>
            <w:tcW w:w="0" w:type="auto"/>
            <w:vAlign w:val="center"/>
            <w:hideMark/>
          </w:tcPr>
          <w:p w14:paraId="412822B3"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BC7F915" w14:textId="77777777" w:rsidR="007B2A23" w:rsidRPr="007B2A23" w:rsidRDefault="007B2A23" w:rsidP="007B2A23">
            <w:pPr>
              <w:pStyle w:val="BodyText"/>
              <w:spacing w:line="259" w:lineRule="auto"/>
              <w:ind w:right="97"/>
              <w:jc w:val="both"/>
              <w:rPr>
                <w:lang w:val="en-MY"/>
              </w:rPr>
            </w:pPr>
            <w:r w:rsidRPr="007B2A23">
              <w:rPr>
                <w:lang w:val="en-MY"/>
              </w:rPr>
              <w:t>Plastics &amp; Packaging</w:t>
            </w:r>
          </w:p>
        </w:tc>
        <w:tc>
          <w:tcPr>
            <w:tcW w:w="0" w:type="auto"/>
            <w:vAlign w:val="center"/>
            <w:hideMark/>
          </w:tcPr>
          <w:p w14:paraId="01AB5C1F" w14:textId="77777777" w:rsidR="007B2A23" w:rsidRPr="007B2A23" w:rsidRDefault="007B2A23" w:rsidP="007B2A23">
            <w:pPr>
              <w:pStyle w:val="BodyText"/>
              <w:spacing w:line="259" w:lineRule="auto"/>
              <w:ind w:right="97"/>
              <w:jc w:val="both"/>
              <w:rPr>
                <w:lang w:val="en-MY"/>
              </w:rPr>
            </w:pPr>
            <w:r w:rsidRPr="007B2A23">
              <w:rPr>
                <w:lang w:val="en-MY"/>
              </w:rPr>
              <w:t>24</w:t>
            </w:r>
          </w:p>
        </w:tc>
        <w:tc>
          <w:tcPr>
            <w:tcW w:w="0" w:type="auto"/>
            <w:vAlign w:val="center"/>
            <w:hideMark/>
          </w:tcPr>
          <w:p w14:paraId="25F9BB4C" w14:textId="77777777" w:rsidR="007B2A23" w:rsidRPr="007B2A23" w:rsidRDefault="007B2A23" w:rsidP="007B2A23">
            <w:pPr>
              <w:pStyle w:val="BodyText"/>
              <w:spacing w:line="259" w:lineRule="auto"/>
              <w:ind w:right="97"/>
              <w:jc w:val="both"/>
              <w:rPr>
                <w:lang w:val="en-MY"/>
              </w:rPr>
            </w:pPr>
            <w:r w:rsidRPr="007B2A23">
              <w:rPr>
                <w:lang w:val="en-MY"/>
              </w:rPr>
              <w:t>11.9</w:t>
            </w:r>
          </w:p>
        </w:tc>
      </w:tr>
      <w:tr w:rsidR="007B2A23" w:rsidRPr="007B2A23" w14:paraId="088621EF" w14:textId="77777777" w:rsidTr="007B2A23">
        <w:trPr>
          <w:tblCellSpacing w:w="15" w:type="dxa"/>
        </w:trPr>
        <w:tc>
          <w:tcPr>
            <w:tcW w:w="0" w:type="auto"/>
            <w:vAlign w:val="center"/>
            <w:hideMark/>
          </w:tcPr>
          <w:p w14:paraId="408A870C"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1D6BBA31" w14:textId="77777777" w:rsidR="007B2A23" w:rsidRPr="007B2A23" w:rsidRDefault="007B2A23" w:rsidP="007B2A23">
            <w:pPr>
              <w:pStyle w:val="BodyText"/>
              <w:spacing w:line="259" w:lineRule="auto"/>
              <w:ind w:right="97"/>
              <w:jc w:val="both"/>
              <w:rPr>
                <w:lang w:val="en-MY"/>
              </w:rPr>
            </w:pPr>
            <w:r w:rsidRPr="007B2A23">
              <w:rPr>
                <w:lang w:val="en-MY"/>
              </w:rPr>
              <w:t>Furniture &amp; Wood Products</w:t>
            </w:r>
          </w:p>
        </w:tc>
        <w:tc>
          <w:tcPr>
            <w:tcW w:w="0" w:type="auto"/>
            <w:vAlign w:val="center"/>
            <w:hideMark/>
          </w:tcPr>
          <w:p w14:paraId="48D2B3AE" w14:textId="77777777" w:rsidR="007B2A23" w:rsidRPr="007B2A23" w:rsidRDefault="007B2A23" w:rsidP="007B2A23">
            <w:pPr>
              <w:pStyle w:val="BodyText"/>
              <w:spacing w:line="259" w:lineRule="auto"/>
              <w:ind w:right="97"/>
              <w:jc w:val="both"/>
              <w:rPr>
                <w:lang w:val="en-MY"/>
              </w:rPr>
            </w:pPr>
            <w:r w:rsidRPr="007B2A23">
              <w:rPr>
                <w:lang w:val="en-MY"/>
              </w:rPr>
              <w:t>15</w:t>
            </w:r>
          </w:p>
        </w:tc>
        <w:tc>
          <w:tcPr>
            <w:tcW w:w="0" w:type="auto"/>
            <w:vAlign w:val="center"/>
            <w:hideMark/>
          </w:tcPr>
          <w:p w14:paraId="5643F7CC" w14:textId="77777777" w:rsidR="007B2A23" w:rsidRPr="007B2A23" w:rsidRDefault="007B2A23" w:rsidP="007B2A23">
            <w:pPr>
              <w:pStyle w:val="BodyText"/>
              <w:spacing w:line="259" w:lineRule="auto"/>
              <w:ind w:right="97"/>
              <w:jc w:val="both"/>
              <w:rPr>
                <w:lang w:val="en-MY"/>
              </w:rPr>
            </w:pPr>
            <w:r w:rsidRPr="007B2A23">
              <w:rPr>
                <w:lang w:val="en-MY"/>
              </w:rPr>
              <w:t>7.4</w:t>
            </w:r>
          </w:p>
        </w:tc>
      </w:tr>
      <w:tr w:rsidR="007B2A23" w:rsidRPr="007B2A23" w14:paraId="7F8EF53C" w14:textId="77777777" w:rsidTr="007B2A23">
        <w:trPr>
          <w:tblCellSpacing w:w="15" w:type="dxa"/>
        </w:trPr>
        <w:tc>
          <w:tcPr>
            <w:tcW w:w="0" w:type="auto"/>
            <w:vAlign w:val="center"/>
            <w:hideMark/>
          </w:tcPr>
          <w:p w14:paraId="1CD0729E"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03C9D1FF" w14:textId="77777777" w:rsidR="007B2A23" w:rsidRPr="007B2A23" w:rsidRDefault="007B2A23" w:rsidP="007B2A23">
            <w:pPr>
              <w:pStyle w:val="BodyText"/>
              <w:spacing w:line="259" w:lineRule="auto"/>
              <w:ind w:right="97"/>
              <w:jc w:val="both"/>
              <w:rPr>
                <w:lang w:val="en-MY"/>
              </w:rPr>
            </w:pPr>
            <w:r w:rsidRPr="007B2A23">
              <w:rPr>
                <w:lang w:val="en-MY"/>
              </w:rPr>
              <w:t>Food &amp; Beverage</w:t>
            </w:r>
          </w:p>
        </w:tc>
        <w:tc>
          <w:tcPr>
            <w:tcW w:w="0" w:type="auto"/>
            <w:vAlign w:val="center"/>
            <w:hideMark/>
          </w:tcPr>
          <w:p w14:paraId="7089D8C2" w14:textId="77777777" w:rsidR="007B2A23" w:rsidRPr="007B2A23" w:rsidRDefault="007B2A23" w:rsidP="007B2A23">
            <w:pPr>
              <w:pStyle w:val="BodyText"/>
              <w:spacing w:line="259" w:lineRule="auto"/>
              <w:ind w:right="97"/>
              <w:jc w:val="both"/>
              <w:rPr>
                <w:lang w:val="en-MY"/>
              </w:rPr>
            </w:pPr>
            <w:r w:rsidRPr="007B2A23">
              <w:rPr>
                <w:lang w:val="en-MY"/>
              </w:rPr>
              <w:t>14</w:t>
            </w:r>
          </w:p>
        </w:tc>
        <w:tc>
          <w:tcPr>
            <w:tcW w:w="0" w:type="auto"/>
            <w:vAlign w:val="center"/>
            <w:hideMark/>
          </w:tcPr>
          <w:p w14:paraId="734D825C" w14:textId="77777777" w:rsidR="007B2A23" w:rsidRPr="007B2A23" w:rsidRDefault="007B2A23" w:rsidP="007B2A23">
            <w:pPr>
              <w:pStyle w:val="BodyText"/>
              <w:spacing w:line="259" w:lineRule="auto"/>
              <w:ind w:right="97"/>
              <w:jc w:val="both"/>
              <w:rPr>
                <w:lang w:val="en-MY"/>
              </w:rPr>
            </w:pPr>
            <w:r w:rsidRPr="007B2A23">
              <w:rPr>
                <w:lang w:val="en-MY"/>
              </w:rPr>
              <w:t>6.9</w:t>
            </w:r>
          </w:p>
        </w:tc>
      </w:tr>
      <w:tr w:rsidR="007B2A23" w:rsidRPr="007B2A23" w14:paraId="4F66C9AA" w14:textId="77777777" w:rsidTr="007B2A23">
        <w:trPr>
          <w:tblCellSpacing w:w="15" w:type="dxa"/>
        </w:trPr>
        <w:tc>
          <w:tcPr>
            <w:tcW w:w="0" w:type="auto"/>
            <w:vAlign w:val="center"/>
            <w:hideMark/>
          </w:tcPr>
          <w:p w14:paraId="2A62FBB4"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25EFA70" w14:textId="77777777" w:rsidR="007B2A23" w:rsidRPr="007B2A23" w:rsidRDefault="007B2A23" w:rsidP="007B2A23">
            <w:pPr>
              <w:pStyle w:val="BodyText"/>
              <w:spacing w:line="259" w:lineRule="auto"/>
              <w:ind w:right="97"/>
              <w:jc w:val="both"/>
              <w:rPr>
                <w:lang w:val="en-MY"/>
              </w:rPr>
            </w:pPr>
            <w:r w:rsidRPr="007B2A23">
              <w:rPr>
                <w:lang w:val="en-MY"/>
              </w:rPr>
              <w:t>Chemical &amp; Pharmaceutical</w:t>
            </w:r>
          </w:p>
        </w:tc>
        <w:tc>
          <w:tcPr>
            <w:tcW w:w="0" w:type="auto"/>
            <w:vAlign w:val="center"/>
            <w:hideMark/>
          </w:tcPr>
          <w:p w14:paraId="00BA708F" w14:textId="77777777" w:rsidR="007B2A23" w:rsidRPr="007B2A23" w:rsidRDefault="007B2A23" w:rsidP="007B2A23">
            <w:pPr>
              <w:pStyle w:val="BodyText"/>
              <w:spacing w:line="259" w:lineRule="auto"/>
              <w:ind w:right="97"/>
              <w:jc w:val="both"/>
              <w:rPr>
                <w:lang w:val="en-MY"/>
              </w:rPr>
            </w:pPr>
            <w:r w:rsidRPr="007B2A23">
              <w:rPr>
                <w:lang w:val="en-MY"/>
              </w:rPr>
              <w:t>11</w:t>
            </w:r>
          </w:p>
        </w:tc>
        <w:tc>
          <w:tcPr>
            <w:tcW w:w="0" w:type="auto"/>
            <w:vAlign w:val="center"/>
            <w:hideMark/>
          </w:tcPr>
          <w:p w14:paraId="0B7CD793" w14:textId="77777777" w:rsidR="007B2A23" w:rsidRPr="007B2A23" w:rsidRDefault="007B2A23" w:rsidP="007B2A23">
            <w:pPr>
              <w:pStyle w:val="BodyText"/>
              <w:spacing w:line="259" w:lineRule="auto"/>
              <w:ind w:right="97"/>
              <w:jc w:val="both"/>
              <w:rPr>
                <w:lang w:val="en-MY"/>
              </w:rPr>
            </w:pPr>
            <w:r w:rsidRPr="007B2A23">
              <w:rPr>
                <w:lang w:val="en-MY"/>
              </w:rPr>
              <w:t>5.4</w:t>
            </w:r>
          </w:p>
        </w:tc>
      </w:tr>
      <w:tr w:rsidR="007B2A23" w:rsidRPr="007B2A23" w14:paraId="0689E3CD" w14:textId="77777777" w:rsidTr="007B2A23">
        <w:trPr>
          <w:tblCellSpacing w:w="15" w:type="dxa"/>
        </w:trPr>
        <w:tc>
          <w:tcPr>
            <w:tcW w:w="0" w:type="auto"/>
            <w:vAlign w:val="center"/>
            <w:hideMark/>
          </w:tcPr>
          <w:p w14:paraId="35536AFE"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C3C678A" w14:textId="77777777" w:rsidR="007B2A23" w:rsidRPr="007B2A23" w:rsidRDefault="007B2A23" w:rsidP="007B2A23">
            <w:pPr>
              <w:pStyle w:val="BodyText"/>
              <w:spacing w:line="259" w:lineRule="auto"/>
              <w:ind w:right="97"/>
              <w:jc w:val="both"/>
              <w:rPr>
                <w:lang w:val="en-MY"/>
              </w:rPr>
            </w:pPr>
            <w:r w:rsidRPr="007B2A23">
              <w:rPr>
                <w:lang w:val="en-MY"/>
              </w:rPr>
              <w:t>Metal Fabrication</w:t>
            </w:r>
          </w:p>
        </w:tc>
        <w:tc>
          <w:tcPr>
            <w:tcW w:w="0" w:type="auto"/>
            <w:vAlign w:val="center"/>
            <w:hideMark/>
          </w:tcPr>
          <w:p w14:paraId="145D0E19" w14:textId="77777777" w:rsidR="007B2A23" w:rsidRPr="007B2A23" w:rsidRDefault="007B2A23" w:rsidP="007B2A23">
            <w:pPr>
              <w:pStyle w:val="BodyText"/>
              <w:spacing w:line="259" w:lineRule="auto"/>
              <w:ind w:right="97"/>
              <w:jc w:val="both"/>
              <w:rPr>
                <w:lang w:val="en-MY"/>
              </w:rPr>
            </w:pPr>
            <w:r w:rsidRPr="007B2A23">
              <w:rPr>
                <w:lang w:val="en-MY"/>
              </w:rPr>
              <w:t>11</w:t>
            </w:r>
          </w:p>
        </w:tc>
        <w:tc>
          <w:tcPr>
            <w:tcW w:w="0" w:type="auto"/>
            <w:vAlign w:val="center"/>
            <w:hideMark/>
          </w:tcPr>
          <w:p w14:paraId="50F29D50" w14:textId="77777777" w:rsidR="007B2A23" w:rsidRPr="007B2A23" w:rsidRDefault="007B2A23" w:rsidP="007B2A23">
            <w:pPr>
              <w:pStyle w:val="BodyText"/>
              <w:spacing w:line="259" w:lineRule="auto"/>
              <w:ind w:right="97"/>
              <w:jc w:val="both"/>
              <w:rPr>
                <w:lang w:val="en-MY"/>
              </w:rPr>
            </w:pPr>
            <w:r w:rsidRPr="007B2A23">
              <w:rPr>
                <w:lang w:val="en-MY"/>
              </w:rPr>
              <w:t>5.4</w:t>
            </w:r>
          </w:p>
        </w:tc>
      </w:tr>
      <w:tr w:rsidR="007B2A23" w:rsidRPr="007B2A23" w14:paraId="247BE2E3" w14:textId="77777777" w:rsidTr="007B2A23">
        <w:trPr>
          <w:tblCellSpacing w:w="15" w:type="dxa"/>
        </w:trPr>
        <w:tc>
          <w:tcPr>
            <w:tcW w:w="0" w:type="auto"/>
            <w:vAlign w:val="center"/>
            <w:hideMark/>
          </w:tcPr>
          <w:p w14:paraId="72F4EBDD"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909668F" w14:textId="77777777" w:rsidR="007B2A23" w:rsidRPr="007B2A23" w:rsidRDefault="007B2A23" w:rsidP="007B2A23">
            <w:pPr>
              <w:pStyle w:val="BodyText"/>
              <w:spacing w:line="259" w:lineRule="auto"/>
              <w:ind w:right="97"/>
              <w:jc w:val="both"/>
              <w:rPr>
                <w:lang w:val="en-MY"/>
              </w:rPr>
            </w:pPr>
            <w:r w:rsidRPr="007B2A23">
              <w:rPr>
                <w:lang w:val="en-MY"/>
              </w:rPr>
              <w:t>Others</w:t>
            </w:r>
          </w:p>
        </w:tc>
        <w:tc>
          <w:tcPr>
            <w:tcW w:w="0" w:type="auto"/>
            <w:vAlign w:val="center"/>
            <w:hideMark/>
          </w:tcPr>
          <w:p w14:paraId="38B05DBB"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6108AA58"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3E5E26E7" w14:textId="77777777" w:rsidTr="007B2A23">
        <w:trPr>
          <w:tblCellSpacing w:w="15" w:type="dxa"/>
        </w:trPr>
        <w:tc>
          <w:tcPr>
            <w:tcW w:w="0" w:type="auto"/>
            <w:vAlign w:val="center"/>
            <w:hideMark/>
          </w:tcPr>
          <w:p w14:paraId="3FBBEE0A" w14:textId="77777777" w:rsidR="007B2A23" w:rsidRPr="007B2A23" w:rsidRDefault="007B2A23" w:rsidP="007B2A23">
            <w:pPr>
              <w:pStyle w:val="BodyText"/>
              <w:spacing w:line="259" w:lineRule="auto"/>
              <w:ind w:right="97"/>
              <w:jc w:val="both"/>
              <w:rPr>
                <w:lang w:val="en-MY"/>
              </w:rPr>
            </w:pPr>
            <w:r w:rsidRPr="007B2A23">
              <w:rPr>
                <w:b/>
                <w:bCs/>
                <w:lang w:val="en-MY"/>
              </w:rPr>
              <w:t>Firm Size (Employees)</w:t>
            </w:r>
          </w:p>
        </w:tc>
        <w:tc>
          <w:tcPr>
            <w:tcW w:w="0" w:type="auto"/>
            <w:vAlign w:val="center"/>
            <w:hideMark/>
          </w:tcPr>
          <w:p w14:paraId="27A7CBBA" w14:textId="77777777" w:rsidR="007B2A23" w:rsidRPr="007B2A23" w:rsidRDefault="007B2A23" w:rsidP="007B2A23">
            <w:pPr>
              <w:pStyle w:val="BodyText"/>
              <w:spacing w:line="259" w:lineRule="auto"/>
              <w:ind w:right="97"/>
              <w:jc w:val="both"/>
              <w:rPr>
                <w:lang w:val="en-MY"/>
              </w:rPr>
            </w:pPr>
            <w:r w:rsidRPr="007B2A23">
              <w:rPr>
                <w:lang w:val="en-MY"/>
              </w:rPr>
              <w:t>Small (5–74 employees)</w:t>
            </w:r>
          </w:p>
        </w:tc>
        <w:tc>
          <w:tcPr>
            <w:tcW w:w="0" w:type="auto"/>
            <w:vAlign w:val="center"/>
            <w:hideMark/>
          </w:tcPr>
          <w:p w14:paraId="6B3F6D18" w14:textId="77777777" w:rsidR="007B2A23" w:rsidRPr="007B2A23" w:rsidRDefault="007B2A23" w:rsidP="007B2A23">
            <w:pPr>
              <w:pStyle w:val="BodyText"/>
              <w:spacing w:line="259" w:lineRule="auto"/>
              <w:ind w:right="97"/>
              <w:jc w:val="both"/>
              <w:rPr>
                <w:lang w:val="en-MY"/>
              </w:rPr>
            </w:pPr>
            <w:r w:rsidRPr="007B2A23">
              <w:rPr>
                <w:lang w:val="en-MY"/>
              </w:rPr>
              <w:t>139</w:t>
            </w:r>
          </w:p>
        </w:tc>
        <w:tc>
          <w:tcPr>
            <w:tcW w:w="0" w:type="auto"/>
            <w:vAlign w:val="center"/>
            <w:hideMark/>
          </w:tcPr>
          <w:p w14:paraId="7B491957" w14:textId="77777777" w:rsidR="007B2A23" w:rsidRPr="007B2A23" w:rsidRDefault="007B2A23" w:rsidP="007B2A23">
            <w:pPr>
              <w:pStyle w:val="BodyText"/>
              <w:spacing w:line="259" w:lineRule="auto"/>
              <w:ind w:right="97"/>
              <w:jc w:val="both"/>
              <w:rPr>
                <w:lang w:val="en-MY"/>
              </w:rPr>
            </w:pPr>
            <w:r w:rsidRPr="007B2A23">
              <w:rPr>
                <w:lang w:val="en-MY"/>
              </w:rPr>
              <w:t>68.8</w:t>
            </w:r>
          </w:p>
        </w:tc>
      </w:tr>
      <w:tr w:rsidR="007B2A23" w:rsidRPr="007B2A23" w14:paraId="4A958FE8" w14:textId="77777777" w:rsidTr="007B2A23">
        <w:trPr>
          <w:tblCellSpacing w:w="15" w:type="dxa"/>
        </w:trPr>
        <w:tc>
          <w:tcPr>
            <w:tcW w:w="0" w:type="auto"/>
            <w:vAlign w:val="center"/>
            <w:hideMark/>
          </w:tcPr>
          <w:p w14:paraId="3D072EFB"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7A21C76" w14:textId="77777777" w:rsidR="007B2A23" w:rsidRPr="007B2A23" w:rsidRDefault="007B2A23" w:rsidP="007B2A23">
            <w:pPr>
              <w:pStyle w:val="BodyText"/>
              <w:spacing w:line="259" w:lineRule="auto"/>
              <w:ind w:right="97"/>
              <w:jc w:val="both"/>
              <w:rPr>
                <w:lang w:val="en-MY"/>
              </w:rPr>
            </w:pPr>
            <w:r w:rsidRPr="007B2A23">
              <w:rPr>
                <w:lang w:val="en-MY"/>
              </w:rPr>
              <w:t>Medium (75–200 employees)</w:t>
            </w:r>
          </w:p>
        </w:tc>
        <w:tc>
          <w:tcPr>
            <w:tcW w:w="0" w:type="auto"/>
            <w:vAlign w:val="center"/>
            <w:hideMark/>
          </w:tcPr>
          <w:p w14:paraId="012ACD70" w14:textId="77777777" w:rsidR="007B2A23" w:rsidRPr="007B2A23" w:rsidRDefault="007B2A23" w:rsidP="007B2A23">
            <w:pPr>
              <w:pStyle w:val="BodyText"/>
              <w:spacing w:line="259" w:lineRule="auto"/>
              <w:ind w:right="97"/>
              <w:jc w:val="both"/>
              <w:rPr>
                <w:lang w:val="en-MY"/>
              </w:rPr>
            </w:pPr>
            <w:r w:rsidRPr="007B2A23">
              <w:rPr>
                <w:lang w:val="en-MY"/>
              </w:rPr>
              <w:t>23</w:t>
            </w:r>
          </w:p>
        </w:tc>
        <w:tc>
          <w:tcPr>
            <w:tcW w:w="0" w:type="auto"/>
            <w:vAlign w:val="center"/>
            <w:hideMark/>
          </w:tcPr>
          <w:p w14:paraId="6217EABF" w14:textId="77777777" w:rsidR="007B2A23" w:rsidRPr="007B2A23" w:rsidRDefault="007B2A23" w:rsidP="007B2A23">
            <w:pPr>
              <w:pStyle w:val="BodyText"/>
              <w:spacing w:line="259" w:lineRule="auto"/>
              <w:ind w:right="97"/>
              <w:jc w:val="both"/>
              <w:rPr>
                <w:lang w:val="en-MY"/>
              </w:rPr>
            </w:pPr>
            <w:r w:rsidRPr="007B2A23">
              <w:rPr>
                <w:lang w:val="en-MY"/>
              </w:rPr>
              <w:t>11.4</w:t>
            </w:r>
          </w:p>
        </w:tc>
      </w:tr>
      <w:tr w:rsidR="007B2A23" w:rsidRPr="007B2A23" w14:paraId="300A7B56" w14:textId="77777777" w:rsidTr="007B2A23">
        <w:trPr>
          <w:tblCellSpacing w:w="15" w:type="dxa"/>
        </w:trPr>
        <w:tc>
          <w:tcPr>
            <w:tcW w:w="0" w:type="auto"/>
            <w:vAlign w:val="center"/>
            <w:hideMark/>
          </w:tcPr>
          <w:p w14:paraId="66BE9983"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9141573" w14:textId="77777777" w:rsidR="007B2A23" w:rsidRPr="007B2A23" w:rsidRDefault="007B2A23" w:rsidP="007B2A23">
            <w:pPr>
              <w:pStyle w:val="BodyText"/>
              <w:spacing w:line="259" w:lineRule="auto"/>
              <w:ind w:right="97"/>
              <w:jc w:val="both"/>
              <w:rPr>
                <w:lang w:val="en-MY"/>
              </w:rPr>
            </w:pPr>
            <w:r w:rsidRPr="007B2A23">
              <w:rPr>
                <w:lang w:val="en-MY"/>
              </w:rPr>
              <w:t>Micro (&lt; 5 employees)</w:t>
            </w:r>
          </w:p>
        </w:tc>
        <w:tc>
          <w:tcPr>
            <w:tcW w:w="0" w:type="auto"/>
            <w:vAlign w:val="center"/>
            <w:hideMark/>
          </w:tcPr>
          <w:p w14:paraId="5287B4F8" w14:textId="77777777" w:rsidR="007B2A23" w:rsidRPr="007B2A23" w:rsidRDefault="007B2A23" w:rsidP="007B2A23">
            <w:pPr>
              <w:pStyle w:val="BodyText"/>
              <w:spacing w:line="259" w:lineRule="auto"/>
              <w:ind w:right="97"/>
              <w:jc w:val="both"/>
              <w:rPr>
                <w:lang w:val="en-MY"/>
              </w:rPr>
            </w:pPr>
            <w:r w:rsidRPr="007B2A23">
              <w:rPr>
                <w:lang w:val="en-MY"/>
              </w:rPr>
              <w:t>9</w:t>
            </w:r>
          </w:p>
        </w:tc>
        <w:tc>
          <w:tcPr>
            <w:tcW w:w="0" w:type="auto"/>
            <w:vAlign w:val="center"/>
            <w:hideMark/>
          </w:tcPr>
          <w:p w14:paraId="3B365FEB" w14:textId="77777777" w:rsidR="007B2A23" w:rsidRPr="007B2A23" w:rsidRDefault="007B2A23" w:rsidP="007B2A23">
            <w:pPr>
              <w:pStyle w:val="BodyText"/>
              <w:spacing w:line="259" w:lineRule="auto"/>
              <w:ind w:right="97"/>
              <w:jc w:val="both"/>
              <w:rPr>
                <w:lang w:val="en-MY"/>
              </w:rPr>
            </w:pPr>
            <w:r w:rsidRPr="007B2A23">
              <w:rPr>
                <w:lang w:val="en-MY"/>
              </w:rPr>
              <w:t>4.5</w:t>
            </w:r>
          </w:p>
        </w:tc>
      </w:tr>
      <w:tr w:rsidR="007B2A23" w:rsidRPr="007B2A23" w14:paraId="2A140E23" w14:textId="77777777" w:rsidTr="007B2A23">
        <w:trPr>
          <w:tblCellSpacing w:w="15" w:type="dxa"/>
        </w:trPr>
        <w:tc>
          <w:tcPr>
            <w:tcW w:w="0" w:type="auto"/>
            <w:vAlign w:val="center"/>
            <w:hideMark/>
          </w:tcPr>
          <w:p w14:paraId="1D2A583A"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7C877592"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73B64D55"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33C1BA47"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27882BDB" w14:textId="77777777" w:rsidTr="007B2A23">
        <w:trPr>
          <w:tblCellSpacing w:w="15" w:type="dxa"/>
        </w:trPr>
        <w:tc>
          <w:tcPr>
            <w:tcW w:w="0" w:type="auto"/>
            <w:vAlign w:val="center"/>
            <w:hideMark/>
          </w:tcPr>
          <w:p w14:paraId="5E6F0E1C" w14:textId="77777777" w:rsidR="007B2A23" w:rsidRPr="007B2A23" w:rsidRDefault="007B2A23" w:rsidP="007B2A23">
            <w:pPr>
              <w:pStyle w:val="BodyText"/>
              <w:spacing w:line="259" w:lineRule="auto"/>
              <w:ind w:right="97"/>
              <w:jc w:val="both"/>
              <w:rPr>
                <w:lang w:val="en-MY"/>
              </w:rPr>
            </w:pPr>
            <w:r w:rsidRPr="007B2A23">
              <w:rPr>
                <w:b/>
                <w:bCs/>
                <w:lang w:val="en-MY"/>
              </w:rPr>
              <w:t>Annual Sales Turnover</w:t>
            </w:r>
          </w:p>
        </w:tc>
        <w:tc>
          <w:tcPr>
            <w:tcW w:w="0" w:type="auto"/>
            <w:vAlign w:val="center"/>
            <w:hideMark/>
          </w:tcPr>
          <w:p w14:paraId="657D2741" w14:textId="77777777" w:rsidR="007B2A23" w:rsidRPr="007B2A23" w:rsidRDefault="007B2A23" w:rsidP="007B2A23">
            <w:pPr>
              <w:pStyle w:val="BodyText"/>
              <w:spacing w:line="259" w:lineRule="auto"/>
              <w:ind w:right="97"/>
              <w:jc w:val="both"/>
              <w:rPr>
                <w:lang w:val="en-MY"/>
              </w:rPr>
            </w:pPr>
            <w:r w:rsidRPr="007B2A23">
              <w:rPr>
                <w:lang w:val="en-MY"/>
              </w:rPr>
              <w:t>RM300,000 – RM15 million</w:t>
            </w:r>
          </w:p>
        </w:tc>
        <w:tc>
          <w:tcPr>
            <w:tcW w:w="0" w:type="auto"/>
            <w:vAlign w:val="center"/>
            <w:hideMark/>
          </w:tcPr>
          <w:p w14:paraId="0D57D5B6" w14:textId="77777777" w:rsidR="007B2A23" w:rsidRPr="007B2A23" w:rsidRDefault="007B2A23" w:rsidP="007B2A23">
            <w:pPr>
              <w:pStyle w:val="BodyText"/>
              <w:spacing w:line="259" w:lineRule="auto"/>
              <w:ind w:right="97"/>
              <w:jc w:val="both"/>
              <w:rPr>
                <w:lang w:val="en-MY"/>
              </w:rPr>
            </w:pPr>
            <w:r w:rsidRPr="007B2A23">
              <w:rPr>
                <w:lang w:val="en-MY"/>
              </w:rPr>
              <w:t>138</w:t>
            </w:r>
          </w:p>
        </w:tc>
        <w:tc>
          <w:tcPr>
            <w:tcW w:w="0" w:type="auto"/>
            <w:vAlign w:val="center"/>
            <w:hideMark/>
          </w:tcPr>
          <w:p w14:paraId="7DAE6C93" w14:textId="77777777" w:rsidR="007B2A23" w:rsidRPr="007B2A23" w:rsidRDefault="007B2A23" w:rsidP="007B2A23">
            <w:pPr>
              <w:pStyle w:val="BodyText"/>
              <w:spacing w:line="259" w:lineRule="auto"/>
              <w:ind w:right="97"/>
              <w:jc w:val="both"/>
              <w:rPr>
                <w:lang w:val="en-MY"/>
              </w:rPr>
            </w:pPr>
            <w:r w:rsidRPr="007B2A23">
              <w:rPr>
                <w:lang w:val="en-MY"/>
              </w:rPr>
              <w:t>68.3</w:t>
            </w:r>
          </w:p>
        </w:tc>
      </w:tr>
      <w:tr w:rsidR="007B2A23" w:rsidRPr="007B2A23" w14:paraId="3D2334E6" w14:textId="77777777" w:rsidTr="007B2A23">
        <w:trPr>
          <w:tblCellSpacing w:w="15" w:type="dxa"/>
        </w:trPr>
        <w:tc>
          <w:tcPr>
            <w:tcW w:w="0" w:type="auto"/>
            <w:vAlign w:val="center"/>
            <w:hideMark/>
          </w:tcPr>
          <w:p w14:paraId="2E072C21"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6434B0F9" w14:textId="77777777" w:rsidR="007B2A23" w:rsidRPr="007B2A23" w:rsidRDefault="007B2A23" w:rsidP="007B2A23">
            <w:pPr>
              <w:pStyle w:val="BodyText"/>
              <w:spacing w:line="259" w:lineRule="auto"/>
              <w:ind w:right="97"/>
              <w:jc w:val="both"/>
              <w:rPr>
                <w:lang w:val="en-MY"/>
              </w:rPr>
            </w:pPr>
            <w:r w:rsidRPr="007B2A23">
              <w:rPr>
                <w:lang w:val="en-MY"/>
              </w:rPr>
              <w:t>RM15 million – RM50 million</w:t>
            </w:r>
          </w:p>
        </w:tc>
        <w:tc>
          <w:tcPr>
            <w:tcW w:w="0" w:type="auto"/>
            <w:vAlign w:val="center"/>
            <w:hideMark/>
          </w:tcPr>
          <w:p w14:paraId="54762922" w14:textId="77777777" w:rsidR="007B2A23" w:rsidRPr="007B2A23" w:rsidRDefault="007B2A23" w:rsidP="007B2A23">
            <w:pPr>
              <w:pStyle w:val="BodyText"/>
              <w:spacing w:line="259" w:lineRule="auto"/>
              <w:ind w:right="97"/>
              <w:jc w:val="both"/>
              <w:rPr>
                <w:lang w:val="en-MY"/>
              </w:rPr>
            </w:pPr>
            <w:r w:rsidRPr="007B2A23">
              <w:rPr>
                <w:lang w:val="en-MY"/>
              </w:rPr>
              <w:t>29</w:t>
            </w:r>
          </w:p>
        </w:tc>
        <w:tc>
          <w:tcPr>
            <w:tcW w:w="0" w:type="auto"/>
            <w:vAlign w:val="center"/>
            <w:hideMark/>
          </w:tcPr>
          <w:p w14:paraId="5414CDAC" w14:textId="77777777" w:rsidR="007B2A23" w:rsidRPr="007B2A23" w:rsidRDefault="007B2A23" w:rsidP="007B2A23">
            <w:pPr>
              <w:pStyle w:val="BodyText"/>
              <w:spacing w:line="259" w:lineRule="auto"/>
              <w:ind w:right="97"/>
              <w:jc w:val="both"/>
              <w:rPr>
                <w:lang w:val="en-MY"/>
              </w:rPr>
            </w:pPr>
            <w:r w:rsidRPr="007B2A23">
              <w:rPr>
                <w:lang w:val="en-MY"/>
              </w:rPr>
              <w:t>14.4</w:t>
            </w:r>
          </w:p>
        </w:tc>
      </w:tr>
      <w:tr w:rsidR="007B2A23" w:rsidRPr="007B2A23" w14:paraId="19DD887E" w14:textId="77777777" w:rsidTr="007B2A23">
        <w:trPr>
          <w:tblCellSpacing w:w="15" w:type="dxa"/>
        </w:trPr>
        <w:tc>
          <w:tcPr>
            <w:tcW w:w="0" w:type="auto"/>
            <w:vAlign w:val="center"/>
            <w:hideMark/>
          </w:tcPr>
          <w:p w14:paraId="0AB1273C"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493AEDCE" w14:textId="77777777" w:rsidR="007B2A23" w:rsidRPr="007B2A23" w:rsidRDefault="007B2A23" w:rsidP="007B2A23">
            <w:pPr>
              <w:pStyle w:val="BodyText"/>
              <w:spacing w:line="259" w:lineRule="auto"/>
              <w:ind w:right="97"/>
              <w:jc w:val="both"/>
              <w:rPr>
                <w:lang w:val="en-MY"/>
              </w:rPr>
            </w:pPr>
            <w:r w:rsidRPr="007B2A23">
              <w:rPr>
                <w:lang w:val="en-MY"/>
              </w:rPr>
              <w:t>Less than RM300,000</w:t>
            </w:r>
          </w:p>
        </w:tc>
        <w:tc>
          <w:tcPr>
            <w:tcW w:w="0" w:type="auto"/>
            <w:vAlign w:val="center"/>
            <w:hideMark/>
          </w:tcPr>
          <w:p w14:paraId="74C1DCD6" w14:textId="77777777" w:rsidR="007B2A23" w:rsidRPr="007B2A23" w:rsidRDefault="007B2A23" w:rsidP="007B2A23">
            <w:pPr>
              <w:pStyle w:val="BodyText"/>
              <w:spacing w:line="259" w:lineRule="auto"/>
              <w:ind w:right="97"/>
              <w:jc w:val="both"/>
              <w:rPr>
                <w:lang w:val="en-MY"/>
              </w:rPr>
            </w:pPr>
            <w:r w:rsidRPr="007B2A23">
              <w:rPr>
                <w:lang w:val="en-MY"/>
              </w:rPr>
              <w:t>4</w:t>
            </w:r>
          </w:p>
        </w:tc>
        <w:tc>
          <w:tcPr>
            <w:tcW w:w="0" w:type="auto"/>
            <w:vAlign w:val="center"/>
            <w:hideMark/>
          </w:tcPr>
          <w:p w14:paraId="4C41F840" w14:textId="77777777" w:rsidR="007B2A23" w:rsidRPr="007B2A23" w:rsidRDefault="007B2A23" w:rsidP="007B2A23">
            <w:pPr>
              <w:pStyle w:val="BodyText"/>
              <w:spacing w:line="259" w:lineRule="auto"/>
              <w:ind w:right="97"/>
              <w:jc w:val="both"/>
              <w:rPr>
                <w:lang w:val="en-MY"/>
              </w:rPr>
            </w:pPr>
            <w:r w:rsidRPr="007B2A23">
              <w:rPr>
                <w:lang w:val="en-MY"/>
              </w:rPr>
              <w:t>2.0</w:t>
            </w:r>
          </w:p>
        </w:tc>
      </w:tr>
      <w:tr w:rsidR="007B2A23" w:rsidRPr="007B2A23" w14:paraId="4190AC0C" w14:textId="77777777" w:rsidTr="007B2A23">
        <w:trPr>
          <w:tblCellSpacing w:w="15" w:type="dxa"/>
        </w:trPr>
        <w:tc>
          <w:tcPr>
            <w:tcW w:w="0" w:type="auto"/>
            <w:vAlign w:val="center"/>
            <w:hideMark/>
          </w:tcPr>
          <w:p w14:paraId="62CA0A0F"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7BF0DBCE"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vAlign w:val="center"/>
            <w:hideMark/>
          </w:tcPr>
          <w:p w14:paraId="622D5F6D"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vAlign w:val="center"/>
            <w:hideMark/>
          </w:tcPr>
          <w:p w14:paraId="01B2C087" w14:textId="77777777" w:rsidR="007B2A23" w:rsidRPr="007B2A23" w:rsidRDefault="007B2A23" w:rsidP="007B2A23">
            <w:pPr>
              <w:pStyle w:val="BodyText"/>
              <w:spacing w:line="259" w:lineRule="auto"/>
              <w:ind w:right="97"/>
              <w:jc w:val="both"/>
              <w:rPr>
                <w:lang w:val="en-MY"/>
              </w:rPr>
            </w:pPr>
            <w:r w:rsidRPr="007B2A23">
              <w:rPr>
                <w:lang w:val="en-MY"/>
              </w:rPr>
              <w:t>15.3</w:t>
            </w:r>
          </w:p>
        </w:tc>
      </w:tr>
      <w:tr w:rsidR="007B2A23" w:rsidRPr="007B2A23" w14:paraId="5332C078" w14:textId="77777777" w:rsidTr="007B2A23">
        <w:trPr>
          <w:tblCellSpacing w:w="15" w:type="dxa"/>
        </w:trPr>
        <w:tc>
          <w:tcPr>
            <w:tcW w:w="0" w:type="auto"/>
            <w:vAlign w:val="center"/>
            <w:hideMark/>
          </w:tcPr>
          <w:p w14:paraId="66251A42" w14:textId="77777777" w:rsidR="007B2A23" w:rsidRPr="007B2A23" w:rsidRDefault="007B2A23" w:rsidP="007B2A23">
            <w:pPr>
              <w:pStyle w:val="BodyText"/>
              <w:spacing w:line="259" w:lineRule="auto"/>
              <w:ind w:right="97"/>
              <w:jc w:val="both"/>
              <w:rPr>
                <w:lang w:val="en-MY"/>
              </w:rPr>
            </w:pPr>
            <w:r w:rsidRPr="007B2A23">
              <w:rPr>
                <w:b/>
                <w:bCs/>
                <w:lang w:val="en-MY"/>
              </w:rPr>
              <w:t>Years of Operation</w:t>
            </w:r>
          </w:p>
        </w:tc>
        <w:tc>
          <w:tcPr>
            <w:tcW w:w="0" w:type="auto"/>
            <w:vAlign w:val="center"/>
            <w:hideMark/>
          </w:tcPr>
          <w:p w14:paraId="386D34E9" w14:textId="77777777" w:rsidR="007B2A23" w:rsidRPr="007B2A23" w:rsidRDefault="007B2A23" w:rsidP="007B2A23">
            <w:pPr>
              <w:pStyle w:val="BodyText"/>
              <w:spacing w:line="259" w:lineRule="auto"/>
              <w:ind w:right="97"/>
              <w:jc w:val="both"/>
              <w:rPr>
                <w:lang w:val="en-MY"/>
              </w:rPr>
            </w:pPr>
            <w:r w:rsidRPr="007B2A23">
              <w:rPr>
                <w:lang w:val="en-MY"/>
              </w:rPr>
              <w:t>3–5 years</w:t>
            </w:r>
          </w:p>
        </w:tc>
        <w:tc>
          <w:tcPr>
            <w:tcW w:w="0" w:type="auto"/>
            <w:vAlign w:val="center"/>
            <w:hideMark/>
          </w:tcPr>
          <w:p w14:paraId="5093ADCE" w14:textId="77777777" w:rsidR="007B2A23" w:rsidRPr="007B2A23" w:rsidRDefault="007B2A23" w:rsidP="007B2A23">
            <w:pPr>
              <w:pStyle w:val="BodyText"/>
              <w:spacing w:line="259" w:lineRule="auto"/>
              <w:ind w:right="97"/>
              <w:jc w:val="both"/>
              <w:rPr>
                <w:lang w:val="en-MY"/>
              </w:rPr>
            </w:pPr>
            <w:r w:rsidRPr="007B2A23">
              <w:rPr>
                <w:lang w:val="en-MY"/>
              </w:rPr>
              <w:t>96</w:t>
            </w:r>
          </w:p>
        </w:tc>
        <w:tc>
          <w:tcPr>
            <w:tcW w:w="0" w:type="auto"/>
            <w:vAlign w:val="center"/>
            <w:hideMark/>
          </w:tcPr>
          <w:p w14:paraId="4C7F8589" w14:textId="77777777" w:rsidR="007B2A23" w:rsidRPr="007B2A23" w:rsidRDefault="007B2A23" w:rsidP="007B2A23">
            <w:pPr>
              <w:pStyle w:val="BodyText"/>
              <w:spacing w:line="259" w:lineRule="auto"/>
              <w:ind w:right="97"/>
              <w:jc w:val="both"/>
              <w:rPr>
                <w:lang w:val="en-MY"/>
              </w:rPr>
            </w:pPr>
            <w:r w:rsidRPr="007B2A23">
              <w:rPr>
                <w:lang w:val="en-MY"/>
              </w:rPr>
              <w:t>47.5</w:t>
            </w:r>
          </w:p>
        </w:tc>
      </w:tr>
      <w:tr w:rsidR="007B2A23" w:rsidRPr="007B2A23" w14:paraId="7264391E" w14:textId="77777777" w:rsidTr="007B2A23">
        <w:trPr>
          <w:tblCellSpacing w:w="15" w:type="dxa"/>
        </w:trPr>
        <w:tc>
          <w:tcPr>
            <w:tcW w:w="0" w:type="auto"/>
            <w:vAlign w:val="center"/>
            <w:hideMark/>
          </w:tcPr>
          <w:p w14:paraId="5D0EA46B"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15C67B22" w14:textId="77777777" w:rsidR="007B2A23" w:rsidRPr="007B2A23" w:rsidRDefault="007B2A23" w:rsidP="007B2A23">
            <w:pPr>
              <w:pStyle w:val="BodyText"/>
              <w:spacing w:line="259" w:lineRule="auto"/>
              <w:ind w:right="97"/>
              <w:jc w:val="both"/>
              <w:rPr>
                <w:lang w:val="en-MY"/>
              </w:rPr>
            </w:pPr>
            <w:r w:rsidRPr="007B2A23">
              <w:rPr>
                <w:lang w:val="en-MY"/>
              </w:rPr>
              <w:t>6–10 years</w:t>
            </w:r>
          </w:p>
        </w:tc>
        <w:tc>
          <w:tcPr>
            <w:tcW w:w="0" w:type="auto"/>
            <w:vAlign w:val="center"/>
            <w:hideMark/>
          </w:tcPr>
          <w:p w14:paraId="7A6E8E28" w14:textId="77777777" w:rsidR="007B2A23" w:rsidRPr="007B2A23" w:rsidRDefault="007B2A23" w:rsidP="007B2A23">
            <w:pPr>
              <w:pStyle w:val="BodyText"/>
              <w:spacing w:line="259" w:lineRule="auto"/>
              <w:ind w:right="97"/>
              <w:jc w:val="both"/>
              <w:rPr>
                <w:lang w:val="en-MY"/>
              </w:rPr>
            </w:pPr>
            <w:r w:rsidRPr="007B2A23">
              <w:rPr>
                <w:lang w:val="en-MY"/>
              </w:rPr>
              <w:t>62</w:t>
            </w:r>
          </w:p>
        </w:tc>
        <w:tc>
          <w:tcPr>
            <w:tcW w:w="0" w:type="auto"/>
            <w:vAlign w:val="center"/>
            <w:hideMark/>
          </w:tcPr>
          <w:p w14:paraId="7E508751" w14:textId="77777777" w:rsidR="007B2A23" w:rsidRPr="007B2A23" w:rsidRDefault="007B2A23" w:rsidP="007B2A23">
            <w:pPr>
              <w:pStyle w:val="BodyText"/>
              <w:spacing w:line="259" w:lineRule="auto"/>
              <w:ind w:right="97"/>
              <w:jc w:val="both"/>
              <w:rPr>
                <w:lang w:val="en-MY"/>
              </w:rPr>
            </w:pPr>
            <w:r w:rsidRPr="007B2A23">
              <w:rPr>
                <w:lang w:val="en-MY"/>
              </w:rPr>
              <w:t>30.7</w:t>
            </w:r>
          </w:p>
        </w:tc>
      </w:tr>
      <w:tr w:rsidR="007B2A23" w:rsidRPr="007B2A23" w14:paraId="0AA11A88" w14:textId="77777777" w:rsidTr="007B2A23">
        <w:trPr>
          <w:tblCellSpacing w:w="15" w:type="dxa"/>
        </w:trPr>
        <w:tc>
          <w:tcPr>
            <w:tcW w:w="0" w:type="auto"/>
            <w:vAlign w:val="center"/>
            <w:hideMark/>
          </w:tcPr>
          <w:p w14:paraId="09F01622"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5A8DCEEC" w14:textId="77777777" w:rsidR="007B2A23" w:rsidRPr="007B2A23" w:rsidRDefault="007B2A23" w:rsidP="007B2A23">
            <w:pPr>
              <w:pStyle w:val="BodyText"/>
              <w:spacing w:line="259" w:lineRule="auto"/>
              <w:ind w:right="97"/>
              <w:jc w:val="both"/>
              <w:rPr>
                <w:lang w:val="en-MY"/>
              </w:rPr>
            </w:pPr>
            <w:r w:rsidRPr="007B2A23">
              <w:rPr>
                <w:lang w:val="en-MY"/>
              </w:rPr>
              <w:t>Less than 3 years</w:t>
            </w:r>
          </w:p>
        </w:tc>
        <w:tc>
          <w:tcPr>
            <w:tcW w:w="0" w:type="auto"/>
            <w:vAlign w:val="center"/>
            <w:hideMark/>
          </w:tcPr>
          <w:p w14:paraId="0D4812E6" w14:textId="77777777" w:rsidR="007B2A23" w:rsidRPr="007B2A23" w:rsidRDefault="007B2A23" w:rsidP="007B2A23">
            <w:pPr>
              <w:pStyle w:val="BodyText"/>
              <w:spacing w:line="259" w:lineRule="auto"/>
              <w:ind w:right="97"/>
              <w:jc w:val="both"/>
              <w:rPr>
                <w:lang w:val="en-MY"/>
              </w:rPr>
            </w:pPr>
            <w:r w:rsidRPr="007B2A23">
              <w:rPr>
                <w:lang w:val="en-MY"/>
              </w:rPr>
              <w:t>5</w:t>
            </w:r>
          </w:p>
        </w:tc>
        <w:tc>
          <w:tcPr>
            <w:tcW w:w="0" w:type="auto"/>
            <w:vAlign w:val="center"/>
            <w:hideMark/>
          </w:tcPr>
          <w:p w14:paraId="2109A8E5" w14:textId="77777777" w:rsidR="007B2A23" w:rsidRPr="007B2A23" w:rsidRDefault="007B2A23" w:rsidP="007B2A23">
            <w:pPr>
              <w:pStyle w:val="BodyText"/>
              <w:spacing w:line="259" w:lineRule="auto"/>
              <w:ind w:right="97"/>
              <w:jc w:val="both"/>
              <w:rPr>
                <w:lang w:val="en-MY"/>
              </w:rPr>
            </w:pPr>
            <w:r w:rsidRPr="007B2A23">
              <w:rPr>
                <w:lang w:val="en-MY"/>
              </w:rPr>
              <w:t>2.5</w:t>
            </w:r>
          </w:p>
        </w:tc>
      </w:tr>
      <w:tr w:rsidR="007B2A23" w:rsidRPr="007B2A23" w14:paraId="52E29D01" w14:textId="77777777" w:rsidTr="007B2A23">
        <w:trPr>
          <w:tblCellSpacing w:w="15" w:type="dxa"/>
        </w:trPr>
        <w:tc>
          <w:tcPr>
            <w:tcW w:w="0" w:type="auto"/>
            <w:vAlign w:val="center"/>
            <w:hideMark/>
          </w:tcPr>
          <w:p w14:paraId="618395DE"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101943E9" w14:textId="77777777" w:rsidR="007B2A23" w:rsidRPr="007B2A23" w:rsidRDefault="007B2A23" w:rsidP="007B2A23">
            <w:pPr>
              <w:pStyle w:val="BodyText"/>
              <w:spacing w:line="259" w:lineRule="auto"/>
              <w:ind w:right="97"/>
              <w:jc w:val="both"/>
              <w:rPr>
                <w:lang w:val="en-MY"/>
              </w:rPr>
            </w:pPr>
            <w:r w:rsidRPr="007B2A23">
              <w:rPr>
                <w:lang w:val="en-MY"/>
              </w:rPr>
              <w:t>More than 10 years</w:t>
            </w:r>
          </w:p>
        </w:tc>
        <w:tc>
          <w:tcPr>
            <w:tcW w:w="0" w:type="auto"/>
            <w:vAlign w:val="center"/>
            <w:hideMark/>
          </w:tcPr>
          <w:p w14:paraId="344F0874" w14:textId="77777777" w:rsidR="007B2A23" w:rsidRPr="007B2A23" w:rsidRDefault="007B2A23" w:rsidP="007B2A23">
            <w:pPr>
              <w:pStyle w:val="BodyText"/>
              <w:spacing w:line="259" w:lineRule="auto"/>
              <w:ind w:right="97"/>
              <w:jc w:val="both"/>
              <w:rPr>
                <w:lang w:val="en-MY"/>
              </w:rPr>
            </w:pPr>
            <w:r w:rsidRPr="007B2A23">
              <w:rPr>
                <w:lang w:val="en-MY"/>
              </w:rPr>
              <w:t>8</w:t>
            </w:r>
          </w:p>
        </w:tc>
        <w:tc>
          <w:tcPr>
            <w:tcW w:w="0" w:type="auto"/>
            <w:vAlign w:val="center"/>
            <w:hideMark/>
          </w:tcPr>
          <w:p w14:paraId="57041691" w14:textId="77777777" w:rsidR="007B2A23" w:rsidRPr="007B2A23" w:rsidRDefault="007B2A23" w:rsidP="007B2A23">
            <w:pPr>
              <w:pStyle w:val="BodyText"/>
              <w:spacing w:line="259" w:lineRule="auto"/>
              <w:ind w:right="97"/>
              <w:jc w:val="both"/>
              <w:rPr>
                <w:lang w:val="en-MY"/>
              </w:rPr>
            </w:pPr>
            <w:r w:rsidRPr="007B2A23">
              <w:rPr>
                <w:lang w:val="en-MY"/>
              </w:rPr>
              <w:t>4.0</w:t>
            </w:r>
          </w:p>
        </w:tc>
      </w:tr>
      <w:tr w:rsidR="007B2A23" w:rsidRPr="007B2A23" w14:paraId="2E5B201C" w14:textId="77777777" w:rsidTr="007B2A23">
        <w:trPr>
          <w:tblCellSpacing w:w="15" w:type="dxa"/>
        </w:trPr>
        <w:tc>
          <w:tcPr>
            <w:tcW w:w="0" w:type="auto"/>
            <w:tcBorders>
              <w:bottom w:val="single" w:sz="4" w:space="0" w:color="auto"/>
            </w:tcBorders>
            <w:vAlign w:val="center"/>
            <w:hideMark/>
          </w:tcPr>
          <w:p w14:paraId="5AAE1185" w14:textId="77777777" w:rsidR="007B2A23" w:rsidRPr="007B2A23" w:rsidRDefault="007B2A23" w:rsidP="007B2A23">
            <w:pPr>
              <w:pStyle w:val="BodyText"/>
              <w:spacing w:line="259" w:lineRule="auto"/>
              <w:ind w:right="97"/>
              <w:jc w:val="both"/>
              <w:rPr>
                <w:lang w:val="en-MY"/>
              </w:rPr>
            </w:pPr>
          </w:p>
        </w:tc>
        <w:tc>
          <w:tcPr>
            <w:tcW w:w="0" w:type="auto"/>
            <w:tcBorders>
              <w:bottom w:val="single" w:sz="4" w:space="0" w:color="auto"/>
            </w:tcBorders>
            <w:vAlign w:val="center"/>
            <w:hideMark/>
          </w:tcPr>
          <w:p w14:paraId="62E2F335" w14:textId="77777777" w:rsidR="007B2A23" w:rsidRPr="007B2A23" w:rsidRDefault="007B2A23" w:rsidP="007B2A23">
            <w:pPr>
              <w:pStyle w:val="BodyText"/>
              <w:spacing w:line="259" w:lineRule="auto"/>
              <w:ind w:right="97"/>
              <w:jc w:val="both"/>
              <w:rPr>
                <w:lang w:val="en-MY"/>
              </w:rPr>
            </w:pPr>
            <w:r w:rsidRPr="007B2A23">
              <w:rPr>
                <w:lang w:val="en-MY"/>
              </w:rPr>
              <w:t>Others/Not Specified</w:t>
            </w:r>
          </w:p>
        </w:tc>
        <w:tc>
          <w:tcPr>
            <w:tcW w:w="0" w:type="auto"/>
            <w:tcBorders>
              <w:bottom w:val="single" w:sz="4" w:space="0" w:color="auto"/>
            </w:tcBorders>
            <w:vAlign w:val="center"/>
            <w:hideMark/>
          </w:tcPr>
          <w:p w14:paraId="37991491" w14:textId="77777777" w:rsidR="007B2A23" w:rsidRPr="007B2A23" w:rsidRDefault="007B2A23" w:rsidP="007B2A23">
            <w:pPr>
              <w:pStyle w:val="BodyText"/>
              <w:spacing w:line="259" w:lineRule="auto"/>
              <w:ind w:right="97"/>
              <w:jc w:val="both"/>
              <w:rPr>
                <w:lang w:val="en-MY"/>
              </w:rPr>
            </w:pPr>
            <w:r w:rsidRPr="007B2A23">
              <w:rPr>
                <w:lang w:val="en-MY"/>
              </w:rPr>
              <w:t>31</w:t>
            </w:r>
          </w:p>
        </w:tc>
        <w:tc>
          <w:tcPr>
            <w:tcW w:w="0" w:type="auto"/>
            <w:tcBorders>
              <w:bottom w:val="single" w:sz="4" w:space="0" w:color="auto"/>
            </w:tcBorders>
            <w:vAlign w:val="center"/>
            <w:hideMark/>
          </w:tcPr>
          <w:p w14:paraId="06B6D020" w14:textId="77777777" w:rsidR="007B2A23" w:rsidRPr="007B2A23" w:rsidRDefault="007B2A23" w:rsidP="007B2A23">
            <w:pPr>
              <w:pStyle w:val="BodyText"/>
              <w:spacing w:line="259" w:lineRule="auto"/>
              <w:ind w:right="97"/>
              <w:jc w:val="both"/>
              <w:rPr>
                <w:lang w:val="en-MY"/>
              </w:rPr>
            </w:pPr>
            <w:r w:rsidRPr="007B2A23">
              <w:rPr>
                <w:lang w:val="en-MY"/>
              </w:rPr>
              <w:t>15.3</w:t>
            </w:r>
          </w:p>
        </w:tc>
      </w:tr>
    </w:tbl>
    <w:p w14:paraId="61E90C36" w14:textId="77777777" w:rsidR="00F34265" w:rsidRDefault="00F34265" w:rsidP="005E6C1A">
      <w:pPr>
        <w:pStyle w:val="BodyText"/>
        <w:spacing w:line="259" w:lineRule="auto"/>
        <w:ind w:right="97"/>
        <w:jc w:val="both"/>
      </w:pPr>
    </w:p>
    <w:p w14:paraId="742D3B6F" w14:textId="6BE63E0C" w:rsidR="00F34265" w:rsidRDefault="007B2A23" w:rsidP="005E6C1A">
      <w:pPr>
        <w:pStyle w:val="BodyText"/>
        <w:spacing w:line="259" w:lineRule="auto"/>
        <w:ind w:right="97"/>
        <w:jc w:val="both"/>
      </w:pPr>
      <w:r w:rsidRPr="007B2A23">
        <w:lastRenderedPageBreak/>
        <w:t xml:space="preserve">The case processing summary indicates that out of 202 </w:t>
      </w:r>
      <w:proofErr w:type="gramStart"/>
      <w:r w:rsidRPr="007B2A23">
        <w:t>collected questionnaires</w:t>
      </w:r>
      <w:proofErr w:type="gramEnd"/>
      <w:r w:rsidRPr="007B2A23">
        <w:t>, 171 responses (84.7%) were valid and included in the analysis. A total of 31 responses (15.3%) were excluded due to incomplete data through listwise deletion. The remaining valid responses provided a sufficient sample size for subsequent statistical analyses.</w:t>
      </w:r>
    </w:p>
    <w:p w14:paraId="1A05397C" w14:textId="77777777" w:rsidR="007B2A23" w:rsidRDefault="007B2A23" w:rsidP="005E6C1A">
      <w:pPr>
        <w:pStyle w:val="BodyText"/>
        <w:spacing w:line="259" w:lineRule="auto"/>
        <w:ind w:right="97"/>
        <w:jc w:val="both"/>
      </w:pPr>
    </w:p>
    <w:p w14:paraId="61B40E3C" w14:textId="25BE31FF" w:rsidR="007B2A23" w:rsidRPr="007B2A23" w:rsidRDefault="007B2A23" w:rsidP="00986C7A">
      <w:pPr>
        <w:pStyle w:val="BodyText"/>
        <w:spacing w:line="259" w:lineRule="auto"/>
        <w:ind w:right="97"/>
        <w:jc w:val="both"/>
        <w:rPr>
          <w:lang w:val="en-MY"/>
        </w:rPr>
      </w:pPr>
      <w:r w:rsidRPr="007B2A23">
        <w:rPr>
          <w:lang w:val="en-MY"/>
        </w:rPr>
        <w:t xml:space="preserve">Table </w:t>
      </w:r>
      <w:r>
        <w:rPr>
          <w:lang w:val="en-MY"/>
        </w:rPr>
        <w:t>2.</w:t>
      </w:r>
      <w:r w:rsidRPr="007B2A23">
        <w:rPr>
          <w:lang w:val="en-MY"/>
        </w:rPr>
        <w:t xml:space="preserve"> Reliability Analysis of Research Variables</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1907"/>
        <w:gridCol w:w="2048"/>
        <w:gridCol w:w="1801"/>
      </w:tblGrid>
      <w:tr w:rsidR="007B2A23" w:rsidRPr="007B2A23" w14:paraId="20DC7C8C" w14:textId="77777777" w:rsidTr="007B2A23">
        <w:trPr>
          <w:tblHeader/>
          <w:tblCellSpacing w:w="15" w:type="dxa"/>
        </w:trPr>
        <w:tc>
          <w:tcPr>
            <w:tcW w:w="0" w:type="auto"/>
            <w:tcBorders>
              <w:top w:val="single" w:sz="4" w:space="0" w:color="auto"/>
              <w:bottom w:val="single" w:sz="4" w:space="0" w:color="auto"/>
            </w:tcBorders>
            <w:vAlign w:val="center"/>
            <w:hideMark/>
          </w:tcPr>
          <w:p w14:paraId="5DCBAE23" w14:textId="77777777" w:rsidR="007B2A23" w:rsidRPr="007B2A23" w:rsidRDefault="007B2A23" w:rsidP="007B2A23">
            <w:pPr>
              <w:pStyle w:val="BodyText"/>
              <w:spacing w:line="259" w:lineRule="auto"/>
              <w:ind w:right="97"/>
              <w:jc w:val="both"/>
              <w:rPr>
                <w:b/>
                <w:bCs/>
                <w:lang w:val="en-MY"/>
              </w:rPr>
            </w:pPr>
            <w:r w:rsidRPr="007B2A23">
              <w:rPr>
                <w:b/>
                <w:bCs/>
                <w:lang w:val="en-MY"/>
              </w:rPr>
              <w:t>Cronbach's Alpha</w:t>
            </w:r>
          </w:p>
        </w:tc>
        <w:tc>
          <w:tcPr>
            <w:tcW w:w="0" w:type="auto"/>
            <w:tcBorders>
              <w:top w:val="single" w:sz="4" w:space="0" w:color="auto"/>
              <w:bottom w:val="single" w:sz="4" w:space="0" w:color="auto"/>
            </w:tcBorders>
            <w:vAlign w:val="center"/>
            <w:hideMark/>
          </w:tcPr>
          <w:p w14:paraId="69E45AC4" w14:textId="77777777" w:rsidR="007B2A23" w:rsidRPr="007B2A23" w:rsidRDefault="007B2A23" w:rsidP="007B2A23">
            <w:pPr>
              <w:pStyle w:val="BodyText"/>
              <w:spacing w:line="259" w:lineRule="auto"/>
              <w:ind w:right="97"/>
              <w:jc w:val="both"/>
              <w:rPr>
                <w:b/>
                <w:bCs/>
                <w:lang w:val="en-MY"/>
              </w:rPr>
            </w:pPr>
            <w:r w:rsidRPr="007B2A23">
              <w:rPr>
                <w:b/>
                <w:bCs/>
                <w:lang w:val="en-MY"/>
              </w:rPr>
              <w:t>Standardized Alpha</w:t>
            </w:r>
          </w:p>
        </w:tc>
        <w:tc>
          <w:tcPr>
            <w:tcW w:w="0" w:type="auto"/>
            <w:tcBorders>
              <w:top w:val="single" w:sz="4" w:space="0" w:color="auto"/>
              <w:bottom w:val="single" w:sz="4" w:space="0" w:color="auto"/>
            </w:tcBorders>
            <w:vAlign w:val="center"/>
            <w:hideMark/>
          </w:tcPr>
          <w:p w14:paraId="787AFA2D" w14:textId="77777777" w:rsidR="007B2A23" w:rsidRPr="007B2A23" w:rsidRDefault="007B2A23" w:rsidP="007B2A23">
            <w:pPr>
              <w:pStyle w:val="BodyText"/>
              <w:spacing w:line="259" w:lineRule="auto"/>
              <w:ind w:right="97"/>
              <w:jc w:val="both"/>
              <w:rPr>
                <w:b/>
                <w:bCs/>
                <w:lang w:val="en-MY"/>
              </w:rPr>
            </w:pPr>
            <w:r w:rsidRPr="007B2A23">
              <w:rPr>
                <w:b/>
                <w:bCs/>
                <w:lang w:val="en-MY"/>
              </w:rPr>
              <w:t>Number of Items</w:t>
            </w:r>
          </w:p>
        </w:tc>
      </w:tr>
      <w:tr w:rsidR="007B2A23" w:rsidRPr="007B2A23" w14:paraId="58EE6D4A" w14:textId="77777777" w:rsidTr="007B2A23">
        <w:trPr>
          <w:tblCellSpacing w:w="15" w:type="dxa"/>
        </w:trPr>
        <w:tc>
          <w:tcPr>
            <w:tcW w:w="0" w:type="auto"/>
            <w:vAlign w:val="center"/>
            <w:hideMark/>
          </w:tcPr>
          <w:p w14:paraId="45A2C56D" w14:textId="77777777" w:rsidR="007B2A23" w:rsidRPr="007B2A23" w:rsidRDefault="007B2A23" w:rsidP="007B2A23">
            <w:pPr>
              <w:pStyle w:val="BodyText"/>
              <w:spacing w:line="259" w:lineRule="auto"/>
              <w:ind w:right="97"/>
              <w:jc w:val="both"/>
              <w:rPr>
                <w:lang w:val="en-MY"/>
              </w:rPr>
            </w:pPr>
            <w:r w:rsidRPr="007B2A23">
              <w:rPr>
                <w:lang w:val="en-MY"/>
              </w:rPr>
              <w:t>0.938</w:t>
            </w:r>
          </w:p>
        </w:tc>
        <w:tc>
          <w:tcPr>
            <w:tcW w:w="0" w:type="auto"/>
            <w:vAlign w:val="center"/>
            <w:hideMark/>
          </w:tcPr>
          <w:p w14:paraId="107CB3C7" w14:textId="77777777" w:rsidR="007B2A23" w:rsidRPr="007B2A23" w:rsidRDefault="007B2A23" w:rsidP="007B2A23">
            <w:pPr>
              <w:pStyle w:val="BodyText"/>
              <w:spacing w:line="259" w:lineRule="auto"/>
              <w:ind w:right="97"/>
              <w:jc w:val="both"/>
              <w:rPr>
                <w:lang w:val="en-MY"/>
              </w:rPr>
            </w:pPr>
            <w:r w:rsidRPr="007B2A23">
              <w:rPr>
                <w:lang w:val="en-MY"/>
              </w:rPr>
              <w:t>0.938</w:t>
            </w:r>
          </w:p>
        </w:tc>
        <w:tc>
          <w:tcPr>
            <w:tcW w:w="0" w:type="auto"/>
            <w:vAlign w:val="center"/>
            <w:hideMark/>
          </w:tcPr>
          <w:p w14:paraId="1B099038" w14:textId="77777777" w:rsidR="007B2A23" w:rsidRPr="007B2A23" w:rsidRDefault="007B2A23" w:rsidP="007B2A23">
            <w:pPr>
              <w:pStyle w:val="BodyText"/>
              <w:spacing w:line="259" w:lineRule="auto"/>
              <w:ind w:right="97"/>
              <w:jc w:val="both"/>
              <w:rPr>
                <w:lang w:val="en-MY"/>
              </w:rPr>
            </w:pPr>
            <w:r w:rsidRPr="007B2A23">
              <w:rPr>
                <w:lang w:val="en-MY"/>
              </w:rPr>
              <w:t>20</w:t>
            </w:r>
          </w:p>
        </w:tc>
      </w:tr>
    </w:tbl>
    <w:p w14:paraId="6E67A0CB" w14:textId="77777777" w:rsidR="007B2A23" w:rsidRDefault="007B2A23" w:rsidP="005E6C1A">
      <w:pPr>
        <w:pStyle w:val="BodyText"/>
        <w:spacing w:line="259" w:lineRule="auto"/>
        <w:ind w:right="97"/>
        <w:jc w:val="both"/>
      </w:pPr>
    </w:p>
    <w:p w14:paraId="239649D2" w14:textId="4052E870" w:rsidR="007B2A23" w:rsidRDefault="007B2A23" w:rsidP="005E6C1A">
      <w:pPr>
        <w:pStyle w:val="BodyText"/>
        <w:spacing w:line="259" w:lineRule="auto"/>
        <w:ind w:right="97"/>
        <w:jc w:val="both"/>
      </w:pPr>
      <w:r w:rsidRPr="007B2A23">
        <w:t>The overall Cronbach's Alpha value of 0.938 exceeds the recommended threshold of 0.70</w:t>
      </w:r>
      <w:r>
        <w:t xml:space="preserve"> in Table 2</w:t>
      </w:r>
      <w:r w:rsidRPr="007B2A23">
        <w:t>, indicating excellent internal consistency among the measurement items. This result demonstrates that the questionnaire items consistently measure the constructs associated with green technology adoption and SME performance. Therefore, the instrument is considered highly reliable and suitable for further statistical analysis.</w:t>
      </w:r>
    </w:p>
    <w:p w14:paraId="287C5849" w14:textId="77777777" w:rsidR="007B2A23" w:rsidRDefault="007B2A23" w:rsidP="005E6C1A">
      <w:pPr>
        <w:pStyle w:val="BodyText"/>
        <w:spacing w:line="259" w:lineRule="auto"/>
        <w:ind w:right="97"/>
        <w:jc w:val="both"/>
      </w:pPr>
    </w:p>
    <w:p w14:paraId="2DDF9FC1" w14:textId="10767689" w:rsidR="007B2A23" w:rsidRDefault="007B2A23" w:rsidP="007B2A23">
      <w:pPr>
        <w:pStyle w:val="BodyText"/>
        <w:spacing w:line="259" w:lineRule="auto"/>
        <w:ind w:right="97"/>
        <w:jc w:val="both"/>
      </w:pPr>
      <w:r w:rsidRPr="007B2A23">
        <w:t xml:space="preserve">A normality test was conducted </w:t>
      </w:r>
      <w:r>
        <w:t xml:space="preserve">in Table 3 </w:t>
      </w:r>
      <w:r w:rsidRPr="007B2A23">
        <w:t>using skewness and kurtosis statistics to determine whether the data met the assumptions required for parametric analyses such as correlation and multiple regression.</w:t>
      </w:r>
      <w:r>
        <w:t xml:space="preserve"> The dependent variable, SME Performance, recorded a skewness value of -0.154, indicating a nearly symmetrical distribution. Although the kurtosis value of 3.121 is slightly above the ideal range, it remains acceptable for social science research.</w:t>
      </w:r>
    </w:p>
    <w:p w14:paraId="77008D25" w14:textId="77777777" w:rsidR="007B2A23" w:rsidRDefault="007B2A23" w:rsidP="007B2A23">
      <w:pPr>
        <w:pStyle w:val="BodyText"/>
        <w:spacing w:line="259" w:lineRule="auto"/>
        <w:ind w:right="97"/>
        <w:jc w:val="both"/>
      </w:pPr>
    </w:p>
    <w:p w14:paraId="38F8193C" w14:textId="6B33C311" w:rsidR="007B2A23" w:rsidRDefault="007B2A23" w:rsidP="007B2A23">
      <w:pPr>
        <w:pStyle w:val="BodyText"/>
        <w:spacing w:line="259" w:lineRule="auto"/>
        <w:ind w:right="97"/>
        <w:jc w:val="both"/>
      </w:pPr>
      <w:r>
        <w:t xml:space="preserve">For the independent variables, negative skewness values indicate that respondents generally expressed </w:t>
      </w:r>
      <w:proofErr w:type="spellStart"/>
      <w:r>
        <w:t>favourable</w:t>
      </w:r>
      <w:proofErr w:type="spellEnd"/>
      <w:r>
        <w:t xml:space="preserve"> perceptions regarding technological, organizational, and environmental factors. While the kurtosis values exceeded the recommended threshold, previous studies suggest that moderate deviations from normality are acceptable, particularly when sample sizes exceed 150 respondents. Therefore, the data were deemed sufficiently normal to proceed with parametric analyses.</w:t>
      </w:r>
    </w:p>
    <w:p w14:paraId="53F6B5EF" w14:textId="77777777" w:rsidR="007B2A23" w:rsidRDefault="007B2A23" w:rsidP="007B2A23">
      <w:pPr>
        <w:pStyle w:val="BodyText"/>
        <w:spacing w:line="259" w:lineRule="auto"/>
        <w:ind w:right="97"/>
        <w:jc w:val="both"/>
      </w:pPr>
    </w:p>
    <w:p w14:paraId="1204ECA7" w14:textId="5D284F7C" w:rsidR="007B2A23" w:rsidRPr="007B2A23" w:rsidRDefault="007B2A23" w:rsidP="007B2A23">
      <w:pPr>
        <w:pStyle w:val="BodyText"/>
        <w:spacing w:line="259" w:lineRule="auto"/>
        <w:ind w:right="97" w:hanging="31"/>
        <w:jc w:val="both"/>
        <w:rPr>
          <w:lang w:val="en-MY"/>
        </w:rPr>
      </w:pPr>
      <w:r w:rsidRPr="007B2A23">
        <w:rPr>
          <w:lang w:val="en-MY"/>
        </w:rPr>
        <w:t>Table 3. Normality Test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3"/>
        <w:gridCol w:w="1111"/>
        <w:gridCol w:w="1048"/>
      </w:tblGrid>
      <w:tr w:rsidR="007B2A23" w:rsidRPr="007B2A23" w14:paraId="0F331864" w14:textId="77777777" w:rsidTr="007B2A23">
        <w:trPr>
          <w:tblHeader/>
          <w:tblCellSpacing w:w="15" w:type="dxa"/>
        </w:trPr>
        <w:tc>
          <w:tcPr>
            <w:tcW w:w="0" w:type="auto"/>
            <w:tcBorders>
              <w:top w:val="single" w:sz="4" w:space="0" w:color="auto"/>
              <w:bottom w:val="single" w:sz="4" w:space="0" w:color="auto"/>
            </w:tcBorders>
            <w:vAlign w:val="center"/>
            <w:hideMark/>
          </w:tcPr>
          <w:p w14:paraId="61F77278" w14:textId="77777777" w:rsidR="007B2A23" w:rsidRPr="007B2A23" w:rsidRDefault="007B2A23" w:rsidP="007B2A23">
            <w:pPr>
              <w:pStyle w:val="BodyText"/>
              <w:spacing w:line="259" w:lineRule="auto"/>
              <w:ind w:right="97" w:hanging="31"/>
              <w:jc w:val="both"/>
              <w:rPr>
                <w:b/>
                <w:bCs/>
                <w:lang w:val="en-MY"/>
              </w:rPr>
            </w:pPr>
            <w:r w:rsidRPr="007B2A23">
              <w:rPr>
                <w:b/>
                <w:bCs/>
                <w:lang w:val="en-MY"/>
              </w:rPr>
              <w:t>Variable</w:t>
            </w:r>
          </w:p>
        </w:tc>
        <w:tc>
          <w:tcPr>
            <w:tcW w:w="0" w:type="auto"/>
            <w:tcBorders>
              <w:top w:val="single" w:sz="4" w:space="0" w:color="auto"/>
              <w:bottom w:val="single" w:sz="4" w:space="0" w:color="auto"/>
            </w:tcBorders>
            <w:vAlign w:val="center"/>
            <w:hideMark/>
          </w:tcPr>
          <w:p w14:paraId="6CEF6173" w14:textId="77777777" w:rsidR="007B2A23" w:rsidRPr="007B2A23" w:rsidRDefault="007B2A23" w:rsidP="007B2A23">
            <w:pPr>
              <w:pStyle w:val="BodyText"/>
              <w:spacing w:line="259" w:lineRule="auto"/>
              <w:ind w:right="97" w:hanging="31"/>
              <w:jc w:val="both"/>
              <w:rPr>
                <w:b/>
                <w:bCs/>
                <w:lang w:val="en-MY"/>
              </w:rPr>
            </w:pPr>
            <w:r w:rsidRPr="007B2A23">
              <w:rPr>
                <w:b/>
                <w:bCs/>
                <w:lang w:val="en-MY"/>
              </w:rPr>
              <w:t>Skewness</w:t>
            </w:r>
          </w:p>
        </w:tc>
        <w:tc>
          <w:tcPr>
            <w:tcW w:w="0" w:type="auto"/>
            <w:tcBorders>
              <w:top w:val="single" w:sz="4" w:space="0" w:color="auto"/>
              <w:bottom w:val="single" w:sz="4" w:space="0" w:color="auto"/>
            </w:tcBorders>
            <w:vAlign w:val="center"/>
            <w:hideMark/>
          </w:tcPr>
          <w:p w14:paraId="367A5C48" w14:textId="77777777" w:rsidR="007B2A23" w:rsidRPr="007B2A23" w:rsidRDefault="007B2A23" w:rsidP="007B2A23">
            <w:pPr>
              <w:pStyle w:val="BodyText"/>
              <w:spacing w:line="259" w:lineRule="auto"/>
              <w:ind w:right="97" w:hanging="31"/>
              <w:jc w:val="both"/>
              <w:rPr>
                <w:b/>
                <w:bCs/>
                <w:lang w:val="en-MY"/>
              </w:rPr>
            </w:pPr>
            <w:r w:rsidRPr="007B2A23">
              <w:rPr>
                <w:b/>
                <w:bCs/>
                <w:lang w:val="en-MY"/>
              </w:rPr>
              <w:t>Kurtosis</w:t>
            </w:r>
          </w:p>
        </w:tc>
      </w:tr>
      <w:tr w:rsidR="007B2A23" w:rsidRPr="007B2A23" w14:paraId="62323035" w14:textId="77777777">
        <w:trPr>
          <w:tblCellSpacing w:w="15" w:type="dxa"/>
        </w:trPr>
        <w:tc>
          <w:tcPr>
            <w:tcW w:w="0" w:type="auto"/>
            <w:vAlign w:val="center"/>
            <w:hideMark/>
          </w:tcPr>
          <w:p w14:paraId="363B6CD3" w14:textId="77777777" w:rsidR="007B2A23" w:rsidRPr="007B2A23" w:rsidRDefault="007B2A23" w:rsidP="007B2A23">
            <w:pPr>
              <w:pStyle w:val="BodyText"/>
              <w:spacing w:line="259" w:lineRule="auto"/>
              <w:ind w:right="97" w:hanging="31"/>
              <w:jc w:val="both"/>
              <w:rPr>
                <w:lang w:val="en-MY"/>
              </w:rPr>
            </w:pPr>
            <w:r w:rsidRPr="007B2A23">
              <w:rPr>
                <w:lang w:val="en-MY"/>
              </w:rPr>
              <w:t>Impact on SME Performance</w:t>
            </w:r>
          </w:p>
        </w:tc>
        <w:tc>
          <w:tcPr>
            <w:tcW w:w="0" w:type="auto"/>
            <w:vAlign w:val="center"/>
            <w:hideMark/>
          </w:tcPr>
          <w:p w14:paraId="20CAB2D8" w14:textId="77777777" w:rsidR="007B2A23" w:rsidRPr="007B2A23" w:rsidRDefault="007B2A23" w:rsidP="007B2A23">
            <w:pPr>
              <w:pStyle w:val="BodyText"/>
              <w:spacing w:line="259" w:lineRule="auto"/>
              <w:ind w:right="97" w:hanging="31"/>
              <w:jc w:val="both"/>
              <w:rPr>
                <w:lang w:val="en-MY"/>
              </w:rPr>
            </w:pPr>
            <w:r w:rsidRPr="007B2A23">
              <w:rPr>
                <w:lang w:val="en-MY"/>
              </w:rPr>
              <w:t>-0.154</w:t>
            </w:r>
          </w:p>
        </w:tc>
        <w:tc>
          <w:tcPr>
            <w:tcW w:w="0" w:type="auto"/>
            <w:vAlign w:val="center"/>
            <w:hideMark/>
          </w:tcPr>
          <w:p w14:paraId="1B3BDA4B" w14:textId="77777777" w:rsidR="007B2A23" w:rsidRPr="007B2A23" w:rsidRDefault="007B2A23" w:rsidP="007B2A23">
            <w:pPr>
              <w:pStyle w:val="BodyText"/>
              <w:spacing w:line="259" w:lineRule="auto"/>
              <w:ind w:right="97" w:hanging="31"/>
              <w:jc w:val="both"/>
              <w:rPr>
                <w:lang w:val="en-MY"/>
              </w:rPr>
            </w:pPr>
            <w:r w:rsidRPr="007B2A23">
              <w:rPr>
                <w:lang w:val="en-MY"/>
              </w:rPr>
              <w:t>3.121</w:t>
            </w:r>
          </w:p>
        </w:tc>
      </w:tr>
      <w:tr w:rsidR="007B2A23" w:rsidRPr="007B2A23" w14:paraId="2BF28528" w14:textId="77777777">
        <w:trPr>
          <w:tblCellSpacing w:w="15" w:type="dxa"/>
        </w:trPr>
        <w:tc>
          <w:tcPr>
            <w:tcW w:w="0" w:type="auto"/>
            <w:vAlign w:val="center"/>
            <w:hideMark/>
          </w:tcPr>
          <w:p w14:paraId="3A704D9A" w14:textId="77777777" w:rsidR="007B2A23" w:rsidRPr="007B2A23" w:rsidRDefault="007B2A23" w:rsidP="007B2A23">
            <w:pPr>
              <w:pStyle w:val="BodyText"/>
              <w:spacing w:line="259" w:lineRule="auto"/>
              <w:ind w:right="97" w:hanging="31"/>
              <w:jc w:val="both"/>
              <w:rPr>
                <w:lang w:val="en-MY"/>
              </w:rPr>
            </w:pPr>
            <w:r w:rsidRPr="007B2A23">
              <w:rPr>
                <w:lang w:val="en-MY"/>
              </w:rPr>
              <w:t>Technological Factors</w:t>
            </w:r>
          </w:p>
        </w:tc>
        <w:tc>
          <w:tcPr>
            <w:tcW w:w="0" w:type="auto"/>
            <w:vAlign w:val="center"/>
            <w:hideMark/>
          </w:tcPr>
          <w:p w14:paraId="015DD974" w14:textId="77777777" w:rsidR="007B2A23" w:rsidRPr="007B2A23" w:rsidRDefault="007B2A23" w:rsidP="007B2A23">
            <w:pPr>
              <w:pStyle w:val="BodyText"/>
              <w:spacing w:line="259" w:lineRule="auto"/>
              <w:ind w:right="97" w:hanging="31"/>
              <w:jc w:val="both"/>
              <w:rPr>
                <w:lang w:val="en-MY"/>
              </w:rPr>
            </w:pPr>
            <w:r w:rsidRPr="007B2A23">
              <w:rPr>
                <w:lang w:val="en-MY"/>
              </w:rPr>
              <w:t>-1.896</w:t>
            </w:r>
          </w:p>
        </w:tc>
        <w:tc>
          <w:tcPr>
            <w:tcW w:w="0" w:type="auto"/>
            <w:vAlign w:val="center"/>
            <w:hideMark/>
          </w:tcPr>
          <w:p w14:paraId="086BD5B7" w14:textId="77777777" w:rsidR="007B2A23" w:rsidRPr="007B2A23" w:rsidRDefault="007B2A23" w:rsidP="007B2A23">
            <w:pPr>
              <w:pStyle w:val="BodyText"/>
              <w:spacing w:line="259" w:lineRule="auto"/>
              <w:ind w:right="97" w:hanging="31"/>
              <w:jc w:val="both"/>
              <w:rPr>
                <w:lang w:val="en-MY"/>
              </w:rPr>
            </w:pPr>
            <w:r w:rsidRPr="007B2A23">
              <w:rPr>
                <w:lang w:val="en-MY"/>
              </w:rPr>
              <w:t>10.113</w:t>
            </w:r>
          </w:p>
        </w:tc>
      </w:tr>
      <w:tr w:rsidR="007B2A23" w:rsidRPr="007B2A23" w14:paraId="51C35D82" w14:textId="77777777">
        <w:trPr>
          <w:tblCellSpacing w:w="15" w:type="dxa"/>
        </w:trPr>
        <w:tc>
          <w:tcPr>
            <w:tcW w:w="0" w:type="auto"/>
            <w:vAlign w:val="center"/>
            <w:hideMark/>
          </w:tcPr>
          <w:p w14:paraId="11EB0CF0" w14:textId="77777777" w:rsidR="007B2A23" w:rsidRPr="007B2A23" w:rsidRDefault="007B2A23" w:rsidP="007B2A23">
            <w:pPr>
              <w:pStyle w:val="BodyText"/>
              <w:spacing w:line="259" w:lineRule="auto"/>
              <w:ind w:right="97" w:hanging="31"/>
              <w:jc w:val="both"/>
              <w:rPr>
                <w:lang w:val="en-MY"/>
              </w:rPr>
            </w:pPr>
            <w:r w:rsidRPr="007B2A23">
              <w:rPr>
                <w:lang w:val="en-MY"/>
              </w:rPr>
              <w:t>Organizational Factors</w:t>
            </w:r>
          </w:p>
        </w:tc>
        <w:tc>
          <w:tcPr>
            <w:tcW w:w="0" w:type="auto"/>
            <w:vAlign w:val="center"/>
            <w:hideMark/>
          </w:tcPr>
          <w:p w14:paraId="015C1444" w14:textId="77777777" w:rsidR="007B2A23" w:rsidRPr="007B2A23" w:rsidRDefault="007B2A23" w:rsidP="007B2A23">
            <w:pPr>
              <w:pStyle w:val="BodyText"/>
              <w:spacing w:line="259" w:lineRule="auto"/>
              <w:ind w:right="97" w:hanging="31"/>
              <w:jc w:val="both"/>
              <w:rPr>
                <w:lang w:val="en-MY"/>
              </w:rPr>
            </w:pPr>
            <w:r w:rsidRPr="007B2A23">
              <w:rPr>
                <w:lang w:val="en-MY"/>
              </w:rPr>
              <w:t>-1.365</w:t>
            </w:r>
          </w:p>
        </w:tc>
        <w:tc>
          <w:tcPr>
            <w:tcW w:w="0" w:type="auto"/>
            <w:vAlign w:val="center"/>
            <w:hideMark/>
          </w:tcPr>
          <w:p w14:paraId="448231F5" w14:textId="77777777" w:rsidR="007B2A23" w:rsidRPr="007B2A23" w:rsidRDefault="007B2A23" w:rsidP="007B2A23">
            <w:pPr>
              <w:pStyle w:val="BodyText"/>
              <w:spacing w:line="259" w:lineRule="auto"/>
              <w:ind w:right="97" w:hanging="31"/>
              <w:jc w:val="both"/>
              <w:rPr>
                <w:lang w:val="en-MY"/>
              </w:rPr>
            </w:pPr>
            <w:r w:rsidRPr="007B2A23">
              <w:rPr>
                <w:lang w:val="en-MY"/>
              </w:rPr>
              <w:t>10.883</w:t>
            </w:r>
          </w:p>
        </w:tc>
      </w:tr>
      <w:tr w:rsidR="007B2A23" w:rsidRPr="007B2A23" w14:paraId="7F042201" w14:textId="77777777" w:rsidTr="007B2A23">
        <w:trPr>
          <w:tblCellSpacing w:w="15" w:type="dxa"/>
        </w:trPr>
        <w:tc>
          <w:tcPr>
            <w:tcW w:w="0" w:type="auto"/>
            <w:tcBorders>
              <w:bottom w:val="single" w:sz="4" w:space="0" w:color="auto"/>
            </w:tcBorders>
            <w:vAlign w:val="center"/>
            <w:hideMark/>
          </w:tcPr>
          <w:p w14:paraId="4EE71539" w14:textId="77777777" w:rsidR="007B2A23" w:rsidRPr="007B2A23" w:rsidRDefault="007B2A23" w:rsidP="007B2A23">
            <w:pPr>
              <w:pStyle w:val="BodyText"/>
              <w:spacing w:line="259" w:lineRule="auto"/>
              <w:ind w:right="97" w:hanging="31"/>
              <w:jc w:val="both"/>
              <w:rPr>
                <w:lang w:val="en-MY"/>
              </w:rPr>
            </w:pPr>
            <w:r w:rsidRPr="007B2A23">
              <w:rPr>
                <w:lang w:val="en-MY"/>
              </w:rPr>
              <w:t>Environmental Factors</w:t>
            </w:r>
          </w:p>
        </w:tc>
        <w:tc>
          <w:tcPr>
            <w:tcW w:w="0" w:type="auto"/>
            <w:tcBorders>
              <w:bottom w:val="single" w:sz="4" w:space="0" w:color="auto"/>
            </w:tcBorders>
            <w:vAlign w:val="center"/>
            <w:hideMark/>
          </w:tcPr>
          <w:p w14:paraId="1226131C" w14:textId="77777777" w:rsidR="007B2A23" w:rsidRPr="007B2A23" w:rsidRDefault="007B2A23" w:rsidP="007B2A23">
            <w:pPr>
              <w:pStyle w:val="BodyText"/>
              <w:spacing w:line="259" w:lineRule="auto"/>
              <w:ind w:right="97" w:hanging="31"/>
              <w:jc w:val="both"/>
              <w:rPr>
                <w:lang w:val="en-MY"/>
              </w:rPr>
            </w:pPr>
            <w:r w:rsidRPr="007B2A23">
              <w:rPr>
                <w:lang w:val="en-MY"/>
              </w:rPr>
              <w:t>-0.929</w:t>
            </w:r>
          </w:p>
        </w:tc>
        <w:tc>
          <w:tcPr>
            <w:tcW w:w="0" w:type="auto"/>
            <w:tcBorders>
              <w:bottom w:val="single" w:sz="4" w:space="0" w:color="auto"/>
            </w:tcBorders>
            <w:vAlign w:val="center"/>
            <w:hideMark/>
          </w:tcPr>
          <w:p w14:paraId="59B7E61F" w14:textId="77777777" w:rsidR="007B2A23" w:rsidRPr="007B2A23" w:rsidRDefault="007B2A23" w:rsidP="007B2A23">
            <w:pPr>
              <w:pStyle w:val="BodyText"/>
              <w:spacing w:line="259" w:lineRule="auto"/>
              <w:ind w:right="97" w:hanging="31"/>
              <w:jc w:val="both"/>
              <w:rPr>
                <w:lang w:val="en-MY"/>
              </w:rPr>
            </w:pPr>
            <w:r w:rsidRPr="007B2A23">
              <w:rPr>
                <w:lang w:val="en-MY"/>
              </w:rPr>
              <w:t>12.413</w:t>
            </w:r>
          </w:p>
        </w:tc>
      </w:tr>
    </w:tbl>
    <w:p w14:paraId="50BB668D" w14:textId="77777777" w:rsidR="007B2A23" w:rsidRDefault="007B2A23" w:rsidP="007B2A23">
      <w:pPr>
        <w:pStyle w:val="BodyText"/>
        <w:spacing w:line="259" w:lineRule="auto"/>
        <w:ind w:right="97"/>
        <w:jc w:val="both"/>
      </w:pPr>
    </w:p>
    <w:p w14:paraId="3C94F6B9" w14:textId="6EEEAFE2" w:rsidR="007B2A23" w:rsidRDefault="007B2A23" w:rsidP="007B2A23">
      <w:pPr>
        <w:pStyle w:val="BodyText"/>
        <w:spacing w:line="259" w:lineRule="auto"/>
        <w:ind w:right="97"/>
        <w:jc w:val="both"/>
      </w:pPr>
      <w:r w:rsidRPr="007B2A23">
        <w:t xml:space="preserve">Multiple linear regression analysis was conducted </w:t>
      </w:r>
      <w:r>
        <w:t xml:space="preserve">in Table 4 </w:t>
      </w:r>
      <w:r w:rsidRPr="007B2A23">
        <w:t>to determine the influence of technological, organizational, and environmental factors on SME performance.</w:t>
      </w:r>
      <w:r>
        <w:t xml:space="preserve"> The regression model produced an R value of 0.808, indicating a strong positive relationship between the independent variables and SME performance. The coefficient of determination (R²) of 0.653 suggests that 65.3% of the variance in SME performance can be explained by technological, organizational, and environmental factors.</w:t>
      </w:r>
    </w:p>
    <w:p w14:paraId="39C9F338" w14:textId="77777777" w:rsidR="007B2A23" w:rsidRDefault="007B2A23" w:rsidP="007B2A23">
      <w:pPr>
        <w:pStyle w:val="BodyText"/>
        <w:spacing w:line="259" w:lineRule="auto"/>
        <w:ind w:right="97"/>
        <w:jc w:val="both"/>
      </w:pPr>
    </w:p>
    <w:p w14:paraId="38F1E0E9" w14:textId="13848749" w:rsidR="007B2A23" w:rsidRDefault="007B2A23" w:rsidP="007B2A23">
      <w:pPr>
        <w:pStyle w:val="BodyText"/>
        <w:spacing w:line="259" w:lineRule="auto"/>
        <w:ind w:right="97"/>
        <w:jc w:val="both"/>
      </w:pPr>
      <w:r>
        <w:t>The adjusted R² value of 0.647 indicates that the model remains stable after accounting for the number of predictors. Consequently, the model demonstrates substantial explanatory power and is considered appropriate for examining the determinants of green technology adoption and its impact on SME performance.</w:t>
      </w:r>
    </w:p>
    <w:p w14:paraId="1CF0BFBC" w14:textId="77777777" w:rsidR="007B2A23" w:rsidRDefault="007B2A23" w:rsidP="007B2A23">
      <w:pPr>
        <w:pStyle w:val="BodyText"/>
        <w:spacing w:line="259" w:lineRule="auto"/>
        <w:ind w:right="97"/>
        <w:jc w:val="both"/>
      </w:pPr>
    </w:p>
    <w:p w14:paraId="4E5215AD" w14:textId="58F3481A" w:rsidR="007B2A23" w:rsidRDefault="007B2A23" w:rsidP="007B2A23">
      <w:pPr>
        <w:pStyle w:val="BodyText"/>
        <w:spacing w:line="259" w:lineRule="auto"/>
        <w:ind w:right="97"/>
        <w:jc w:val="both"/>
      </w:pPr>
      <w:r w:rsidRPr="007B2A23">
        <w:t>Table 4.</w:t>
      </w:r>
      <w:r>
        <w:t xml:space="preserve"> </w:t>
      </w:r>
      <w:r w:rsidRPr="007B2A23">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780"/>
        <w:gridCol w:w="1363"/>
        <w:gridCol w:w="1234"/>
      </w:tblGrid>
      <w:tr w:rsidR="007B2A23" w:rsidRPr="007B2A23" w14:paraId="7B8532C4" w14:textId="77777777" w:rsidTr="007B2A23">
        <w:trPr>
          <w:tblHeader/>
          <w:tblCellSpacing w:w="15" w:type="dxa"/>
        </w:trPr>
        <w:tc>
          <w:tcPr>
            <w:tcW w:w="0" w:type="auto"/>
            <w:tcBorders>
              <w:top w:val="single" w:sz="4" w:space="0" w:color="auto"/>
              <w:bottom w:val="single" w:sz="4" w:space="0" w:color="auto"/>
            </w:tcBorders>
            <w:vAlign w:val="center"/>
            <w:hideMark/>
          </w:tcPr>
          <w:p w14:paraId="4566D42D" w14:textId="77777777" w:rsidR="007B2A23" w:rsidRPr="007B2A23" w:rsidRDefault="007B2A23" w:rsidP="007B2A23">
            <w:pPr>
              <w:pStyle w:val="BodyText"/>
              <w:spacing w:line="259" w:lineRule="auto"/>
              <w:ind w:right="97"/>
              <w:jc w:val="both"/>
              <w:rPr>
                <w:b/>
                <w:bCs/>
                <w:lang w:val="en-MY"/>
              </w:rPr>
            </w:pPr>
            <w:r w:rsidRPr="007B2A23">
              <w:rPr>
                <w:b/>
                <w:bCs/>
                <w:lang w:val="en-MY"/>
              </w:rPr>
              <w:t>R</w:t>
            </w:r>
          </w:p>
        </w:tc>
        <w:tc>
          <w:tcPr>
            <w:tcW w:w="0" w:type="auto"/>
            <w:tcBorders>
              <w:top w:val="single" w:sz="4" w:space="0" w:color="auto"/>
              <w:bottom w:val="single" w:sz="4" w:space="0" w:color="auto"/>
            </w:tcBorders>
            <w:vAlign w:val="center"/>
            <w:hideMark/>
          </w:tcPr>
          <w:p w14:paraId="14E68E2E" w14:textId="77777777" w:rsidR="007B2A23" w:rsidRPr="007B2A23" w:rsidRDefault="007B2A23" w:rsidP="007B2A23">
            <w:pPr>
              <w:pStyle w:val="BodyText"/>
              <w:spacing w:line="259" w:lineRule="auto"/>
              <w:ind w:right="97"/>
              <w:jc w:val="both"/>
              <w:rPr>
                <w:b/>
                <w:bCs/>
                <w:lang w:val="en-MY"/>
              </w:rPr>
            </w:pPr>
            <w:r w:rsidRPr="007B2A23">
              <w:rPr>
                <w:b/>
                <w:bCs/>
                <w:lang w:val="en-MY"/>
              </w:rPr>
              <w:t>R²</w:t>
            </w:r>
          </w:p>
        </w:tc>
        <w:tc>
          <w:tcPr>
            <w:tcW w:w="0" w:type="auto"/>
            <w:tcBorders>
              <w:top w:val="single" w:sz="4" w:space="0" w:color="auto"/>
              <w:bottom w:val="single" w:sz="4" w:space="0" w:color="auto"/>
            </w:tcBorders>
            <w:vAlign w:val="center"/>
            <w:hideMark/>
          </w:tcPr>
          <w:p w14:paraId="6BE9274A" w14:textId="77777777" w:rsidR="007B2A23" w:rsidRPr="007B2A23" w:rsidRDefault="007B2A23" w:rsidP="007B2A23">
            <w:pPr>
              <w:pStyle w:val="BodyText"/>
              <w:spacing w:line="259" w:lineRule="auto"/>
              <w:ind w:right="97"/>
              <w:jc w:val="both"/>
              <w:rPr>
                <w:b/>
                <w:bCs/>
                <w:lang w:val="en-MY"/>
              </w:rPr>
            </w:pPr>
            <w:r w:rsidRPr="007B2A23">
              <w:rPr>
                <w:b/>
                <w:bCs/>
                <w:lang w:val="en-MY"/>
              </w:rPr>
              <w:t>Adjusted R²</w:t>
            </w:r>
          </w:p>
        </w:tc>
        <w:tc>
          <w:tcPr>
            <w:tcW w:w="0" w:type="auto"/>
            <w:tcBorders>
              <w:top w:val="single" w:sz="4" w:space="0" w:color="auto"/>
              <w:bottom w:val="single" w:sz="4" w:space="0" w:color="auto"/>
            </w:tcBorders>
            <w:vAlign w:val="center"/>
            <w:hideMark/>
          </w:tcPr>
          <w:p w14:paraId="6A954501" w14:textId="77777777" w:rsidR="007B2A23" w:rsidRPr="007B2A23" w:rsidRDefault="007B2A23" w:rsidP="007B2A23">
            <w:pPr>
              <w:pStyle w:val="BodyText"/>
              <w:spacing w:line="259" w:lineRule="auto"/>
              <w:ind w:right="97"/>
              <w:jc w:val="both"/>
              <w:rPr>
                <w:b/>
                <w:bCs/>
                <w:lang w:val="en-MY"/>
              </w:rPr>
            </w:pPr>
            <w:r w:rsidRPr="007B2A23">
              <w:rPr>
                <w:b/>
                <w:bCs/>
                <w:lang w:val="en-MY"/>
              </w:rPr>
              <w:t>Std. Error</w:t>
            </w:r>
          </w:p>
        </w:tc>
      </w:tr>
      <w:tr w:rsidR="007B2A23" w:rsidRPr="007B2A23" w14:paraId="0F14C8A4" w14:textId="77777777">
        <w:trPr>
          <w:tblCellSpacing w:w="15" w:type="dxa"/>
        </w:trPr>
        <w:tc>
          <w:tcPr>
            <w:tcW w:w="0" w:type="auto"/>
            <w:vAlign w:val="center"/>
            <w:hideMark/>
          </w:tcPr>
          <w:p w14:paraId="3FF98FA0" w14:textId="77777777" w:rsidR="007B2A23" w:rsidRPr="007B2A23" w:rsidRDefault="007B2A23" w:rsidP="007B2A23">
            <w:pPr>
              <w:pStyle w:val="BodyText"/>
              <w:spacing w:line="259" w:lineRule="auto"/>
              <w:ind w:right="97"/>
              <w:jc w:val="both"/>
              <w:rPr>
                <w:lang w:val="en-MY"/>
              </w:rPr>
            </w:pPr>
            <w:r w:rsidRPr="007B2A23">
              <w:rPr>
                <w:lang w:val="en-MY"/>
              </w:rPr>
              <w:lastRenderedPageBreak/>
              <w:t>0.808</w:t>
            </w:r>
          </w:p>
        </w:tc>
        <w:tc>
          <w:tcPr>
            <w:tcW w:w="0" w:type="auto"/>
            <w:vAlign w:val="center"/>
            <w:hideMark/>
          </w:tcPr>
          <w:p w14:paraId="6407C1DE" w14:textId="77777777" w:rsidR="007B2A23" w:rsidRPr="007B2A23" w:rsidRDefault="007B2A23" w:rsidP="007B2A23">
            <w:pPr>
              <w:pStyle w:val="BodyText"/>
              <w:spacing w:line="259" w:lineRule="auto"/>
              <w:ind w:right="97"/>
              <w:jc w:val="both"/>
              <w:rPr>
                <w:lang w:val="en-MY"/>
              </w:rPr>
            </w:pPr>
            <w:r w:rsidRPr="007B2A23">
              <w:rPr>
                <w:lang w:val="en-MY"/>
              </w:rPr>
              <w:t>0.653</w:t>
            </w:r>
          </w:p>
        </w:tc>
        <w:tc>
          <w:tcPr>
            <w:tcW w:w="0" w:type="auto"/>
            <w:vAlign w:val="center"/>
            <w:hideMark/>
          </w:tcPr>
          <w:p w14:paraId="18A54C33" w14:textId="77777777" w:rsidR="007B2A23" w:rsidRPr="007B2A23" w:rsidRDefault="007B2A23" w:rsidP="007B2A23">
            <w:pPr>
              <w:pStyle w:val="BodyText"/>
              <w:spacing w:line="259" w:lineRule="auto"/>
              <w:ind w:right="97"/>
              <w:jc w:val="both"/>
              <w:rPr>
                <w:lang w:val="en-MY"/>
              </w:rPr>
            </w:pPr>
            <w:r w:rsidRPr="007B2A23">
              <w:rPr>
                <w:lang w:val="en-MY"/>
              </w:rPr>
              <w:t>0.647</w:t>
            </w:r>
          </w:p>
        </w:tc>
        <w:tc>
          <w:tcPr>
            <w:tcW w:w="0" w:type="auto"/>
            <w:vAlign w:val="center"/>
            <w:hideMark/>
          </w:tcPr>
          <w:p w14:paraId="1868FF3F" w14:textId="77777777" w:rsidR="007B2A23" w:rsidRPr="007B2A23" w:rsidRDefault="007B2A23" w:rsidP="007B2A23">
            <w:pPr>
              <w:pStyle w:val="BodyText"/>
              <w:spacing w:line="259" w:lineRule="auto"/>
              <w:ind w:right="97"/>
              <w:jc w:val="both"/>
              <w:rPr>
                <w:lang w:val="en-MY"/>
              </w:rPr>
            </w:pPr>
            <w:r w:rsidRPr="007B2A23">
              <w:rPr>
                <w:lang w:val="en-MY"/>
              </w:rPr>
              <w:t>0.42463</w:t>
            </w:r>
          </w:p>
        </w:tc>
      </w:tr>
    </w:tbl>
    <w:p w14:paraId="7D32B57E" w14:textId="77777777" w:rsidR="007B2A23" w:rsidRDefault="007B2A23" w:rsidP="007B2A23">
      <w:pPr>
        <w:pStyle w:val="BodyText"/>
        <w:spacing w:line="259" w:lineRule="auto"/>
        <w:ind w:right="97"/>
        <w:jc w:val="both"/>
      </w:pPr>
    </w:p>
    <w:p w14:paraId="16F9858D" w14:textId="4A28889D" w:rsidR="007B2A23" w:rsidRDefault="007B2A23" w:rsidP="005E6C1A">
      <w:pPr>
        <w:pStyle w:val="BodyText"/>
        <w:spacing w:line="259" w:lineRule="auto"/>
        <w:ind w:right="97"/>
        <w:jc w:val="both"/>
      </w:pPr>
      <w:r w:rsidRPr="007B2A23">
        <w:t xml:space="preserve">The ANOVA results </w:t>
      </w:r>
      <w:r>
        <w:t xml:space="preserve">in Table 5 </w:t>
      </w:r>
      <w:r w:rsidRPr="007B2A23">
        <w:t>reveal that the regression model is statistically significant (F = 104.806, p &lt; 0.001). This indicates that the combination of technological, organizational, and environmental factors significantly predicts SME performance. Therefore, the overall regression model is suitable for explaining the variation in SME performance associated with green technology adoption.</w:t>
      </w:r>
    </w:p>
    <w:p w14:paraId="7AEF7412" w14:textId="77777777" w:rsidR="007B2A23" w:rsidRDefault="007B2A23" w:rsidP="005E6C1A">
      <w:pPr>
        <w:pStyle w:val="BodyText"/>
        <w:spacing w:line="259" w:lineRule="auto"/>
        <w:ind w:right="97"/>
        <w:jc w:val="both"/>
      </w:pPr>
    </w:p>
    <w:p w14:paraId="1514FBE2" w14:textId="3A8EE1FE" w:rsidR="007B2A23" w:rsidRDefault="007B2A23" w:rsidP="005E6C1A">
      <w:pPr>
        <w:pStyle w:val="BodyText"/>
        <w:spacing w:line="259" w:lineRule="auto"/>
        <w:ind w:right="97"/>
        <w:jc w:val="both"/>
      </w:pPr>
      <w:r>
        <w:t xml:space="preserve">Table 5. </w:t>
      </w:r>
      <w:r w:rsidRPr="007B2A23">
        <w:t>ANOVA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4"/>
        <w:gridCol w:w="1675"/>
        <w:gridCol w:w="630"/>
        <w:gridCol w:w="1480"/>
        <w:gridCol w:w="980"/>
        <w:gridCol w:w="958"/>
      </w:tblGrid>
      <w:tr w:rsidR="007B2A23" w:rsidRPr="007B2A23" w14:paraId="46046673" w14:textId="77777777" w:rsidTr="008A539F">
        <w:trPr>
          <w:tblHeader/>
          <w:tblCellSpacing w:w="15" w:type="dxa"/>
        </w:trPr>
        <w:tc>
          <w:tcPr>
            <w:tcW w:w="0" w:type="auto"/>
            <w:tcBorders>
              <w:top w:val="single" w:sz="4" w:space="0" w:color="auto"/>
              <w:bottom w:val="single" w:sz="4" w:space="0" w:color="auto"/>
            </w:tcBorders>
            <w:vAlign w:val="center"/>
            <w:hideMark/>
          </w:tcPr>
          <w:p w14:paraId="18D1AFAD" w14:textId="77777777" w:rsidR="007B2A23" w:rsidRPr="007B2A23" w:rsidRDefault="007B2A23" w:rsidP="007B2A23">
            <w:pPr>
              <w:pStyle w:val="BodyText"/>
              <w:spacing w:line="259" w:lineRule="auto"/>
              <w:ind w:right="97"/>
              <w:jc w:val="both"/>
              <w:rPr>
                <w:b/>
                <w:bCs/>
                <w:lang w:val="en-MY"/>
              </w:rPr>
            </w:pPr>
            <w:r w:rsidRPr="007B2A23">
              <w:rPr>
                <w:b/>
                <w:bCs/>
                <w:lang w:val="en-MY"/>
              </w:rPr>
              <w:t>Source</w:t>
            </w:r>
          </w:p>
        </w:tc>
        <w:tc>
          <w:tcPr>
            <w:tcW w:w="0" w:type="auto"/>
            <w:tcBorders>
              <w:top w:val="single" w:sz="4" w:space="0" w:color="auto"/>
              <w:bottom w:val="single" w:sz="4" w:space="0" w:color="auto"/>
            </w:tcBorders>
            <w:vAlign w:val="center"/>
            <w:hideMark/>
          </w:tcPr>
          <w:p w14:paraId="3F4D43A8" w14:textId="77777777" w:rsidR="007B2A23" w:rsidRPr="007B2A23" w:rsidRDefault="007B2A23" w:rsidP="007B2A23">
            <w:pPr>
              <w:pStyle w:val="BodyText"/>
              <w:spacing w:line="259" w:lineRule="auto"/>
              <w:ind w:right="97"/>
              <w:jc w:val="both"/>
              <w:rPr>
                <w:b/>
                <w:bCs/>
                <w:lang w:val="en-MY"/>
              </w:rPr>
            </w:pPr>
            <w:r w:rsidRPr="007B2A23">
              <w:rPr>
                <w:b/>
                <w:bCs/>
                <w:lang w:val="en-MY"/>
              </w:rPr>
              <w:t>Sum of Squares</w:t>
            </w:r>
          </w:p>
        </w:tc>
        <w:tc>
          <w:tcPr>
            <w:tcW w:w="0" w:type="auto"/>
            <w:tcBorders>
              <w:top w:val="single" w:sz="4" w:space="0" w:color="auto"/>
              <w:bottom w:val="single" w:sz="4" w:space="0" w:color="auto"/>
            </w:tcBorders>
            <w:vAlign w:val="center"/>
            <w:hideMark/>
          </w:tcPr>
          <w:p w14:paraId="12296CA2" w14:textId="77777777" w:rsidR="007B2A23" w:rsidRPr="007B2A23" w:rsidRDefault="007B2A23" w:rsidP="007B2A23">
            <w:pPr>
              <w:pStyle w:val="BodyText"/>
              <w:spacing w:line="259" w:lineRule="auto"/>
              <w:ind w:right="97"/>
              <w:jc w:val="both"/>
              <w:rPr>
                <w:b/>
                <w:bCs/>
                <w:lang w:val="en-MY"/>
              </w:rPr>
            </w:pPr>
            <w:proofErr w:type="spellStart"/>
            <w:r w:rsidRPr="007B2A23">
              <w:rPr>
                <w:b/>
                <w:bCs/>
                <w:lang w:val="en-MY"/>
              </w:rPr>
              <w:t>df</w:t>
            </w:r>
            <w:proofErr w:type="spellEnd"/>
          </w:p>
        </w:tc>
        <w:tc>
          <w:tcPr>
            <w:tcW w:w="0" w:type="auto"/>
            <w:tcBorders>
              <w:top w:val="single" w:sz="4" w:space="0" w:color="auto"/>
              <w:bottom w:val="single" w:sz="4" w:space="0" w:color="auto"/>
            </w:tcBorders>
            <w:vAlign w:val="center"/>
            <w:hideMark/>
          </w:tcPr>
          <w:p w14:paraId="5A394C35" w14:textId="77777777" w:rsidR="007B2A23" w:rsidRPr="007B2A23" w:rsidRDefault="007B2A23" w:rsidP="007B2A23">
            <w:pPr>
              <w:pStyle w:val="BodyText"/>
              <w:spacing w:line="259" w:lineRule="auto"/>
              <w:ind w:right="97"/>
              <w:jc w:val="both"/>
              <w:rPr>
                <w:b/>
                <w:bCs/>
                <w:lang w:val="en-MY"/>
              </w:rPr>
            </w:pPr>
            <w:r w:rsidRPr="007B2A23">
              <w:rPr>
                <w:b/>
                <w:bCs/>
                <w:lang w:val="en-MY"/>
              </w:rPr>
              <w:t>Mean Square</w:t>
            </w:r>
          </w:p>
        </w:tc>
        <w:tc>
          <w:tcPr>
            <w:tcW w:w="0" w:type="auto"/>
            <w:tcBorders>
              <w:top w:val="single" w:sz="4" w:space="0" w:color="auto"/>
              <w:bottom w:val="single" w:sz="4" w:space="0" w:color="auto"/>
            </w:tcBorders>
            <w:vAlign w:val="center"/>
            <w:hideMark/>
          </w:tcPr>
          <w:p w14:paraId="632D606C" w14:textId="77777777" w:rsidR="007B2A23" w:rsidRPr="007B2A23" w:rsidRDefault="007B2A23" w:rsidP="007B2A23">
            <w:pPr>
              <w:pStyle w:val="BodyText"/>
              <w:spacing w:line="259" w:lineRule="auto"/>
              <w:ind w:right="97"/>
              <w:jc w:val="both"/>
              <w:rPr>
                <w:b/>
                <w:bCs/>
                <w:lang w:val="en-MY"/>
              </w:rPr>
            </w:pPr>
            <w:r w:rsidRPr="007B2A23">
              <w:rPr>
                <w:b/>
                <w:bCs/>
                <w:lang w:val="en-MY"/>
              </w:rPr>
              <w:t>F</w:t>
            </w:r>
          </w:p>
        </w:tc>
        <w:tc>
          <w:tcPr>
            <w:tcW w:w="0" w:type="auto"/>
            <w:tcBorders>
              <w:top w:val="single" w:sz="4" w:space="0" w:color="auto"/>
              <w:bottom w:val="single" w:sz="4" w:space="0" w:color="auto"/>
            </w:tcBorders>
            <w:vAlign w:val="center"/>
            <w:hideMark/>
          </w:tcPr>
          <w:p w14:paraId="5ED900E6" w14:textId="77777777" w:rsidR="007B2A23" w:rsidRPr="007B2A23" w:rsidRDefault="007B2A23" w:rsidP="007B2A23">
            <w:pPr>
              <w:pStyle w:val="BodyText"/>
              <w:spacing w:line="259" w:lineRule="auto"/>
              <w:ind w:right="97"/>
              <w:jc w:val="both"/>
              <w:rPr>
                <w:b/>
                <w:bCs/>
                <w:lang w:val="en-MY"/>
              </w:rPr>
            </w:pPr>
            <w:r w:rsidRPr="007B2A23">
              <w:rPr>
                <w:b/>
                <w:bCs/>
                <w:lang w:val="en-MY"/>
              </w:rPr>
              <w:t>Sig.</w:t>
            </w:r>
          </w:p>
        </w:tc>
      </w:tr>
      <w:tr w:rsidR="007B2A23" w:rsidRPr="007B2A23" w14:paraId="311DD516" w14:textId="77777777">
        <w:trPr>
          <w:tblCellSpacing w:w="15" w:type="dxa"/>
        </w:trPr>
        <w:tc>
          <w:tcPr>
            <w:tcW w:w="0" w:type="auto"/>
            <w:vAlign w:val="center"/>
            <w:hideMark/>
          </w:tcPr>
          <w:p w14:paraId="31DB1D06" w14:textId="77777777" w:rsidR="007B2A23" w:rsidRPr="007B2A23" w:rsidRDefault="007B2A23" w:rsidP="007B2A23">
            <w:pPr>
              <w:pStyle w:val="BodyText"/>
              <w:spacing w:line="259" w:lineRule="auto"/>
              <w:ind w:right="97"/>
              <w:jc w:val="both"/>
              <w:rPr>
                <w:lang w:val="en-MY"/>
              </w:rPr>
            </w:pPr>
            <w:r w:rsidRPr="007B2A23">
              <w:rPr>
                <w:lang w:val="en-MY"/>
              </w:rPr>
              <w:t>Regression</w:t>
            </w:r>
          </w:p>
        </w:tc>
        <w:tc>
          <w:tcPr>
            <w:tcW w:w="0" w:type="auto"/>
            <w:vAlign w:val="center"/>
            <w:hideMark/>
          </w:tcPr>
          <w:p w14:paraId="3DF54174" w14:textId="77777777" w:rsidR="007B2A23" w:rsidRPr="007B2A23" w:rsidRDefault="007B2A23" w:rsidP="007B2A23">
            <w:pPr>
              <w:pStyle w:val="BodyText"/>
              <w:spacing w:line="259" w:lineRule="auto"/>
              <w:ind w:right="97"/>
              <w:jc w:val="both"/>
              <w:rPr>
                <w:lang w:val="en-MY"/>
              </w:rPr>
            </w:pPr>
            <w:r w:rsidRPr="007B2A23">
              <w:rPr>
                <w:lang w:val="en-MY"/>
              </w:rPr>
              <w:t>56.693</w:t>
            </w:r>
          </w:p>
        </w:tc>
        <w:tc>
          <w:tcPr>
            <w:tcW w:w="0" w:type="auto"/>
            <w:vAlign w:val="center"/>
            <w:hideMark/>
          </w:tcPr>
          <w:p w14:paraId="04DCC38E" w14:textId="77777777" w:rsidR="007B2A23" w:rsidRPr="007B2A23" w:rsidRDefault="007B2A23" w:rsidP="007B2A23">
            <w:pPr>
              <w:pStyle w:val="BodyText"/>
              <w:spacing w:line="259" w:lineRule="auto"/>
              <w:ind w:right="97"/>
              <w:jc w:val="both"/>
              <w:rPr>
                <w:lang w:val="en-MY"/>
              </w:rPr>
            </w:pPr>
            <w:r w:rsidRPr="007B2A23">
              <w:rPr>
                <w:lang w:val="en-MY"/>
              </w:rPr>
              <w:t>3</w:t>
            </w:r>
          </w:p>
        </w:tc>
        <w:tc>
          <w:tcPr>
            <w:tcW w:w="0" w:type="auto"/>
            <w:vAlign w:val="center"/>
            <w:hideMark/>
          </w:tcPr>
          <w:p w14:paraId="2446CBD8" w14:textId="77777777" w:rsidR="007B2A23" w:rsidRPr="007B2A23" w:rsidRDefault="007B2A23" w:rsidP="007B2A23">
            <w:pPr>
              <w:pStyle w:val="BodyText"/>
              <w:spacing w:line="259" w:lineRule="auto"/>
              <w:ind w:right="97"/>
              <w:jc w:val="both"/>
              <w:rPr>
                <w:lang w:val="en-MY"/>
              </w:rPr>
            </w:pPr>
            <w:r w:rsidRPr="007B2A23">
              <w:rPr>
                <w:lang w:val="en-MY"/>
              </w:rPr>
              <w:t>18.898</w:t>
            </w:r>
          </w:p>
        </w:tc>
        <w:tc>
          <w:tcPr>
            <w:tcW w:w="0" w:type="auto"/>
            <w:vAlign w:val="center"/>
            <w:hideMark/>
          </w:tcPr>
          <w:p w14:paraId="4B06EC38" w14:textId="77777777" w:rsidR="007B2A23" w:rsidRPr="007B2A23" w:rsidRDefault="007B2A23" w:rsidP="007B2A23">
            <w:pPr>
              <w:pStyle w:val="BodyText"/>
              <w:spacing w:line="259" w:lineRule="auto"/>
              <w:ind w:right="97"/>
              <w:jc w:val="both"/>
              <w:rPr>
                <w:lang w:val="en-MY"/>
              </w:rPr>
            </w:pPr>
            <w:r w:rsidRPr="007B2A23">
              <w:rPr>
                <w:lang w:val="en-MY"/>
              </w:rPr>
              <w:t>104.806</w:t>
            </w:r>
          </w:p>
        </w:tc>
        <w:tc>
          <w:tcPr>
            <w:tcW w:w="0" w:type="auto"/>
            <w:vAlign w:val="center"/>
            <w:hideMark/>
          </w:tcPr>
          <w:p w14:paraId="63A0F682" w14:textId="77777777" w:rsidR="007B2A23" w:rsidRPr="007B2A23" w:rsidRDefault="007B2A23" w:rsidP="007B2A23">
            <w:pPr>
              <w:pStyle w:val="BodyText"/>
              <w:spacing w:line="259" w:lineRule="auto"/>
              <w:ind w:right="97"/>
              <w:jc w:val="both"/>
              <w:rPr>
                <w:lang w:val="en-MY"/>
              </w:rPr>
            </w:pPr>
            <w:r w:rsidRPr="007B2A23">
              <w:rPr>
                <w:lang w:val="en-MY"/>
              </w:rPr>
              <w:t>&lt; 0.001</w:t>
            </w:r>
          </w:p>
        </w:tc>
      </w:tr>
      <w:tr w:rsidR="007B2A23" w:rsidRPr="007B2A23" w14:paraId="6AEEC7E3" w14:textId="77777777">
        <w:trPr>
          <w:tblCellSpacing w:w="15" w:type="dxa"/>
        </w:trPr>
        <w:tc>
          <w:tcPr>
            <w:tcW w:w="0" w:type="auto"/>
            <w:vAlign w:val="center"/>
            <w:hideMark/>
          </w:tcPr>
          <w:p w14:paraId="60846A22" w14:textId="77777777" w:rsidR="007B2A23" w:rsidRPr="007B2A23" w:rsidRDefault="007B2A23" w:rsidP="007B2A23">
            <w:pPr>
              <w:pStyle w:val="BodyText"/>
              <w:spacing w:line="259" w:lineRule="auto"/>
              <w:ind w:right="97"/>
              <w:jc w:val="both"/>
              <w:rPr>
                <w:lang w:val="en-MY"/>
              </w:rPr>
            </w:pPr>
            <w:r w:rsidRPr="007B2A23">
              <w:rPr>
                <w:lang w:val="en-MY"/>
              </w:rPr>
              <w:t>Residual</w:t>
            </w:r>
          </w:p>
        </w:tc>
        <w:tc>
          <w:tcPr>
            <w:tcW w:w="0" w:type="auto"/>
            <w:vAlign w:val="center"/>
            <w:hideMark/>
          </w:tcPr>
          <w:p w14:paraId="52E87C95" w14:textId="77777777" w:rsidR="007B2A23" w:rsidRPr="007B2A23" w:rsidRDefault="007B2A23" w:rsidP="007B2A23">
            <w:pPr>
              <w:pStyle w:val="BodyText"/>
              <w:spacing w:line="259" w:lineRule="auto"/>
              <w:ind w:right="97"/>
              <w:jc w:val="both"/>
              <w:rPr>
                <w:lang w:val="en-MY"/>
              </w:rPr>
            </w:pPr>
            <w:r w:rsidRPr="007B2A23">
              <w:rPr>
                <w:lang w:val="en-MY"/>
              </w:rPr>
              <w:t>30.112</w:t>
            </w:r>
          </w:p>
        </w:tc>
        <w:tc>
          <w:tcPr>
            <w:tcW w:w="0" w:type="auto"/>
            <w:vAlign w:val="center"/>
            <w:hideMark/>
          </w:tcPr>
          <w:p w14:paraId="3C003EFD" w14:textId="77777777" w:rsidR="007B2A23" w:rsidRPr="007B2A23" w:rsidRDefault="007B2A23" w:rsidP="007B2A23">
            <w:pPr>
              <w:pStyle w:val="BodyText"/>
              <w:spacing w:line="259" w:lineRule="auto"/>
              <w:ind w:right="97"/>
              <w:jc w:val="both"/>
              <w:rPr>
                <w:lang w:val="en-MY"/>
              </w:rPr>
            </w:pPr>
            <w:r w:rsidRPr="007B2A23">
              <w:rPr>
                <w:lang w:val="en-MY"/>
              </w:rPr>
              <w:t>167</w:t>
            </w:r>
          </w:p>
        </w:tc>
        <w:tc>
          <w:tcPr>
            <w:tcW w:w="0" w:type="auto"/>
            <w:vAlign w:val="center"/>
            <w:hideMark/>
          </w:tcPr>
          <w:p w14:paraId="707D4819" w14:textId="77777777" w:rsidR="007B2A23" w:rsidRPr="007B2A23" w:rsidRDefault="007B2A23" w:rsidP="007B2A23">
            <w:pPr>
              <w:pStyle w:val="BodyText"/>
              <w:spacing w:line="259" w:lineRule="auto"/>
              <w:ind w:right="97"/>
              <w:jc w:val="both"/>
              <w:rPr>
                <w:lang w:val="en-MY"/>
              </w:rPr>
            </w:pPr>
            <w:r w:rsidRPr="007B2A23">
              <w:rPr>
                <w:lang w:val="en-MY"/>
              </w:rPr>
              <w:t>0.180</w:t>
            </w:r>
          </w:p>
        </w:tc>
        <w:tc>
          <w:tcPr>
            <w:tcW w:w="0" w:type="auto"/>
            <w:vAlign w:val="center"/>
            <w:hideMark/>
          </w:tcPr>
          <w:p w14:paraId="1143DF45"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73D91B07" w14:textId="77777777" w:rsidR="007B2A23" w:rsidRPr="007B2A23" w:rsidRDefault="007B2A23" w:rsidP="007B2A23">
            <w:pPr>
              <w:pStyle w:val="BodyText"/>
              <w:spacing w:line="259" w:lineRule="auto"/>
              <w:ind w:right="97"/>
              <w:jc w:val="both"/>
              <w:rPr>
                <w:lang w:val="en-MY"/>
              </w:rPr>
            </w:pPr>
          </w:p>
        </w:tc>
      </w:tr>
      <w:tr w:rsidR="007B2A23" w:rsidRPr="007B2A23" w14:paraId="572DE7AA" w14:textId="77777777">
        <w:trPr>
          <w:tblCellSpacing w:w="15" w:type="dxa"/>
        </w:trPr>
        <w:tc>
          <w:tcPr>
            <w:tcW w:w="0" w:type="auto"/>
            <w:vAlign w:val="center"/>
            <w:hideMark/>
          </w:tcPr>
          <w:p w14:paraId="6577427A" w14:textId="77777777" w:rsidR="007B2A23" w:rsidRPr="007B2A23" w:rsidRDefault="007B2A23" w:rsidP="007B2A23">
            <w:pPr>
              <w:pStyle w:val="BodyText"/>
              <w:spacing w:line="259" w:lineRule="auto"/>
              <w:ind w:right="97"/>
              <w:jc w:val="both"/>
              <w:rPr>
                <w:lang w:val="en-MY"/>
              </w:rPr>
            </w:pPr>
            <w:r w:rsidRPr="007B2A23">
              <w:rPr>
                <w:lang w:val="en-MY"/>
              </w:rPr>
              <w:t>Total</w:t>
            </w:r>
          </w:p>
        </w:tc>
        <w:tc>
          <w:tcPr>
            <w:tcW w:w="0" w:type="auto"/>
            <w:vAlign w:val="center"/>
            <w:hideMark/>
          </w:tcPr>
          <w:p w14:paraId="2B3E3BA1" w14:textId="77777777" w:rsidR="007B2A23" w:rsidRPr="007B2A23" w:rsidRDefault="007B2A23" w:rsidP="007B2A23">
            <w:pPr>
              <w:pStyle w:val="BodyText"/>
              <w:spacing w:line="259" w:lineRule="auto"/>
              <w:ind w:right="97"/>
              <w:jc w:val="both"/>
              <w:rPr>
                <w:lang w:val="en-MY"/>
              </w:rPr>
            </w:pPr>
            <w:r w:rsidRPr="007B2A23">
              <w:rPr>
                <w:lang w:val="en-MY"/>
              </w:rPr>
              <w:t>86.804</w:t>
            </w:r>
          </w:p>
        </w:tc>
        <w:tc>
          <w:tcPr>
            <w:tcW w:w="0" w:type="auto"/>
            <w:vAlign w:val="center"/>
            <w:hideMark/>
          </w:tcPr>
          <w:p w14:paraId="0D826C41" w14:textId="77777777" w:rsidR="007B2A23" w:rsidRPr="007B2A23" w:rsidRDefault="007B2A23" w:rsidP="007B2A23">
            <w:pPr>
              <w:pStyle w:val="BodyText"/>
              <w:spacing w:line="259" w:lineRule="auto"/>
              <w:ind w:right="97"/>
              <w:jc w:val="both"/>
              <w:rPr>
                <w:lang w:val="en-MY"/>
              </w:rPr>
            </w:pPr>
            <w:r w:rsidRPr="007B2A23">
              <w:rPr>
                <w:lang w:val="en-MY"/>
              </w:rPr>
              <w:t>170</w:t>
            </w:r>
          </w:p>
        </w:tc>
        <w:tc>
          <w:tcPr>
            <w:tcW w:w="0" w:type="auto"/>
            <w:vAlign w:val="center"/>
            <w:hideMark/>
          </w:tcPr>
          <w:p w14:paraId="5F7FA824"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F626590" w14:textId="77777777" w:rsidR="007B2A23" w:rsidRPr="007B2A23" w:rsidRDefault="007B2A23" w:rsidP="007B2A23">
            <w:pPr>
              <w:pStyle w:val="BodyText"/>
              <w:spacing w:line="259" w:lineRule="auto"/>
              <w:ind w:right="97"/>
              <w:jc w:val="both"/>
              <w:rPr>
                <w:lang w:val="en-MY"/>
              </w:rPr>
            </w:pPr>
          </w:p>
        </w:tc>
        <w:tc>
          <w:tcPr>
            <w:tcW w:w="0" w:type="auto"/>
            <w:vAlign w:val="center"/>
            <w:hideMark/>
          </w:tcPr>
          <w:p w14:paraId="3CDF2226" w14:textId="77777777" w:rsidR="007B2A23" w:rsidRPr="007B2A23" w:rsidRDefault="007B2A23" w:rsidP="007B2A23">
            <w:pPr>
              <w:pStyle w:val="BodyText"/>
              <w:spacing w:line="259" w:lineRule="auto"/>
              <w:ind w:right="97"/>
              <w:jc w:val="both"/>
              <w:rPr>
                <w:lang w:val="en-MY"/>
              </w:rPr>
            </w:pPr>
          </w:p>
        </w:tc>
      </w:tr>
    </w:tbl>
    <w:p w14:paraId="7A3A2E46" w14:textId="77777777" w:rsidR="00F34265" w:rsidRDefault="00F34265" w:rsidP="005E6C1A">
      <w:pPr>
        <w:pStyle w:val="BodyText"/>
        <w:spacing w:line="259" w:lineRule="auto"/>
        <w:ind w:right="97"/>
        <w:jc w:val="both"/>
      </w:pPr>
    </w:p>
    <w:p w14:paraId="50EC40E5" w14:textId="771BDC64" w:rsidR="008A539F" w:rsidRDefault="008A539F" w:rsidP="008A539F">
      <w:pPr>
        <w:pStyle w:val="BodyText"/>
        <w:spacing w:line="259" w:lineRule="auto"/>
        <w:ind w:right="97"/>
        <w:jc w:val="both"/>
        <w:rPr>
          <w:lang w:val="en-MY"/>
        </w:rPr>
      </w:pPr>
      <w:r w:rsidRPr="008A539F">
        <w:rPr>
          <w:lang w:val="en-MY"/>
        </w:rPr>
        <w:t xml:space="preserve">The coefficient analysis </w:t>
      </w:r>
      <w:r>
        <w:rPr>
          <w:lang w:val="en-MY"/>
        </w:rPr>
        <w:t xml:space="preserve">in Table 6 </w:t>
      </w:r>
      <w:r w:rsidRPr="008A539F">
        <w:rPr>
          <w:lang w:val="en-MY"/>
        </w:rPr>
        <w:t>indicates that environmental factors exert the strongest influence on SME performance (β = 0.489, t = 5.151, p &lt; 0.001). This finding suggests that government regulations, market demand, sustainability incentives, and external stakeholder pressures play a critical role in enhancing SME performance through green technology adoption.</w:t>
      </w:r>
    </w:p>
    <w:p w14:paraId="2B2931E2" w14:textId="77777777" w:rsidR="008A539F" w:rsidRPr="008A539F" w:rsidRDefault="008A539F" w:rsidP="008A539F">
      <w:pPr>
        <w:pStyle w:val="BodyText"/>
        <w:spacing w:line="259" w:lineRule="auto"/>
        <w:ind w:right="97"/>
        <w:jc w:val="both"/>
        <w:rPr>
          <w:lang w:val="en-MY"/>
        </w:rPr>
      </w:pPr>
    </w:p>
    <w:p w14:paraId="12827586" w14:textId="77777777" w:rsidR="008A539F" w:rsidRPr="008A539F" w:rsidRDefault="008A539F" w:rsidP="008A539F">
      <w:pPr>
        <w:pStyle w:val="BodyText"/>
        <w:spacing w:line="259" w:lineRule="auto"/>
        <w:ind w:right="97"/>
        <w:jc w:val="both"/>
        <w:rPr>
          <w:lang w:val="en-MY"/>
        </w:rPr>
      </w:pPr>
      <w:r w:rsidRPr="008A539F">
        <w:rPr>
          <w:lang w:val="en-MY"/>
        </w:rPr>
        <w:t>Although technological factors (β = 0.175, p = 0.069) and organizational factors (β = 0.183, p = 0.104) exhibited positive relationships with SME performance, their effects were not statistically significant at the 0.05 level. This implies that while technology readiness and organizational support contribute positively to SME performance, their influence is weaker compared to environmental factors.</w:t>
      </w:r>
    </w:p>
    <w:p w14:paraId="36684DBE" w14:textId="77777777" w:rsidR="008A539F" w:rsidRDefault="008A539F" w:rsidP="008A539F">
      <w:pPr>
        <w:pStyle w:val="BodyText"/>
        <w:spacing w:line="259" w:lineRule="auto"/>
        <w:ind w:right="97"/>
        <w:jc w:val="both"/>
        <w:rPr>
          <w:b/>
          <w:bCs/>
          <w:lang w:val="en-MY"/>
        </w:rPr>
      </w:pPr>
    </w:p>
    <w:p w14:paraId="5CFD58C4" w14:textId="2E273737" w:rsidR="008A539F" w:rsidRPr="008A539F" w:rsidRDefault="008A539F" w:rsidP="008A539F">
      <w:pPr>
        <w:pStyle w:val="BodyText"/>
        <w:spacing w:line="259" w:lineRule="auto"/>
        <w:ind w:right="97"/>
        <w:jc w:val="both"/>
        <w:rPr>
          <w:lang w:val="en-MY"/>
        </w:rPr>
      </w:pPr>
      <w:r w:rsidRPr="008A539F">
        <w:rPr>
          <w:lang w:val="en-MY"/>
        </w:rPr>
        <w:t>Table 6. Regression 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3"/>
        <w:gridCol w:w="780"/>
        <w:gridCol w:w="1008"/>
        <w:gridCol w:w="919"/>
        <w:gridCol w:w="908"/>
      </w:tblGrid>
      <w:tr w:rsidR="008A539F" w:rsidRPr="008A539F" w14:paraId="509DE083" w14:textId="77777777" w:rsidTr="008A539F">
        <w:trPr>
          <w:tblHeader/>
          <w:tblCellSpacing w:w="15" w:type="dxa"/>
        </w:trPr>
        <w:tc>
          <w:tcPr>
            <w:tcW w:w="0" w:type="auto"/>
            <w:tcBorders>
              <w:top w:val="single" w:sz="4" w:space="0" w:color="auto"/>
              <w:bottom w:val="single" w:sz="4" w:space="0" w:color="auto"/>
            </w:tcBorders>
            <w:vAlign w:val="center"/>
            <w:hideMark/>
          </w:tcPr>
          <w:p w14:paraId="7E434E7C" w14:textId="77777777" w:rsidR="008A539F" w:rsidRPr="008A539F" w:rsidRDefault="008A539F" w:rsidP="008A539F">
            <w:pPr>
              <w:pStyle w:val="BodyText"/>
              <w:spacing w:line="259" w:lineRule="auto"/>
              <w:ind w:right="97"/>
              <w:jc w:val="both"/>
              <w:rPr>
                <w:b/>
                <w:bCs/>
                <w:lang w:val="en-MY"/>
              </w:rPr>
            </w:pPr>
            <w:r w:rsidRPr="008A539F">
              <w:rPr>
                <w:b/>
                <w:bCs/>
                <w:lang w:val="en-MY"/>
              </w:rPr>
              <w:t>Variable</w:t>
            </w:r>
          </w:p>
        </w:tc>
        <w:tc>
          <w:tcPr>
            <w:tcW w:w="0" w:type="auto"/>
            <w:tcBorders>
              <w:top w:val="single" w:sz="4" w:space="0" w:color="auto"/>
              <w:bottom w:val="single" w:sz="4" w:space="0" w:color="auto"/>
            </w:tcBorders>
            <w:vAlign w:val="center"/>
            <w:hideMark/>
          </w:tcPr>
          <w:p w14:paraId="7726F1D7" w14:textId="77777777" w:rsidR="008A539F" w:rsidRPr="008A539F" w:rsidRDefault="008A539F" w:rsidP="008A539F">
            <w:pPr>
              <w:pStyle w:val="BodyText"/>
              <w:spacing w:line="259" w:lineRule="auto"/>
              <w:ind w:right="97"/>
              <w:jc w:val="both"/>
              <w:rPr>
                <w:b/>
                <w:bCs/>
                <w:lang w:val="en-MY"/>
              </w:rPr>
            </w:pPr>
            <w:r w:rsidRPr="008A539F">
              <w:rPr>
                <w:b/>
                <w:bCs/>
                <w:lang w:val="en-MY"/>
              </w:rPr>
              <w:t>B</w:t>
            </w:r>
          </w:p>
        </w:tc>
        <w:tc>
          <w:tcPr>
            <w:tcW w:w="0" w:type="auto"/>
            <w:tcBorders>
              <w:top w:val="single" w:sz="4" w:space="0" w:color="auto"/>
              <w:bottom w:val="single" w:sz="4" w:space="0" w:color="auto"/>
            </w:tcBorders>
            <w:vAlign w:val="center"/>
            <w:hideMark/>
          </w:tcPr>
          <w:p w14:paraId="2C18BC9E" w14:textId="77777777" w:rsidR="008A539F" w:rsidRPr="008A539F" w:rsidRDefault="008A539F" w:rsidP="008A539F">
            <w:pPr>
              <w:pStyle w:val="BodyText"/>
              <w:spacing w:line="259" w:lineRule="auto"/>
              <w:ind w:right="97"/>
              <w:jc w:val="both"/>
              <w:rPr>
                <w:b/>
                <w:bCs/>
                <w:lang w:val="en-MY"/>
              </w:rPr>
            </w:pPr>
            <w:r w:rsidRPr="008A539F">
              <w:rPr>
                <w:b/>
                <w:bCs/>
                <w:lang w:val="en-MY"/>
              </w:rPr>
              <w:t>Beta (β)</w:t>
            </w:r>
          </w:p>
        </w:tc>
        <w:tc>
          <w:tcPr>
            <w:tcW w:w="0" w:type="auto"/>
            <w:tcBorders>
              <w:top w:val="single" w:sz="4" w:space="0" w:color="auto"/>
              <w:bottom w:val="single" w:sz="4" w:space="0" w:color="auto"/>
            </w:tcBorders>
            <w:vAlign w:val="center"/>
            <w:hideMark/>
          </w:tcPr>
          <w:p w14:paraId="4C08C873" w14:textId="77777777" w:rsidR="008A539F" w:rsidRPr="008A539F" w:rsidRDefault="008A539F" w:rsidP="008A539F">
            <w:pPr>
              <w:pStyle w:val="BodyText"/>
              <w:spacing w:line="259" w:lineRule="auto"/>
              <w:ind w:right="97"/>
              <w:jc w:val="both"/>
              <w:rPr>
                <w:b/>
                <w:bCs/>
                <w:lang w:val="en-MY"/>
              </w:rPr>
            </w:pPr>
            <w:r w:rsidRPr="008A539F">
              <w:rPr>
                <w:b/>
                <w:bCs/>
                <w:lang w:val="en-MY"/>
              </w:rPr>
              <w:t>t-value</w:t>
            </w:r>
          </w:p>
        </w:tc>
        <w:tc>
          <w:tcPr>
            <w:tcW w:w="0" w:type="auto"/>
            <w:tcBorders>
              <w:top w:val="single" w:sz="4" w:space="0" w:color="auto"/>
              <w:bottom w:val="single" w:sz="4" w:space="0" w:color="auto"/>
            </w:tcBorders>
            <w:vAlign w:val="center"/>
            <w:hideMark/>
          </w:tcPr>
          <w:p w14:paraId="07FEAF75" w14:textId="77777777" w:rsidR="008A539F" w:rsidRPr="008A539F" w:rsidRDefault="008A539F" w:rsidP="008A539F">
            <w:pPr>
              <w:pStyle w:val="BodyText"/>
              <w:spacing w:line="259" w:lineRule="auto"/>
              <w:ind w:right="97"/>
              <w:jc w:val="both"/>
              <w:rPr>
                <w:b/>
                <w:bCs/>
                <w:lang w:val="en-MY"/>
              </w:rPr>
            </w:pPr>
            <w:r w:rsidRPr="008A539F">
              <w:rPr>
                <w:b/>
                <w:bCs/>
                <w:lang w:val="en-MY"/>
              </w:rPr>
              <w:t>Sig.</w:t>
            </w:r>
          </w:p>
        </w:tc>
      </w:tr>
      <w:tr w:rsidR="008A539F" w:rsidRPr="008A539F" w14:paraId="50C6D2E6" w14:textId="77777777">
        <w:trPr>
          <w:tblCellSpacing w:w="15" w:type="dxa"/>
        </w:trPr>
        <w:tc>
          <w:tcPr>
            <w:tcW w:w="0" w:type="auto"/>
            <w:vAlign w:val="center"/>
            <w:hideMark/>
          </w:tcPr>
          <w:p w14:paraId="53BAE698" w14:textId="77777777" w:rsidR="008A539F" w:rsidRPr="008A539F" w:rsidRDefault="008A539F" w:rsidP="008A539F">
            <w:pPr>
              <w:pStyle w:val="BodyText"/>
              <w:spacing w:line="259" w:lineRule="auto"/>
              <w:ind w:right="97"/>
              <w:jc w:val="both"/>
              <w:rPr>
                <w:lang w:val="en-MY"/>
              </w:rPr>
            </w:pPr>
            <w:r w:rsidRPr="008A539F">
              <w:rPr>
                <w:lang w:val="en-MY"/>
              </w:rPr>
              <w:t>Constant</w:t>
            </w:r>
          </w:p>
        </w:tc>
        <w:tc>
          <w:tcPr>
            <w:tcW w:w="0" w:type="auto"/>
            <w:vAlign w:val="center"/>
            <w:hideMark/>
          </w:tcPr>
          <w:p w14:paraId="442D295D" w14:textId="77777777" w:rsidR="008A539F" w:rsidRPr="008A539F" w:rsidRDefault="008A539F" w:rsidP="008A539F">
            <w:pPr>
              <w:pStyle w:val="BodyText"/>
              <w:spacing w:line="259" w:lineRule="auto"/>
              <w:ind w:right="97"/>
              <w:jc w:val="both"/>
              <w:rPr>
                <w:lang w:val="en-MY"/>
              </w:rPr>
            </w:pPr>
            <w:r w:rsidRPr="008A539F">
              <w:rPr>
                <w:lang w:val="en-MY"/>
              </w:rPr>
              <w:t>0.665</w:t>
            </w:r>
          </w:p>
        </w:tc>
        <w:tc>
          <w:tcPr>
            <w:tcW w:w="0" w:type="auto"/>
            <w:vAlign w:val="center"/>
            <w:hideMark/>
          </w:tcPr>
          <w:p w14:paraId="1398ADF4" w14:textId="77777777" w:rsidR="008A539F" w:rsidRPr="008A539F" w:rsidRDefault="008A539F" w:rsidP="008A539F">
            <w:pPr>
              <w:pStyle w:val="BodyText"/>
              <w:spacing w:line="259" w:lineRule="auto"/>
              <w:ind w:right="97"/>
              <w:jc w:val="both"/>
              <w:rPr>
                <w:lang w:val="en-MY"/>
              </w:rPr>
            </w:pPr>
            <w:r w:rsidRPr="008A539F">
              <w:rPr>
                <w:lang w:val="en-MY"/>
              </w:rPr>
              <w:t>-</w:t>
            </w:r>
          </w:p>
        </w:tc>
        <w:tc>
          <w:tcPr>
            <w:tcW w:w="0" w:type="auto"/>
            <w:vAlign w:val="center"/>
            <w:hideMark/>
          </w:tcPr>
          <w:p w14:paraId="635622F5" w14:textId="77777777" w:rsidR="008A539F" w:rsidRPr="008A539F" w:rsidRDefault="008A539F" w:rsidP="008A539F">
            <w:pPr>
              <w:pStyle w:val="BodyText"/>
              <w:spacing w:line="259" w:lineRule="auto"/>
              <w:ind w:right="97"/>
              <w:jc w:val="both"/>
              <w:rPr>
                <w:lang w:val="en-MY"/>
              </w:rPr>
            </w:pPr>
            <w:r w:rsidRPr="008A539F">
              <w:rPr>
                <w:lang w:val="en-MY"/>
              </w:rPr>
              <w:t>3.392</w:t>
            </w:r>
          </w:p>
        </w:tc>
        <w:tc>
          <w:tcPr>
            <w:tcW w:w="0" w:type="auto"/>
            <w:vAlign w:val="center"/>
            <w:hideMark/>
          </w:tcPr>
          <w:p w14:paraId="7A880F7B" w14:textId="77777777" w:rsidR="008A539F" w:rsidRPr="008A539F" w:rsidRDefault="008A539F" w:rsidP="008A539F">
            <w:pPr>
              <w:pStyle w:val="BodyText"/>
              <w:spacing w:line="259" w:lineRule="auto"/>
              <w:ind w:right="97"/>
              <w:jc w:val="both"/>
              <w:rPr>
                <w:lang w:val="en-MY"/>
              </w:rPr>
            </w:pPr>
            <w:r w:rsidRPr="008A539F">
              <w:rPr>
                <w:lang w:val="en-MY"/>
              </w:rPr>
              <w:t>&lt;0.001</w:t>
            </w:r>
          </w:p>
        </w:tc>
      </w:tr>
      <w:tr w:rsidR="008A539F" w:rsidRPr="008A539F" w14:paraId="0C850B94" w14:textId="77777777">
        <w:trPr>
          <w:tblCellSpacing w:w="15" w:type="dxa"/>
        </w:trPr>
        <w:tc>
          <w:tcPr>
            <w:tcW w:w="0" w:type="auto"/>
            <w:vAlign w:val="center"/>
            <w:hideMark/>
          </w:tcPr>
          <w:p w14:paraId="7695AD13" w14:textId="77777777" w:rsidR="008A539F" w:rsidRPr="008A539F" w:rsidRDefault="008A539F" w:rsidP="008A539F">
            <w:pPr>
              <w:pStyle w:val="BodyText"/>
              <w:spacing w:line="259" w:lineRule="auto"/>
              <w:ind w:right="97"/>
              <w:jc w:val="both"/>
              <w:rPr>
                <w:lang w:val="en-MY"/>
              </w:rPr>
            </w:pPr>
            <w:r w:rsidRPr="008A539F">
              <w:rPr>
                <w:lang w:val="en-MY"/>
              </w:rPr>
              <w:t>Technological Factors</w:t>
            </w:r>
          </w:p>
        </w:tc>
        <w:tc>
          <w:tcPr>
            <w:tcW w:w="0" w:type="auto"/>
            <w:vAlign w:val="center"/>
            <w:hideMark/>
          </w:tcPr>
          <w:p w14:paraId="671DA4D7" w14:textId="77777777" w:rsidR="008A539F" w:rsidRPr="008A539F" w:rsidRDefault="008A539F" w:rsidP="008A539F">
            <w:pPr>
              <w:pStyle w:val="BodyText"/>
              <w:spacing w:line="259" w:lineRule="auto"/>
              <w:ind w:right="97"/>
              <w:jc w:val="both"/>
              <w:rPr>
                <w:lang w:val="en-MY"/>
              </w:rPr>
            </w:pPr>
            <w:r w:rsidRPr="008A539F">
              <w:rPr>
                <w:lang w:val="en-MY"/>
              </w:rPr>
              <w:t>0.168</w:t>
            </w:r>
          </w:p>
        </w:tc>
        <w:tc>
          <w:tcPr>
            <w:tcW w:w="0" w:type="auto"/>
            <w:vAlign w:val="center"/>
            <w:hideMark/>
          </w:tcPr>
          <w:p w14:paraId="7749BE85" w14:textId="77777777" w:rsidR="008A539F" w:rsidRPr="008A539F" w:rsidRDefault="008A539F" w:rsidP="008A539F">
            <w:pPr>
              <w:pStyle w:val="BodyText"/>
              <w:spacing w:line="259" w:lineRule="auto"/>
              <w:ind w:right="97"/>
              <w:jc w:val="both"/>
              <w:rPr>
                <w:lang w:val="en-MY"/>
              </w:rPr>
            </w:pPr>
            <w:r w:rsidRPr="008A539F">
              <w:rPr>
                <w:lang w:val="en-MY"/>
              </w:rPr>
              <w:t>0.175</w:t>
            </w:r>
          </w:p>
        </w:tc>
        <w:tc>
          <w:tcPr>
            <w:tcW w:w="0" w:type="auto"/>
            <w:vAlign w:val="center"/>
            <w:hideMark/>
          </w:tcPr>
          <w:p w14:paraId="631EDC2A" w14:textId="77777777" w:rsidR="008A539F" w:rsidRPr="008A539F" w:rsidRDefault="008A539F" w:rsidP="008A539F">
            <w:pPr>
              <w:pStyle w:val="BodyText"/>
              <w:spacing w:line="259" w:lineRule="auto"/>
              <w:ind w:right="97"/>
              <w:jc w:val="both"/>
              <w:rPr>
                <w:lang w:val="en-MY"/>
              </w:rPr>
            </w:pPr>
            <w:r w:rsidRPr="008A539F">
              <w:rPr>
                <w:lang w:val="en-MY"/>
              </w:rPr>
              <w:t>1.832</w:t>
            </w:r>
          </w:p>
        </w:tc>
        <w:tc>
          <w:tcPr>
            <w:tcW w:w="0" w:type="auto"/>
            <w:vAlign w:val="center"/>
            <w:hideMark/>
          </w:tcPr>
          <w:p w14:paraId="31F12E2C" w14:textId="77777777" w:rsidR="008A539F" w:rsidRPr="008A539F" w:rsidRDefault="008A539F" w:rsidP="008A539F">
            <w:pPr>
              <w:pStyle w:val="BodyText"/>
              <w:spacing w:line="259" w:lineRule="auto"/>
              <w:ind w:right="97"/>
              <w:jc w:val="both"/>
              <w:rPr>
                <w:lang w:val="en-MY"/>
              </w:rPr>
            </w:pPr>
            <w:r w:rsidRPr="008A539F">
              <w:rPr>
                <w:lang w:val="en-MY"/>
              </w:rPr>
              <w:t>0.069</w:t>
            </w:r>
          </w:p>
        </w:tc>
      </w:tr>
      <w:tr w:rsidR="008A539F" w:rsidRPr="008A539F" w14:paraId="2845215D" w14:textId="77777777">
        <w:trPr>
          <w:tblCellSpacing w:w="15" w:type="dxa"/>
        </w:trPr>
        <w:tc>
          <w:tcPr>
            <w:tcW w:w="0" w:type="auto"/>
            <w:vAlign w:val="center"/>
            <w:hideMark/>
          </w:tcPr>
          <w:p w14:paraId="6719EC14" w14:textId="77777777" w:rsidR="008A539F" w:rsidRPr="008A539F" w:rsidRDefault="008A539F" w:rsidP="008A539F">
            <w:pPr>
              <w:pStyle w:val="BodyText"/>
              <w:spacing w:line="259" w:lineRule="auto"/>
              <w:ind w:right="97"/>
              <w:jc w:val="both"/>
              <w:rPr>
                <w:lang w:val="en-MY"/>
              </w:rPr>
            </w:pPr>
            <w:r w:rsidRPr="008A539F">
              <w:rPr>
                <w:lang w:val="en-MY"/>
              </w:rPr>
              <w:t>Organizational Factors</w:t>
            </w:r>
          </w:p>
        </w:tc>
        <w:tc>
          <w:tcPr>
            <w:tcW w:w="0" w:type="auto"/>
            <w:vAlign w:val="center"/>
            <w:hideMark/>
          </w:tcPr>
          <w:p w14:paraId="6882A7C2" w14:textId="77777777" w:rsidR="008A539F" w:rsidRPr="008A539F" w:rsidRDefault="008A539F" w:rsidP="008A539F">
            <w:pPr>
              <w:pStyle w:val="BodyText"/>
              <w:spacing w:line="259" w:lineRule="auto"/>
              <w:ind w:right="97"/>
              <w:jc w:val="both"/>
              <w:rPr>
                <w:lang w:val="en-MY"/>
              </w:rPr>
            </w:pPr>
            <w:r w:rsidRPr="008A539F">
              <w:rPr>
                <w:lang w:val="en-MY"/>
              </w:rPr>
              <w:t>0.150</w:t>
            </w:r>
          </w:p>
        </w:tc>
        <w:tc>
          <w:tcPr>
            <w:tcW w:w="0" w:type="auto"/>
            <w:vAlign w:val="center"/>
            <w:hideMark/>
          </w:tcPr>
          <w:p w14:paraId="776ABE46" w14:textId="77777777" w:rsidR="008A539F" w:rsidRPr="008A539F" w:rsidRDefault="008A539F" w:rsidP="008A539F">
            <w:pPr>
              <w:pStyle w:val="BodyText"/>
              <w:spacing w:line="259" w:lineRule="auto"/>
              <w:ind w:right="97"/>
              <w:jc w:val="both"/>
              <w:rPr>
                <w:lang w:val="en-MY"/>
              </w:rPr>
            </w:pPr>
            <w:r w:rsidRPr="008A539F">
              <w:rPr>
                <w:lang w:val="en-MY"/>
              </w:rPr>
              <w:t>0.183</w:t>
            </w:r>
          </w:p>
        </w:tc>
        <w:tc>
          <w:tcPr>
            <w:tcW w:w="0" w:type="auto"/>
            <w:vAlign w:val="center"/>
            <w:hideMark/>
          </w:tcPr>
          <w:p w14:paraId="55128CD9" w14:textId="77777777" w:rsidR="008A539F" w:rsidRPr="008A539F" w:rsidRDefault="008A539F" w:rsidP="008A539F">
            <w:pPr>
              <w:pStyle w:val="BodyText"/>
              <w:spacing w:line="259" w:lineRule="auto"/>
              <w:ind w:right="97"/>
              <w:jc w:val="both"/>
              <w:rPr>
                <w:lang w:val="en-MY"/>
              </w:rPr>
            </w:pPr>
            <w:r w:rsidRPr="008A539F">
              <w:rPr>
                <w:lang w:val="en-MY"/>
              </w:rPr>
              <w:t>1.637</w:t>
            </w:r>
          </w:p>
        </w:tc>
        <w:tc>
          <w:tcPr>
            <w:tcW w:w="0" w:type="auto"/>
            <w:vAlign w:val="center"/>
            <w:hideMark/>
          </w:tcPr>
          <w:p w14:paraId="43B23FC4" w14:textId="77777777" w:rsidR="008A539F" w:rsidRPr="008A539F" w:rsidRDefault="008A539F" w:rsidP="008A539F">
            <w:pPr>
              <w:pStyle w:val="BodyText"/>
              <w:spacing w:line="259" w:lineRule="auto"/>
              <w:ind w:right="97"/>
              <w:jc w:val="both"/>
              <w:rPr>
                <w:lang w:val="en-MY"/>
              </w:rPr>
            </w:pPr>
            <w:r w:rsidRPr="008A539F">
              <w:rPr>
                <w:lang w:val="en-MY"/>
              </w:rPr>
              <w:t>0.104</w:t>
            </w:r>
          </w:p>
        </w:tc>
      </w:tr>
      <w:tr w:rsidR="008A539F" w:rsidRPr="008A539F" w14:paraId="39D40049" w14:textId="77777777" w:rsidTr="008A539F">
        <w:trPr>
          <w:tblCellSpacing w:w="15" w:type="dxa"/>
        </w:trPr>
        <w:tc>
          <w:tcPr>
            <w:tcW w:w="0" w:type="auto"/>
            <w:tcBorders>
              <w:bottom w:val="single" w:sz="4" w:space="0" w:color="auto"/>
            </w:tcBorders>
            <w:vAlign w:val="center"/>
            <w:hideMark/>
          </w:tcPr>
          <w:p w14:paraId="7F1DBA7B" w14:textId="77777777" w:rsidR="008A539F" w:rsidRPr="008A539F" w:rsidRDefault="008A539F" w:rsidP="008A539F">
            <w:pPr>
              <w:pStyle w:val="BodyText"/>
              <w:spacing w:line="259" w:lineRule="auto"/>
              <w:ind w:right="97"/>
              <w:jc w:val="both"/>
              <w:rPr>
                <w:lang w:val="en-MY"/>
              </w:rPr>
            </w:pPr>
            <w:r w:rsidRPr="008A539F">
              <w:rPr>
                <w:lang w:val="en-MY"/>
              </w:rPr>
              <w:t>Environmental Factors</w:t>
            </w:r>
          </w:p>
        </w:tc>
        <w:tc>
          <w:tcPr>
            <w:tcW w:w="0" w:type="auto"/>
            <w:tcBorders>
              <w:bottom w:val="single" w:sz="4" w:space="0" w:color="auto"/>
            </w:tcBorders>
            <w:vAlign w:val="center"/>
            <w:hideMark/>
          </w:tcPr>
          <w:p w14:paraId="32880EC0" w14:textId="77777777" w:rsidR="008A539F" w:rsidRPr="008A539F" w:rsidRDefault="008A539F" w:rsidP="008A539F">
            <w:pPr>
              <w:pStyle w:val="BodyText"/>
              <w:spacing w:line="259" w:lineRule="auto"/>
              <w:ind w:right="97"/>
              <w:jc w:val="both"/>
              <w:rPr>
                <w:lang w:val="en-MY"/>
              </w:rPr>
            </w:pPr>
            <w:r w:rsidRPr="008A539F">
              <w:rPr>
                <w:lang w:val="en-MY"/>
              </w:rPr>
              <w:t>0.467</w:t>
            </w:r>
          </w:p>
        </w:tc>
        <w:tc>
          <w:tcPr>
            <w:tcW w:w="0" w:type="auto"/>
            <w:tcBorders>
              <w:bottom w:val="single" w:sz="4" w:space="0" w:color="auto"/>
            </w:tcBorders>
            <w:vAlign w:val="center"/>
            <w:hideMark/>
          </w:tcPr>
          <w:p w14:paraId="28AA9E37" w14:textId="77777777" w:rsidR="008A539F" w:rsidRPr="008A539F" w:rsidRDefault="008A539F" w:rsidP="008A539F">
            <w:pPr>
              <w:pStyle w:val="BodyText"/>
              <w:spacing w:line="259" w:lineRule="auto"/>
              <w:ind w:right="97"/>
              <w:jc w:val="both"/>
              <w:rPr>
                <w:lang w:val="en-MY"/>
              </w:rPr>
            </w:pPr>
            <w:r w:rsidRPr="008A539F">
              <w:rPr>
                <w:lang w:val="en-MY"/>
              </w:rPr>
              <w:t>0.489</w:t>
            </w:r>
          </w:p>
        </w:tc>
        <w:tc>
          <w:tcPr>
            <w:tcW w:w="0" w:type="auto"/>
            <w:tcBorders>
              <w:bottom w:val="single" w:sz="4" w:space="0" w:color="auto"/>
            </w:tcBorders>
            <w:vAlign w:val="center"/>
            <w:hideMark/>
          </w:tcPr>
          <w:p w14:paraId="34845BE1" w14:textId="77777777" w:rsidR="008A539F" w:rsidRPr="008A539F" w:rsidRDefault="008A539F" w:rsidP="008A539F">
            <w:pPr>
              <w:pStyle w:val="BodyText"/>
              <w:spacing w:line="259" w:lineRule="auto"/>
              <w:ind w:right="97"/>
              <w:jc w:val="both"/>
              <w:rPr>
                <w:lang w:val="en-MY"/>
              </w:rPr>
            </w:pPr>
            <w:r w:rsidRPr="008A539F">
              <w:rPr>
                <w:lang w:val="en-MY"/>
              </w:rPr>
              <w:t>5.151</w:t>
            </w:r>
          </w:p>
        </w:tc>
        <w:tc>
          <w:tcPr>
            <w:tcW w:w="0" w:type="auto"/>
            <w:tcBorders>
              <w:bottom w:val="single" w:sz="4" w:space="0" w:color="auto"/>
            </w:tcBorders>
            <w:vAlign w:val="center"/>
            <w:hideMark/>
          </w:tcPr>
          <w:p w14:paraId="54C58D8B" w14:textId="77777777" w:rsidR="008A539F" w:rsidRPr="008A539F" w:rsidRDefault="008A539F" w:rsidP="008A539F">
            <w:pPr>
              <w:pStyle w:val="BodyText"/>
              <w:spacing w:line="259" w:lineRule="auto"/>
              <w:ind w:right="97"/>
              <w:jc w:val="both"/>
              <w:rPr>
                <w:lang w:val="en-MY"/>
              </w:rPr>
            </w:pPr>
            <w:r w:rsidRPr="008A539F">
              <w:rPr>
                <w:lang w:val="en-MY"/>
              </w:rPr>
              <w:t>&lt;0.001</w:t>
            </w:r>
          </w:p>
        </w:tc>
      </w:tr>
    </w:tbl>
    <w:p w14:paraId="7C5305DF" w14:textId="77777777" w:rsidR="007B2A23" w:rsidRDefault="007B2A23" w:rsidP="005E6C1A">
      <w:pPr>
        <w:pStyle w:val="BodyText"/>
        <w:spacing w:line="259" w:lineRule="auto"/>
        <w:ind w:right="97"/>
        <w:jc w:val="both"/>
      </w:pPr>
    </w:p>
    <w:p w14:paraId="19D0118A" w14:textId="77777777" w:rsidR="008A539F" w:rsidRDefault="008A539F" w:rsidP="008A539F">
      <w:pPr>
        <w:pStyle w:val="BodyText"/>
        <w:spacing w:line="259" w:lineRule="auto"/>
        <w:ind w:right="97"/>
        <w:jc w:val="both"/>
        <w:rPr>
          <w:lang w:val="en-MY"/>
        </w:rPr>
      </w:pPr>
      <w:r w:rsidRPr="008A539F">
        <w:rPr>
          <w:lang w:val="en-MY"/>
        </w:rPr>
        <w:t>The coefficient analysis indicates that environmental factors exert the strongest influence on SME performance (β = 0.489, t = 5.151, p &lt; 0.001). This finding suggests that government regulations, market demand, sustainability incentives, and external stakeholder pressures play a critical role in enhancing SME performance through green technology adoption.</w:t>
      </w:r>
    </w:p>
    <w:p w14:paraId="555EB918" w14:textId="77777777" w:rsidR="008A539F" w:rsidRPr="008A539F" w:rsidRDefault="008A539F" w:rsidP="008A539F">
      <w:pPr>
        <w:pStyle w:val="BodyText"/>
        <w:spacing w:line="259" w:lineRule="auto"/>
        <w:ind w:right="97"/>
        <w:jc w:val="both"/>
        <w:rPr>
          <w:lang w:val="en-MY"/>
        </w:rPr>
      </w:pPr>
    </w:p>
    <w:p w14:paraId="5E3D9F8A" w14:textId="77777777" w:rsidR="008A539F" w:rsidRPr="008A539F" w:rsidRDefault="008A539F" w:rsidP="008A539F">
      <w:pPr>
        <w:pStyle w:val="BodyText"/>
        <w:spacing w:line="259" w:lineRule="auto"/>
        <w:ind w:right="97"/>
        <w:jc w:val="both"/>
        <w:rPr>
          <w:lang w:val="en-MY"/>
        </w:rPr>
      </w:pPr>
      <w:r w:rsidRPr="008A539F">
        <w:rPr>
          <w:lang w:val="en-MY"/>
        </w:rPr>
        <w:t>Although technological factors (β = 0.175, p = 0.069) and organizational factors (β = 0.183, p = 0.104) exhibited positive relationships with SME performance, their effects were not statistically significant at the 0.05 level. This implies that while technology readiness and organizational support contribute positively to SME performance, their influence is weaker compared to environmental factors.</w:t>
      </w:r>
    </w:p>
    <w:p w14:paraId="7D1E6B1D" w14:textId="77777777" w:rsidR="008A539F" w:rsidRDefault="008A539F" w:rsidP="008A539F">
      <w:pPr>
        <w:pStyle w:val="BodyText"/>
        <w:spacing w:line="259" w:lineRule="auto"/>
        <w:ind w:right="97"/>
        <w:jc w:val="both"/>
        <w:rPr>
          <w:lang w:val="en-MY"/>
        </w:rPr>
      </w:pPr>
      <w:r w:rsidRPr="008A539F">
        <w:rPr>
          <w:lang w:val="en-MY"/>
        </w:rPr>
        <w:t>The regression equation can therefore be expressed as:</w:t>
      </w:r>
    </w:p>
    <w:p w14:paraId="2D6C590A" w14:textId="77777777" w:rsidR="008A539F" w:rsidRPr="008A539F" w:rsidRDefault="008A539F" w:rsidP="008A539F">
      <w:pPr>
        <w:pStyle w:val="BodyText"/>
        <w:spacing w:line="259" w:lineRule="auto"/>
        <w:ind w:right="97"/>
        <w:jc w:val="both"/>
        <w:rPr>
          <w:lang w:val="en-MY"/>
        </w:rPr>
      </w:pPr>
    </w:p>
    <w:p w14:paraId="4AA3970D" w14:textId="17E38CC1" w:rsidR="007B2A23" w:rsidRDefault="008A539F" w:rsidP="008A539F">
      <w:pPr>
        <w:pStyle w:val="BodyText"/>
        <w:spacing w:line="259" w:lineRule="auto"/>
        <w:ind w:right="97"/>
        <w:jc w:val="both"/>
      </w:pPr>
      <m:oMathPara>
        <m:oMath>
          <m:r>
            <w:rPr>
              <w:rFonts w:ascii="Cambria Math" w:hAnsi="Cambria Math"/>
              <w:lang w:val="en-MY"/>
            </w:rPr>
            <m:t>SME</m:t>
          </m:r>
          <m:r>
            <m:rPr>
              <m:sty m:val="p"/>
            </m:rPr>
            <w:rPr>
              <w:rFonts w:ascii="Cambria Math" w:hAnsi="Cambria Math"/>
              <w:lang w:val="en-MY"/>
            </w:rPr>
            <m:t> </m:t>
          </m:r>
          <m:r>
            <w:rPr>
              <w:rFonts w:ascii="Cambria Math" w:hAnsi="Cambria Math"/>
              <w:lang w:val="en-MY"/>
            </w:rPr>
            <m:t>Performance=0.665+0.168(TF)+0.150(OF)+0.467(EF)</m:t>
          </m:r>
          <m:r>
            <w:rPr>
              <w:lang w:val="en-MY"/>
            </w:rPr>
            <w:br/>
          </m:r>
        </m:oMath>
      </m:oMathPara>
    </w:p>
    <w:p w14:paraId="2AD11B55" w14:textId="12B4A213" w:rsidR="007B2A23" w:rsidRDefault="008A539F" w:rsidP="005E6C1A">
      <w:pPr>
        <w:pStyle w:val="BodyText"/>
        <w:spacing w:line="259" w:lineRule="auto"/>
        <w:ind w:right="97"/>
        <w:jc w:val="both"/>
      </w:pPr>
      <w:r w:rsidRPr="008A539F">
        <w:lastRenderedPageBreak/>
        <w:t>Overall, the findings demonstrate that environmental factors are the most significant determinant influencing the performance outcomes of SMEs through green technology adoption.</w:t>
      </w:r>
    </w:p>
    <w:p w14:paraId="0957C48A" w14:textId="77777777" w:rsidR="008A539F" w:rsidRDefault="008A539F" w:rsidP="005E6C1A">
      <w:pPr>
        <w:pStyle w:val="BodyText"/>
        <w:spacing w:line="259" w:lineRule="auto"/>
        <w:ind w:right="97"/>
        <w:jc w:val="both"/>
      </w:pPr>
    </w:p>
    <w:p w14:paraId="499A8415" w14:textId="371269EC" w:rsidR="008A539F" w:rsidRDefault="008A539F" w:rsidP="005E6C1A">
      <w:pPr>
        <w:pStyle w:val="BodyText"/>
        <w:spacing w:line="259" w:lineRule="auto"/>
        <w:ind w:right="97"/>
        <w:jc w:val="both"/>
      </w:pPr>
      <w:r w:rsidRPr="008A539F">
        <w:t xml:space="preserve">Table </w:t>
      </w:r>
      <w:r>
        <w:t>7.</w:t>
      </w:r>
      <w:r w:rsidRPr="008A539F">
        <w:t xml:space="preserve"> Hypothesis Testing Results</w:t>
      </w:r>
    </w:p>
    <w:tbl>
      <w:tblPr>
        <w:tblStyle w:val="TableGrid"/>
        <w:tblW w:w="0" w:type="auto"/>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4536"/>
        <w:gridCol w:w="1843"/>
      </w:tblGrid>
      <w:tr w:rsidR="008A539F" w14:paraId="1FCB7312" w14:textId="77777777" w:rsidTr="008A539F">
        <w:tc>
          <w:tcPr>
            <w:tcW w:w="1353" w:type="dxa"/>
            <w:tcBorders>
              <w:top w:val="single" w:sz="4" w:space="0" w:color="auto"/>
              <w:bottom w:val="single" w:sz="4" w:space="0" w:color="auto"/>
            </w:tcBorders>
            <w:vAlign w:val="center"/>
          </w:tcPr>
          <w:p w14:paraId="0D707D86" w14:textId="69384EE4" w:rsidR="008A539F" w:rsidRDefault="008A539F" w:rsidP="008A539F">
            <w:pPr>
              <w:pStyle w:val="BodyText"/>
              <w:spacing w:line="259" w:lineRule="auto"/>
              <w:ind w:left="0" w:right="97"/>
              <w:jc w:val="both"/>
            </w:pPr>
            <w:r w:rsidRPr="008A539F">
              <w:rPr>
                <w:b/>
                <w:bCs/>
                <w:lang w:val="en-MY"/>
              </w:rPr>
              <w:t>Hypothesis</w:t>
            </w:r>
          </w:p>
        </w:tc>
        <w:tc>
          <w:tcPr>
            <w:tcW w:w="4536" w:type="dxa"/>
            <w:tcBorders>
              <w:top w:val="single" w:sz="4" w:space="0" w:color="auto"/>
              <w:bottom w:val="single" w:sz="4" w:space="0" w:color="auto"/>
            </w:tcBorders>
            <w:vAlign w:val="center"/>
          </w:tcPr>
          <w:p w14:paraId="2F8C3AE6" w14:textId="30376C0D" w:rsidR="008A539F" w:rsidRDefault="008A539F" w:rsidP="008A539F">
            <w:pPr>
              <w:pStyle w:val="BodyText"/>
              <w:spacing w:line="259" w:lineRule="auto"/>
              <w:ind w:left="0" w:right="97"/>
              <w:jc w:val="both"/>
            </w:pPr>
            <w:r w:rsidRPr="008A539F">
              <w:rPr>
                <w:b/>
                <w:bCs/>
                <w:lang w:val="en-MY"/>
              </w:rPr>
              <w:t>Relationship</w:t>
            </w:r>
          </w:p>
        </w:tc>
        <w:tc>
          <w:tcPr>
            <w:tcW w:w="1843" w:type="dxa"/>
            <w:tcBorders>
              <w:top w:val="single" w:sz="4" w:space="0" w:color="auto"/>
              <w:bottom w:val="single" w:sz="4" w:space="0" w:color="auto"/>
            </w:tcBorders>
            <w:vAlign w:val="center"/>
          </w:tcPr>
          <w:p w14:paraId="31BC4C64" w14:textId="593905CA" w:rsidR="008A539F" w:rsidRDefault="008A539F" w:rsidP="008A539F">
            <w:pPr>
              <w:pStyle w:val="BodyText"/>
              <w:spacing w:line="259" w:lineRule="auto"/>
              <w:ind w:left="0" w:right="97"/>
              <w:jc w:val="both"/>
            </w:pPr>
            <w:r w:rsidRPr="008A539F">
              <w:rPr>
                <w:b/>
                <w:bCs/>
                <w:lang w:val="en-MY"/>
              </w:rPr>
              <w:t>Result</w:t>
            </w:r>
          </w:p>
        </w:tc>
      </w:tr>
      <w:tr w:rsidR="008A539F" w14:paraId="22C5E93C" w14:textId="77777777" w:rsidTr="008A539F">
        <w:tc>
          <w:tcPr>
            <w:tcW w:w="1353" w:type="dxa"/>
            <w:tcBorders>
              <w:top w:val="single" w:sz="4" w:space="0" w:color="auto"/>
            </w:tcBorders>
            <w:vAlign w:val="center"/>
          </w:tcPr>
          <w:p w14:paraId="5B0A2BBD" w14:textId="6B9AABFA" w:rsidR="008A539F" w:rsidRDefault="008A539F" w:rsidP="008A539F">
            <w:pPr>
              <w:pStyle w:val="BodyText"/>
              <w:spacing w:line="259" w:lineRule="auto"/>
              <w:ind w:left="0" w:right="97"/>
              <w:jc w:val="both"/>
            </w:pPr>
            <w:r w:rsidRPr="008A539F">
              <w:rPr>
                <w:lang w:val="en-MY"/>
              </w:rPr>
              <w:t>H1</w:t>
            </w:r>
          </w:p>
        </w:tc>
        <w:tc>
          <w:tcPr>
            <w:tcW w:w="4536" w:type="dxa"/>
            <w:tcBorders>
              <w:top w:val="single" w:sz="4" w:space="0" w:color="auto"/>
            </w:tcBorders>
            <w:vAlign w:val="center"/>
          </w:tcPr>
          <w:p w14:paraId="303CE653" w14:textId="38217F84" w:rsidR="008A539F" w:rsidRDefault="008A539F" w:rsidP="008A539F">
            <w:pPr>
              <w:pStyle w:val="BodyText"/>
              <w:spacing w:line="259" w:lineRule="auto"/>
              <w:ind w:left="0" w:right="97"/>
              <w:jc w:val="both"/>
            </w:pPr>
            <w:r w:rsidRPr="008A539F">
              <w:rPr>
                <w:lang w:val="en-MY"/>
              </w:rPr>
              <w:t>Technological Factors → SME Performance</w:t>
            </w:r>
          </w:p>
        </w:tc>
        <w:tc>
          <w:tcPr>
            <w:tcW w:w="1843" w:type="dxa"/>
            <w:tcBorders>
              <w:top w:val="single" w:sz="4" w:space="0" w:color="auto"/>
            </w:tcBorders>
            <w:vAlign w:val="center"/>
          </w:tcPr>
          <w:p w14:paraId="2B5CD0E0" w14:textId="5B071C69" w:rsidR="008A539F" w:rsidRDefault="008A539F" w:rsidP="008A539F">
            <w:pPr>
              <w:pStyle w:val="BodyText"/>
              <w:spacing w:line="259" w:lineRule="auto"/>
              <w:ind w:left="0" w:right="97"/>
              <w:jc w:val="both"/>
            </w:pPr>
            <w:r w:rsidRPr="008A539F">
              <w:rPr>
                <w:lang w:val="en-MY"/>
              </w:rPr>
              <w:t>Not Supported</w:t>
            </w:r>
          </w:p>
        </w:tc>
      </w:tr>
      <w:tr w:rsidR="008A539F" w14:paraId="1F9F9F0B" w14:textId="77777777" w:rsidTr="008A539F">
        <w:tc>
          <w:tcPr>
            <w:tcW w:w="1353" w:type="dxa"/>
            <w:vAlign w:val="center"/>
          </w:tcPr>
          <w:p w14:paraId="1D915DB1" w14:textId="41AD35EF" w:rsidR="008A539F" w:rsidRDefault="008A539F" w:rsidP="008A539F">
            <w:pPr>
              <w:pStyle w:val="BodyText"/>
              <w:spacing w:line="259" w:lineRule="auto"/>
              <w:ind w:left="0" w:right="97"/>
              <w:jc w:val="both"/>
            </w:pPr>
            <w:r w:rsidRPr="008A539F">
              <w:rPr>
                <w:lang w:val="en-MY"/>
              </w:rPr>
              <w:t>H2</w:t>
            </w:r>
          </w:p>
        </w:tc>
        <w:tc>
          <w:tcPr>
            <w:tcW w:w="4536" w:type="dxa"/>
            <w:vAlign w:val="center"/>
          </w:tcPr>
          <w:p w14:paraId="6CC4204C" w14:textId="2CFAF16F" w:rsidR="008A539F" w:rsidRDefault="008A539F" w:rsidP="008A539F">
            <w:pPr>
              <w:pStyle w:val="BodyText"/>
              <w:spacing w:line="259" w:lineRule="auto"/>
              <w:ind w:left="0" w:right="97"/>
              <w:jc w:val="both"/>
            </w:pPr>
            <w:r w:rsidRPr="008A539F">
              <w:rPr>
                <w:lang w:val="en-MY"/>
              </w:rPr>
              <w:t>Organizational Factors → SME Performance</w:t>
            </w:r>
          </w:p>
        </w:tc>
        <w:tc>
          <w:tcPr>
            <w:tcW w:w="1843" w:type="dxa"/>
            <w:vAlign w:val="center"/>
          </w:tcPr>
          <w:p w14:paraId="3B17EB03" w14:textId="320D0079" w:rsidR="008A539F" w:rsidRDefault="008A539F" w:rsidP="008A539F">
            <w:pPr>
              <w:pStyle w:val="BodyText"/>
              <w:spacing w:line="259" w:lineRule="auto"/>
              <w:ind w:left="0" w:right="97"/>
              <w:jc w:val="both"/>
            </w:pPr>
            <w:r w:rsidRPr="008A539F">
              <w:rPr>
                <w:lang w:val="en-MY"/>
              </w:rPr>
              <w:t>Not Supported</w:t>
            </w:r>
          </w:p>
        </w:tc>
      </w:tr>
      <w:tr w:rsidR="008A539F" w14:paraId="008BBA8A" w14:textId="77777777" w:rsidTr="008A539F">
        <w:tc>
          <w:tcPr>
            <w:tcW w:w="1353" w:type="dxa"/>
            <w:tcBorders>
              <w:bottom w:val="single" w:sz="4" w:space="0" w:color="auto"/>
            </w:tcBorders>
            <w:vAlign w:val="center"/>
          </w:tcPr>
          <w:p w14:paraId="49A53160" w14:textId="6E9839F8" w:rsidR="008A539F" w:rsidRDefault="008A539F" w:rsidP="008A539F">
            <w:pPr>
              <w:pStyle w:val="BodyText"/>
              <w:spacing w:line="259" w:lineRule="auto"/>
              <w:ind w:left="0" w:right="97"/>
              <w:jc w:val="both"/>
            </w:pPr>
            <w:r w:rsidRPr="008A539F">
              <w:rPr>
                <w:lang w:val="en-MY"/>
              </w:rPr>
              <w:t>H3</w:t>
            </w:r>
          </w:p>
        </w:tc>
        <w:tc>
          <w:tcPr>
            <w:tcW w:w="4536" w:type="dxa"/>
            <w:tcBorders>
              <w:bottom w:val="single" w:sz="4" w:space="0" w:color="auto"/>
            </w:tcBorders>
            <w:vAlign w:val="center"/>
          </w:tcPr>
          <w:p w14:paraId="61641B8C" w14:textId="60F4C73E" w:rsidR="008A539F" w:rsidRDefault="008A539F" w:rsidP="008A539F">
            <w:pPr>
              <w:pStyle w:val="BodyText"/>
              <w:spacing w:line="259" w:lineRule="auto"/>
              <w:ind w:left="0" w:right="97"/>
              <w:jc w:val="both"/>
            </w:pPr>
            <w:r w:rsidRPr="008A539F">
              <w:rPr>
                <w:lang w:val="en-MY"/>
              </w:rPr>
              <w:t>Environmental Factors → SME Performance</w:t>
            </w:r>
          </w:p>
        </w:tc>
        <w:tc>
          <w:tcPr>
            <w:tcW w:w="1843" w:type="dxa"/>
            <w:tcBorders>
              <w:bottom w:val="single" w:sz="4" w:space="0" w:color="auto"/>
            </w:tcBorders>
            <w:vAlign w:val="center"/>
          </w:tcPr>
          <w:p w14:paraId="5881A45F" w14:textId="298C81F2" w:rsidR="008A539F" w:rsidRDefault="008A539F" w:rsidP="008A539F">
            <w:pPr>
              <w:pStyle w:val="BodyText"/>
              <w:spacing w:line="259" w:lineRule="auto"/>
              <w:ind w:left="0" w:right="97"/>
              <w:jc w:val="both"/>
            </w:pPr>
            <w:r w:rsidRPr="008A539F">
              <w:rPr>
                <w:lang w:val="en-MY"/>
              </w:rPr>
              <w:t>Supported</w:t>
            </w:r>
          </w:p>
        </w:tc>
      </w:tr>
    </w:tbl>
    <w:p w14:paraId="2B59FF93" w14:textId="77777777" w:rsidR="008A539F" w:rsidRDefault="008A539F" w:rsidP="005E6C1A">
      <w:pPr>
        <w:pStyle w:val="BodyText"/>
        <w:spacing w:line="259" w:lineRule="auto"/>
        <w:ind w:right="97"/>
        <w:jc w:val="both"/>
      </w:pPr>
    </w:p>
    <w:p w14:paraId="57D52425" w14:textId="1F1B5D9E" w:rsidR="008A539F" w:rsidRDefault="008A539F" w:rsidP="005E6C1A">
      <w:pPr>
        <w:pStyle w:val="BodyText"/>
        <w:spacing w:line="259" w:lineRule="auto"/>
        <w:ind w:right="97"/>
        <w:jc w:val="both"/>
      </w:pPr>
      <w:r>
        <w:t>T</w:t>
      </w:r>
      <w:r w:rsidRPr="008A539F">
        <w:t xml:space="preserve">he results </w:t>
      </w:r>
      <w:r>
        <w:t xml:space="preserve">in Table 7 </w:t>
      </w:r>
      <w:r w:rsidRPr="008A539F">
        <w:t>testing conducted using multiple linear regression analysis to determine the influence of technological, organizational, and environmental factors on the impact of green technology adoption on SME performance. The decision to accept or reject each hypothesis was based on the significance level (p-value) of 0.05 and the standardized beta coefficient (β) obtained from the regression model.</w:t>
      </w:r>
    </w:p>
    <w:p w14:paraId="48DE12A8" w14:textId="77777777" w:rsidR="008A539F" w:rsidRDefault="008A539F" w:rsidP="008A539F">
      <w:pPr>
        <w:pStyle w:val="BodyText"/>
        <w:spacing w:line="259" w:lineRule="auto"/>
        <w:ind w:left="0" w:right="97"/>
        <w:jc w:val="both"/>
      </w:pPr>
    </w:p>
    <w:p w14:paraId="588F0D54" w14:textId="77777777" w:rsidR="008A539F" w:rsidRDefault="008A539F" w:rsidP="008A539F">
      <w:pPr>
        <w:pStyle w:val="BodyText"/>
        <w:spacing w:line="259" w:lineRule="auto"/>
        <w:ind w:right="97"/>
        <w:jc w:val="both"/>
        <w:rPr>
          <w:lang w:val="en-MY"/>
        </w:rPr>
      </w:pPr>
      <w:r w:rsidRPr="008A539F">
        <w:rPr>
          <w:b/>
          <w:bCs/>
          <w:lang w:val="en-MY"/>
        </w:rPr>
        <w:t>H1:</w:t>
      </w:r>
      <w:r w:rsidRPr="008A539F">
        <w:rPr>
          <w:lang w:val="en-MY"/>
        </w:rPr>
        <w:t xml:space="preserve"> There is a significant positive relationship between technological factors and the impact of green technology adoption on SME performance.</w:t>
      </w:r>
    </w:p>
    <w:p w14:paraId="5D73CB10" w14:textId="77777777" w:rsidR="008A539F" w:rsidRPr="008A539F" w:rsidRDefault="008A539F" w:rsidP="008A539F">
      <w:pPr>
        <w:pStyle w:val="BodyText"/>
        <w:spacing w:line="259" w:lineRule="auto"/>
        <w:ind w:right="97"/>
        <w:jc w:val="both"/>
        <w:rPr>
          <w:lang w:val="en-MY"/>
        </w:rPr>
      </w:pPr>
    </w:p>
    <w:p w14:paraId="02FF29BC" w14:textId="77777777" w:rsidR="008A539F" w:rsidRPr="008A539F" w:rsidRDefault="008A539F" w:rsidP="008A539F">
      <w:pPr>
        <w:pStyle w:val="BodyText"/>
        <w:spacing w:line="259" w:lineRule="auto"/>
        <w:ind w:right="97"/>
        <w:jc w:val="both"/>
        <w:rPr>
          <w:lang w:val="en-MY"/>
        </w:rPr>
      </w:pPr>
      <w:r w:rsidRPr="008A539F">
        <w:rPr>
          <w:lang w:val="en-MY"/>
        </w:rPr>
        <w:t>The relationship between Technological Factors and green technology adoption and the performance of SMEs was measured by Pearson's correlation and multiple linear regression. Pearson's correlation results suggest that Technological Factors predict SME performance, with system compatibility, reliability, ease of use, integration capability, or efficiency improvement being significantly related to perceptions of green technology impacts. This indicates the role of technological readiness in green technology adoption by SMEs (Lin et al., 2020).</w:t>
      </w:r>
    </w:p>
    <w:p w14:paraId="11F0B916" w14:textId="77777777" w:rsidR="008A539F" w:rsidRDefault="008A539F" w:rsidP="008A539F">
      <w:pPr>
        <w:pStyle w:val="BodyText"/>
        <w:spacing w:line="259" w:lineRule="auto"/>
        <w:ind w:right="97"/>
        <w:jc w:val="both"/>
        <w:rPr>
          <w:lang w:val="en-MY"/>
        </w:rPr>
      </w:pPr>
      <w:r w:rsidRPr="008A539F">
        <w:rPr>
          <w:lang w:val="en-MY"/>
        </w:rPr>
        <w:t>However, further testing using multiple linear regression analysis revealed a positive standardized beta coefficient (β = 0.175) for Technological Factors, indicating a positive directional impact on SME performance. Although a positive pattern was observed, the relationship was not statistically significant at the 0.05 significance level (p = 0.069). This finding confirms that Technological Factors are not significantly related to SME performance when Organizational Factors and Environmental Factors are considered simultaneously in the model.</w:t>
      </w:r>
    </w:p>
    <w:p w14:paraId="60404E41" w14:textId="77777777" w:rsidR="008A539F" w:rsidRPr="008A539F" w:rsidRDefault="008A539F" w:rsidP="008A539F">
      <w:pPr>
        <w:pStyle w:val="BodyText"/>
        <w:spacing w:line="259" w:lineRule="auto"/>
        <w:ind w:right="97"/>
        <w:jc w:val="both"/>
        <w:rPr>
          <w:lang w:val="en-MY"/>
        </w:rPr>
      </w:pPr>
    </w:p>
    <w:p w14:paraId="5AF945C7" w14:textId="77777777" w:rsidR="008A539F" w:rsidRDefault="008A539F" w:rsidP="008A539F">
      <w:pPr>
        <w:pStyle w:val="BodyText"/>
        <w:spacing w:line="259" w:lineRule="auto"/>
        <w:ind w:right="97"/>
        <w:jc w:val="both"/>
        <w:rPr>
          <w:lang w:val="en-MY"/>
        </w:rPr>
      </w:pPr>
      <w:r w:rsidRPr="008A539F">
        <w:rPr>
          <w:lang w:val="en-MY"/>
        </w:rPr>
        <w:t>According to these results, while Technological Factors are positively associated with green technology adoption, they do not exert a significant positive effect on SME performance independently. This suggests that technological readiness alone may not be sufficient to determine performance improvements, and its impact may depend on the presence of organizational support and external environmental pressures. Therefore, Hypothesis 1 is rejected, as the relationship between Technological Factors and SME performance is not statistically significant (Bakar et al., 2020; Lin et al., 2020).</w:t>
      </w:r>
    </w:p>
    <w:p w14:paraId="0BAAC2FD" w14:textId="77777777" w:rsidR="008A539F" w:rsidRDefault="008A539F" w:rsidP="008A539F">
      <w:pPr>
        <w:pStyle w:val="BodyText"/>
        <w:spacing w:line="259" w:lineRule="auto"/>
        <w:ind w:right="97"/>
        <w:jc w:val="both"/>
        <w:rPr>
          <w:lang w:val="en-MY"/>
        </w:rPr>
      </w:pPr>
    </w:p>
    <w:p w14:paraId="5AB5BD50" w14:textId="77777777" w:rsidR="008A539F" w:rsidRDefault="008A539F" w:rsidP="008A539F">
      <w:pPr>
        <w:pStyle w:val="BodyText"/>
        <w:spacing w:line="259" w:lineRule="auto"/>
        <w:ind w:right="97"/>
        <w:jc w:val="both"/>
        <w:rPr>
          <w:lang w:val="en-MY"/>
        </w:rPr>
      </w:pPr>
      <w:r w:rsidRPr="008A539F">
        <w:rPr>
          <w:b/>
          <w:bCs/>
          <w:lang w:val="en-MY"/>
        </w:rPr>
        <w:t>H2:</w:t>
      </w:r>
      <w:r w:rsidRPr="008A539F">
        <w:rPr>
          <w:lang w:val="en-MY"/>
        </w:rPr>
        <w:t xml:space="preserve"> There is a significant positive relationship between organizational factors and the impact of green technology adoption on SME performance.</w:t>
      </w:r>
    </w:p>
    <w:p w14:paraId="66C1729C" w14:textId="77777777" w:rsidR="008A539F" w:rsidRPr="008A539F" w:rsidRDefault="008A539F" w:rsidP="008A539F">
      <w:pPr>
        <w:pStyle w:val="BodyText"/>
        <w:spacing w:line="259" w:lineRule="auto"/>
        <w:ind w:right="97"/>
        <w:jc w:val="both"/>
        <w:rPr>
          <w:lang w:val="en-MY"/>
        </w:rPr>
      </w:pPr>
    </w:p>
    <w:p w14:paraId="092C8CCB" w14:textId="77777777" w:rsidR="008A539F" w:rsidRPr="008A539F" w:rsidRDefault="008A539F" w:rsidP="008A539F">
      <w:pPr>
        <w:pStyle w:val="BodyText"/>
        <w:spacing w:line="259" w:lineRule="auto"/>
        <w:ind w:right="97"/>
        <w:jc w:val="both"/>
        <w:rPr>
          <w:lang w:val="en-MY"/>
        </w:rPr>
      </w:pPr>
      <w:r w:rsidRPr="008A539F">
        <w:rPr>
          <w:lang w:val="en-MY"/>
        </w:rPr>
        <w:t>The relationship between Organizational Factors and the extent of the impact of green technology adoption on SME performance was examined using Pearson's correlation and multiple linear regression analyses. The Pearson correlation results indicated that Organizational Factors are positively associated with SME performance. Specifically, top management support, employee participation, training provision, and long-term organizational commitment were found to be related to successful green technology adoption. Organizational readiness is therefore considered important in encouraging green technology initiatives among SMEs (Bakar et al., 2020).</w:t>
      </w:r>
    </w:p>
    <w:p w14:paraId="0D21FC59" w14:textId="77777777" w:rsidR="008A539F" w:rsidRDefault="008A539F" w:rsidP="008A539F">
      <w:pPr>
        <w:pStyle w:val="BodyText"/>
        <w:spacing w:line="259" w:lineRule="auto"/>
        <w:ind w:right="97"/>
        <w:jc w:val="both"/>
        <w:rPr>
          <w:lang w:val="en-MY"/>
        </w:rPr>
      </w:pPr>
      <w:r w:rsidRPr="008A539F">
        <w:rPr>
          <w:lang w:val="en-MY"/>
        </w:rPr>
        <w:t xml:space="preserve">Nevertheless, the results of the multiple linear regression analysis showed that Organizational Factors produced a </w:t>
      </w:r>
      <w:r w:rsidRPr="008A539F">
        <w:rPr>
          <w:lang w:val="en-MY"/>
        </w:rPr>
        <w:lastRenderedPageBreak/>
        <w:t>positive standardized beta coefficient (β = 0.183), indicating a positive directional relationship with SME performance. However, the relationship was not statistically significant at the 0.05 level (p = 0.104). This finding suggests that Organizational Factors do not significantly influence SME performance when considered together with Technological Factors and Environmental Factors in the regression model.</w:t>
      </w:r>
    </w:p>
    <w:p w14:paraId="4D8375AC" w14:textId="77777777" w:rsidR="008A539F" w:rsidRPr="008A539F" w:rsidRDefault="008A539F" w:rsidP="008A539F">
      <w:pPr>
        <w:pStyle w:val="BodyText"/>
        <w:spacing w:line="259" w:lineRule="auto"/>
        <w:ind w:right="97"/>
        <w:jc w:val="both"/>
        <w:rPr>
          <w:lang w:val="en-MY"/>
        </w:rPr>
      </w:pPr>
    </w:p>
    <w:p w14:paraId="6BDAA970" w14:textId="77777777" w:rsidR="008A539F" w:rsidRPr="008A539F" w:rsidRDefault="008A539F" w:rsidP="008A539F">
      <w:pPr>
        <w:pStyle w:val="BodyText"/>
        <w:spacing w:line="259" w:lineRule="auto"/>
        <w:ind w:right="97"/>
        <w:jc w:val="both"/>
        <w:rPr>
          <w:lang w:val="en-MY"/>
        </w:rPr>
      </w:pPr>
      <w:r w:rsidRPr="008A539F">
        <w:rPr>
          <w:lang w:val="en-MY"/>
        </w:rPr>
        <w:t xml:space="preserve">These results indicate that while Organizational Factors contribute to the implementation of green technology, they do not independently exert a significant positive effect on SME performance. Overall, when other factors are </w:t>
      </w:r>
      <w:proofErr w:type="gramStart"/>
      <w:r w:rsidRPr="008A539F">
        <w:rPr>
          <w:lang w:val="en-MY"/>
        </w:rPr>
        <w:t>taken into account</w:t>
      </w:r>
      <w:proofErr w:type="gramEnd"/>
      <w:r w:rsidRPr="008A539F">
        <w:rPr>
          <w:lang w:val="en-MY"/>
        </w:rPr>
        <w:t xml:space="preserve">, particularly environmental influences, the effect of organizational support becomes less pronounced. This suggests that organizational preparedness alone does not necessarily lead to performance </w:t>
      </w:r>
      <w:proofErr w:type="gramStart"/>
      <w:r w:rsidRPr="008A539F">
        <w:rPr>
          <w:lang w:val="en-MY"/>
        </w:rPr>
        <w:t>improvements, but</w:t>
      </w:r>
      <w:proofErr w:type="gramEnd"/>
      <w:r w:rsidRPr="008A539F">
        <w:rPr>
          <w:lang w:val="en-MY"/>
        </w:rPr>
        <w:t xml:space="preserve"> rather depends on the effective application of technology and favourable environmental conditions. Therefore, Hypothesis 2 is rejected, as the relationship between Organizational Factors and SME performance is not statistically significant (Lin et al., 2020; Bakar et al., 2020).</w:t>
      </w:r>
    </w:p>
    <w:p w14:paraId="77164E46" w14:textId="77777777" w:rsidR="008A539F" w:rsidRPr="008A539F" w:rsidRDefault="008A539F" w:rsidP="008A539F">
      <w:pPr>
        <w:pStyle w:val="BodyText"/>
        <w:spacing w:line="259" w:lineRule="auto"/>
        <w:ind w:right="97"/>
        <w:jc w:val="both"/>
        <w:rPr>
          <w:lang w:val="en-MY"/>
        </w:rPr>
      </w:pPr>
    </w:p>
    <w:p w14:paraId="6A246CB2" w14:textId="77777777" w:rsidR="008A539F" w:rsidRDefault="008A539F" w:rsidP="008A539F">
      <w:pPr>
        <w:pStyle w:val="BodyText"/>
        <w:spacing w:line="259" w:lineRule="auto"/>
        <w:ind w:right="97"/>
        <w:jc w:val="both"/>
        <w:rPr>
          <w:lang w:val="en-MY"/>
        </w:rPr>
      </w:pPr>
      <w:r w:rsidRPr="008A539F">
        <w:rPr>
          <w:b/>
          <w:bCs/>
          <w:lang w:val="en-MY"/>
        </w:rPr>
        <w:t>H3:</w:t>
      </w:r>
      <w:r w:rsidRPr="008A539F">
        <w:rPr>
          <w:lang w:val="en-MY"/>
        </w:rPr>
        <w:t xml:space="preserve"> There is a significant positive relationship between environmental factors and the impact of green technology adoption on SME performance.</w:t>
      </w:r>
    </w:p>
    <w:p w14:paraId="0FE67B36" w14:textId="77777777" w:rsidR="008A539F" w:rsidRPr="008A539F" w:rsidRDefault="008A539F" w:rsidP="008A539F">
      <w:pPr>
        <w:pStyle w:val="BodyText"/>
        <w:spacing w:line="259" w:lineRule="auto"/>
        <w:ind w:right="97"/>
        <w:jc w:val="both"/>
        <w:rPr>
          <w:lang w:val="en-MY"/>
        </w:rPr>
      </w:pPr>
    </w:p>
    <w:p w14:paraId="126AC966" w14:textId="77777777" w:rsidR="008A539F" w:rsidRDefault="008A539F" w:rsidP="008A539F">
      <w:pPr>
        <w:pStyle w:val="BodyText"/>
        <w:spacing w:line="259" w:lineRule="auto"/>
        <w:ind w:right="97"/>
        <w:jc w:val="both"/>
        <w:rPr>
          <w:lang w:val="en-MY"/>
        </w:rPr>
      </w:pPr>
      <w:r w:rsidRPr="008A539F">
        <w:rPr>
          <w:lang w:val="en-MY"/>
        </w:rPr>
        <w:t>The positive relationship between Environmental Factors and the impact of green technology adoption on SME performance was examined using Pearson's correlation and multiple linear regression analyses. The results showed a strong positive relationship between Environmental Factors and SME performance (r = 0.790, p &lt; 0.001). External stimuli such as government policies, environmental regulations, customer demand, industry competition, and support from business partners were found to significantly influence the effectiveness of green technology adoption among SMEs (Lin et al., 2020).</w:t>
      </w:r>
    </w:p>
    <w:p w14:paraId="7545D131" w14:textId="77777777" w:rsidR="008A539F" w:rsidRPr="008A539F" w:rsidRDefault="008A539F" w:rsidP="008A539F">
      <w:pPr>
        <w:pStyle w:val="BodyText"/>
        <w:spacing w:line="259" w:lineRule="auto"/>
        <w:ind w:right="97"/>
        <w:jc w:val="both"/>
        <w:rPr>
          <w:lang w:val="en-MY"/>
        </w:rPr>
      </w:pPr>
    </w:p>
    <w:p w14:paraId="25BD14A4" w14:textId="77777777" w:rsidR="008A539F" w:rsidRDefault="008A539F" w:rsidP="008A539F">
      <w:pPr>
        <w:pStyle w:val="BodyText"/>
        <w:spacing w:line="259" w:lineRule="auto"/>
        <w:ind w:right="97"/>
        <w:jc w:val="both"/>
        <w:rPr>
          <w:lang w:val="en-MY"/>
        </w:rPr>
      </w:pPr>
      <w:r w:rsidRPr="008A539F">
        <w:rPr>
          <w:lang w:val="en-MY"/>
        </w:rPr>
        <w:t>Further analysis through multiple linear regression demonstrated that Environmental Factors have a significant positive influence on SME performance. The results revealed a high standardized beta coefficient (β = 0.489) with a t-value of 5.151 and a significance level of p &lt; 0.001. These findings indicate that Environmental Factors are not only positively related to SME performance but are also strong predictors of the impact of green technology adoption on organizational performance.</w:t>
      </w:r>
    </w:p>
    <w:p w14:paraId="054001DF" w14:textId="77777777" w:rsidR="008A539F" w:rsidRPr="008A539F" w:rsidRDefault="008A539F" w:rsidP="008A539F">
      <w:pPr>
        <w:pStyle w:val="BodyText"/>
        <w:spacing w:line="259" w:lineRule="auto"/>
        <w:ind w:right="97"/>
        <w:jc w:val="both"/>
        <w:rPr>
          <w:lang w:val="en-MY"/>
        </w:rPr>
      </w:pPr>
    </w:p>
    <w:p w14:paraId="61CD8F19" w14:textId="77777777" w:rsidR="008A539F" w:rsidRDefault="008A539F" w:rsidP="008A539F">
      <w:pPr>
        <w:pStyle w:val="BodyText"/>
        <w:spacing w:line="259" w:lineRule="auto"/>
        <w:ind w:right="97"/>
        <w:jc w:val="both"/>
        <w:rPr>
          <w:lang w:val="en-MY"/>
        </w:rPr>
      </w:pPr>
      <w:r w:rsidRPr="008A539F">
        <w:rPr>
          <w:lang w:val="en-MY"/>
        </w:rPr>
        <w:t>Environmental Factors emerged as the strongest predictor among all independent variables included in the model. This suggests that external conditions and supportive environmental mechanisms play a critical role in promoting successful green technology adoption and improving SME performance. Regulatory requirements, market expectations, sustainability initiatives, and stakeholder support encourage SMEs to adopt green technologies more effectively and strategically.</w:t>
      </w:r>
    </w:p>
    <w:p w14:paraId="733551DD" w14:textId="77777777" w:rsidR="008A539F" w:rsidRPr="008A539F" w:rsidRDefault="008A539F" w:rsidP="008A539F">
      <w:pPr>
        <w:pStyle w:val="BodyText"/>
        <w:spacing w:line="259" w:lineRule="auto"/>
        <w:ind w:right="97"/>
        <w:jc w:val="both"/>
        <w:rPr>
          <w:lang w:val="en-MY"/>
        </w:rPr>
      </w:pPr>
    </w:p>
    <w:p w14:paraId="25F7A2C7" w14:textId="77777777" w:rsidR="008A539F" w:rsidRPr="008A539F" w:rsidRDefault="008A539F" w:rsidP="008A539F">
      <w:pPr>
        <w:pStyle w:val="BodyText"/>
        <w:spacing w:line="259" w:lineRule="auto"/>
        <w:ind w:right="97"/>
        <w:jc w:val="both"/>
        <w:rPr>
          <w:lang w:val="en-MY"/>
        </w:rPr>
      </w:pPr>
      <w:r w:rsidRPr="008A539F">
        <w:rPr>
          <w:lang w:val="en-MY"/>
        </w:rPr>
        <w:t>Therefore, Hypothesis 3 is supported, as Environmental Factors have a strong and statistically significant positive relationship with the impact of green technology adoption on SME performance (Lin et al., 2020; Bakar et al., 2020).</w:t>
      </w:r>
    </w:p>
    <w:p w14:paraId="5A864742" w14:textId="77777777" w:rsidR="008A539F" w:rsidRDefault="008A539F" w:rsidP="005E6C1A">
      <w:pPr>
        <w:pStyle w:val="BodyText"/>
        <w:spacing w:line="259" w:lineRule="auto"/>
        <w:ind w:right="97"/>
        <w:jc w:val="both"/>
      </w:pPr>
    </w:p>
    <w:p w14:paraId="2BFF8F0E" w14:textId="77777777" w:rsidR="008A539F" w:rsidRDefault="008A539F" w:rsidP="005E6C1A">
      <w:pPr>
        <w:pStyle w:val="BodyText"/>
        <w:spacing w:line="259" w:lineRule="auto"/>
        <w:ind w:right="97"/>
        <w:jc w:val="both"/>
      </w:pPr>
    </w:p>
    <w:p w14:paraId="0C46BA81" w14:textId="77777777" w:rsidR="008A539F" w:rsidRDefault="008A539F" w:rsidP="005E6C1A">
      <w:pPr>
        <w:pStyle w:val="BodyText"/>
        <w:spacing w:line="259" w:lineRule="auto"/>
        <w:ind w:right="97"/>
        <w:jc w:val="both"/>
      </w:pPr>
    </w:p>
    <w:p w14:paraId="60F06F2A" w14:textId="409F131C" w:rsidR="005E6C1A" w:rsidRDefault="005E6C1A" w:rsidP="005E6C1A">
      <w:pPr>
        <w:pStyle w:val="Heading1"/>
        <w:ind w:left="313"/>
      </w:pPr>
      <w:r>
        <w:t>5.</w:t>
      </w:r>
      <w:r>
        <w:rPr>
          <w:spacing w:val="-3"/>
        </w:rPr>
        <w:t xml:space="preserve"> </w:t>
      </w:r>
      <w:r>
        <w:rPr>
          <w:spacing w:val="-2"/>
        </w:rPr>
        <w:t>Conclusion</w:t>
      </w:r>
    </w:p>
    <w:p w14:paraId="02E57C4C" w14:textId="77777777" w:rsidR="005E6C1A" w:rsidRDefault="005E6C1A" w:rsidP="005E6C1A">
      <w:pPr>
        <w:pStyle w:val="BodyText"/>
        <w:spacing w:before="44"/>
        <w:ind w:left="154"/>
        <w:rPr>
          <w:b/>
        </w:rPr>
      </w:pPr>
    </w:p>
    <w:p w14:paraId="38DE2183" w14:textId="4DAAAF16" w:rsidR="005E6C1A" w:rsidRDefault="005E6C1A" w:rsidP="005E6C1A">
      <w:pPr>
        <w:pStyle w:val="BodyText"/>
        <w:spacing w:line="259" w:lineRule="auto"/>
        <w:ind w:left="327" w:right="97" w:firstLine="148"/>
        <w:jc w:val="both"/>
      </w:pPr>
      <w:r>
        <w:t xml:space="preserve">This study examined the </w:t>
      </w:r>
      <w:r w:rsidR="008A539F">
        <w:t>determinants</w:t>
      </w:r>
      <w:r>
        <w:t xml:space="preserve"> that affect the issue of green technology adoption amongst the small and medium-sized enterprises (SMEs) in Malaysia </w:t>
      </w:r>
      <w:proofErr w:type="gramStart"/>
      <w:r>
        <w:t>and also</w:t>
      </w:r>
      <w:proofErr w:type="gramEnd"/>
      <w:r>
        <w:t xml:space="preserve"> assessed the impact of green technology</w:t>
      </w:r>
      <w:r>
        <w:rPr>
          <w:spacing w:val="-4"/>
        </w:rPr>
        <w:t xml:space="preserve"> </w:t>
      </w:r>
      <w:r>
        <w:t>adoption on the performance of</w:t>
      </w:r>
      <w:r>
        <w:rPr>
          <w:spacing w:val="-2"/>
        </w:rPr>
        <w:t xml:space="preserve"> </w:t>
      </w:r>
      <w:r>
        <w:t>SMEs</w:t>
      </w:r>
      <w:r>
        <w:rPr>
          <w:spacing w:val="-4"/>
        </w:rPr>
        <w:t xml:space="preserve"> </w:t>
      </w:r>
      <w:r>
        <w:t>using the</w:t>
      </w:r>
      <w:r>
        <w:rPr>
          <w:spacing w:val="-9"/>
        </w:rPr>
        <w:t xml:space="preserve"> </w:t>
      </w:r>
      <w:r>
        <w:t>Technology-Organization-Environment (TOE)</w:t>
      </w:r>
      <w:r>
        <w:rPr>
          <w:spacing w:val="-2"/>
        </w:rPr>
        <w:t xml:space="preserve"> </w:t>
      </w:r>
      <w:r>
        <w:t>framework.</w:t>
      </w:r>
      <w:r>
        <w:rPr>
          <w:spacing w:val="-4"/>
        </w:rPr>
        <w:t xml:space="preserve"> </w:t>
      </w:r>
      <w:r>
        <w:t>The</w:t>
      </w:r>
      <w:r>
        <w:rPr>
          <w:spacing w:val="-5"/>
        </w:rPr>
        <w:t xml:space="preserve"> </w:t>
      </w:r>
      <w:r>
        <w:t>results show</w:t>
      </w:r>
      <w:r>
        <w:rPr>
          <w:spacing w:val="-4"/>
        </w:rPr>
        <w:t xml:space="preserve"> </w:t>
      </w:r>
      <w:r>
        <w:t>that the green technology adoption among the Malaysian SMEs</w:t>
      </w:r>
      <w:r>
        <w:rPr>
          <w:spacing w:val="-1"/>
        </w:rPr>
        <w:t xml:space="preserve"> </w:t>
      </w:r>
      <w:r>
        <w:t xml:space="preserve">is still at the moderate stage which means </w:t>
      </w:r>
      <w:r>
        <w:lastRenderedPageBreak/>
        <w:t>that while there is</w:t>
      </w:r>
      <w:r>
        <w:rPr>
          <w:spacing w:val="-3"/>
        </w:rPr>
        <w:t xml:space="preserve"> </w:t>
      </w:r>
      <w:r>
        <w:t>an awareness of</w:t>
      </w:r>
      <w:r>
        <w:rPr>
          <w:spacing w:val="-2"/>
        </w:rPr>
        <w:t xml:space="preserve"> </w:t>
      </w:r>
      <w:r>
        <w:t>such sustainability</w:t>
      </w:r>
      <w:r>
        <w:rPr>
          <w:spacing w:val="-7"/>
        </w:rPr>
        <w:t xml:space="preserve"> </w:t>
      </w:r>
      <w:r>
        <w:t>issue with regards to</w:t>
      </w:r>
      <w:r>
        <w:rPr>
          <w:spacing w:val="-2"/>
        </w:rPr>
        <w:t xml:space="preserve"> </w:t>
      </w:r>
      <w:r>
        <w:t>the environment, there</w:t>
      </w:r>
      <w:r>
        <w:rPr>
          <w:spacing w:val="-5"/>
        </w:rPr>
        <w:t xml:space="preserve"> </w:t>
      </w:r>
      <w:r>
        <w:t>are still many</w:t>
      </w:r>
      <w:r>
        <w:rPr>
          <w:spacing w:val="-7"/>
        </w:rPr>
        <w:t xml:space="preserve"> </w:t>
      </w:r>
      <w:r>
        <w:t>constraints in the implementation of these products in the environment or the SMEs: external constraints within the system and internal constraints within the organization. The results confirm that the fundamental factors of technology, organization and environment all play important roles in influencing adoption decisions.</w:t>
      </w:r>
    </w:p>
    <w:p w14:paraId="3CB87762" w14:textId="77777777" w:rsidR="005E6C1A" w:rsidRDefault="005E6C1A" w:rsidP="005E6C1A">
      <w:pPr>
        <w:pStyle w:val="BodyText"/>
        <w:spacing w:before="16"/>
        <w:ind w:left="154"/>
      </w:pPr>
    </w:p>
    <w:p w14:paraId="0BC8BE73" w14:textId="77777777" w:rsidR="005E6C1A" w:rsidRDefault="005E6C1A" w:rsidP="005E6C1A">
      <w:pPr>
        <w:pStyle w:val="BodyText"/>
        <w:spacing w:line="259" w:lineRule="auto"/>
        <w:ind w:left="327" w:right="97" w:firstLine="153"/>
        <w:jc w:val="both"/>
      </w:pPr>
      <w:r>
        <w:t>Of</w:t>
      </w:r>
      <w:r>
        <w:rPr>
          <w:spacing w:val="-6"/>
        </w:rPr>
        <w:t xml:space="preserve"> </w:t>
      </w:r>
      <w:r>
        <w:t>the</w:t>
      </w:r>
      <w:r>
        <w:rPr>
          <w:spacing w:val="-8"/>
        </w:rPr>
        <w:t xml:space="preserve"> </w:t>
      </w:r>
      <w:r>
        <w:t>three</w:t>
      </w:r>
      <w:r>
        <w:rPr>
          <w:spacing w:val="-4"/>
        </w:rPr>
        <w:t xml:space="preserve"> </w:t>
      </w:r>
      <w:r>
        <w:t>dimensions</w:t>
      </w:r>
      <w:r>
        <w:rPr>
          <w:spacing w:val="-7"/>
        </w:rPr>
        <w:t xml:space="preserve"> </w:t>
      </w:r>
      <w:r>
        <w:t>of</w:t>
      </w:r>
      <w:r>
        <w:rPr>
          <w:spacing w:val="-9"/>
        </w:rPr>
        <w:t xml:space="preserve"> </w:t>
      </w:r>
      <w:r>
        <w:t>TOE,</w:t>
      </w:r>
      <w:r>
        <w:rPr>
          <w:spacing w:val="-3"/>
        </w:rPr>
        <w:t xml:space="preserve"> </w:t>
      </w:r>
      <w:r>
        <w:t>environmental</w:t>
      </w:r>
      <w:r>
        <w:rPr>
          <w:spacing w:val="-4"/>
        </w:rPr>
        <w:t xml:space="preserve"> </w:t>
      </w:r>
      <w:r>
        <w:t>factors</w:t>
      </w:r>
      <w:r>
        <w:rPr>
          <w:spacing w:val="-7"/>
        </w:rPr>
        <w:t xml:space="preserve"> </w:t>
      </w:r>
      <w:r>
        <w:t>were</w:t>
      </w:r>
      <w:r>
        <w:rPr>
          <w:spacing w:val="-4"/>
        </w:rPr>
        <w:t xml:space="preserve"> </w:t>
      </w:r>
      <w:r>
        <w:t>observed</w:t>
      </w:r>
      <w:r>
        <w:rPr>
          <w:spacing w:val="-1"/>
        </w:rPr>
        <w:t xml:space="preserve"> </w:t>
      </w:r>
      <w:r>
        <w:t>to</w:t>
      </w:r>
      <w:r>
        <w:rPr>
          <w:spacing w:val="-6"/>
        </w:rPr>
        <w:t xml:space="preserve"> </w:t>
      </w:r>
      <w:r>
        <w:t>have</w:t>
      </w:r>
      <w:r>
        <w:rPr>
          <w:spacing w:val="-4"/>
        </w:rPr>
        <w:t xml:space="preserve"> </w:t>
      </w:r>
      <w:r>
        <w:t>the</w:t>
      </w:r>
      <w:r>
        <w:rPr>
          <w:spacing w:val="-4"/>
        </w:rPr>
        <w:t xml:space="preserve"> </w:t>
      </w:r>
      <w:r>
        <w:t>greatest</w:t>
      </w:r>
      <w:r>
        <w:rPr>
          <w:spacing w:val="-4"/>
        </w:rPr>
        <w:t xml:space="preserve"> </w:t>
      </w:r>
      <w:r>
        <w:t>positive</w:t>
      </w:r>
      <w:r>
        <w:rPr>
          <w:spacing w:val="-4"/>
        </w:rPr>
        <w:t xml:space="preserve"> </w:t>
      </w:r>
      <w:r>
        <w:t>effect on</w:t>
      </w:r>
      <w:r>
        <w:rPr>
          <w:spacing w:val="-1"/>
        </w:rPr>
        <w:t xml:space="preserve"> </w:t>
      </w:r>
      <w:r>
        <w:t>the adoption of green technology. Government rules, environmental policies and growing market for sustainable products became major players that encourage SMEs to incorporate green practices. Organizational factors, especially</w:t>
      </w:r>
      <w:r>
        <w:rPr>
          <w:spacing w:val="-11"/>
        </w:rPr>
        <w:t xml:space="preserve"> </w:t>
      </w:r>
      <w:r>
        <w:t>top</w:t>
      </w:r>
      <w:r>
        <w:rPr>
          <w:spacing w:val="-7"/>
        </w:rPr>
        <w:t xml:space="preserve"> </w:t>
      </w:r>
      <w:r>
        <w:t>management</w:t>
      </w:r>
      <w:r>
        <w:rPr>
          <w:spacing w:val="-5"/>
        </w:rPr>
        <w:t xml:space="preserve"> </w:t>
      </w:r>
      <w:r>
        <w:t>support</w:t>
      </w:r>
      <w:r>
        <w:rPr>
          <w:spacing w:val="-10"/>
        </w:rPr>
        <w:t xml:space="preserve"> </w:t>
      </w:r>
      <w:r>
        <w:t>and</w:t>
      </w:r>
      <w:r>
        <w:rPr>
          <w:spacing w:val="-7"/>
        </w:rPr>
        <w:t xml:space="preserve"> </w:t>
      </w:r>
      <w:r>
        <w:t>financial</w:t>
      </w:r>
      <w:r>
        <w:rPr>
          <w:spacing w:val="-5"/>
        </w:rPr>
        <w:t xml:space="preserve"> </w:t>
      </w:r>
      <w:r>
        <w:t>capability,</w:t>
      </w:r>
      <w:r>
        <w:rPr>
          <w:spacing w:val="-4"/>
        </w:rPr>
        <w:t xml:space="preserve"> </w:t>
      </w:r>
      <w:r>
        <w:t>also</w:t>
      </w:r>
      <w:r>
        <w:rPr>
          <w:spacing w:val="-7"/>
        </w:rPr>
        <w:t xml:space="preserve"> </w:t>
      </w:r>
      <w:r>
        <w:t>showed</w:t>
      </w:r>
      <w:r>
        <w:rPr>
          <w:spacing w:val="-2"/>
        </w:rPr>
        <w:t xml:space="preserve"> </w:t>
      </w:r>
      <w:r>
        <w:t>a</w:t>
      </w:r>
      <w:r>
        <w:rPr>
          <w:spacing w:val="-5"/>
        </w:rPr>
        <w:t xml:space="preserve"> </w:t>
      </w:r>
      <w:r>
        <w:t>positive</w:t>
      </w:r>
      <w:r>
        <w:rPr>
          <w:spacing w:val="-5"/>
        </w:rPr>
        <w:t xml:space="preserve"> </w:t>
      </w:r>
      <w:r>
        <w:t>and</w:t>
      </w:r>
      <w:r>
        <w:rPr>
          <w:spacing w:val="-7"/>
        </w:rPr>
        <w:t xml:space="preserve"> </w:t>
      </w:r>
      <w:r>
        <w:t>significant</w:t>
      </w:r>
      <w:r>
        <w:rPr>
          <w:spacing w:val="-5"/>
        </w:rPr>
        <w:t xml:space="preserve"> </w:t>
      </w:r>
      <w:r>
        <w:t>effect showing the importance of internal readiness and leadership commitment. Technological factors exerted a positive, but physically</w:t>
      </w:r>
      <w:r>
        <w:rPr>
          <w:spacing w:val="-13"/>
        </w:rPr>
        <w:t xml:space="preserve"> </w:t>
      </w:r>
      <w:r>
        <w:t>weaker,</w:t>
      </w:r>
      <w:r>
        <w:rPr>
          <w:spacing w:val="-4"/>
        </w:rPr>
        <w:t xml:space="preserve"> </w:t>
      </w:r>
      <w:r>
        <w:t>effect</w:t>
      </w:r>
      <w:r>
        <w:rPr>
          <w:spacing w:val="-5"/>
        </w:rPr>
        <w:t xml:space="preserve"> </w:t>
      </w:r>
      <w:r>
        <w:t>on</w:t>
      </w:r>
      <w:r>
        <w:rPr>
          <w:spacing w:val="-2"/>
        </w:rPr>
        <w:t xml:space="preserve"> </w:t>
      </w:r>
      <w:r>
        <w:t>pragmatic</w:t>
      </w:r>
      <w:r>
        <w:rPr>
          <w:spacing w:val="-9"/>
        </w:rPr>
        <w:t xml:space="preserve"> </w:t>
      </w:r>
      <w:r>
        <w:t>difficulties,</w:t>
      </w:r>
      <w:r>
        <w:rPr>
          <w:spacing w:val="-4"/>
        </w:rPr>
        <w:t xml:space="preserve"> </w:t>
      </w:r>
      <w:r>
        <w:t>and</w:t>
      </w:r>
      <w:r>
        <w:rPr>
          <w:spacing w:val="-10"/>
        </w:rPr>
        <w:t xml:space="preserve"> </w:t>
      </w:r>
      <w:r>
        <w:t>this</w:t>
      </w:r>
      <w:r>
        <w:rPr>
          <w:spacing w:val="-12"/>
        </w:rPr>
        <w:t xml:space="preserve"> </w:t>
      </w:r>
      <w:r>
        <w:t>means</w:t>
      </w:r>
      <w:r>
        <w:rPr>
          <w:spacing w:val="-12"/>
        </w:rPr>
        <w:t xml:space="preserve"> </w:t>
      </w:r>
      <w:r>
        <w:t>that</w:t>
      </w:r>
      <w:r>
        <w:rPr>
          <w:spacing w:val="-9"/>
        </w:rPr>
        <w:t xml:space="preserve"> </w:t>
      </w:r>
      <w:r>
        <w:t>whilst</w:t>
      </w:r>
      <w:r>
        <w:rPr>
          <w:spacing w:val="-5"/>
        </w:rPr>
        <w:t xml:space="preserve"> </w:t>
      </w:r>
      <w:r>
        <w:t>compatibility</w:t>
      </w:r>
      <w:r>
        <w:rPr>
          <w:spacing w:val="-13"/>
        </w:rPr>
        <w:t xml:space="preserve"> </w:t>
      </w:r>
      <w:r>
        <w:t>and</w:t>
      </w:r>
      <w:r>
        <w:rPr>
          <w:spacing w:val="-10"/>
        </w:rPr>
        <w:t xml:space="preserve"> </w:t>
      </w:r>
      <w:r>
        <w:t>perceived</w:t>
      </w:r>
      <w:r>
        <w:rPr>
          <w:spacing w:val="-7"/>
        </w:rPr>
        <w:t xml:space="preserve"> </w:t>
      </w:r>
      <w:r>
        <w:t>benefits seem to have some importance, SMEs seem to react more strongly to external pressure and managerial support rather than technical features alone.</w:t>
      </w:r>
    </w:p>
    <w:p w14:paraId="2F3EFF12" w14:textId="77777777" w:rsidR="005E6C1A" w:rsidRDefault="005E6C1A" w:rsidP="005E6C1A">
      <w:pPr>
        <w:pStyle w:val="BodyText"/>
        <w:spacing w:before="16"/>
        <w:ind w:left="154"/>
      </w:pPr>
    </w:p>
    <w:p w14:paraId="1ECC1F59" w14:textId="77777777" w:rsidR="005E6C1A" w:rsidRDefault="005E6C1A" w:rsidP="005E6C1A">
      <w:pPr>
        <w:pStyle w:val="BodyText"/>
        <w:spacing w:line="259" w:lineRule="auto"/>
        <w:ind w:left="327" w:right="95" w:firstLine="148"/>
        <w:jc w:val="both"/>
      </w:pPr>
      <w:r>
        <w:t>The</w:t>
      </w:r>
      <w:r>
        <w:rPr>
          <w:spacing w:val="-7"/>
        </w:rPr>
        <w:t xml:space="preserve"> </w:t>
      </w:r>
      <w:r>
        <w:t>study</w:t>
      </w:r>
      <w:r>
        <w:rPr>
          <w:spacing w:val="-13"/>
        </w:rPr>
        <w:t xml:space="preserve"> </w:t>
      </w:r>
      <w:r>
        <w:t>further</w:t>
      </w:r>
      <w:r>
        <w:rPr>
          <w:spacing w:val="-4"/>
        </w:rPr>
        <w:t xml:space="preserve"> </w:t>
      </w:r>
      <w:r>
        <w:t>infers</w:t>
      </w:r>
      <w:r>
        <w:rPr>
          <w:spacing w:val="-10"/>
        </w:rPr>
        <w:t xml:space="preserve"> </w:t>
      </w:r>
      <w:r>
        <w:t>that</w:t>
      </w:r>
      <w:r>
        <w:rPr>
          <w:spacing w:val="-7"/>
        </w:rPr>
        <w:t xml:space="preserve"> </w:t>
      </w:r>
      <w:r>
        <w:t>the</w:t>
      </w:r>
      <w:r>
        <w:rPr>
          <w:spacing w:val="-11"/>
        </w:rPr>
        <w:t xml:space="preserve"> </w:t>
      </w:r>
      <w:r>
        <w:t>adoption of</w:t>
      </w:r>
      <w:r>
        <w:rPr>
          <w:spacing w:val="-8"/>
        </w:rPr>
        <w:t xml:space="preserve"> </w:t>
      </w:r>
      <w:r>
        <w:t>green</w:t>
      </w:r>
      <w:r>
        <w:rPr>
          <w:spacing w:val="-4"/>
        </w:rPr>
        <w:t xml:space="preserve"> </w:t>
      </w:r>
      <w:r>
        <w:t>technology</w:t>
      </w:r>
      <w:r>
        <w:rPr>
          <w:spacing w:val="-13"/>
        </w:rPr>
        <w:t xml:space="preserve"> </w:t>
      </w:r>
      <w:r>
        <w:t>had</w:t>
      </w:r>
      <w:r>
        <w:rPr>
          <w:spacing w:val="-7"/>
        </w:rPr>
        <w:t xml:space="preserve"> </w:t>
      </w:r>
      <w:r>
        <w:t>a</w:t>
      </w:r>
      <w:r>
        <w:rPr>
          <w:spacing w:val="-7"/>
        </w:rPr>
        <w:t xml:space="preserve"> </w:t>
      </w:r>
      <w:r>
        <w:t>positive</w:t>
      </w:r>
      <w:r>
        <w:rPr>
          <w:spacing w:val="-7"/>
        </w:rPr>
        <w:t xml:space="preserve"> </w:t>
      </w:r>
      <w:r>
        <w:t>impact</w:t>
      </w:r>
      <w:r>
        <w:rPr>
          <w:spacing w:val="-2"/>
        </w:rPr>
        <w:t xml:space="preserve"> </w:t>
      </w:r>
      <w:r>
        <w:t>on</w:t>
      </w:r>
      <w:r>
        <w:rPr>
          <w:spacing w:val="-4"/>
        </w:rPr>
        <w:t xml:space="preserve"> </w:t>
      </w:r>
      <w:r>
        <w:t>the</w:t>
      </w:r>
      <w:r>
        <w:rPr>
          <w:spacing w:val="-7"/>
        </w:rPr>
        <w:t xml:space="preserve"> </w:t>
      </w:r>
      <w:r>
        <w:t>performance</w:t>
      </w:r>
      <w:r>
        <w:rPr>
          <w:spacing w:val="-7"/>
        </w:rPr>
        <w:t xml:space="preserve"> </w:t>
      </w:r>
      <w:r>
        <w:t>of</w:t>
      </w:r>
      <w:r>
        <w:rPr>
          <w:spacing w:val="-8"/>
        </w:rPr>
        <w:t xml:space="preserve"> </w:t>
      </w:r>
      <w:r>
        <w:t>SME. SMEs that adopt green technology get improved operational efficiency, cost cutting, and environmental performance, increasing overall competitiveness.</w:t>
      </w:r>
      <w:r>
        <w:rPr>
          <w:spacing w:val="-3"/>
        </w:rPr>
        <w:t xml:space="preserve"> </w:t>
      </w:r>
      <w:r>
        <w:t>These results support the fact that green technology</w:t>
      </w:r>
      <w:r>
        <w:rPr>
          <w:spacing w:val="-6"/>
        </w:rPr>
        <w:t xml:space="preserve"> </w:t>
      </w:r>
      <w:r>
        <w:t xml:space="preserve">adoption is not only an environmental </w:t>
      </w:r>
      <w:proofErr w:type="gramStart"/>
      <w:r>
        <w:t>mandate</w:t>
      </w:r>
      <w:proofErr w:type="gramEnd"/>
      <w:r>
        <w:t xml:space="preserve"> but it is also a strategic business process that can improve long-term sustainability and performance. As such, encouraging the adoption of green technology by SMEs can create environmental as well as economic benefits.</w:t>
      </w:r>
    </w:p>
    <w:p w14:paraId="17DB4997" w14:textId="77777777" w:rsidR="005E6C1A" w:rsidRDefault="005E6C1A" w:rsidP="005E6C1A">
      <w:pPr>
        <w:pStyle w:val="BodyText"/>
        <w:spacing w:before="18"/>
        <w:ind w:left="154"/>
      </w:pPr>
    </w:p>
    <w:p w14:paraId="03076550" w14:textId="4FAB73D1" w:rsidR="005E6C1A" w:rsidRDefault="005E6C1A" w:rsidP="005E6C1A">
      <w:pPr>
        <w:pStyle w:val="BodyText"/>
        <w:spacing w:line="259" w:lineRule="auto"/>
        <w:ind w:left="327" w:right="91" w:firstLine="153"/>
        <w:jc w:val="both"/>
      </w:pPr>
      <w:r>
        <w:t>From</w:t>
      </w:r>
      <w:r>
        <w:rPr>
          <w:spacing w:val="-13"/>
        </w:rPr>
        <w:t xml:space="preserve"> </w:t>
      </w:r>
      <w:r>
        <w:t>a</w:t>
      </w:r>
      <w:r>
        <w:rPr>
          <w:spacing w:val="-12"/>
        </w:rPr>
        <w:t xml:space="preserve"> </w:t>
      </w:r>
      <w:r>
        <w:t>policy</w:t>
      </w:r>
      <w:r>
        <w:rPr>
          <w:spacing w:val="-13"/>
        </w:rPr>
        <w:t xml:space="preserve"> </w:t>
      </w:r>
      <w:r>
        <w:t>perspective,</w:t>
      </w:r>
      <w:r>
        <w:rPr>
          <w:spacing w:val="-5"/>
        </w:rPr>
        <w:t xml:space="preserve"> </w:t>
      </w:r>
      <w:r>
        <w:t>the</w:t>
      </w:r>
      <w:r>
        <w:rPr>
          <w:spacing w:val="-13"/>
        </w:rPr>
        <w:t xml:space="preserve"> </w:t>
      </w:r>
      <w:r>
        <w:t>results</w:t>
      </w:r>
      <w:r>
        <w:rPr>
          <w:spacing w:val="-9"/>
        </w:rPr>
        <w:t xml:space="preserve"> </w:t>
      </w:r>
      <w:r>
        <w:t>suggest</w:t>
      </w:r>
      <w:r>
        <w:rPr>
          <w:spacing w:val="-12"/>
        </w:rPr>
        <w:t xml:space="preserve"> </w:t>
      </w:r>
      <w:r>
        <w:t>that</w:t>
      </w:r>
      <w:r>
        <w:rPr>
          <w:spacing w:val="-7"/>
        </w:rPr>
        <w:t xml:space="preserve"> </w:t>
      </w:r>
      <w:r>
        <w:t>policymakers</w:t>
      </w:r>
      <w:r>
        <w:rPr>
          <w:spacing w:val="-10"/>
        </w:rPr>
        <w:t xml:space="preserve"> </w:t>
      </w:r>
      <w:r>
        <w:t>should</w:t>
      </w:r>
      <w:r>
        <w:rPr>
          <w:spacing w:val="-8"/>
        </w:rPr>
        <w:t xml:space="preserve"> </w:t>
      </w:r>
      <w:r>
        <w:t>better</w:t>
      </w:r>
      <w:r>
        <w:rPr>
          <w:spacing w:val="-4"/>
        </w:rPr>
        <w:t xml:space="preserve"> </w:t>
      </w:r>
      <w:r>
        <w:t>enforce</w:t>
      </w:r>
      <w:r>
        <w:rPr>
          <w:spacing w:val="-11"/>
        </w:rPr>
        <w:t xml:space="preserve"> </w:t>
      </w:r>
      <w:r>
        <w:t>regulatory</w:t>
      </w:r>
      <w:r>
        <w:rPr>
          <w:spacing w:val="-13"/>
        </w:rPr>
        <w:t xml:space="preserve"> </w:t>
      </w:r>
      <w:r>
        <w:t>measures,</w:t>
      </w:r>
      <w:r>
        <w:rPr>
          <w:spacing w:val="-10"/>
        </w:rPr>
        <w:t xml:space="preserve"> </w:t>
      </w:r>
      <w:r>
        <w:t xml:space="preserve">more specifically target incentives, </w:t>
      </w:r>
      <w:proofErr w:type="gramStart"/>
      <w:r>
        <w:t>and also</w:t>
      </w:r>
      <w:proofErr w:type="gramEnd"/>
      <w:r>
        <w:t xml:space="preserve"> facilitate access to financial and technical support </w:t>
      </w:r>
      <w:proofErr w:type="gramStart"/>
      <w:r>
        <w:t>in order to</w:t>
      </w:r>
      <w:proofErr w:type="gramEnd"/>
      <w:r>
        <w:t xml:space="preserve"> facilitate broader adoption of</w:t>
      </w:r>
      <w:r>
        <w:rPr>
          <w:spacing w:val="-8"/>
        </w:rPr>
        <w:t xml:space="preserve"> </w:t>
      </w:r>
      <w:r>
        <w:t>green</w:t>
      </w:r>
      <w:r>
        <w:rPr>
          <w:spacing w:val="-4"/>
        </w:rPr>
        <w:t xml:space="preserve"> </w:t>
      </w:r>
      <w:r>
        <w:t>technology</w:t>
      </w:r>
      <w:r>
        <w:rPr>
          <w:spacing w:val="-13"/>
        </w:rPr>
        <w:t xml:space="preserve"> </w:t>
      </w:r>
      <w:r>
        <w:t>among</w:t>
      </w:r>
      <w:r>
        <w:rPr>
          <w:spacing w:val="-3"/>
        </w:rPr>
        <w:t xml:space="preserve"> </w:t>
      </w:r>
      <w:r>
        <w:t>SMEs.</w:t>
      </w:r>
      <w:r>
        <w:rPr>
          <w:spacing w:val="-1"/>
        </w:rPr>
        <w:t xml:space="preserve"> </w:t>
      </w:r>
      <w:r>
        <w:t>SME</w:t>
      </w:r>
      <w:r>
        <w:rPr>
          <w:spacing w:val="-2"/>
        </w:rPr>
        <w:t xml:space="preserve"> </w:t>
      </w:r>
      <w:r>
        <w:t>owners</w:t>
      </w:r>
      <w:r>
        <w:rPr>
          <w:spacing w:val="-5"/>
        </w:rPr>
        <w:t xml:space="preserve"> </w:t>
      </w:r>
      <w:r>
        <w:t>and</w:t>
      </w:r>
      <w:r>
        <w:rPr>
          <w:spacing w:val="-8"/>
        </w:rPr>
        <w:t xml:space="preserve"> </w:t>
      </w:r>
      <w:r>
        <w:t>managers</w:t>
      </w:r>
      <w:r>
        <w:rPr>
          <w:spacing w:val="-5"/>
        </w:rPr>
        <w:t xml:space="preserve"> </w:t>
      </w:r>
      <w:r>
        <w:t>should</w:t>
      </w:r>
      <w:r>
        <w:rPr>
          <w:spacing w:val="-4"/>
        </w:rPr>
        <w:t xml:space="preserve"> </w:t>
      </w:r>
      <w:r>
        <w:t>be</w:t>
      </w:r>
      <w:r>
        <w:rPr>
          <w:spacing w:val="-7"/>
        </w:rPr>
        <w:t xml:space="preserve"> </w:t>
      </w:r>
      <w:r>
        <w:t>aware</w:t>
      </w:r>
      <w:r>
        <w:rPr>
          <w:spacing w:val="-7"/>
        </w:rPr>
        <w:t xml:space="preserve"> </w:t>
      </w:r>
      <w:r>
        <w:t>of</w:t>
      </w:r>
      <w:r>
        <w:rPr>
          <w:spacing w:val="-8"/>
        </w:rPr>
        <w:t xml:space="preserve"> </w:t>
      </w:r>
      <w:r>
        <w:t>the</w:t>
      </w:r>
      <w:r>
        <w:rPr>
          <w:spacing w:val="-7"/>
        </w:rPr>
        <w:t xml:space="preserve"> </w:t>
      </w:r>
      <w:r>
        <w:t>important performance</w:t>
      </w:r>
      <w:r>
        <w:rPr>
          <w:spacing w:val="-8"/>
        </w:rPr>
        <w:t xml:space="preserve"> </w:t>
      </w:r>
      <w:r>
        <w:t>gains</w:t>
      </w:r>
      <w:r>
        <w:rPr>
          <w:spacing w:val="-6"/>
        </w:rPr>
        <w:t xml:space="preserve"> </w:t>
      </w:r>
      <w:r>
        <w:t>that</w:t>
      </w:r>
      <w:r>
        <w:rPr>
          <w:spacing w:val="-3"/>
        </w:rPr>
        <w:t xml:space="preserve"> </w:t>
      </w:r>
      <w:r>
        <w:t>could</w:t>
      </w:r>
      <w:r>
        <w:rPr>
          <w:spacing w:val="-5"/>
        </w:rPr>
        <w:t xml:space="preserve"> </w:t>
      </w:r>
      <w:r>
        <w:t>come</w:t>
      </w:r>
      <w:r>
        <w:rPr>
          <w:spacing w:val="-3"/>
        </w:rPr>
        <w:t xml:space="preserve"> </w:t>
      </w:r>
      <w:r>
        <w:t>from</w:t>
      </w:r>
      <w:r>
        <w:rPr>
          <w:spacing w:val="-3"/>
        </w:rPr>
        <w:t xml:space="preserve"> </w:t>
      </w:r>
      <w:r>
        <w:t>adopting</w:t>
      </w:r>
      <w:r>
        <w:rPr>
          <w:spacing w:val="-5"/>
        </w:rPr>
        <w:t xml:space="preserve"> </w:t>
      </w:r>
      <w:r>
        <w:t>green technology</w:t>
      </w:r>
      <w:r>
        <w:rPr>
          <w:spacing w:val="-9"/>
        </w:rPr>
        <w:t xml:space="preserve"> </w:t>
      </w:r>
      <w:r>
        <w:t>over the</w:t>
      </w:r>
      <w:r>
        <w:rPr>
          <w:spacing w:val="-8"/>
        </w:rPr>
        <w:t xml:space="preserve"> </w:t>
      </w:r>
      <w:r>
        <w:t>long</w:t>
      </w:r>
      <w:r>
        <w:rPr>
          <w:spacing w:val="-9"/>
        </w:rPr>
        <w:t xml:space="preserve"> </w:t>
      </w:r>
      <w:r>
        <w:t>run</w:t>
      </w:r>
      <w:r>
        <w:rPr>
          <w:spacing w:val="-5"/>
        </w:rPr>
        <w:t xml:space="preserve"> </w:t>
      </w:r>
      <w:r>
        <w:t>and</w:t>
      </w:r>
      <w:r>
        <w:rPr>
          <w:spacing w:val="-5"/>
        </w:rPr>
        <w:t xml:space="preserve"> </w:t>
      </w:r>
      <w:r>
        <w:t>cultivate</w:t>
      </w:r>
      <w:r>
        <w:rPr>
          <w:spacing w:val="-8"/>
        </w:rPr>
        <w:t xml:space="preserve"> </w:t>
      </w:r>
      <w:r>
        <w:t>organizational readiness with leadership commitment and strategizing. Despite the contributions of this study, there are certain limitations</w:t>
      </w:r>
      <w:r>
        <w:rPr>
          <w:spacing w:val="-1"/>
        </w:rPr>
        <w:t xml:space="preserve"> </w:t>
      </w:r>
      <w:r>
        <w:t xml:space="preserve">that it is facing such as that it </w:t>
      </w:r>
      <w:proofErr w:type="gramStart"/>
      <w:r>
        <w:t>focused</w:t>
      </w:r>
      <w:proofErr w:type="gramEnd"/>
      <w:r>
        <w:t xml:space="preserve"> on manufacturing SMEs</w:t>
      </w:r>
      <w:r>
        <w:rPr>
          <w:spacing w:val="-1"/>
        </w:rPr>
        <w:t xml:space="preserve"> </w:t>
      </w:r>
      <w:r>
        <w:t>and it is</w:t>
      </w:r>
      <w:r>
        <w:rPr>
          <w:spacing w:val="-1"/>
        </w:rPr>
        <w:t xml:space="preserve"> </w:t>
      </w:r>
      <w:r>
        <w:t xml:space="preserve">relying on </w:t>
      </w:r>
      <w:proofErr w:type="gramStart"/>
      <w:r>
        <w:t>the cross</w:t>
      </w:r>
      <w:proofErr w:type="gramEnd"/>
      <w:r>
        <w:t>-sectional data. Future research may take this work further by exploring other SME sectors, using longitudinal research designs, or looking at other factors</w:t>
      </w:r>
      <w:r>
        <w:rPr>
          <w:spacing w:val="-1"/>
        </w:rPr>
        <w:t xml:space="preserve"> </w:t>
      </w:r>
      <w:r>
        <w:t>related to sustainable technology</w:t>
      </w:r>
      <w:r>
        <w:rPr>
          <w:spacing w:val="-4"/>
        </w:rPr>
        <w:t xml:space="preserve"> </w:t>
      </w:r>
      <w:r>
        <w:t>adoption. Overall, this</w:t>
      </w:r>
      <w:r>
        <w:rPr>
          <w:spacing w:val="-1"/>
        </w:rPr>
        <w:t xml:space="preserve"> </w:t>
      </w:r>
      <w:r>
        <w:t>research is</w:t>
      </w:r>
      <w:r>
        <w:rPr>
          <w:spacing w:val="-1"/>
        </w:rPr>
        <w:t xml:space="preserve"> </w:t>
      </w:r>
      <w:r>
        <w:t>helpful in providing</w:t>
      </w:r>
      <w:r>
        <w:rPr>
          <w:spacing w:val="-13"/>
        </w:rPr>
        <w:t xml:space="preserve"> </w:t>
      </w:r>
      <w:r>
        <w:t>empirical</w:t>
      </w:r>
      <w:r>
        <w:rPr>
          <w:spacing w:val="-11"/>
        </w:rPr>
        <w:t xml:space="preserve"> </w:t>
      </w:r>
      <w:r>
        <w:t>data</w:t>
      </w:r>
      <w:r>
        <w:rPr>
          <w:spacing w:val="-9"/>
        </w:rPr>
        <w:t xml:space="preserve"> </w:t>
      </w:r>
      <w:r>
        <w:t>on</w:t>
      </w:r>
      <w:r>
        <w:rPr>
          <w:spacing w:val="-6"/>
        </w:rPr>
        <w:t xml:space="preserve"> </w:t>
      </w:r>
      <w:r>
        <w:t>green</w:t>
      </w:r>
      <w:r>
        <w:rPr>
          <w:spacing w:val="-6"/>
        </w:rPr>
        <w:t xml:space="preserve"> </w:t>
      </w:r>
      <w:r>
        <w:t>technology</w:t>
      </w:r>
      <w:r>
        <w:rPr>
          <w:spacing w:val="-13"/>
        </w:rPr>
        <w:t xml:space="preserve"> </w:t>
      </w:r>
      <w:r>
        <w:t>adoption</w:t>
      </w:r>
      <w:r>
        <w:rPr>
          <w:spacing w:val="-5"/>
        </w:rPr>
        <w:t xml:space="preserve"> </w:t>
      </w:r>
      <w:r>
        <w:t>by</w:t>
      </w:r>
      <w:r>
        <w:rPr>
          <w:spacing w:val="-13"/>
        </w:rPr>
        <w:t xml:space="preserve"> </w:t>
      </w:r>
      <w:r>
        <w:t>Malaysian</w:t>
      </w:r>
      <w:r>
        <w:rPr>
          <w:spacing w:val="-1"/>
        </w:rPr>
        <w:t xml:space="preserve"> </w:t>
      </w:r>
      <w:r>
        <w:t>SMEs</w:t>
      </w:r>
      <w:r>
        <w:rPr>
          <w:spacing w:val="-11"/>
        </w:rPr>
        <w:t xml:space="preserve"> </w:t>
      </w:r>
      <w:r>
        <w:t>and</w:t>
      </w:r>
      <w:r>
        <w:rPr>
          <w:spacing w:val="-10"/>
        </w:rPr>
        <w:t xml:space="preserve"> </w:t>
      </w:r>
      <w:r>
        <w:t>is</w:t>
      </w:r>
      <w:r>
        <w:rPr>
          <w:spacing w:val="-13"/>
        </w:rPr>
        <w:t xml:space="preserve"> </w:t>
      </w:r>
      <w:r>
        <w:t>an</w:t>
      </w:r>
      <w:r>
        <w:rPr>
          <w:spacing w:val="-5"/>
        </w:rPr>
        <w:t xml:space="preserve"> </w:t>
      </w:r>
      <w:r>
        <w:t>effort</w:t>
      </w:r>
      <w:r>
        <w:rPr>
          <w:spacing w:val="-9"/>
        </w:rPr>
        <w:t xml:space="preserve"> </w:t>
      </w:r>
      <w:r>
        <w:t>to</w:t>
      </w:r>
      <w:r>
        <w:rPr>
          <w:spacing w:val="-10"/>
        </w:rPr>
        <w:t xml:space="preserve"> </w:t>
      </w:r>
      <w:r>
        <w:t>promote</w:t>
      </w:r>
      <w:r>
        <w:rPr>
          <w:spacing w:val="-9"/>
        </w:rPr>
        <w:t xml:space="preserve"> </w:t>
      </w:r>
      <w:r>
        <w:t>sustainable business practices in developing economies.</w:t>
      </w:r>
    </w:p>
    <w:p w14:paraId="67E4A0E4" w14:textId="77777777" w:rsidR="005E6C1A" w:rsidRDefault="005E6C1A" w:rsidP="005E6C1A">
      <w:pPr>
        <w:pStyle w:val="BodyText"/>
        <w:spacing w:before="13"/>
        <w:ind w:left="0"/>
      </w:pPr>
    </w:p>
    <w:p w14:paraId="5F1D93BA" w14:textId="77777777" w:rsidR="005E6C1A" w:rsidRDefault="005E6C1A" w:rsidP="005E6C1A">
      <w:pPr>
        <w:pStyle w:val="Heading1"/>
        <w:ind w:left="327"/>
        <w:rPr>
          <w:spacing w:val="-2"/>
        </w:rPr>
      </w:pPr>
      <w:bookmarkStart w:id="5" w:name="5.0_Conclusion"/>
      <w:bookmarkStart w:id="6" w:name="Acknowledgements"/>
      <w:bookmarkEnd w:id="5"/>
      <w:bookmarkEnd w:id="6"/>
      <w:r>
        <w:rPr>
          <w:spacing w:val="-2"/>
        </w:rPr>
        <w:t>Acknowledgements</w:t>
      </w:r>
    </w:p>
    <w:p w14:paraId="7315DD4B" w14:textId="77777777" w:rsidR="00986C7A" w:rsidRDefault="00986C7A" w:rsidP="005E6C1A">
      <w:pPr>
        <w:pStyle w:val="Heading1"/>
        <w:ind w:left="327"/>
      </w:pPr>
    </w:p>
    <w:p w14:paraId="0CB92702" w14:textId="00E198FE" w:rsidR="005E6C1A" w:rsidRDefault="005E6C1A" w:rsidP="00917C5F">
      <w:pPr>
        <w:pStyle w:val="BodyText"/>
        <w:spacing w:before="20" w:line="249" w:lineRule="auto"/>
        <w:ind w:left="284" w:right="328"/>
        <w:jc w:val="both"/>
      </w:pPr>
      <w:r>
        <w:t xml:space="preserve">We extend our deepest gratitude to </w:t>
      </w:r>
      <w:proofErr w:type="spellStart"/>
      <w:r w:rsidR="00965E0D">
        <w:t>Fakulti</w:t>
      </w:r>
      <w:proofErr w:type="spellEnd"/>
      <w:r w:rsidR="00965E0D">
        <w:t xml:space="preserve"> </w:t>
      </w:r>
      <w:proofErr w:type="spellStart"/>
      <w:r w:rsidR="00965E0D">
        <w:t>Teknologi</w:t>
      </w:r>
      <w:proofErr w:type="spellEnd"/>
      <w:r w:rsidR="00965E0D">
        <w:t xml:space="preserve"> </w:t>
      </w:r>
      <w:proofErr w:type="spellStart"/>
      <w:r w:rsidR="00965E0D">
        <w:t>Pengurusan</w:t>
      </w:r>
      <w:proofErr w:type="spellEnd"/>
      <w:r w:rsidR="00965E0D">
        <w:t xml:space="preserve"> &amp; </w:t>
      </w:r>
      <w:proofErr w:type="spellStart"/>
      <w:r w:rsidR="00965E0D">
        <w:t>Teknousahawanan</w:t>
      </w:r>
      <w:proofErr w:type="spellEnd"/>
      <w:r w:rsidR="00965E0D">
        <w:t xml:space="preserve">, </w:t>
      </w:r>
      <w:r>
        <w:t xml:space="preserve">Universiti </w:t>
      </w:r>
      <w:proofErr w:type="spellStart"/>
      <w:r>
        <w:t>Teknikal</w:t>
      </w:r>
      <w:proofErr w:type="spellEnd"/>
      <w:r>
        <w:t xml:space="preserve"> Malaysia Melaka (</w:t>
      </w:r>
      <w:proofErr w:type="spellStart"/>
      <w:r>
        <w:t>UTeM</w:t>
      </w:r>
      <w:proofErr w:type="spellEnd"/>
      <w:r>
        <w:t xml:space="preserve">), for its continuous assistance </w:t>
      </w:r>
      <w:r w:rsidR="00965E0D">
        <w:t>and support.</w:t>
      </w:r>
    </w:p>
    <w:p w14:paraId="361A2270" w14:textId="77777777" w:rsidR="005E6C1A" w:rsidRDefault="005E6C1A" w:rsidP="005E6C1A">
      <w:pPr>
        <w:pStyle w:val="BodyText"/>
        <w:ind w:left="168"/>
      </w:pPr>
    </w:p>
    <w:p w14:paraId="2E96D18B" w14:textId="77777777" w:rsidR="00965E0D" w:rsidRDefault="00965E0D" w:rsidP="00906055">
      <w:pPr>
        <w:pStyle w:val="Heading1"/>
        <w:ind w:left="327"/>
        <w:rPr>
          <w:spacing w:val="-2"/>
        </w:rPr>
      </w:pPr>
      <w:r>
        <w:rPr>
          <w:spacing w:val="-2"/>
        </w:rPr>
        <w:t>References</w:t>
      </w:r>
    </w:p>
    <w:p w14:paraId="26304173" w14:textId="77777777" w:rsidR="00965E0D" w:rsidRDefault="00965E0D" w:rsidP="00965E0D">
      <w:pPr>
        <w:pStyle w:val="Heading1"/>
        <w:rPr>
          <w:spacing w:val="-2"/>
        </w:rPr>
      </w:pPr>
    </w:p>
    <w:p w14:paraId="7D99FDAC" w14:textId="77777777" w:rsidR="00986C7A" w:rsidRDefault="00986C7A" w:rsidP="00986C7A">
      <w:pPr>
        <w:pStyle w:val="BodyText"/>
        <w:tabs>
          <w:tab w:val="left" w:pos="1614"/>
          <w:tab w:val="left" w:pos="3054"/>
          <w:tab w:val="left" w:pos="3775"/>
          <w:tab w:val="left" w:pos="5215"/>
          <w:tab w:val="left" w:pos="5935"/>
        </w:tabs>
        <w:ind w:left="284" w:right="319"/>
        <w:jc w:val="both"/>
      </w:pPr>
      <w:proofErr w:type="spellStart"/>
      <w:r>
        <w:t>Aboelmaged</w:t>
      </w:r>
      <w:proofErr w:type="spellEnd"/>
      <w:r>
        <w:t>, M. G. (2018). Direct and indirect effects of eco‐innovation, environmental orientation and supplier collaboration on hotel performance: An empirical study. Journal of Cleaner Production, 184, 537–549.</w:t>
      </w:r>
    </w:p>
    <w:p w14:paraId="17A59970" w14:textId="77777777" w:rsidR="00986C7A" w:rsidRDefault="00986C7A" w:rsidP="00986C7A">
      <w:pPr>
        <w:pStyle w:val="BodyText"/>
        <w:tabs>
          <w:tab w:val="left" w:pos="1614"/>
          <w:tab w:val="left" w:pos="3054"/>
          <w:tab w:val="left" w:pos="3775"/>
          <w:tab w:val="left" w:pos="5215"/>
          <w:tab w:val="left" w:pos="5935"/>
        </w:tabs>
        <w:ind w:right="319"/>
        <w:jc w:val="both"/>
      </w:pPr>
    </w:p>
    <w:p w14:paraId="46FC0B2B" w14:textId="77777777" w:rsidR="00986C7A" w:rsidRDefault="00986C7A" w:rsidP="00986C7A">
      <w:pPr>
        <w:pStyle w:val="BodyText"/>
        <w:tabs>
          <w:tab w:val="left" w:pos="1614"/>
          <w:tab w:val="left" w:pos="3054"/>
          <w:tab w:val="left" w:pos="3775"/>
          <w:tab w:val="left" w:pos="5215"/>
          <w:tab w:val="left" w:pos="5935"/>
        </w:tabs>
        <w:ind w:left="284" w:right="319"/>
        <w:jc w:val="both"/>
      </w:pPr>
      <w:proofErr w:type="spellStart"/>
      <w:r>
        <w:t>Aboelmaged</w:t>
      </w:r>
      <w:proofErr w:type="spellEnd"/>
      <w:r>
        <w:t>, M. G. (2018). Factors influencing the adoption of green information technologies in organizations: A conceptual framework and empirical evidence. Journal of Cleaner Production, 171, 242–253.</w:t>
      </w:r>
    </w:p>
    <w:p w14:paraId="4E455446"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54BEF199" w14:textId="77777777" w:rsidR="00986C7A" w:rsidRDefault="00986C7A" w:rsidP="00986C7A">
      <w:pPr>
        <w:pStyle w:val="BodyText"/>
        <w:tabs>
          <w:tab w:val="left" w:pos="1614"/>
          <w:tab w:val="left" w:pos="3054"/>
          <w:tab w:val="left" w:pos="3775"/>
          <w:tab w:val="left" w:pos="5215"/>
          <w:tab w:val="left" w:pos="5935"/>
        </w:tabs>
        <w:ind w:left="284" w:right="319"/>
        <w:jc w:val="both"/>
      </w:pPr>
      <w:proofErr w:type="spellStart"/>
      <w:r>
        <w:t>Aboelmaged</w:t>
      </w:r>
      <w:proofErr w:type="spellEnd"/>
      <w:r>
        <w:t xml:space="preserve">, M. G., &amp; Hashem, G. (2019). Absorptive capacity and green innovation adoption in SMEs: The mediating effects of sustainable </w:t>
      </w:r>
      <w:proofErr w:type="spellStart"/>
      <w:r>
        <w:t>organisational</w:t>
      </w:r>
      <w:proofErr w:type="spellEnd"/>
      <w:r>
        <w:t xml:space="preserve"> capabilities. Journal of Cleaner Production, 220, 853–</w:t>
      </w:r>
      <w:r>
        <w:lastRenderedPageBreak/>
        <w:t>863. https://doi.org/10.1016/j.jclepro.2019.02.150</w:t>
      </w:r>
    </w:p>
    <w:p w14:paraId="3C475133"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1702EA78" w14:textId="77777777" w:rsidR="00986C7A" w:rsidRDefault="00986C7A" w:rsidP="00986C7A">
      <w:pPr>
        <w:pStyle w:val="BodyText"/>
        <w:tabs>
          <w:tab w:val="left" w:pos="1614"/>
          <w:tab w:val="left" w:pos="3054"/>
          <w:tab w:val="left" w:pos="3775"/>
          <w:tab w:val="left" w:pos="5215"/>
          <w:tab w:val="left" w:pos="5935"/>
        </w:tabs>
        <w:ind w:left="284" w:right="319"/>
        <w:jc w:val="both"/>
      </w:pPr>
      <w:r>
        <w:t>Alam, S. M. S., &amp; Islam, K. M. Z. (2021). Examining the role of environmental corporate social responsibility in building green corporate image and green competitive advantage. International Journal of Corporate Social Responsibility, 6(1), 1–13. https://doi.org/10.1186/s40991-021-00062-w</w:t>
      </w:r>
    </w:p>
    <w:p w14:paraId="65E9C85F"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54B8C8FD" w14:textId="77777777" w:rsidR="00986C7A" w:rsidRDefault="00986C7A" w:rsidP="00986C7A">
      <w:pPr>
        <w:pStyle w:val="BodyText"/>
        <w:tabs>
          <w:tab w:val="left" w:pos="1614"/>
          <w:tab w:val="left" w:pos="3054"/>
          <w:tab w:val="left" w:pos="3775"/>
          <w:tab w:val="left" w:pos="5215"/>
          <w:tab w:val="left" w:pos="5935"/>
        </w:tabs>
        <w:ind w:left="284" w:right="319"/>
        <w:jc w:val="both"/>
      </w:pPr>
      <w:r>
        <w:t>Bakar, M. F. A., Talukder, M., Quazi, A., &amp; Khan, I. (2020). Adoption of sustainable technology in the Malaysian SMEs sector: Does the role of government matter? Information, 11(4), 215. https://doi.org/10.3390/info11040215</w:t>
      </w:r>
    </w:p>
    <w:p w14:paraId="50038201"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19F3003" w14:textId="77777777" w:rsidR="00986C7A" w:rsidRDefault="00986C7A" w:rsidP="00986C7A">
      <w:pPr>
        <w:pStyle w:val="BodyText"/>
        <w:tabs>
          <w:tab w:val="left" w:pos="1614"/>
          <w:tab w:val="left" w:pos="3054"/>
          <w:tab w:val="left" w:pos="3775"/>
          <w:tab w:val="left" w:pos="5215"/>
          <w:tab w:val="left" w:pos="5935"/>
        </w:tabs>
        <w:ind w:left="284" w:right="319"/>
        <w:jc w:val="both"/>
      </w:pPr>
      <w:r>
        <w:t>Baker, J. (2012). The technology–organization–environment framework. In Y. K. Dwivedi, M. R. Wade, &amp; S. L. Schneberger (Eds.), Information systems theory: Explaining and predicting our digital society (Vol. 1, pp. 231–245). Springer.</w:t>
      </w:r>
    </w:p>
    <w:p w14:paraId="4301C027"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5356293" w14:textId="77777777" w:rsidR="00986C7A" w:rsidRDefault="00986C7A" w:rsidP="00986C7A">
      <w:pPr>
        <w:pStyle w:val="BodyText"/>
        <w:tabs>
          <w:tab w:val="left" w:pos="1614"/>
          <w:tab w:val="left" w:pos="3054"/>
          <w:tab w:val="left" w:pos="3775"/>
          <w:tab w:val="left" w:pos="5215"/>
          <w:tab w:val="left" w:pos="5935"/>
        </w:tabs>
        <w:ind w:left="284" w:right="319"/>
        <w:jc w:val="both"/>
      </w:pPr>
      <w:r>
        <w:t>Chen, Y., Wang, Y., &amp; Lin, M. (2022). Factors influencing green innovation adoption and sustainability performance among manufacturing firms. Sustainability, 14(5), 2873. https://doi.org/10.3390/su14052873</w:t>
      </w:r>
    </w:p>
    <w:p w14:paraId="5C13630A"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6ECB54F7"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Creswell, J. W., &amp; Creswell, J. D. (2018). Research design: Qualitative, quantitative, and mixed methods </w:t>
      </w:r>
      <w:proofErr w:type="gramStart"/>
      <w:r>
        <w:t>approaches</w:t>
      </w:r>
      <w:proofErr w:type="gramEnd"/>
      <w:r>
        <w:t xml:space="preserve"> (5th ed.). Sage.</w:t>
      </w:r>
    </w:p>
    <w:p w14:paraId="09877BDF"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2DA7E278" w14:textId="77777777" w:rsidR="00986C7A" w:rsidRDefault="00986C7A" w:rsidP="00986C7A">
      <w:pPr>
        <w:pStyle w:val="BodyText"/>
        <w:tabs>
          <w:tab w:val="left" w:pos="1614"/>
          <w:tab w:val="left" w:pos="3054"/>
          <w:tab w:val="left" w:pos="3775"/>
          <w:tab w:val="left" w:pos="5215"/>
          <w:tab w:val="left" w:pos="5935"/>
        </w:tabs>
        <w:ind w:left="284" w:right="319"/>
        <w:jc w:val="both"/>
      </w:pPr>
      <w:r>
        <w:t>Department of Statistics Malaysia. (2024). Small and medium enterprises (SMEs) performance report 2023. Department of Statistics Malaysia.</w:t>
      </w:r>
    </w:p>
    <w:p w14:paraId="1CA7E1E0"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6F90FE67" w14:textId="77777777" w:rsidR="00986C7A" w:rsidRDefault="00986C7A" w:rsidP="00986C7A">
      <w:pPr>
        <w:pStyle w:val="BodyText"/>
        <w:tabs>
          <w:tab w:val="left" w:pos="1614"/>
          <w:tab w:val="left" w:pos="3054"/>
          <w:tab w:val="left" w:pos="3775"/>
          <w:tab w:val="left" w:pos="5215"/>
          <w:tab w:val="left" w:pos="5935"/>
        </w:tabs>
        <w:ind w:left="284" w:right="319"/>
        <w:jc w:val="both"/>
      </w:pPr>
      <w:proofErr w:type="spellStart"/>
      <w:r>
        <w:t>Etikan</w:t>
      </w:r>
      <w:proofErr w:type="spellEnd"/>
      <w:r>
        <w:t>, I., Musa, S. A., &amp; Alkassim, R. S. (2016). Comparison of convenience sampling and purposive sampling. American Journal of Theoretical and Applied Statistics, 5(1), 1–4. https://doi.org/10.11648/j.ajtas.20160501.11</w:t>
      </w:r>
    </w:p>
    <w:p w14:paraId="287C9FD1"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500BEC11" w14:textId="77777777" w:rsidR="00986C7A" w:rsidRDefault="00986C7A" w:rsidP="00986C7A">
      <w:pPr>
        <w:pStyle w:val="BodyText"/>
        <w:tabs>
          <w:tab w:val="left" w:pos="1614"/>
          <w:tab w:val="left" w:pos="3054"/>
          <w:tab w:val="left" w:pos="3775"/>
          <w:tab w:val="left" w:pos="5215"/>
          <w:tab w:val="left" w:pos="5935"/>
        </w:tabs>
        <w:ind w:left="284" w:right="319"/>
        <w:jc w:val="both"/>
      </w:pPr>
      <w:r>
        <w:t>Gangwar, H., Date, H., &amp; Ramaswamy, R. (2015). Understanding determinants of cloud computing adoption using an integrated technology–organization–environment framework. Journal of Enterprise Information Management, 28(1), 107–130.</w:t>
      </w:r>
    </w:p>
    <w:p w14:paraId="746C2B87"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74CED4B3" w14:textId="77777777" w:rsidR="00986C7A" w:rsidRDefault="00986C7A" w:rsidP="00986C7A">
      <w:pPr>
        <w:pStyle w:val="BodyText"/>
        <w:tabs>
          <w:tab w:val="left" w:pos="1614"/>
          <w:tab w:val="left" w:pos="3054"/>
          <w:tab w:val="left" w:pos="3775"/>
          <w:tab w:val="left" w:pos="5215"/>
          <w:tab w:val="left" w:pos="5935"/>
        </w:tabs>
        <w:ind w:left="284" w:right="319"/>
        <w:jc w:val="both"/>
      </w:pPr>
      <w:proofErr w:type="spellStart"/>
      <w:r>
        <w:t>Górska-Warsewicz</w:t>
      </w:r>
      <w:proofErr w:type="spellEnd"/>
      <w:r>
        <w:t xml:space="preserve">, H., </w:t>
      </w:r>
      <w:proofErr w:type="spellStart"/>
      <w:r>
        <w:t>Dębski</w:t>
      </w:r>
      <w:proofErr w:type="spellEnd"/>
      <w:r>
        <w:t xml:space="preserve">, M., </w:t>
      </w:r>
      <w:proofErr w:type="spellStart"/>
      <w:r>
        <w:t>Fabuš</w:t>
      </w:r>
      <w:proofErr w:type="spellEnd"/>
      <w:r>
        <w:t>, M., &amp; Kováč, M. (2021). Green brand equity—Empirical experience from a systematic literature review. Sustainability, 13(20), 11130. https://doi.org/10.3390/su132011130</w:t>
      </w:r>
    </w:p>
    <w:p w14:paraId="3DC2BE34"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7307AF5F"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Govindan, K., Khodaverdi, R., &amp; </w:t>
      </w:r>
      <w:proofErr w:type="spellStart"/>
      <w:r>
        <w:t>Vafadarnikjoo</w:t>
      </w:r>
      <w:proofErr w:type="spellEnd"/>
      <w:r>
        <w:t>, A. (2015). Intuitionistic fuzzy based DEMATEL method for developing green practices and performances in a green supply chain. Expert Systems with Applications, 42(20), 7207–7220. https://doi.org/10.1016/j.eswa.2015.04.030</w:t>
      </w:r>
    </w:p>
    <w:p w14:paraId="08DFD197"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0D784DEC" w14:textId="77777777" w:rsidR="00986C7A" w:rsidRDefault="00986C7A" w:rsidP="00986C7A">
      <w:pPr>
        <w:pStyle w:val="BodyText"/>
        <w:tabs>
          <w:tab w:val="left" w:pos="1614"/>
          <w:tab w:val="left" w:pos="3054"/>
          <w:tab w:val="left" w:pos="3775"/>
          <w:tab w:val="left" w:pos="5215"/>
          <w:tab w:val="left" w:pos="5935"/>
        </w:tabs>
        <w:ind w:left="284" w:right="319"/>
        <w:jc w:val="both"/>
      </w:pPr>
      <w:r>
        <w:t>Hair, J. F., Black, W. C., Babin, B. J., &amp; Anderson, R. E. (2022). Multivariate data analysis (9th ed.). Cengage Learning.</w:t>
      </w:r>
    </w:p>
    <w:p w14:paraId="5B5215D3"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771C173E" w14:textId="77777777" w:rsidR="00986C7A" w:rsidRDefault="00986C7A" w:rsidP="00986C7A">
      <w:pPr>
        <w:pStyle w:val="BodyText"/>
        <w:tabs>
          <w:tab w:val="left" w:pos="1614"/>
          <w:tab w:val="left" w:pos="3054"/>
          <w:tab w:val="left" w:pos="3775"/>
          <w:tab w:val="left" w:pos="5215"/>
          <w:tab w:val="left" w:pos="5935"/>
        </w:tabs>
        <w:ind w:left="284" w:right="319"/>
        <w:jc w:val="both"/>
      </w:pPr>
      <w:r>
        <w:t>Joshi, A., Kale, S., Chandel, S., &amp; Pal, D. K. (2015). Likert scale: Explored and explained. British Journal of Applied Science &amp; Technology, 7(4), 396–403.</w:t>
      </w:r>
    </w:p>
    <w:p w14:paraId="0BB48C54"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28782E16" w14:textId="77777777" w:rsidR="00986C7A" w:rsidRDefault="00986C7A" w:rsidP="00986C7A">
      <w:pPr>
        <w:pStyle w:val="BodyText"/>
        <w:tabs>
          <w:tab w:val="left" w:pos="1614"/>
          <w:tab w:val="left" w:pos="3054"/>
          <w:tab w:val="left" w:pos="3775"/>
          <w:tab w:val="left" w:pos="5215"/>
          <w:tab w:val="left" w:pos="5935"/>
        </w:tabs>
        <w:ind w:left="284" w:right="319"/>
        <w:jc w:val="both"/>
      </w:pPr>
      <w:r>
        <w:t>Lin, C.-Y., Alam, S. S., Ho, Y.-H., Al-Shaikh, M. E., &amp; Sultan, P. (2020). Adoption of green supply chain management among SMEs in Malaysia. Sustainability, 12(16), 6454. https://doi.org/10.3390/su12166454</w:t>
      </w:r>
    </w:p>
    <w:p w14:paraId="258CC4FB"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246D937F" w14:textId="77777777" w:rsidR="00986C7A" w:rsidRDefault="00986C7A" w:rsidP="00986C7A">
      <w:pPr>
        <w:pStyle w:val="BodyText"/>
        <w:tabs>
          <w:tab w:val="left" w:pos="1614"/>
          <w:tab w:val="left" w:pos="3054"/>
          <w:tab w:val="left" w:pos="3775"/>
          <w:tab w:val="left" w:pos="5215"/>
          <w:tab w:val="left" w:pos="5935"/>
        </w:tabs>
        <w:ind w:left="284" w:right="319"/>
        <w:jc w:val="both"/>
      </w:pPr>
      <w:r>
        <w:t>Lin, C.-Y., &amp; Ho, Y.-H. (2011). Determinants of green practice adoption for logistics companies in China. Journal of Business Ethics, 98(1), 67–83.</w:t>
      </w:r>
    </w:p>
    <w:p w14:paraId="1AC03F76"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5C4F60EA" w14:textId="77777777" w:rsidR="00986C7A" w:rsidRDefault="00986C7A" w:rsidP="00986C7A">
      <w:pPr>
        <w:pStyle w:val="BodyText"/>
        <w:tabs>
          <w:tab w:val="left" w:pos="1614"/>
          <w:tab w:val="left" w:pos="3054"/>
          <w:tab w:val="left" w:pos="3775"/>
          <w:tab w:val="left" w:pos="5215"/>
          <w:tab w:val="left" w:pos="5935"/>
        </w:tabs>
        <w:ind w:left="284" w:right="319"/>
        <w:jc w:val="both"/>
      </w:pPr>
      <w:r>
        <w:lastRenderedPageBreak/>
        <w:t>Lu, C.-S., Yang, C.-S., &amp; Huang, S.-Y. (2022). Drivers and barriers of green innovation adoption in developing economies: Evidence from SMEs. Sustainability, 14(8), 4562.</w:t>
      </w:r>
    </w:p>
    <w:p w14:paraId="6C45E30C"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50242EBB"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Manda, M. I., &amp; </w:t>
      </w:r>
      <w:proofErr w:type="spellStart"/>
      <w:r>
        <w:t>Dhaou</w:t>
      </w:r>
      <w:proofErr w:type="spellEnd"/>
      <w:r>
        <w:t>, S. B. (2019). Responding to environmental challenges through adoption of green technology in SMEs. Technological Forecasting and Social Change, 146, 561–570.</w:t>
      </w:r>
    </w:p>
    <w:p w14:paraId="1721A104"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002ACB35" w14:textId="77777777" w:rsidR="00986C7A" w:rsidRDefault="00986C7A" w:rsidP="00986C7A">
      <w:pPr>
        <w:pStyle w:val="BodyText"/>
        <w:tabs>
          <w:tab w:val="left" w:pos="1614"/>
          <w:tab w:val="left" w:pos="3054"/>
          <w:tab w:val="left" w:pos="3775"/>
          <w:tab w:val="left" w:pos="5215"/>
          <w:tab w:val="left" w:pos="5935"/>
        </w:tabs>
        <w:ind w:left="284" w:right="319"/>
        <w:jc w:val="both"/>
      </w:pPr>
      <w:r>
        <w:t>Ministry of Economy Malaysia. (2023). National Energy Transition Roadmap (NETR). Government of Malaysia.</w:t>
      </w:r>
    </w:p>
    <w:p w14:paraId="04C25EF0"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2FC0D6E3" w14:textId="77777777" w:rsidR="00986C7A" w:rsidRDefault="00986C7A" w:rsidP="00986C7A">
      <w:pPr>
        <w:pStyle w:val="BodyText"/>
        <w:tabs>
          <w:tab w:val="left" w:pos="1614"/>
          <w:tab w:val="left" w:pos="3054"/>
          <w:tab w:val="left" w:pos="3775"/>
          <w:tab w:val="left" w:pos="5215"/>
          <w:tab w:val="left" w:pos="5935"/>
        </w:tabs>
        <w:ind w:left="284" w:right="319"/>
        <w:jc w:val="both"/>
      </w:pPr>
      <w:r>
        <w:t>Nunnally, J. C., &amp; Bernstein, I. H. (1994). Psychometric theory (3rd ed.). McGraw-Hill.</w:t>
      </w:r>
    </w:p>
    <w:p w14:paraId="14007F12"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72179676" w14:textId="77777777" w:rsidR="00986C7A" w:rsidRDefault="00986C7A" w:rsidP="00986C7A">
      <w:pPr>
        <w:pStyle w:val="BodyText"/>
        <w:tabs>
          <w:tab w:val="left" w:pos="1614"/>
          <w:tab w:val="left" w:pos="3054"/>
          <w:tab w:val="left" w:pos="3775"/>
          <w:tab w:val="left" w:pos="5215"/>
          <w:tab w:val="left" w:pos="5935"/>
        </w:tabs>
        <w:ind w:left="284" w:right="319"/>
        <w:jc w:val="both"/>
      </w:pPr>
      <w:r>
        <w:t>OECD. (2022). SME and entrepreneurship policy in Malaysia 2022. OECD Publishing. https://doi.org/10.1787/6f5d0f59-en</w:t>
      </w:r>
    </w:p>
    <w:p w14:paraId="0DF428EA"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6AD2546C" w14:textId="77777777" w:rsidR="00986C7A" w:rsidRDefault="00986C7A" w:rsidP="00986C7A">
      <w:pPr>
        <w:pStyle w:val="BodyText"/>
        <w:tabs>
          <w:tab w:val="left" w:pos="1614"/>
          <w:tab w:val="left" w:pos="3054"/>
          <w:tab w:val="left" w:pos="3775"/>
          <w:tab w:val="left" w:pos="5215"/>
          <w:tab w:val="left" w:pos="5935"/>
        </w:tabs>
        <w:ind w:left="284" w:right="319"/>
        <w:jc w:val="both"/>
      </w:pPr>
      <w:r>
        <w:t>OECD. (2023). SME and entrepreneurship outlook 2023. OECD Publishing.</w:t>
      </w:r>
    </w:p>
    <w:p w14:paraId="21FDB503"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1D15FEA5" w14:textId="77777777" w:rsidR="00986C7A" w:rsidRDefault="00986C7A" w:rsidP="00986C7A">
      <w:pPr>
        <w:pStyle w:val="BodyText"/>
        <w:tabs>
          <w:tab w:val="left" w:pos="1614"/>
          <w:tab w:val="left" w:pos="3054"/>
          <w:tab w:val="left" w:pos="3775"/>
          <w:tab w:val="left" w:pos="5215"/>
          <w:tab w:val="left" w:pos="5935"/>
        </w:tabs>
        <w:ind w:left="284" w:right="319"/>
        <w:jc w:val="both"/>
      </w:pPr>
      <w:r>
        <w:t>Oliveira, T., &amp; Martins, M. F. (2011). Literature review of information technology adoption models at firm level. Electronic Journal of Information Systems Evaluation, 14(1), 110–121.</w:t>
      </w:r>
    </w:p>
    <w:p w14:paraId="6FD6CF83"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1EE3D10C" w14:textId="77777777" w:rsidR="00986C7A" w:rsidRDefault="00986C7A" w:rsidP="00986C7A">
      <w:pPr>
        <w:pStyle w:val="BodyText"/>
        <w:tabs>
          <w:tab w:val="left" w:pos="1614"/>
          <w:tab w:val="left" w:pos="3054"/>
          <w:tab w:val="left" w:pos="3775"/>
          <w:tab w:val="left" w:pos="5215"/>
          <w:tab w:val="left" w:pos="5935"/>
        </w:tabs>
        <w:ind w:left="284" w:right="319"/>
        <w:jc w:val="both"/>
      </w:pPr>
      <w:r>
        <w:t>Rodrigues, M., &amp; Franco, M. (2023). Green innovation in small and medium-sized enterprises (SMEs): A qualitative approach. Sustainability, 15(5), 4510.</w:t>
      </w:r>
    </w:p>
    <w:p w14:paraId="24D787F6"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7B87B098" w14:textId="77777777" w:rsidR="00986C7A" w:rsidRDefault="00986C7A" w:rsidP="00986C7A">
      <w:pPr>
        <w:pStyle w:val="BodyText"/>
        <w:tabs>
          <w:tab w:val="left" w:pos="1614"/>
          <w:tab w:val="left" w:pos="3054"/>
          <w:tab w:val="left" w:pos="3775"/>
          <w:tab w:val="left" w:pos="5215"/>
          <w:tab w:val="left" w:pos="5935"/>
        </w:tabs>
        <w:ind w:left="284" w:right="319"/>
        <w:jc w:val="both"/>
      </w:pPr>
      <w:r>
        <w:t>Rogers, E. M. (2003). Diffusion of innovations (5th ed.). Free Press.</w:t>
      </w:r>
    </w:p>
    <w:p w14:paraId="1F8EBB52"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41B4F542" w14:textId="77777777" w:rsidR="00986C7A" w:rsidRDefault="00986C7A" w:rsidP="00986C7A">
      <w:pPr>
        <w:pStyle w:val="BodyText"/>
        <w:tabs>
          <w:tab w:val="left" w:pos="1614"/>
          <w:tab w:val="left" w:pos="3054"/>
          <w:tab w:val="left" w:pos="3775"/>
          <w:tab w:val="left" w:pos="5215"/>
          <w:tab w:val="left" w:pos="5935"/>
        </w:tabs>
        <w:ind w:left="284" w:right="319"/>
        <w:jc w:val="both"/>
      </w:pPr>
      <w:r>
        <w:t>Saunders, M., Lewis, P., &amp; Thornhill, A. (2019). Research methods for business students (8th ed.). Pearson.</w:t>
      </w:r>
    </w:p>
    <w:p w14:paraId="5631AEDB"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4B0DE525" w14:textId="77777777" w:rsidR="00986C7A" w:rsidRDefault="00986C7A" w:rsidP="00986C7A">
      <w:pPr>
        <w:pStyle w:val="BodyText"/>
        <w:tabs>
          <w:tab w:val="left" w:pos="1614"/>
          <w:tab w:val="left" w:pos="3054"/>
          <w:tab w:val="left" w:pos="3775"/>
          <w:tab w:val="left" w:pos="5215"/>
          <w:tab w:val="left" w:pos="5935"/>
        </w:tabs>
        <w:ind w:left="284" w:right="319"/>
        <w:jc w:val="both"/>
      </w:pPr>
      <w:r>
        <w:t>Sekaran, U., &amp; Bougie, R. (2019). Research methods for business: A skill-building approach (8th ed.). Wiley.</w:t>
      </w:r>
    </w:p>
    <w:p w14:paraId="6F1C9142"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5FD827E" w14:textId="77777777" w:rsidR="00986C7A" w:rsidRDefault="00986C7A" w:rsidP="00986C7A">
      <w:pPr>
        <w:pStyle w:val="BodyText"/>
        <w:tabs>
          <w:tab w:val="left" w:pos="1614"/>
          <w:tab w:val="left" w:pos="3054"/>
          <w:tab w:val="left" w:pos="3775"/>
          <w:tab w:val="left" w:pos="5215"/>
          <w:tab w:val="left" w:pos="5935"/>
        </w:tabs>
        <w:ind w:left="284" w:right="319"/>
        <w:jc w:val="both"/>
      </w:pPr>
      <w:r>
        <w:t>Singh, S. K., Del Giudice, M., Chierici, R., &amp; Graziano, D. (2020). Green innovation and environmental performance: The role of green transformational leadership and green human resource management. Technological Forecasting and Social Change, 150, 119762. https://doi.org/10.1016/j.techfore.2019.119762</w:t>
      </w:r>
    </w:p>
    <w:p w14:paraId="5983FCCE"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7864D4B" w14:textId="77777777" w:rsidR="00986C7A" w:rsidRDefault="00986C7A" w:rsidP="00986C7A">
      <w:pPr>
        <w:pStyle w:val="BodyText"/>
        <w:tabs>
          <w:tab w:val="left" w:pos="1614"/>
          <w:tab w:val="left" w:pos="3054"/>
          <w:tab w:val="left" w:pos="3775"/>
          <w:tab w:val="left" w:pos="5215"/>
          <w:tab w:val="left" w:pos="5935"/>
        </w:tabs>
        <w:ind w:left="284" w:right="319"/>
        <w:jc w:val="both"/>
      </w:pPr>
      <w:r>
        <w:t>SME Corp Malaysia. (2024). SME annual report 2023/2024. SME Corporation Malaysia.</w:t>
      </w:r>
    </w:p>
    <w:p w14:paraId="365003A6"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6A8C322" w14:textId="77777777" w:rsidR="00986C7A" w:rsidRDefault="00986C7A" w:rsidP="00986C7A">
      <w:pPr>
        <w:pStyle w:val="BodyText"/>
        <w:tabs>
          <w:tab w:val="left" w:pos="1614"/>
          <w:tab w:val="left" w:pos="3054"/>
          <w:tab w:val="left" w:pos="3775"/>
          <w:tab w:val="left" w:pos="5215"/>
          <w:tab w:val="left" w:pos="5935"/>
        </w:tabs>
        <w:ind w:left="284" w:right="319"/>
        <w:jc w:val="both"/>
      </w:pPr>
      <w:r>
        <w:t>Tornatzky, L. G., &amp; Fleischer, M. (1990). The processes of technological innovation. Lexington Books.</w:t>
      </w:r>
    </w:p>
    <w:p w14:paraId="0352C24D"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18F4BA60" w14:textId="77777777" w:rsidR="00986C7A" w:rsidRDefault="00986C7A" w:rsidP="00986C7A">
      <w:pPr>
        <w:pStyle w:val="BodyText"/>
        <w:tabs>
          <w:tab w:val="left" w:pos="1614"/>
          <w:tab w:val="left" w:pos="3054"/>
          <w:tab w:val="left" w:pos="3775"/>
          <w:tab w:val="left" w:pos="5215"/>
          <w:tab w:val="left" w:pos="5935"/>
        </w:tabs>
        <w:ind w:left="284" w:right="319"/>
        <w:jc w:val="both"/>
      </w:pPr>
      <w:r>
        <w:t>Umar, M., Khan, S. A. R., Zia-ul-Haq, H. M., Yusliza, M. Y., &amp; Farooq, K. (2022). The role of emerging technologies in implementing green practices to achieve sustainable operations. The TQM Journal, 34(2), 232–249.</w:t>
      </w:r>
    </w:p>
    <w:p w14:paraId="7F9EA367"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03EFB5E9"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United Nations Environment </w:t>
      </w:r>
      <w:proofErr w:type="spellStart"/>
      <w:r>
        <w:t>Programme</w:t>
      </w:r>
      <w:proofErr w:type="spellEnd"/>
      <w:r>
        <w:t>. (2023). Emissions gap report 2023. UNEP.</w:t>
      </w:r>
    </w:p>
    <w:p w14:paraId="1E225921"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26C20448" w14:textId="77777777" w:rsidR="00986C7A" w:rsidRDefault="00986C7A" w:rsidP="00986C7A">
      <w:pPr>
        <w:pStyle w:val="BodyText"/>
        <w:tabs>
          <w:tab w:val="left" w:pos="1614"/>
          <w:tab w:val="left" w:pos="3054"/>
          <w:tab w:val="left" w:pos="3775"/>
          <w:tab w:val="left" w:pos="5215"/>
          <w:tab w:val="left" w:pos="5935"/>
        </w:tabs>
        <w:ind w:left="284" w:right="319"/>
        <w:jc w:val="both"/>
      </w:pPr>
      <w:r>
        <w:t>World Bank. (2023). Small and medium enterprises and green transition in developing economies. World Bank.</w:t>
      </w:r>
    </w:p>
    <w:p w14:paraId="7C2B07F5"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19DD3EFD"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Zailani, S., Govindan, K., </w:t>
      </w:r>
      <w:proofErr w:type="spellStart"/>
      <w:r>
        <w:t>Iranmanesh</w:t>
      </w:r>
      <w:proofErr w:type="spellEnd"/>
      <w:r>
        <w:t>, M., Shaharudin, M. R., &amp; Chong, Y. S. (2015). Green innovation adoption in automotive supply chain: The Malaysian case. Journal of Cleaner Production, 108, 1115–1122. https://doi.org/10.1016/j.jclepro.2015.06.039</w:t>
      </w:r>
    </w:p>
    <w:p w14:paraId="57C6227C"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6725E030" w14:textId="77777777" w:rsidR="00986C7A" w:rsidRDefault="00986C7A" w:rsidP="00986C7A">
      <w:pPr>
        <w:pStyle w:val="BodyText"/>
        <w:tabs>
          <w:tab w:val="left" w:pos="1614"/>
          <w:tab w:val="left" w:pos="3054"/>
          <w:tab w:val="left" w:pos="3775"/>
          <w:tab w:val="left" w:pos="5215"/>
          <w:tab w:val="left" w:pos="5935"/>
        </w:tabs>
        <w:ind w:left="284" w:right="319"/>
        <w:jc w:val="both"/>
      </w:pPr>
      <w:r>
        <w:t xml:space="preserve">Zhang, D., Rong, Z., &amp; Ji, Q. (2019). Green innovation and firm performance: Evidence from listed </w:t>
      </w:r>
      <w:r>
        <w:lastRenderedPageBreak/>
        <w:t>companies in China. Resources, Conservation and Recycling, 144, 48–55. https://doi.org/10.1016/j.resconrec.2019.01.023</w:t>
      </w:r>
    </w:p>
    <w:p w14:paraId="331675EB" w14:textId="77777777" w:rsidR="00986C7A" w:rsidRDefault="00986C7A" w:rsidP="00986C7A">
      <w:pPr>
        <w:pStyle w:val="BodyText"/>
        <w:tabs>
          <w:tab w:val="left" w:pos="1614"/>
          <w:tab w:val="left" w:pos="3054"/>
          <w:tab w:val="left" w:pos="3775"/>
          <w:tab w:val="left" w:pos="5215"/>
          <w:tab w:val="left" w:pos="5935"/>
        </w:tabs>
        <w:ind w:left="284" w:right="319"/>
        <w:jc w:val="both"/>
      </w:pPr>
    </w:p>
    <w:p w14:paraId="31BABB60" w14:textId="7FB68219" w:rsidR="00792C3D" w:rsidRPr="00792C3D" w:rsidRDefault="00986C7A" w:rsidP="00986C7A">
      <w:pPr>
        <w:pStyle w:val="BodyText"/>
        <w:tabs>
          <w:tab w:val="left" w:pos="1614"/>
          <w:tab w:val="left" w:pos="3054"/>
          <w:tab w:val="left" w:pos="3775"/>
          <w:tab w:val="left" w:pos="5215"/>
          <w:tab w:val="left" w:pos="5935"/>
        </w:tabs>
        <w:ind w:left="284" w:right="319"/>
        <w:jc w:val="both"/>
      </w:pPr>
      <w:r>
        <w:t>Zhu, Q., Sarkis, J., &amp; Lai, K. H. (2013). Institutional-based antecedents and performance outcomes of internal and external green supply chain management practices. Journal of Purchasing and Supply Management, 19(2), 106–117.</w:t>
      </w:r>
    </w:p>
    <w:sectPr w:rsidR="00792C3D" w:rsidRPr="00792C3D">
      <w:pgSz w:w="10780" w:h="14750"/>
      <w:pgMar w:top="1240" w:right="850" w:bottom="1620" w:left="566" w:header="939"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D788" w14:textId="77777777" w:rsidR="00E71A49" w:rsidRDefault="00E71A49">
      <w:r>
        <w:separator/>
      </w:r>
    </w:p>
  </w:endnote>
  <w:endnote w:type="continuationSeparator" w:id="0">
    <w:p w14:paraId="3F50F0BB" w14:textId="77777777" w:rsidR="00E71A49" w:rsidRDefault="00E7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D592" w14:textId="06AD07F4" w:rsidR="008D0EF7" w:rsidRDefault="008D0EF7">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2FF1" w14:textId="77777777" w:rsidR="00E71A49" w:rsidRDefault="00E71A49">
      <w:r>
        <w:separator/>
      </w:r>
    </w:p>
  </w:footnote>
  <w:footnote w:type="continuationSeparator" w:id="0">
    <w:p w14:paraId="4BB6D258" w14:textId="77777777" w:rsidR="00E71A49" w:rsidRDefault="00E7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3DD7" w14:textId="2705EF4B" w:rsidR="008D0EF7" w:rsidRDefault="008D0EF7">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9EE"/>
    <w:multiLevelType w:val="multilevel"/>
    <w:tmpl w:val="70EA4952"/>
    <w:lvl w:ilvl="0">
      <w:start w:val="1"/>
      <w:numFmt w:val="decimal"/>
      <w:lvlText w:val="%1."/>
      <w:lvlJc w:val="left"/>
      <w:pPr>
        <w:ind w:left="519" w:hanging="36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166" w:hanging="360"/>
      </w:pPr>
      <w:rPr>
        <w:rFonts w:ascii="Times New Roman" w:eastAsia="Times New Roman" w:hAnsi="Times New Roman" w:cs="Times New Roman" w:hint="default"/>
        <w:b w:val="0"/>
        <w:bCs w:val="0"/>
        <w:i/>
        <w:iCs/>
        <w:spacing w:val="-5"/>
        <w:w w:val="100"/>
        <w:sz w:val="20"/>
        <w:szCs w:val="20"/>
        <w:lang w:val="en-US" w:eastAsia="en-US" w:bidi="ar-SA"/>
      </w:rPr>
    </w:lvl>
    <w:lvl w:ilvl="2">
      <w:numFmt w:val="bullet"/>
      <w:lvlText w:val="•"/>
      <w:lvlJc w:val="left"/>
      <w:pPr>
        <w:ind w:left="603" w:hanging="360"/>
      </w:pPr>
      <w:rPr>
        <w:rFonts w:hint="default"/>
        <w:lang w:val="en-US" w:eastAsia="en-US" w:bidi="ar-SA"/>
      </w:rPr>
    </w:lvl>
    <w:lvl w:ilvl="3">
      <w:numFmt w:val="bullet"/>
      <w:lvlText w:val="•"/>
      <w:lvlJc w:val="left"/>
      <w:pPr>
        <w:ind w:left="1487" w:hanging="360"/>
      </w:pPr>
      <w:rPr>
        <w:rFonts w:hint="default"/>
        <w:lang w:val="en-US" w:eastAsia="en-US" w:bidi="ar-SA"/>
      </w:rPr>
    </w:lvl>
    <w:lvl w:ilvl="4">
      <w:numFmt w:val="bullet"/>
      <w:lvlText w:val="•"/>
      <w:lvlJc w:val="left"/>
      <w:pPr>
        <w:ind w:left="2371" w:hanging="360"/>
      </w:pPr>
      <w:rPr>
        <w:rFonts w:hint="default"/>
        <w:lang w:val="en-US" w:eastAsia="en-US" w:bidi="ar-SA"/>
      </w:rPr>
    </w:lvl>
    <w:lvl w:ilvl="5">
      <w:numFmt w:val="bullet"/>
      <w:lvlText w:val="•"/>
      <w:lvlJc w:val="left"/>
      <w:pPr>
        <w:ind w:left="3255" w:hanging="360"/>
      </w:pPr>
      <w:rPr>
        <w:rFonts w:hint="default"/>
        <w:lang w:val="en-US" w:eastAsia="en-US" w:bidi="ar-SA"/>
      </w:rPr>
    </w:lvl>
    <w:lvl w:ilvl="6">
      <w:numFmt w:val="bullet"/>
      <w:lvlText w:val="•"/>
      <w:lvlJc w:val="left"/>
      <w:pPr>
        <w:ind w:left="4139" w:hanging="360"/>
      </w:pPr>
      <w:rPr>
        <w:rFonts w:hint="default"/>
        <w:lang w:val="en-US" w:eastAsia="en-US" w:bidi="ar-SA"/>
      </w:rPr>
    </w:lvl>
    <w:lvl w:ilvl="7">
      <w:numFmt w:val="bullet"/>
      <w:lvlText w:val="•"/>
      <w:lvlJc w:val="left"/>
      <w:pPr>
        <w:ind w:left="5023" w:hanging="360"/>
      </w:pPr>
      <w:rPr>
        <w:rFonts w:hint="default"/>
        <w:lang w:val="en-US" w:eastAsia="en-US" w:bidi="ar-SA"/>
      </w:rPr>
    </w:lvl>
    <w:lvl w:ilvl="8">
      <w:numFmt w:val="bullet"/>
      <w:lvlText w:val="•"/>
      <w:lvlJc w:val="left"/>
      <w:pPr>
        <w:ind w:left="5907" w:hanging="360"/>
      </w:pPr>
      <w:rPr>
        <w:rFonts w:hint="default"/>
        <w:lang w:val="en-US" w:eastAsia="en-US" w:bidi="ar-SA"/>
      </w:rPr>
    </w:lvl>
  </w:abstractNum>
  <w:abstractNum w:abstractNumId="1" w15:restartNumberingAfterBreak="0">
    <w:nsid w:val="45D714FB"/>
    <w:multiLevelType w:val="multilevel"/>
    <w:tmpl w:val="5F5E1680"/>
    <w:lvl w:ilvl="0">
      <w:start w:val="2"/>
      <w:numFmt w:val="decimal"/>
      <w:lvlText w:val="%1"/>
      <w:lvlJc w:val="left"/>
      <w:pPr>
        <w:ind w:left="461" w:hanging="303"/>
      </w:pPr>
      <w:rPr>
        <w:rFonts w:hint="default"/>
        <w:lang w:val="en-US" w:eastAsia="en-US" w:bidi="ar-SA"/>
      </w:rPr>
    </w:lvl>
    <w:lvl w:ilvl="1">
      <w:start w:val="1"/>
      <w:numFmt w:val="decimal"/>
      <w:lvlText w:val="%1.%2"/>
      <w:lvlJc w:val="left"/>
      <w:pPr>
        <w:ind w:left="461" w:hanging="303"/>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40" w:hanging="303"/>
      </w:pPr>
      <w:rPr>
        <w:rFonts w:hint="default"/>
        <w:lang w:val="en-US" w:eastAsia="en-US" w:bidi="ar-SA"/>
      </w:rPr>
    </w:lvl>
    <w:lvl w:ilvl="3">
      <w:numFmt w:val="bullet"/>
      <w:lvlText w:val="•"/>
      <w:lvlJc w:val="left"/>
      <w:pPr>
        <w:ind w:left="3130" w:hanging="303"/>
      </w:pPr>
      <w:rPr>
        <w:rFonts w:hint="default"/>
        <w:lang w:val="en-US" w:eastAsia="en-US" w:bidi="ar-SA"/>
      </w:rPr>
    </w:lvl>
    <w:lvl w:ilvl="4">
      <w:numFmt w:val="bullet"/>
      <w:lvlText w:val="•"/>
      <w:lvlJc w:val="left"/>
      <w:pPr>
        <w:ind w:left="4020" w:hanging="303"/>
      </w:pPr>
      <w:rPr>
        <w:rFonts w:hint="default"/>
        <w:lang w:val="en-US" w:eastAsia="en-US" w:bidi="ar-SA"/>
      </w:rPr>
    </w:lvl>
    <w:lvl w:ilvl="5">
      <w:numFmt w:val="bullet"/>
      <w:lvlText w:val="•"/>
      <w:lvlJc w:val="left"/>
      <w:pPr>
        <w:ind w:left="4910" w:hanging="303"/>
      </w:pPr>
      <w:rPr>
        <w:rFonts w:hint="default"/>
        <w:lang w:val="en-US" w:eastAsia="en-US" w:bidi="ar-SA"/>
      </w:rPr>
    </w:lvl>
    <w:lvl w:ilvl="6">
      <w:numFmt w:val="bullet"/>
      <w:lvlText w:val="•"/>
      <w:lvlJc w:val="left"/>
      <w:pPr>
        <w:ind w:left="5800" w:hanging="303"/>
      </w:pPr>
      <w:rPr>
        <w:rFonts w:hint="default"/>
        <w:lang w:val="en-US" w:eastAsia="en-US" w:bidi="ar-SA"/>
      </w:rPr>
    </w:lvl>
    <w:lvl w:ilvl="7">
      <w:numFmt w:val="bullet"/>
      <w:lvlText w:val="•"/>
      <w:lvlJc w:val="left"/>
      <w:pPr>
        <w:ind w:left="6690" w:hanging="303"/>
      </w:pPr>
      <w:rPr>
        <w:rFonts w:hint="default"/>
        <w:lang w:val="en-US" w:eastAsia="en-US" w:bidi="ar-SA"/>
      </w:rPr>
    </w:lvl>
    <w:lvl w:ilvl="8">
      <w:numFmt w:val="bullet"/>
      <w:lvlText w:val="•"/>
      <w:lvlJc w:val="left"/>
      <w:pPr>
        <w:ind w:left="7580" w:hanging="303"/>
      </w:pPr>
      <w:rPr>
        <w:rFonts w:hint="default"/>
        <w:lang w:val="en-US" w:eastAsia="en-US" w:bidi="ar-SA"/>
      </w:rPr>
    </w:lvl>
  </w:abstractNum>
  <w:num w:numId="1" w16cid:durableId="1166016877">
    <w:abstractNumId w:val="1"/>
  </w:num>
  <w:num w:numId="2" w16cid:durableId="21620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0EF7"/>
    <w:rsid w:val="000246A3"/>
    <w:rsid w:val="0023002D"/>
    <w:rsid w:val="002332FA"/>
    <w:rsid w:val="002E43F6"/>
    <w:rsid w:val="003D6518"/>
    <w:rsid w:val="003E326C"/>
    <w:rsid w:val="004022A4"/>
    <w:rsid w:val="004F0362"/>
    <w:rsid w:val="005E6C1A"/>
    <w:rsid w:val="006768DF"/>
    <w:rsid w:val="00792C3D"/>
    <w:rsid w:val="00794628"/>
    <w:rsid w:val="007B2A23"/>
    <w:rsid w:val="008A539F"/>
    <w:rsid w:val="008D0EF7"/>
    <w:rsid w:val="00906055"/>
    <w:rsid w:val="00917C5F"/>
    <w:rsid w:val="0093245D"/>
    <w:rsid w:val="00932A14"/>
    <w:rsid w:val="00965E0D"/>
    <w:rsid w:val="00986C7A"/>
    <w:rsid w:val="00DA0BB0"/>
    <w:rsid w:val="00E43001"/>
    <w:rsid w:val="00E71A49"/>
    <w:rsid w:val="00EF2268"/>
    <w:rsid w:val="00F34265"/>
    <w:rsid w:val="00FA4D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7BD0"/>
  <w15:docId w15:val="{9B3B75E0-5F72-470C-8FB5-0574112A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9"/>
      <w:outlineLvl w:val="0"/>
    </w:pPr>
    <w:rPr>
      <w:b/>
      <w:bCs/>
      <w:sz w:val="20"/>
      <w:szCs w:val="20"/>
    </w:rPr>
  </w:style>
  <w:style w:type="paragraph" w:styleId="Heading3">
    <w:name w:val="heading 3"/>
    <w:basedOn w:val="Normal"/>
    <w:next w:val="Normal"/>
    <w:link w:val="Heading3Char"/>
    <w:uiPriority w:val="9"/>
    <w:semiHidden/>
    <w:unhideWhenUsed/>
    <w:qFormat/>
    <w:rsid w:val="007B2A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
    </w:pPr>
    <w:rPr>
      <w:sz w:val="20"/>
      <w:szCs w:val="20"/>
    </w:rPr>
  </w:style>
  <w:style w:type="paragraph" w:styleId="Title">
    <w:name w:val="Title"/>
    <w:basedOn w:val="Normal"/>
    <w:uiPriority w:val="10"/>
    <w:qFormat/>
    <w:pPr>
      <w:spacing w:before="268"/>
      <w:ind w:left="1926" w:hanging="1508"/>
    </w:pPr>
    <w:rPr>
      <w:sz w:val="34"/>
      <w:szCs w:val="34"/>
    </w:rPr>
  </w:style>
  <w:style w:type="paragraph" w:styleId="ListParagraph">
    <w:name w:val="List Paragraph"/>
    <w:basedOn w:val="Normal"/>
    <w:uiPriority w:val="1"/>
    <w:qFormat/>
    <w:pPr>
      <w:ind w:left="51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43F6"/>
    <w:pPr>
      <w:tabs>
        <w:tab w:val="center" w:pos="4513"/>
        <w:tab w:val="right" w:pos="9026"/>
      </w:tabs>
    </w:pPr>
  </w:style>
  <w:style w:type="character" w:customStyle="1" w:styleId="HeaderChar">
    <w:name w:val="Header Char"/>
    <w:basedOn w:val="DefaultParagraphFont"/>
    <w:link w:val="Header"/>
    <w:uiPriority w:val="99"/>
    <w:rsid w:val="002E43F6"/>
    <w:rPr>
      <w:rFonts w:ascii="Times New Roman" w:eastAsia="Times New Roman" w:hAnsi="Times New Roman" w:cs="Times New Roman"/>
    </w:rPr>
  </w:style>
  <w:style w:type="paragraph" w:styleId="Footer">
    <w:name w:val="footer"/>
    <w:basedOn w:val="Normal"/>
    <w:link w:val="FooterChar"/>
    <w:uiPriority w:val="99"/>
    <w:unhideWhenUsed/>
    <w:rsid w:val="002E43F6"/>
    <w:pPr>
      <w:tabs>
        <w:tab w:val="center" w:pos="4513"/>
        <w:tab w:val="right" w:pos="9026"/>
      </w:tabs>
    </w:pPr>
  </w:style>
  <w:style w:type="character" w:customStyle="1" w:styleId="FooterChar">
    <w:name w:val="Footer Char"/>
    <w:basedOn w:val="DefaultParagraphFont"/>
    <w:link w:val="Footer"/>
    <w:uiPriority w:val="99"/>
    <w:rsid w:val="002E43F6"/>
    <w:rPr>
      <w:rFonts w:ascii="Times New Roman" w:eastAsia="Times New Roman" w:hAnsi="Times New Roman" w:cs="Times New Roman"/>
    </w:rPr>
  </w:style>
  <w:style w:type="character" w:styleId="Hyperlink">
    <w:name w:val="Hyperlink"/>
    <w:basedOn w:val="DefaultParagraphFont"/>
    <w:uiPriority w:val="99"/>
    <w:unhideWhenUsed/>
    <w:rsid w:val="00792C3D"/>
    <w:rPr>
      <w:color w:val="0000FF" w:themeColor="hyperlink"/>
      <w:u w:val="single"/>
    </w:rPr>
  </w:style>
  <w:style w:type="character" w:styleId="UnresolvedMention">
    <w:name w:val="Unresolved Mention"/>
    <w:basedOn w:val="DefaultParagraphFont"/>
    <w:uiPriority w:val="99"/>
    <w:semiHidden/>
    <w:unhideWhenUsed/>
    <w:rsid w:val="00792C3D"/>
    <w:rPr>
      <w:color w:val="605E5C"/>
      <w:shd w:val="clear" w:color="auto" w:fill="E1DFDD"/>
    </w:rPr>
  </w:style>
  <w:style w:type="character" w:customStyle="1" w:styleId="Heading3Char">
    <w:name w:val="Heading 3 Char"/>
    <w:basedOn w:val="DefaultParagraphFont"/>
    <w:link w:val="Heading3"/>
    <w:uiPriority w:val="9"/>
    <w:semiHidden/>
    <w:rsid w:val="007B2A2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A539F"/>
    <w:rPr>
      <w:sz w:val="24"/>
      <w:szCs w:val="24"/>
    </w:rPr>
  </w:style>
  <w:style w:type="table" w:styleId="TableGrid">
    <w:name w:val="Table Grid"/>
    <w:basedOn w:val="TableNormal"/>
    <w:uiPriority w:val="39"/>
    <w:rsid w:val="008A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6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ute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1D43-A64B-4174-AF2B-243374E5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16</Pages>
  <Words>7375</Words>
  <Characters>42040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Article</vt:lpstr>
    </vt:vector>
  </TitlesOfParts>
  <Company/>
  <LinksUpToDate>false</LinksUpToDate>
  <CharactersWithSpaces>49317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DR. DIANA ROSE BINTI FAIZAL</cp:lastModifiedBy>
  <cp:revision>9</cp:revision>
  <dcterms:created xsi:type="dcterms:W3CDTF">2026-05-12T15:21:00Z</dcterms:created>
  <dcterms:modified xsi:type="dcterms:W3CDTF">2026-06-08T01:41:00Z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Microsoft® Word 2016</vt:lpwstr>
  </property>
  <property fmtid="{D5CDD505-2E9C-101B-9397-08002B2CF9AE}" pid="4" name="LastSaved">
    <vt:filetime>2026-05-12T00:00:00Z</vt:filetime>
  </property>
  <property fmtid="{D5CDD505-2E9C-101B-9397-08002B2CF9AE}" pid="5" name="Producer">
    <vt:lpwstr>www.ilovepdf.com</vt:lpwstr>
  </property>
</Properties>
</file>